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679D8" w14:textId="77777777" w:rsidR="007B3DB2" w:rsidRPr="0063248C" w:rsidRDefault="0063248C">
      <w:pPr>
        <w:spacing w:before="2400" w:line="773" w:lineRule="exact"/>
        <w:jc w:val="center"/>
        <w:rPr>
          <w:rFonts w:cs="宋体"/>
          <w:b/>
          <w:bCs/>
          <w:sz w:val="36"/>
          <w:szCs w:val="36"/>
        </w:rPr>
      </w:pPr>
      <w:r w:rsidRPr="0063248C">
        <w:rPr>
          <w:rFonts w:cs="宋体"/>
          <w:b/>
          <w:bCs/>
          <w:noProof/>
          <w:sz w:val="36"/>
          <w:szCs w:val="36"/>
        </w:rPr>
        <w:drawing>
          <wp:anchor distT="0" distB="0" distL="114300" distR="114300" simplePos="0" relativeHeight="251659264" behindDoc="0" locked="0" layoutInCell="1" allowOverlap="1" wp14:anchorId="35F69240" wp14:editId="4F556BE1">
            <wp:simplePos x="0" y="0"/>
            <wp:positionH relativeFrom="column">
              <wp:posOffset>2576195</wp:posOffset>
            </wp:positionH>
            <wp:positionV relativeFrom="paragraph">
              <wp:posOffset>906228</wp:posOffset>
            </wp:positionV>
            <wp:extent cx="952500" cy="52387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0" cy="523875"/>
                    </a:xfrm>
                    <a:prstGeom prst="rect">
                      <a:avLst/>
                    </a:prstGeom>
                    <a:noFill/>
                  </pic:spPr>
                </pic:pic>
              </a:graphicData>
            </a:graphic>
            <wp14:sizeRelH relativeFrom="margin">
              <wp14:pctWidth>0</wp14:pctWidth>
            </wp14:sizeRelH>
            <wp14:sizeRelV relativeFrom="margin">
              <wp14:pctHeight>0</wp14:pctHeight>
            </wp14:sizeRelV>
          </wp:anchor>
        </w:drawing>
      </w:r>
      <w:r w:rsidRPr="0063248C">
        <w:rPr>
          <w:rFonts w:cs="宋体"/>
          <w:b/>
          <w:bCs/>
          <w:sz w:val="36"/>
          <w:szCs w:val="36"/>
        </w:rPr>
        <w:t>山东龙大美食股份有限公司</w:t>
      </w:r>
    </w:p>
    <w:p w14:paraId="247D237F" w14:textId="77777777" w:rsidR="007B3DB2" w:rsidRPr="0063248C" w:rsidRDefault="00000000">
      <w:pPr>
        <w:spacing w:before="1000" w:line="320" w:lineRule="exact"/>
        <w:jc w:val="center"/>
        <w:rPr>
          <w:rFonts w:cs="宋体"/>
          <w:b/>
          <w:bCs/>
          <w:sz w:val="32"/>
          <w:szCs w:val="32"/>
        </w:rPr>
      </w:pPr>
      <w:r w:rsidRPr="0063248C">
        <w:rPr>
          <w:rFonts w:cs="宋体"/>
          <w:b/>
          <w:bCs/>
          <w:sz w:val="32"/>
          <w:szCs w:val="32"/>
        </w:rPr>
        <w:t>2024</w:t>
      </w:r>
      <w:r w:rsidRPr="0063248C">
        <w:rPr>
          <w:rFonts w:cs="宋体"/>
          <w:b/>
          <w:bCs/>
          <w:sz w:val="32"/>
          <w:szCs w:val="32"/>
        </w:rPr>
        <w:t>年半年度报告</w:t>
      </w:r>
    </w:p>
    <w:p w14:paraId="6FC7724F" w14:textId="77777777" w:rsidR="007B3DB2" w:rsidRPr="0063248C" w:rsidRDefault="007B3DB2">
      <w:pPr>
        <w:spacing w:before="1000" w:line="240" w:lineRule="exact"/>
        <w:jc w:val="center"/>
        <w:rPr>
          <w:rFonts w:cs="宋体"/>
          <w:b/>
          <w:bCs/>
          <w:szCs w:val="21"/>
        </w:rPr>
      </w:pPr>
    </w:p>
    <w:p w14:paraId="51794339" w14:textId="77777777" w:rsidR="007B3DB2" w:rsidRPr="0063248C" w:rsidRDefault="007B3DB2">
      <w:pPr>
        <w:spacing w:before="1000" w:after="1000" w:line="0" w:lineRule="atLeast"/>
        <w:jc w:val="center"/>
        <w:rPr>
          <w:rFonts w:cs="Times New Roman"/>
        </w:rPr>
      </w:pPr>
    </w:p>
    <w:p w14:paraId="3414CBBB" w14:textId="77777777" w:rsidR="0063248C" w:rsidRPr="0063248C" w:rsidRDefault="0063248C">
      <w:pPr>
        <w:spacing w:before="1000" w:after="1000" w:line="0" w:lineRule="atLeast"/>
        <w:jc w:val="center"/>
        <w:rPr>
          <w:rFonts w:cs="Times New Roman"/>
        </w:rPr>
      </w:pPr>
    </w:p>
    <w:p w14:paraId="1CD89F99" w14:textId="77777777" w:rsidR="0063248C" w:rsidRPr="0063248C" w:rsidRDefault="0063248C">
      <w:pPr>
        <w:spacing w:before="1000" w:after="1000" w:line="0" w:lineRule="atLeast"/>
        <w:jc w:val="center"/>
        <w:rPr>
          <w:rFonts w:cs="Times New Roman"/>
        </w:rPr>
      </w:pPr>
    </w:p>
    <w:p w14:paraId="3D6F822E" w14:textId="77777777" w:rsidR="0063248C" w:rsidRPr="0063248C" w:rsidRDefault="0063248C" w:rsidP="0063248C"/>
    <w:p w14:paraId="79E1F121" w14:textId="77777777" w:rsidR="007B3DB2" w:rsidRPr="0063248C" w:rsidRDefault="0063248C">
      <w:pPr>
        <w:spacing w:before="400" w:line="320" w:lineRule="exact"/>
        <w:jc w:val="center"/>
        <w:rPr>
          <w:rFonts w:cs="宋体"/>
          <w:b/>
          <w:bCs/>
          <w:sz w:val="28"/>
          <w:szCs w:val="28"/>
        </w:rPr>
      </w:pPr>
      <w:r w:rsidRPr="0063248C">
        <w:rPr>
          <w:rFonts w:cs="宋体" w:hint="eastAsia"/>
          <w:b/>
          <w:bCs/>
          <w:sz w:val="28"/>
          <w:szCs w:val="28"/>
        </w:rPr>
        <w:t>2024</w:t>
      </w:r>
      <w:r w:rsidRPr="0063248C">
        <w:rPr>
          <w:rFonts w:cs="宋体" w:hint="eastAsia"/>
          <w:b/>
          <w:bCs/>
          <w:sz w:val="28"/>
          <w:szCs w:val="28"/>
        </w:rPr>
        <w:t>年</w:t>
      </w:r>
      <w:r w:rsidRPr="0063248C">
        <w:rPr>
          <w:rFonts w:cs="宋体" w:hint="eastAsia"/>
          <w:b/>
          <w:bCs/>
          <w:sz w:val="28"/>
          <w:szCs w:val="28"/>
        </w:rPr>
        <w:t>8</w:t>
      </w:r>
      <w:r w:rsidRPr="0063248C">
        <w:rPr>
          <w:rFonts w:cs="宋体" w:hint="eastAsia"/>
          <w:b/>
          <w:bCs/>
          <w:sz w:val="28"/>
          <w:szCs w:val="28"/>
        </w:rPr>
        <w:t>月</w:t>
      </w:r>
      <w:r w:rsidRPr="0063248C">
        <w:rPr>
          <w:rFonts w:cs="宋体" w:hint="eastAsia"/>
          <w:b/>
          <w:bCs/>
          <w:sz w:val="28"/>
          <w:szCs w:val="28"/>
        </w:rPr>
        <w:t>30</w:t>
      </w:r>
      <w:r w:rsidRPr="0063248C">
        <w:rPr>
          <w:rFonts w:cs="宋体" w:hint="eastAsia"/>
          <w:b/>
          <w:bCs/>
          <w:sz w:val="28"/>
          <w:szCs w:val="28"/>
        </w:rPr>
        <w:t>日</w:t>
      </w:r>
    </w:p>
    <w:p w14:paraId="6BEC77B2" w14:textId="77777777" w:rsidR="007B3DB2" w:rsidRPr="0063248C" w:rsidRDefault="00000000">
      <w:r w:rsidRPr="0063248C">
        <w:br w:type="page"/>
      </w:r>
    </w:p>
    <w:p w14:paraId="69B8D97A" w14:textId="77777777" w:rsidR="007B3DB2" w:rsidRPr="0063248C" w:rsidRDefault="00000000">
      <w:pPr>
        <w:pStyle w:val="headingh1"/>
        <w:spacing w:before="340" w:after="330" w:line="773" w:lineRule="exact"/>
        <w:jc w:val="center"/>
        <w:rPr>
          <w:rFonts w:cs="宋体"/>
          <w:b/>
          <w:bCs/>
          <w:sz w:val="32"/>
          <w:szCs w:val="32"/>
        </w:rPr>
      </w:pPr>
      <w:bookmarkStart w:id="0" w:name="_Toc988889"/>
      <w:r w:rsidRPr="0063248C">
        <w:rPr>
          <w:rFonts w:cs="宋体"/>
          <w:b/>
          <w:bCs/>
          <w:sz w:val="32"/>
          <w:szCs w:val="32"/>
        </w:rPr>
        <w:lastRenderedPageBreak/>
        <w:t>第一节</w:t>
      </w:r>
      <w:r w:rsidRPr="0063248C">
        <w:rPr>
          <w:rFonts w:cs="宋体"/>
          <w:b/>
          <w:bCs/>
          <w:sz w:val="32"/>
          <w:szCs w:val="32"/>
        </w:rPr>
        <w:t xml:space="preserve"> </w:t>
      </w:r>
      <w:r w:rsidRPr="0063248C">
        <w:rPr>
          <w:rFonts w:cs="宋体"/>
          <w:b/>
          <w:bCs/>
          <w:sz w:val="32"/>
          <w:szCs w:val="32"/>
        </w:rPr>
        <w:t>重要提示、目录和释义</w:t>
      </w:r>
      <w:bookmarkEnd w:id="0"/>
    </w:p>
    <w:p w14:paraId="737C1A39" w14:textId="77777777" w:rsidR="007B3DB2" w:rsidRPr="0063248C" w:rsidRDefault="00000000">
      <w:pPr>
        <w:spacing w:before="40" w:after="40" w:line="560" w:lineRule="exact"/>
        <w:ind w:firstLineChars="200" w:firstLine="562"/>
        <w:rPr>
          <w:rFonts w:cs="宋体"/>
          <w:b/>
          <w:bCs/>
          <w:sz w:val="28"/>
          <w:szCs w:val="28"/>
        </w:rPr>
      </w:pPr>
      <w:r w:rsidRPr="0063248C">
        <w:rPr>
          <w:rFonts w:cs="宋体"/>
          <w:b/>
          <w:bCs/>
          <w:sz w:val="28"/>
          <w:szCs w:val="28"/>
        </w:rPr>
        <w:t>公司董事会、监事会及董事、监事、高级管理人员保证半年度报告内容的真实、准确、完整，不存在虚假记载、误导性陈述或者重大遗漏，并承担个别和连带的法律责任。</w:t>
      </w:r>
    </w:p>
    <w:p w14:paraId="7B06F50A" w14:textId="77777777" w:rsidR="007B3DB2" w:rsidRPr="0063248C" w:rsidRDefault="00000000">
      <w:pPr>
        <w:spacing w:line="560" w:lineRule="exact"/>
        <w:ind w:firstLineChars="200" w:firstLine="562"/>
        <w:rPr>
          <w:rFonts w:cs="宋体"/>
          <w:b/>
          <w:bCs/>
          <w:sz w:val="28"/>
          <w:szCs w:val="28"/>
        </w:rPr>
      </w:pPr>
      <w:r w:rsidRPr="0063248C">
        <w:rPr>
          <w:rFonts w:cs="宋体"/>
          <w:b/>
          <w:bCs/>
          <w:sz w:val="28"/>
          <w:szCs w:val="28"/>
        </w:rPr>
        <w:t>公司负责人杨晓初、主管会计工作负责人张凌及会计机构负责人</w:t>
      </w:r>
      <w:r w:rsidRPr="0063248C">
        <w:rPr>
          <w:rFonts w:cs="宋体"/>
          <w:b/>
          <w:bCs/>
          <w:sz w:val="28"/>
          <w:szCs w:val="28"/>
        </w:rPr>
        <w:t>(</w:t>
      </w:r>
      <w:r w:rsidRPr="0063248C">
        <w:rPr>
          <w:rFonts w:cs="宋体"/>
          <w:b/>
          <w:bCs/>
          <w:sz w:val="28"/>
          <w:szCs w:val="28"/>
        </w:rPr>
        <w:t>会计主管人员</w:t>
      </w:r>
      <w:r w:rsidRPr="0063248C">
        <w:rPr>
          <w:rFonts w:cs="宋体"/>
          <w:b/>
          <w:bCs/>
          <w:sz w:val="28"/>
          <w:szCs w:val="28"/>
        </w:rPr>
        <w:t>)</w:t>
      </w:r>
      <w:r w:rsidRPr="0063248C">
        <w:rPr>
          <w:rFonts w:cs="宋体"/>
          <w:b/>
          <w:bCs/>
          <w:sz w:val="28"/>
          <w:szCs w:val="28"/>
        </w:rPr>
        <w:t>刘璐希声明：</w:t>
      </w:r>
      <w:proofErr w:type="gramStart"/>
      <w:r w:rsidRPr="0063248C">
        <w:rPr>
          <w:rFonts w:cs="宋体"/>
          <w:b/>
          <w:bCs/>
          <w:sz w:val="28"/>
          <w:szCs w:val="28"/>
        </w:rPr>
        <w:t>保证本半年度</w:t>
      </w:r>
      <w:proofErr w:type="gramEnd"/>
      <w:r w:rsidRPr="0063248C">
        <w:rPr>
          <w:rFonts w:cs="宋体"/>
          <w:b/>
          <w:bCs/>
          <w:sz w:val="28"/>
          <w:szCs w:val="28"/>
        </w:rPr>
        <w:t>报告中财务报告的真实、准确、完整。</w:t>
      </w:r>
    </w:p>
    <w:p w14:paraId="54F3760B" w14:textId="77777777" w:rsidR="007B3DB2" w:rsidRPr="0063248C" w:rsidRDefault="00000000">
      <w:pPr>
        <w:spacing w:line="560" w:lineRule="exact"/>
        <w:ind w:firstLineChars="200" w:firstLine="562"/>
        <w:rPr>
          <w:rFonts w:cs="宋体"/>
          <w:b/>
          <w:bCs/>
          <w:sz w:val="28"/>
          <w:szCs w:val="28"/>
        </w:rPr>
      </w:pPr>
      <w:r w:rsidRPr="0063248C">
        <w:rPr>
          <w:rFonts w:cs="宋体"/>
          <w:b/>
          <w:bCs/>
          <w:sz w:val="28"/>
          <w:szCs w:val="28"/>
        </w:rPr>
        <w:t>所有董事均</w:t>
      </w:r>
      <w:proofErr w:type="gramStart"/>
      <w:r w:rsidRPr="0063248C">
        <w:rPr>
          <w:rFonts w:cs="宋体"/>
          <w:b/>
          <w:bCs/>
          <w:sz w:val="28"/>
          <w:szCs w:val="28"/>
        </w:rPr>
        <w:t>已出席</w:t>
      </w:r>
      <w:proofErr w:type="gramEnd"/>
      <w:r w:rsidRPr="0063248C">
        <w:rPr>
          <w:rFonts w:cs="宋体"/>
          <w:b/>
          <w:bCs/>
          <w:sz w:val="28"/>
          <w:szCs w:val="28"/>
        </w:rPr>
        <w:t>了审议本次半年报的董事会会议。</w:t>
      </w:r>
    </w:p>
    <w:p w14:paraId="1B04761D" w14:textId="77777777" w:rsidR="007B3DB2" w:rsidRPr="0063248C" w:rsidRDefault="00000000">
      <w:pPr>
        <w:spacing w:line="560" w:lineRule="exact"/>
        <w:ind w:firstLineChars="200" w:firstLine="562"/>
        <w:rPr>
          <w:rFonts w:cs="宋体"/>
          <w:b/>
          <w:bCs/>
          <w:sz w:val="28"/>
          <w:szCs w:val="28"/>
        </w:rPr>
      </w:pPr>
      <w:r w:rsidRPr="0063248C">
        <w:rPr>
          <w:rFonts w:cs="宋体"/>
          <w:b/>
          <w:bCs/>
          <w:sz w:val="28"/>
          <w:szCs w:val="28"/>
        </w:rPr>
        <w:t>公司计划</w:t>
      </w:r>
      <w:proofErr w:type="gramStart"/>
      <w:r w:rsidRPr="0063248C">
        <w:rPr>
          <w:rFonts w:cs="宋体"/>
          <w:b/>
          <w:bCs/>
          <w:sz w:val="28"/>
          <w:szCs w:val="28"/>
        </w:rPr>
        <w:t>不</w:t>
      </w:r>
      <w:proofErr w:type="gramEnd"/>
      <w:r w:rsidRPr="0063248C">
        <w:rPr>
          <w:rFonts w:cs="宋体"/>
          <w:b/>
          <w:bCs/>
          <w:sz w:val="28"/>
          <w:szCs w:val="28"/>
        </w:rPr>
        <w:t>派发现金红利，不送红股，不以公积金转增股本。</w:t>
      </w:r>
    </w:p>
    <w:p w14:paraId="15340284" w14:textId="77777777" w:rsidR="007B3DB2" w:rsidRPr="0063248C" w:rsidRDefault="00000000">
      <w:r w:rsidRPr="0063248C">
        <w:br w:type="page"/>
      </w:r>
    </w:p>
    <w:p w14:paraId="07513C7A" w14:textId="77777777" w:rsidR="007B3DB2" w:rsidRPr="0063248C" w:rsidRDefault="00000000">
      <w:pPr>
        <w:spacing w:line="720" w:lineRule="exact"/>
        <w:jc w:val="center"/>
        <w:rPr>
          <w:rFonts w:cs="宋体"/>
          <w:b/>
          <w:bCs/>
          <w:sz w:val="36"/>
          <w:szCs w:val="36"/>
        </w:rPr>
      </w:pPr>
      <w:r w:rsidRPr="0063248C">
        <w:rPr>
          <w:rFonts w:cs="宋体"/>
          <w:b/>
          <w:bCs/>
          <w:sz w:val="36"/>
          <w:szCs w:val="36"/>
        </w:rPr>
        <w:lastRenderedPageBreak/>
        <w:t>目录</w:t>
      </w:r>
    </w:p>
    <w:p w14:paraId="5289C27A" w14:textId="554CDAD7" w:rsidR="007B3DB2" w:rsidRPr="0063248C" w:rsidRDefault="00000000" w:rsidP="00F07AAA">
      <w:pPr>
        <w:pStyle w:val="TOC1"/>
        <w:rPr>
          <w:noProof/>
        </w:rPr>
      </w:pPr>
      <w:r w:rsidRPr="0063248C">
        <w:fldChar w:fldCharType="begin"/>
      </w:r>
      <w:r w:rsidRPr="0063248C">
        <w:instrText xml:space="preserve"> </w:instrText>
      </w:r>
      <w:r w:rsidRPr="0063248C">
        <w:rPr>
          <w:rFonts w:hint="eastAsia"/>
        </w:rPr>
        <w:instrText>TOC \o "1-2" \h \z \u</w:instrText>
      </w:r>
      <w:r w:rsidRPr="0063248C">
        <w:instrText xml:space="preserve"> </w:instrText>
      </w:r>
      <w:r w:rsidRPr="0063248C">
        <w:fldChar w:fldCharType="separate"/>
      </w:r>
      <w:hyperlink w:anchor="_Toc988889" w:history="1">
        <w:r w:rsidRPr="0063248C">
          <w:rPr>
            <w:rFonts w:hint="eastAsia"/>
            <w:b/>
            <w:bCs/>
            <w:noProof/>
            <w:sz w:val="24"/>
          </w:rPr>
          <w:t>第一节</w:t>
        </w:r>
        <w:r w:rsidRPr="0063248C">
          <w:rPr>
            <w:rFonts w:hint="eastAsia"/>
            <w:b/>
            <w:bCs/>
            <w:noProof/>
            <w:sz w:val="24"/>
          </w:rPr>
          <w:t xml:space="preserve"> </w:t>
        </w:r>
        <w:r w:rsidRPr="0063248C">
          <w:rPr>
            <w:rFonts w:hint="eastAsia"/>
            <w:b/>
            <w:bCs/>
            <w:noProof/>
            <w:sz w:val="24"/>
          </w:rPr>
          <w:t>重要提示、目录和释义</w:t>
        </w:r>
        <w:r w:rsidRPr="0063248C">
          <w:rPr>
            <w:noProof/>
            <w:webHidden/>
          </w:rPr>
          <w:tab/>
        </w:r>
        <w:r w:rsidRPr="0063248C">
          <w:rPr>
            <w:noProof/>
            <w:webHidden/>
          </w:rPr>
          <w:fldChar w:fldCharType="begin"/>
        </w:r>
        <w:r w:rsidRPr="0063248C">
          <w:rPr>
            <w:noProof/>
            <w:webHidden/>
          </w:rPr>
          <w:instrText xml:space="preserve"> PAGEREF _Toc988889 \h </w:instrText>
        </w:r>
        <w:r w:rsidRPr="0063248C">
          <w:rPr>
            <w:noProof/>
            <w:webHidden/>
          </w:rPr>
        </w:r>
        <w:r w:rsidRPr="0063248C">
          <w:rPr>
            <w:noProof/>
            <w:webHidden/>
          </w:rPr>
          <w:fldChar w:fldCharType="separate"/>
        </w:r>
        <w:r w:rsidR="00F75FFE">
          <w:rPr>
            <w:noProof/>
            <w:webHidden/>
          </w:rPr>
          <w:t>2</w:t>
        </w:r>
        <w:r w:rsidRPr="0063248C">
          <w:rPr>
            <w:noProof/>
            <w:webHidden/>
          </w:rPr>
          <w:fldChar w:fldCharType="end"/>
        </w:r>
      </w:hyperlink>
    </w:p>
    <w:p w14:paraId="09F697F8" w14:textId="08A43DFA" w:rsidR="007B3DB2" w:rsidRPr="0063248C" w:rsidRDefault="00000000" w:rsidP="00F07AAA">
      <w:pPr>
        <w:pStyle w:val="TOC1"/>
        <w:rPr>
          <w:noProof/>
        </w:rPr>
      </w:pPr>
      <w:hyperlink w:anchor="_Toc988890" w:history="1">
        <w:r w:rsidRPr="0063248C">
          <w:rPr>
            <w:rFonts w:hint="eastAsia"/>
            <w:b/>
            <w:bCs/>
            <w:noProof/>
            <w:sz w:val="24"/>
          </w:rPr>
          <w:t>第二节</w:t>
        </w:r>
        <w:r w:rsidRPr="0063248C">
          <w:rPr>
            <w:rFonts w:hint="eastAsia"/>
            <w:b/>
            <w:bCs/>
            <w:noProof/>
            <w:sz w:val="24"/>
          </w:rPr>
          <w:t xml:space="preserve"> </w:t>
        </w:r>
        <w:r w:rsidRPr="0063248C">
          <w:rPr>
            <w:rFonts w:hint="eastAsia"/>
            <w:b/>
            <w:bCs/>
            <w:noProof/>
            <w:sz w:val="24"/>
          </w:rPr>
          <w:t>公司简介和主要财务指标</w:t>
        </w:r>
        <w:r w:rsidRPr="0063248C">
          <w:rPr>
            <w:noProof/>
            <w:webHidden/>
          </w:rPr>
          <w:tab/>
        </w:r>
        <w:r w:rsidRPr="0063248C">
          <w:rPr>
            <w:noProof/>
            <w:webHidden/>
          </w:rPr>
          <w:fldChar w:fldCharType="begin"/>
        </w:r>
        <w:r w:rsidRPr="0063248C">
          <w:rPr>
            <w:noProof/>
            <w:webHidden/>
          </w:rPr>
          <w:instrText xml:space="preserve"> PAGEREF _Toc988890 \h </w:instrText>
        </w:r>
        <w:r w:rsidRPr="0063248C">
          <w:rPr>
            <w:noProof/>
            <w:webHidden/>
          </w:rPr>
        </w:r>
        <w:r w:rsidRPr="0063248C">
          <w:rPr>
            <w:noProof/>
            <w:webHidden/>
          </w:rPr>
          <w:fldChar w:fldCharType="separate"/>
        </w:r>
        <w:r w:rsidR="00F75FFE">
          <w:rPr>
            <w:noProof/>
            <w:webHidden/>
          </w:rPr>
          <w:t>6</w:t>
        </w:r>
        <w:r w:rsidRPr="0063248C">
          <w:rPr>
            <w:noProof/>
            <w:webHidden/>
          </w:rPr>
          <w:fldChar w:fldCharType="end"/>
        </w:r>
      </w:hyperlink>
    </w:p>
    <w:p w14:paraId="5430A9CF" w14:textId="7AAD11BD" w:rsidR="007B3DB2" w:rsidRPr="0063248C" w:rsidRDefault="00000000" w:rsidP="00F07AAA">
      <w:pPr>
        <w:pStyle w:val="TOC1"/>
        <w:rPr>
          <w:noProof/>
        </w:rPr>
      </w:pPr>
      <w:hyperlink w:anchor="_Toc988902" w:history="1">
        <w:r w:rsidRPr="0063248C">
          <w:rPr>
            <w:rFonts w:hint="eastAsia"/>
            <w:b/>
            <w:bCs/>
            <w:noProof/>
            <w:sz w:val="24"/>
          </w:rPr>
          <w:t>第三节</w:t>
        </w:r>
        <w:r w:rsidRPr="0063248C">
          <w:rPr>
            <w:rFonts w:hint="eastAsia"/>
            <w:b/>
            <w:bCs/>
            <w:noProof/>
            <w:sz w:val="24"/>
          </w:rPr>
          <w:t xml:space="preserve"> </w:t>
        </w:r>
        <w:r w:rsidRPr="0063248C">
          <w:rPr>
            <w:rFonts w:hint="eastAsia"/>
            <w:b/>
            <w:bCs/>
            <w:noProof/>
            <w:sz w:val="24"/>
          </w:rPr>
          <w:t>管理层讨论与分析</w:t>
        </w:r>
        <w:r w:rsidRPr="0063248C">
          <w:rPr>
            <w:noProof/>
            <w:webHidden/>
          </w:rPr>
          <w:tab/>
        </w:r>
        <w:r w:rsidRPr="0063248C">
          <w:rPr>
            <w:noProof/>
            <w:webHidden/>
          </w:rPr>
          <w:fldChar w:fldCharType="begin"/>
        </w:r>
        <w:r w:rsidRPr="0063248C">
          <w:rPr>
            <w:noProof/>
            <w:webHidden/>
          </w:rPr>
          <w:instrText xml:space="preserve"> PAGEREF _Toc988902 \h </w:instrText>
        </w:r>
        <w:r w:rsidRPr="0063248C">
          <w:rPr>
            <w:noProof/>
            <w:webHidden/>
          </w:rPr>
        </w:r>
        <w:r w:rsidRPr="0063248C">
          <w:rPr>
            <w:noProof/>
            <w:webHidden/>
          </w:rPr>
          <w:fldChar w:fldCharType="separate"/>
        </w:r>
        <w:r w:rsidR="00F75FFE">
          <w:rPr>
            <w:noProof/>
            <w:webHidden/>
          </w:rPr>
          <w:t>9</w:t>
        </w:r>
        <w:r w:rsidRPr="0063248C">
          <w:rPr>
            <w:noProof/>
            <w:webHidden/>
          </w:rPr>
          <w:fldChar w:fldCharType="end"/>
        </w:r>
      </w:hyperlink>
    </w:p>
    <w:p w14:paraId="69EF4430" w14:textId="5FBC9AB9" w:rsidR="007B3DB2" w:rsidRPr="0063248C" w:rsidRDefault="00000000" w:rsidP="00F07AAA">
      <w:pPr>
        <w:pStyle w:val="TOC1"/>
        <w:rPr>
          <w:noProof/>
        </w:rPr>
      </w:pPr>
      <w:hyperlink w:anchor="_Toc988930" w:history="1">
        <w:r w:rsidRPr="0063248C">
          <w:rPr>
            <w:rFonts w:hint="eastAsia"/>
            <w:b/>
            <w:bCs/>
            <w:noProof/>
            <w:sz w:val="24"/>
          </w:rPr>
          <w:t>第四节</w:t>
        </w:r>
        <w:r w:rsidRPr="0063248C">
          <w:rPr>
            <w:rFonts w:hint="eastAsia"/>
            <w:b/>
            <w:bCs/>
            <w:noProof/>
            <w:sz w:val="24"/>
          </w:rPr>
          <w:t xml:space="preserve"> </w:t>
        </w:r>
        <w:r w:rsidRPr="0063248C">
          <w:rPr>
            <w:rFonts w:hint="eastAsia"/>
            <w:b/>
            <w:bCs/>
            <w:noProof/>
            <w:sz w:val="24"/>
          </w:rPr>
          <w:t>公司治理</w:t>
        </w:r>
        <w:r w:rsidRPr="0063248C">
          <w:rPr>
            <w:noProof/>
            <w:webHidden/>
          </w:rPr>
          <w:tab/>
        </w:r>
        <w:r w:rsidRPr="0063248C">
          <w:rPr>
            <w:noProof/>
            <w:webHidden/>
          </w:rPr>
          <w:fldChar w:fldCharType="begin"/>
        </w:r>
        <w:r w:rsidRPr="0063248C">
          <w:rPr>
            <w:noProof/>
            <w:webHidden/>
          </w:rPr>
          <w:instrText xml:space="preserve"> PAGEREF _Toc988930 \h </w:instrText>
        </w:r>
        <w:r w:rsidRPr="0063248C">
          <w:rPr>
            <w:noProof/>
            <w:webHidden/>
          </w:rPr>
        </w:r>
        <w:r w:rsidRPr="0063248C">
          <w:rPr>
            <w:noProof/>
            <w:webHidden/>
          </w:rPr>
          <w:fldChar w:fldCharType="separate"/>
        </w:r>
        <w:r w:rsidR="00F75FFE">
          <w:rPr>
            <w:noProof/>
            <w:webHidden/>
          </w:rPr>
          <w:t>21</w:t>
        </w:r>
        <w:r w:rsidRPr="0063248C">
          <w:rPr>
            <w:noProof/>
            <w:webHidden/>
          </w:rPr>
          <w:fldChar w:fldCharType="end"/>
        </w:r>
      </w:hyperlink>
    </w:p>
    <w:p w14:paraId="1B17C50C" w14:textId="51F11AA7" w:rsidR="007B3DB2" w:rsidRPr="0063248C" w:rsidRDefault="00000000" w:rsidP="00F07AAA">
      <w:pPr>
        <w:pStyle w:val="TOC1"/>
        <w:rPr>
          <w:noProof/>
        </w:rPr>
      </w:pPr>
      <w:hyperlink w:anchor="_Toc988937" w:history="1">
        <w:r w:rsidRPr="0063248C">
          <w:rPr>
            <w:rFonts w:hint="eastAsia"/>
            <w:b/>
            <w:bCs/>
            <w:noProof/>
            <w:sz w:val="24"/>
          </w:rPr>
          <w:t>第五节</w:t>
        </w:r>
        <w:r w:rsidRPr="0063248C">
          <w:rPr>
            <w:rFonts w:hint="eastAsia"/>
            <w:b/>
            <w:bCs/>
            <w:noProof/>
            <w:sz w:val="24"/>
          </w:rPr>
          <w:t xml:space="preserve"> </w:t>
        </w:r>
        <w:r w:rsidRPr="0063248C">
          <w:rPr>
            <w:rFonts w:hint="eastAsia"/>
            <w:b/>
            <w:bCs/>
            <w:noProof/>
            <w:sz w:val="24"/>
          </w:rPr>
          <w:t>环境和社会责任</w:t>
        </w:r>
        <w:r w:rsidRPr="0063248C">
          <w:rPr>
            <w:noProof/>
            <w:webHidden/>
          </w:rPr>
          <w:tab/>
        </w:r>
        <w:r w:rsidRPr="0063248C">
          <w:rPr>
            <w:noProof/>
            <w:webHidden/>
          </w:rPr>
          <w:fldChar w:fldCharType="begin"/>
        </w:r>
        <w:r w:rsidRPr="0063248C">
          <w:rPr>
            <w:noProof/>
            <w:webHidden/>
          </w:rPr>
          <w:instrText xml:space="preserve"> PAGEREF _Toc988937 \h </w:instrText>
        </w:r>
        <w:r w:rsidRPr="0063248C">
          <w:rPr>
            <w:noProof/>
            <w:webHidden/>
          </w:rPr>
        </w:r>
        <w:r w:rsidRPr="0063248C">
          <w:rPr>
            <w:noProof/>
            <w:webHidden/>
          </w:rPr>
          <w:fldChar w:fldCharType="separate"/>
        </w:r>
        <w:r w:rsidR="00F75FFE">
          <w:rPr>
            <w:noProof/>
            <w:webHidden/>
          </w:rPr>
          <w:t>22</w:t>
        </w:r>
        <w:r w:rsidRPr="0063248C">
          <w:rPr>
            <w:noProof/>
            <w:webHidden/>
          </w:rPr>
          <w:fldChar w:fldCharType="end"/>
        </w:r>
      </w:hyperlink>
    </w:p>
    <w:p w14:paraId="79EF2E81" w14:textId="566816F4" w:rsidR="007B3DB2" w:rsidRPr="0063248C" w:rsidRDefault="00000000" w:rsidP="00F07AAA">
      <w:pPr>
        <w:pStyle w:val="TOC1"/>
        <w:rPr>
          <w:noProof/>
        </w:rPr>
      </w:pPr>
      <w:hyperlink w:anchor="_Toc988940" w:history="1">
        <w:r w:rsidRPr="0063248C">
          <w:rPr>
            <w:rFonts w:hint="eastAsia"/>
            <w:b/>
            <w:bCs/>
            <w:noProof/>
            <w:sz w:val="24"/>
          </w:rPr>
          <w:t>第六节</w:t>
        </w:r>
        <w:r w:rsidRPr="0063248C">
          <w:rPr>
            <w:rFonts w:hint="eastAsia"/>
            <w:b/>
            <w:bCs/>
            <w:noProof/>
            <w:sz w:val="24"/>
          </w:rPr>
          <w:t xml:space="preserve"> </w:t>
        </w:r>
        <w:r w:rsidRPr="0063248C">
          <w:rPr>
            <w:rFonts w:hint="eastAsia"/>
            <w:b/>
            <w:bCs/>
            <w:noProof/>
            <w:sz w:val="24"/>
          </w:rPr>
          <w:t>重要事项</w:t>
        </w:r>
        <w:r w:rsidRPr="0063248C">
          <w:rPr>
            <w:noProof/>
            <w:webHidden/>
          </w:rPr>
          <w:tab/>
        </w:r>
        <w:r w:rsidRPr="0063248C">
          <w:rPr>
            <w:noProof/>
            <w:webHidden/>
          </w:rPr>
          <w:fldChar w:fldCharType="begin"/>
        </w:r>
        <w:r w:rsidRPr="0063248C">
          <w:rPr>
            <w:noProof/>
            <w:webHidden/>
          </w:rPr>
          <w:instrText xml:space="preserve"> PAGEREF _Toc988940 \h </w:instrText>
        </w:r>
        <w:r w:rsidRPr="0063248C">
          <w:rPr>
            <w:noProof/>
            <w:webHidden/>
          </w:rPr>
        </w:r>
        <w:r w:rsidRPr="0063248C">
          <w:rPr>
            <w:noProof/>
            <w:webHidden/>
          </w:rPr>
          <w:fldChar w:fldCharType="separate"/>
        </w:r>
        <w:r w:rsidR="00F75FFE">
          <w:rPr>
            <w:noProof/>
            <w:webHidden/>
          </w:rPr>
          <w:t>28</w:t>
        </w:r>
        <w:r w:rsidRPr="0063248C">
          <w:rPr>
            <w:noProof/>
            <w:webHidden/>
          </w:rPr>
          <w:fldChar w:fldCharType="end"/>
        </w:r>
      </w:hyperlink>
    </w:p>
    <w:p w14:paraId="67D80033" w14:textId="6E63CA38" w:rsidR="007B3DB2" w:rsidRPr="0063248C" w:rsidRDefault="00000000" w:rsidP="00F07AAA">
      <w:pPr>
        <w:pStyle w:val="TOC1"/>
        <w:rPr>
          <w:noProof/>
        </w:rPr>
      </w:pPr>
      <w:hyperlink w:anchor="_Toc988969" w:history="1">
        <w:r w:rsidRPr="0063248C">
          <w:rPr>
            <w:rFonts w:hint="eastAsia"/>
            <w:b/>
            <w:bCs/>
            <w:noProof/>
            <w:sz w:val="24"/>
          </w:rPr>
          <w:t>第七节</w:t>
        </w:r>
        <w:r w:rsidRPr="0063248C">
          <w:rPr>
            <w:rFonts w:hint="eastAsia"/>
            <w:b/>
            <w:bCs/>
            <w:noProof/>
            <w:sz w:val="24"/>
          </w:rPr>
          <w:t xml:space="preserve"> </w:t>
        </w:r>
        <w:r w:rsidRPr="0063248C">
          <w:rPr>
            <w:rFonts w:hint="eastAsia"/>
            <w:b/>
            <w:bCs/>
            <w:noProof/>
            <w:sz w:val="24"/>
          </w:rPr>
          <w:t>股份变动及股东情况</w:t>
        </w:r>
        <w:r w:rsidRPr="0063248C">
          <w:rPr>
            <w:noProof/>
            <w:webHidden/>
          </w:rPr>
          <w:tab/>
        </w:r>
        <w:r w:rsidRPr="0063248C">
          <w:rPr>
            <w:noProof/>
            <w:webHidden/>
          </w:rPr>
          <w:fldChar w:fldCharType="begin"/>
        </w:r>
        <w:r w:rsidRPr="0063248C">
          <w:rPr>
            <w:noProof/>
            <w:webHidden/>
          </w:rPr>
          <w:instrText xml:space="preserve"> PAGEREF _Toc988969 \h </w:instrText>
        </w:r>
        <w:r w:rsidRPr="0063248C">
          <w:rPr>
            <w:noProof/>
            <w:webHidden/>
          </w:rPr>
        </w:r>
        <w:r w:rsidRPr="0063248C">
          <w:rPr>
            <w:noProof/>
            <w:webHidden/>
          </w:rPr>
          <w:fldChar w:fldCharType="separate"/>
        </w:r>
        <w:r w:rsidR="00F75FFE">
          <w:rPr>
            <w:noProof/>
            <w:webHidden/>
          </w:rPr>
          <w:t>41</w:t>
        </w:r>
        <w:r w:rsidRPr="0063248C">
          <w:rPr>
            <w:noProof/>
            <w:webHidden/>
          </w:rPr>
          <w:fldChar w:fldCharType="end"/>
        </w:r>
      </w:hyperlink>
    </w:p>
    <w:p w14:paraId="648C8FBF" w14:textId="2D013D32" w:rsidR="007B3DB2" w:rsidRPr="0063248C" w:rsidRDefault="00000000" w:rsidP="00F07AAA">
      <w:pPr>
        <w:pStyle w:val="TOC1"/>
        <w:rPr>
          <w:noProof/>
        </w:rPr>
      </w:pPr>
      <w:hyperlink w:anchor="_Toc988977" w:history="1">
        <w:r w:rsidRPr="0063248C">
          <w:rPr>
            <w:rFonts w:hint="eastAsia"/>
            <w:b/>
            <w:bCs/>
            <w:noProof/>
            <w:sz w:val="24"/>
          </w:rPr>
          <w:t>第八节</w:t>
        </w:r>
        <w:r w:rsidRPr="0063248C">
          <w:rPr>
            <w:rFonts w:hint="eastAsia"/>
            <w:b/>
            <w:bCs/>
            <w:noProof/>
            <w:sz w:val="24"/>
          </w:rPr>
          <w:t xml:space="preserve"> </w:t>
        </w:r>
        <w:r w:rsidRPr="0063248C">
          <w:rPr>
            <w:rFonts w:hint="eastAsia"/>
            <w:b/>
            <w:bCs/>
            <w:noProof/>
            <w:sz w:val="24"/>
          </w:rPr>
          <w:t>优先股相关情况</w:t>
        </w:r>
        <w:r w:rsidRPr="0063248C">
          <w:rPr>
            <w:noProof/>
            <w:webHidden/>
          </w:rPr>
          <w:tab/>
        </w:r>
        <w:r w:rsidRPr="0063248C">
          <w:rPr>
            <w:noProof/>
            <w:webHidden/>
          </w:rPr>
          <w:fldChar w:fldCharType="begin"/>
        </w:r>
        <w:r w:rsidRPr="0063248C">
          <w:rPr>
            <w:noProof/>
            <w:webHidden/>
          </w:rPr>
          <w:instrText xml:space="preserve"> PAGEREF _Toc988977 \h </w:instrText>
        </w:r>
        <w:r w:rsidRPr="0063248C">
          <w:rPr>
            <w:noProof/>
            <w:webHidden/>
          </w:rPr>
        </w:r>
        <w:r w:rsidRPr="0063248C">
          <w:rPr>
            <w:noProof/>
            <w:webHidden/>
          </w:rPr>
          <w:fldChar w:fldCharType="separate"/>
        </w:r>
        <w:r w:rsidR="00F75FFE">
          <w:rPr>
            <w:noProof/>
            <w:webHidden/>
          </w:rPr>
          <w:t>46</w:t>
        </w:r>
        <w:r w:rsidRPr="0063248C">
          <w:rPr>
            <w:noProof/>
            <w:webHidden/>
          </w:rPr>
          <w:fldChar w:fldCharType="end"/>
        </w:r>
      </w:hyperlink>
    </w:p>
    <w:p w14:paraId="7F738FD0" w14:textId="3597A22C" w:rsidR="007B3DB2" w:rsidRPr="0063248C" w:rsidRDefault="00000000" w:rsidP="00F07AAA">
      <w:pPr>
        <w:pStyle w:val="TOC1"/>
        <w:rPr>
          <w:noProof/>
        </w:rPr>
      </w:pPr>
      <w:hyperlink w:anchor="_Toc988978" w:history="1">
        <w:r w:rsidRPr="0063248C">
          <w:rPr>
            <w:rFonts w:hint="eastAsia"/>
            <w:b/>
            <w:bCs/>
            <w:noProof/>
            <w:sz w:val="24"/>
          </w:rPr>
          <w:t>第九节</w:t>
        </w:r>
        <w:r w:rsidRPr="0063248C">
          <w:rPr>
            <w:rFonts w:hint="eastAsia"/>
            <w:b/>
            <w:bCs/>
            <w:noProof/>
            <w:sz w:val="24"/>
          </w:rPr>
          <w:t xml:space="preserve"> </w:t>
        </w:r>
        <w:r w:rsidRPr="0063248C">
          <w:rPr>
            <w:rFonts w:hint="eastAsia"/>
            <w:b/>
            <w:bCs/>
            <w:noProof/>
            <w:sz w:val="24"/>
          </w:rPr>
          <w:t>债券相关情况</w:t>
        </w:r>
        <w:r w:rsidRPr="0063248C">
          <w:rPr>
            <w:noProof/>
            <w:webHidden/>
          </w:rPr>
          <w:tab/>
        </w:r>
        <w:r w:rsidRPr="0063248C">
          <w:rPr>
            <w:noProof/>
            <w:webHidden/>
          </w:rPr>
          <w:fldChar w:fldCharType="begin"/>
        </w:r>
        <w:r w:rsidRPr="0063248C">
          <w:rPr>
            <w:noProof/>
            <w:webHidden/>
          </w:rPr>
          <w:instrText xml:space="preserve"> PAGEREF _Toc988978 \h </w:instrText>
        </w:r>
        <w:r w:rsidRPr="0063248C">
          <w:rPr>
            <w:noProof/>
            <w:webHidden/>
          </w:rPr>
        </w:r>
        <w:r w:rsidRPr="0063248C">
          <w:rPr>
            <w:noProof/>
            <w:webHidden/>
          </w:rPr>
          <w:fldChar w:fldCharType="separate"/>
        </w:r>
        <w:r w:rsidR="00F75FFE">
          <w:rPr>
            <w:noProof/>
            <w:webHidden/>
          </w:rPr>
          <w:t>47</w:t>
        </w:r>
        <w:r w:rsidRPr="0063248C">
          <w:rPr>
            <w:noProof/>
            <w:webHidden/>
          </w:rPr>
          <w:fldChar w:fldCharType="end"/>
        </w:r>
      </w:hyperlink>
    </w:p>
    <w:p w14:paraId="0F612151" w14:textId="35AB31DB" w:rsidR="007B3DB2" w:rsidRPr="0063248C" w:rsidRDefault="00000000" w:rsidP="00F07AAA">
      <w:pPr>
        <w:pStyle w:val="TOC1"/>
        <w:rPr>
          <w:noProof/>
        </w:rPr>
      </w:pPr>
      <w:hyperlink w:anchor="_Toc988990" w:history="1">
        <w:r w:rsidRPr="0063248C">
          <w:rPr>
            <w:rFonts w:hint="eastAsia"/>
            <w:b/>
            <w:bCs/>
            <w:noProof/>
            <w:sz w:val="24"/>
          </w:rPr>
          <w:t>第十节</w:t>
        </w:r>
        <w:r w:rsidRPr="0063248C">
          <w:rPr>
            <w:rFonts w:hint="eastAsia"/>
            <w:b/>
            <w:bCs/>
            <w:noProof/>
            <w:sz w:val="24"/>
          </w:rPr>
          <w:t xml:space="preserve"> </w:t>
        </w:r>
        <w:r w:rsidRPr="0063248C">
          <w:rPr>
            <w:rFonts w:hint="eastAsia"/>
            <w:b/>
            <w:bCs/>
            <w:noProof/>
            <w:sz w:val="24"/>
          </w:rPr>
          <w:t>财务报告</w:t>
        </w:r>
        <w:r w:rsidRPr="0063248C">
          <w:rPr>
            <w:noProof/>
            <w:webHidden/>
          </w:rPr>
          <w:tab/>
        </w:r>
        <w:r w:rsidRPr="0063248C">
          <w:rPr>
            <w:noProof/>
            <w:webHidden/>
          </w:rPr>
          <w:fldChar w:fldCharType="begin"/>
        </w:r>
        <w:r w:rsidRPr="0063248C">
          <w:rPr>
            <w:noProof/>
            <w:webHidden/>
          </w:rPr>
          <w:instrText xml:space="preserve"> PAGEREF _Toc988990 \h </w:instrText>
        </w:r>
        <w:r w:rsidRPr="0063248C">
          <w:rPr>
            <w:noProof/>
            <w:webHidden/>
          </w:rPr>
        </w:r>
        <w:r w:rsidRPr="0063248C">
          <w:rPr>
            <w:noProof/>
            <w:webHidden/>
          </w:rPr>
          <w:fldChar w:fldCharType="separate"/>
        </w:r>
        <w:r w:rsidR="00F75FFE">
          <w:rPr>
            <w:noProof/>
            <w:webHidden/>
          </w:rPr>
          <w:t>50</w:t>
        </w:r>
        <w:r w:rsidRPr="0063248C">
          <w:rPr>
            <w:noProof/>
            <w:webHidden/>
          </w:rPr>
          <w:fldChar w:fldCharType="end"/>
        </w:r>
      </w:hyperlink>
      <w:r w:rsidRPr="0063248C">
        <w:fldChar w:fldCharType="end"/>
      </w:r>
    </w:p>
    <w:p w14:paraId="1C47D28E" w14:textId="77777777" w:rsidR="007B3DB2" w:rsidRPr="0063248C" w:rsidRDefault="00000000">
      <w:r w:rsidRPr="0063248C">
        <w:br w:type="page"/>
      </w:r>
    </w:p>
    <w:p w14:paraId="0A6558EC" w14:textId="77777777" w:rsidR="007B3DB2" w:rsidRPr="0063248C" w:rsidRDefault="00000000">
      <w:pPr>
        <w:spacing w:line="640" w:lineRule="exact"/>
        <w:jc w:val="center"/>
        <w:rPr>
          <w:rFonts w:cs="宋体"/>
          <w:b/>
          <w:bCs/>
          <w:sz w:val="32"/>
          <w:szCs w:val="32"/>
        </w:rPr>
      </w:pPr>
      <w:r w:rsidRPr="0063248C">
        <w:rPr>
          <w:rFonts w:cs="宋体"/>
          <w:b/>
          <w:bCs/>
          <w:sz w:val="32"/>
          <w:szCs w:val="32"/>
        </w:rPr>
        <w:lastRenderedPageBreak/>
        <w:t>备查文件目录</w:t>
      </w:r>
    </w:p>
    <w:p w14:paraId="6D110636" w14:textId="77777777" w:rsidR="00517D34" w:rsidRPr="0063248C" w:rsidRDefault="00000000">
      <w:pPr>
        <w:pStyle w:val="a3"/>
        <w:spacing w:line="560" w:lineRule="atLeast"/>
        <w:divId w:val="667171665"/>
        <w:rPr>
          <w:rFonts w:ascii="Times New Roman" w:hAnsi="Times New Roman"/>
          <w:sz w:val="18"/>
          <w:szCs w:val="18"/>
        </w:rPr>
      </w:pPr>
      <w:r w:rsidRPr="0063248C">
        <w:rPr>
          <w:rFonts w:ascii="Times New Roman" w:hAnsi="Times New Roman" w:hint="eastAsia"/>
          <w:sz w:val="18"/>
          <w:szCs w:val="18"/>
        </w:rPr>
        <w:t>（一）载有公司负责人、主管会计工作负责人、会计机构负责人</w:t>
      </w:r>
      <w:r w:rsidRPr="0063248C">
        <w:rPr>
          <w:rFonts w:ascii="Times New Roman" w:hAnsi="Times New Roman" w:hint="eastAsia"/>
          <w:sz w:val="18"/>
          <w:szCs w:val="18"/>
        </w:rPr>
        <w:t>(</w:t>
      </w:r>
      <w:r w:rsidRPr="0063248C">
        <w:rPr>
          <w:rFonts w:ascii="Times New Roman" w:hAnsi="Times New Roman" w:hint="eastAsia"/>
          <w:sz w:val="18"/>
          <w:szCs w:val="18"/>
        </w:rPr>
        <w:t>会计主管人员</w:t>
      </w:r>
      <w:r w:rsidRPr="0063248C">
        <w:rPr>
          <w:rFonts w:ascii="Times New Roman" w:hAnsi="Times New Roman" w:hint="eastAsia"/>
          <w:sz w:val="18"/>
          <w:szCs w:val="18"/>
        </w:rPr>
        <w:t>)</w:t>
      </w:r>
      <w:r w:rsidRPr="0063248C">
        <w:rPr>
          <w:rFonts w:ascii="Times New Roman" w:hAnsi="Times New Roman" w:hint="eastAsia"/>
          <w:sz w:val="18"/>
          <w:szCs w:val="18"/>
        </w:rPr>
        <w:t>签名并盖章的财务报表。</w:t>
      </w:r>
    </w:p>
    <w:p w14:paraId="41283376" w14:textId="77777777" w:rsidR="00517D34" w:rsidRPr="0063248C" w:rsidRDefault="00000000">
      <w:pPr>
        <w:pStyle w:val="a3"/>
        <w:spacing w:line="560" w:lineRule="atLeast"/>
        <w:divId w:val="667171665"/>
        <w:rPr>
          <w:rFonts w:ascii="Times New Roman" w:hAnsi="Times New Roman"/>
          <w:sz w:val="18"/>
          <w:szCs w:val="18"/>
        </w:rPr>
      </w:pPr>
      <w:r w:rsidRPr="0063248C">
        <w:rPr>
          <w:rFonts w:ascii="Times New Roman" w:hAnsi="Times New Roman" w:hint="eastAsia"/>
          <w:sz w:val="18"/>
          <w:szCs w:val="18"/>
        </w:rPr>
        <w:t>（二）报告期内公开披露过的所有公司文件的正本及公告的原稿。</w:t>
      </w:r>
    </w:p>
    <w:p w14:paraId="3E4B1ACC" w14:textId="77777777" w:rsidR="00517D34" w:rsidRPr="0063248C" w:rsidRDefault="00000000">
      <w:pPr>
        <w:pStyle w:val="a3"/>
        <w:spacing w:line="560" w:lineRule="atLeast"/>
        <w:divId w:val="667171665"/>
        <w:rPr>
          <w:rFonts w:ascii="Times New Roman" w:hAnsi="Times New Roman"/>
          <w:sz w:val="18"/>
          <w:szCs w:val="18"/>
        </w:rPr>
      </w:pPr>
      <w:r w:rsidRPr="0063248C">
        <w:rPr>
          <w:rFonts w:ascii="Times New Roman" w:hAnsi="Times New Roman" w:hint="eastAsia"/>
          <w:sz w:val="18"/>
          <w:szCs w:val="18"/>
        </w:rPr>
        <w:t>（三）载有公司法定代表人签名的</w:t>
      </w:r>
      <w:r w:rsidRPr="0063248C">
        <w:rPr>
          <w:rFonts w:ascii="Times New Roman" w:hAnsi="Times New Roman" w:hint="eastAsia"/>
          <w:sz w:val="18"/>
          <w:szCs w:val="18"/>
        </w:rPr>
        <w:t xml:space="preserve"> 2024</w:t>
      </w:r>
      <w:r w:rsidRPr="0063248C">
        <w:rPr>
          <w:rFonts w:ascii="Times New Roman" w:hAnsi="Times New Roman" w:hint="eastAsia"/>
          <w:sz w:val="18"/>
          <w:szCs w:val="18"/>
        </w:rPr>
        <w:t>年半年度报告原件。</w:t>
      </w:r>
    </w:p>
    <w:p w14:paraId="624FD149" w14:textId="77777777" w:rsidR="007B3DB2" w:rsidRPr="0063248C" w:rsidRDefault="00000000">
      <w:r w:rsidRPr="0063248C">
        <w:br w:type="page"/>
      </w:r>
    </w:p>
    <w:p w14:paraId="2B1CBACF" w14:textId="77777777" w:rsidR="007B3DB2" w:rsidRPr="0063248C" w:rsidRDefault="00000000">
      <w:pPr>
        <w:spacing w:before="40" w:after="40" w:line="640" w:lineRule="exact"/>
        <w:jc w:val="center"/>
        <w:rPr>
          <w:rFonts w:cs="宋体"/>
          <w:b/>
          <w:bCs/>
          <w:sz w:val="32"/>
          <w:szCs w:val="32"/>
        </w:rPr>
      </w:pPr>
      <w:r w:rsidRPr="0063248C">
        <w:rPr>
          <w:rFonts w:cs="宋体"/>
          <w:b/>
          <w:bCs/>
          <w:sz w:val="32"/>
          <w:szCs w:val="32"/>
        </w:rPr>
        <w:lastRenderedPageBreak/>
        <w:t>释义</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694"/>
        <w:gridCol w:w="1134"/>
        <w:gridCol w:w="5811"/>
      </w:tblGrid>
      <w:tr w:rsidR="007B3DB2" w:rsidRPr="0063248C" w14:paraId="4AF2B7C8"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08375026" w14:textId="77777777" w:rsidR="007B3DB2" w:rsidRPr="0063248C" w:rsidRDefault="00000000">
            <w:pPr>
              <w:spacing w:before="40" w:after="40" w:line="240" w:lineRule="exact"/>
              <w:jc w:val="center"/>
              <w:rPr>
                <w:rFonts w:cs="宋体"/>
                <w:sz w:val="18"/>
                <w:szCs w:val="18"/>
              </w:rPr>
            </w:pPr>
            <w:r w:rsidRPr="0063248C">
              <w:rPr>
                <w:rFonts w:cs="宋体"/>
                <w:sz w:val="18"/>
                <w:szCs w:val="18"/>
              </w:rPr>
              <w:t>释义项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D0A7714"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shd w:val="clear" w:color="auto" w:fill="D3D3D3"/>
            <w:vAlign w:val="center"/>
          </w:tcPr>
          <w:p w14:paraId="258719BA" w14:textId="77777777" w:rsidR="007B3DB2" w:rsidRPr="0063248C" w:rsidRDefault="00000000">
            <w:pPr>
              <w:spacing w:before="40" w:after="40" w:line="240" w:lineRule="exact"/>
              <w:jc w:val="center"/>
              <w:rPr>
                <w:rFonts w:cs="宋体"/>
                <w:sz w:val="18"/>
                <w:szCs w:val="18"/>
              </w:rPr>
            </w:pPr>
            <w:r w:rsidRPr="0063248C">
              <w:rPr>
                <w:rFonts w:cs="宋体"/>
                <w:sz w:val="18"/>
                <w:szCs w:val="18"/>
              </w:rPr>
              <w:t>释义内容</w:t>
            </w:r>
          </w:p>
        </w:tc>
      </w:tr>
      <w:tr w:rsidR="007B3DB2" w:rsidRPr="0063248C" w14:paraId="097CFFFD"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5C814ADF" w14:textId="77777777" w:rsidR="007B3DB2" w:rsidRPr="0063248C" w:rsidRDefault="00000000">
            <w:pPr>
              <w:spacing w:line="240" w:lineRule="exact"/>
              <w:rPr>
                <w:rFonts w:cs="宋体"/>
                <w:sz w:val="18"/>
                <w:szCs w:val="18"/>
              </w:rPr>
            </w:pPr>
            <w:r w:rsidRPr="0063248C">
              <w:rPr>
                <w:rFonts w:cs="宋体"/>
                <w:sz w:val="18"/>
                <w:szCs w:val="18"/>
              </w:rPr>
              <w:t>公司、本公司、龙大美食</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7223755"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26B1AE6B" w14:textId="77777777" w:rsidR="007B3DB2" w:rsidRPr="0063248C" w:rsidRDefault="00000000">
            <w:pPr>
              <w:spacing w:line="240" w:lineRule="exact"/>
              <w:rPr>
                <w:rFonts w:cs="宋体"/>
                <w:sz w:val="18"/>
                <w:szCs w:val="18"/>
              </w:rPr>
            </w:pPr>
            <w:r w:rsidRPr="0063248C">
              <w:rPr>
                <w:rFonts w:cs="宋体"/>
                <w:sz w:val="18"/>
                <w:szCs w:val="18"/>
              </w:rPr>
              <w:t>山东龙大美食股份有限公司</w:t>
            </w:r>
          </w:p>
        </w:tc>
      </w:tr>
      <w:tr w:rsidR="007B3DB2" w:rsidRPr="0063248C" w14:paraId="2AD115AB"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1B753A78" w14:textId="77777777" w:rsidR="007B3DB2" w:rsidRPr="0063248C" w:rsidRDefault="00000000">
            <w:pPr>
              <w:spacing w:line="240" w:lineRule="exact"/>
              <w:rPr>
                <w:rFonts w:cs="宋体"/>
                <w:sz w:val="18"/>
                <w:szCs w:val="18"/>
              </w:rPr>
            </w:pPr>
            <w:r w:rsidRPr="0063248C">
              <w:rPr>
                <w:rFonts w:cs="宋体"/>
                <w:sz w:val="18"/>
                <w:szCs w:val="18"/>
              </w:rPr>
              <w:t>蓝润发展</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B50D1DA"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668F843D" w14:textId="77777777" w:rsidR="007B3DB2" w:rsidRPr="0063248C" w:rsidRDefault="00000000">
            <w:pPr>
              <w:spacing w:line="240" w:lineRule="exact"/>
              <w:rPr>
                <w:rFonts w:cs="宋体"/>
                <w:sz w:val="18"/>
                <w:szCs w:val="18"/>
              </w:rPr>
            </w:pPr>
            <w:r w:rsidRPr="0063248C">
              <w:rPr>
                <w:rFonts w:cs="宋体"/>
                <w:sz w:val="18"/>
                <w:szCs w:val="18"/>
              </w:rPr>
              <w:t>蓝润发展控股集团有限公司，本公司控股股东</w:t>
            </w:r>
          </w:p>
        </w:tc>
      </w:tr>
      <w:tr w:rsidR="007B3DB2" w:rsidRPr="0063248C" w14:paraId="39585457"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3238FE1D" w14:textId="77777777" w:rsidR="007B3DB2" w:rsidRPr="0063248C" w:rsidRDefault="00000000">
            <w:pPr>
              <w:spacing w:line="240" w:lineRule="exact"/>
              <w:rPr>
                <w:rFonts w:cs="宋体"/>
                <w:sz w:val="18"/>
                <w:szCs w:val="18"/>
              </w:rPr>
            </w:pPr>
            <w:r w:rsidRPr="0063248C">
              <w:rPr>
                <w:rFonts w:cs="宋体"/>
                <w:sz w:val="18"/>
                <w:szCs w:val="18"/>
              </w:rPr>
              <w:t>龙大养殖</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F7972D4"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0137161F" w14:textId="77777777" w:rsidR="007B3DB2" w:rsidRPr="0063248C" w:rsidRDefault="00000000">
            <w:pPr>
              <w:spacing w:line="240" w:lineRule="exact"/>
              <w:rPr>
                <w:rFonts w:cs="宋体"/>
                <w:sz w:val="18"/>
                <w:szCs w:val="18"/>
              </w:rPr>
            </w:pPr>
            <w:r w:rsidRPr="0063248C">
              <w:rPr>
                <w:rFonts w:cs="宋体"/>
                <w:sz w:val="18"/>
                <w:szCs w:val="18"/>
              </w:rPr>
              <w:t>烟台龙大养殖有限公司，本公司全资子公司</w:t>
            </w:r>
          </w:p>
        </w:tc>
      </w:tr>
      <w:tr w:rsidR="007B3DB2" w:rsidRPr="0063248C" w14:paraId="7E738775"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0CA8667A" w14:textId="77777777" w:rsidR="007B3DB2" w:rsidRPr="0063248C" w:rsidRDefault="00000000">
            <w:pPr>
              <w:spacing w:line="240" w:lineRule="exact"/>
              <w:rPr>
                <w:rFonts w:cs="宋体"/>
                <w:sz w:val="18"/>
                <w:szCs w:val="18"/>
              </w:rPr>
            </w:pPr>
            <w:r w:rsidRPr="0063248C">
              <w:rPr>
                <w:rFonts w:cs="宋体"/>
                <w:sz w:val="18"/>
                <w:szCs w:val="18"/>
              </w:rPr>
              <w:t>龙大饲料</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36FFF3B"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6A9F5B04" w14:textId="77777777" w:rsidR="007B3DB2" w:rsidRPr="0063248C" w:rsidRDefault="00000000">
            <w:pPr>
              <w:spacing w:line="240" w:lineRule="exact"/>
              <w:rPr>
                <w:rFonts w:cs="宋体"/>
                <w:sz w:val="18"/>
                <w:szCs w:val="18"/>
              </w:rPr>
            </w:pPr>
            <w:r w:rsidRPr="0063248C">
              <w:rPr>
                <w:rFonts w:cs="宋体"/>
                <w:sz w:val="18"/>
                <w:szCs w:val="18"/>
              </w:rPr>
              <w:t>烟台龙大饲料有限公司，本公司全资子公司</w:t>
            </w:r>
          </w:p>
        </w:tc>
      </w:tr>
      <w:tr w:rsidR="007B3DB2" w:rsidRPr="0063248C" w14:paraId="048E5149"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31209FFF" w14:textId="77777777" w:rsidR="007B3DB2" w:rsidRPr="0063248C" w:rsidRDefault="00000000">
            <w:pPr>
              <w:spacing w:line="240" w:lineRule="exact"/>
              <w:rPr>
                <w:rFonts w:cs="宋体"/>
                <w:sz w:val="18"/>
                <w:szCs w:val="18"/>
              </w:rPr>
            </w:pPr>
            <w:r w:rsidRPr="0063248C">
              <w:rPr>
                <w:rFonts w:cs="宋体"/>
                <w:sz w:val="18"/>
                <w:szCs w:val="18"/>
              </w:rPr>
              <w:t>聊城龙大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BA6C34A"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579EDCED" w14:textId="77777777" w:rsidR="007B3DB2" w:rsidRPr="0063248C" w:rsidRDefault="00000000">
            <w:pPr>
              <w:spacing w:line="240" w:lineRule="exact"/>
              <w:rPr>
                <w:rFonts w:cs="宋体"/>
                <w:sz w:val="18"/>
                <w:szCs w:val="18"/>
              </w:rPr>
            </w:pPr>
            <w:r w:rsidRPr="0063248C">
              <w:rPr>
                <w:rFonts w:cs="宋体"/>
                <w:sz w:val="18"/>
                <w:szCs w:val="18"/>
              </w:rPr>
              <w:t>聊城龙大肉食品有限公司，本公司全资子公司</w:t>
            </w:r>
          </w:p>
        </w:tc>
      </w:tr>
      <w:tr w:rsidR="007B3DB2" w:rsidRPr="0063248C" w14:paraId="57D0ADCC"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62D1012F" w14:textId="77777777" w:rsidR="007B3DB2" w:rsidRPr="0063248C" w:rsidRDefault="00000000">
            <w:pPr>
              <w:spacing w:line="240" w:lineRule="exact"/>
              <w:rPr>
                <w:rFonts w:cs="宋体"/>
                <w:sz w:val="18"/>
                <w:szCs w:val="18"/>
              </w:rPr>
            </w:pPr>
            <w:proofErr w:type="gramStart"/>
            <w:r w:rsidRPr="0063248C">
              <w:rPr>
                <w:rFonts w:cs="宋体"/>
                <w:sz w:val="18"/>
                <w:szCs w:val="18"/>
              </w:rPr>
              <w:t>龙大牧原</w:t>
            </w:r>
            <w:proofErr w:type="gramEnd"/>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727539A"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0ABEE12A"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河南龙大牧原肉食品有限公司，本公司控股子公司</w:t>
            </w:r>
          </w:p>
        </w:tc>
      </w:tr>
      <w:tr w:rsidR="007B3DB2" w:rsidRPr="0063248C" w14:paraId="71EC9C6B"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7BA84505"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16CCFD3"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466D80A2"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食品有限公司，本公司控股子公司</w:t>
            </w:r>
          </w:p>
        </w:tc>
      </w:tr>
      <w:tr w:rsidR="007B3DB2" w:rsidRPr="0063248C" w14:paraId="392384F9"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1D39AAD0" w14:textId="77777777" w:rsidR="007B3DB2" w:rsidRPr="0063248C" w:rsidRDefault="00000000">
            <w:pPr>
              <w:spacing w:line="240" w:lineRule="exact"/>
              <w:rPr>
                <w:rFonts w:cs="宋体"/>
                <w:sz w:val="18"/>
                <w:szCs w:val="18"/>
              </w:rPr>
            </w:pPr>
            <w:r w:rsidRPr="0063248C">
              <w:rPr>
                <w:rFonts w:cs="宋体"/>
                <w:sz w:val="18"/>
                <w:szCs w:val="18"/>
              </w:rPr>
              <w:t>杰科检测</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85A9D71"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5756D483" w14:textId="77777777" w:rsidR="007B3DB2" w:rsidRPr="0063248C" w:rsidRDefault="00000000">
            <w:pPr>
              <w:spacing w:line="240" w:lineRule="exact"/>
              <w:rPr>
                <w:rFonts w:cs="宋体"/>
                <w:sz w:val="18"/>
                <w:szCs w:val="18"/>
              </w:rPr>
            </w:pPr>
            <w:r w:rsidRPr="0063248C">
              <w:rPr>
                <w:rFonts w:cs="宋体"/>
                <w:sz w:val="18"/>
                <w:szCs w:val="18"/>
              </w:rPr>
              <w:t>烟台杰科检测服务有限公司，本公司全资子公司</w:t>
            </w:r>
          </w:p>
        </w:tc>
      </w:tr>
      <w:tr w:rsidR="007B3DB2" w:rsidRPr="0063248C" w14:paraId="6DD2DACF"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22B12711" w14:textId="77777777" w:rsidR="007B3DB2" w:rsidRPr="0063248C" w:rsidRDefault="00000000">
            <w:pPr>
              <w:spacing w:line="240" w:lineRule="exact"/>
              <w:rPr>
                <w:rFonts w:cs="宋体"/>
                <w:sz w:val="18"/>
                <w:szCs w:val="18"/>
              </w:rPr>
            </w:pPr>
            <w:r w:rsidRPr="0063248C">
              <w:rPr>
                <w:rFonts w:cs="宋体"/>
                <w:sz w:val="18"/>
                <w:szCs w:val="18"/>
              </w:rPr>
              <w:t>蓬莱富龙</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1346C27"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5325D7C1" w14:textId="77777777" w:rsidR="007B3DB2" w:rsidRPr="0063248C" w:rsidRDefault="00000000">
            <w:pPr>
              <w:spacing w:line="240" w:lineRule="exact"/>
              <w:rPr>
                <w:rFonts w:cs="宋体"/>
                <w:sz w:val="18"/>
                <w:szCs w:val="18"/>
              </w:rPr>
            </w:pPr>
            <w:r w:rsidRPr="0063248C">
              <w:rPr>
                <w:rFonts w:cs="宋体"/>
                <w:sz w:val="18"/>
                <w:szCs w:val="18"/>
              </w:rPr>
              <w:t>蓬莱富龙肉食品有限公司，本公司控股子公司</w:t>
            </w:r>
          </w:p>
        </w:tc>
      </w:tr>
      <w:tr w:rsidR="007B3DB2" w:rsidRPr="0063248C" w14:paraId="61DD7E8E"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4D211861" w14:textId="77777777" w:rsidR="007B3DB2" w:rsidRPr="0063248C" w:rsidRDefault="00000000">
            <w:pPr>
              <w:spacing w:line="240" w:lineRule="exact"/>
              <w:rPr>
                <w:rFonts w:cs="宋体"/>
                <w:sz w:val="18"/>
                <w:szCs w:val="18"/>
              </w:rPr>
            </w:pPr>
            <w:r w:rsidRPr="0063248C">
              <w:rPr>
                <w:rFonts w:cs="宋体"/>
                <w:sz w:val="18"/>
                <w:szCs w:val="18"/>
              </w:rPr>
              <w:t>莱阳龙瑞</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9B131B6"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6DCCB8E1" w14:textId="77777777" w:rsidR="007B3DB2" w:rsidRPr="0063248C" w:rsidRDefault="00000000">
            <w:pPr>
              <w:spacing w:line="240" w:lineRule="exact"/>
              <w:rPr>
                <w:rFonts w:cs="宋体"/>
                <w:sz w:val="18"/>
                <w:szCs w:val="18"/>
              </w:rPr>
            </w:pPr>
            <w:r w:rsidRPr="0063248C">
              <w:rPr>
                <w:rFonts w:cs="宋体"/>
                <w:sz w:val="18"/>
                <w:szCs w:val="18"/>
              </w:rPr>
              <w:t>莱阳龙瑞食品有限公司，本公司全资子公司</w:t>
            </w:r>
          </w:p>
        </w:tc>
      </w:tr>
      <w:tr w:rsidR="007B3DB2" w:rsidRPr="0063248C" w14:paraId="3B49EC0C"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094D004E" w14:textId="77777777" w:rsidR="007B3DB2" w:rsidRPr="0063248C" w:rsidRDefault="00000000">
            <w:pPr>
              <w:spacing w:line="240" w:lineRule="exact"/>
              <w:rPr>
                <w:rFonts w:cs="宋体"/>
                <w:sz w:val="18"/>
                <w:szCs w:val="18"/>
              </w:rPr>
            </w:pPr>
            <w:r w:rsidRPr="0063248C">
              <w:rPr>
                <w:rFonts w:cs="宋体"/>
                <w:sz w:val="18"/>
                <w:szCs w:val="18"/>
              </w:rPr>
              <w:t>龙大生猪</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A116755"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38B60E28" w14:textId="77777777" w:rsidR="007B3DB2" w:rsidRPr="0063248C" w:rsidRDefault="00000000">
            <w:pPr>
              <w:spacing w:line="240" w:lineRule="exact"/>
              <w:rPr>
                <w:rFonts w:cs="宋体"/>
                <w:sz w:val="18"/>
                <w:szCs w:val="18"/>
              </w:rPr>
            </w:pPr>
            <w:r w:rsidRPr="0063248C">
              <w:rPr>
                <w:rFonts w:cs="宋体"/>
                <w:sz w:val="18"/>
                <w:szCs w:val="18"/>
              </w:rPr>
              <w:t>山东龙大生猪产品工程技术研究有限公司，本公司全资子公司</w:t>
            </w:r>
          </w:p>
        </w:tc>
      </w:tr>
      <w:tr w:rsidR="007B3DB2" w:rsidRPr="0063248C" w14:paraId="5C7E0ED1"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1DF16832" w14:textId="77777777" w:rsidR="007B3DB2" w:rsidRPr="0063248C" w:rsidRDefault="00000000">
            <w:pPr>
              <w:spacing w:line="240" w:lineRule="exact"/>
              <w:rPr>
                <w:rFonts w:cs="宋体"/>
                <w:sz w:val="18"/>
                <w:szCs w:val="18"/>
              </w:rPr>
            </w:pPr>
            <w:r w:rsidRPr="0063248C">
              <w:rPr>
                <w:rFonts w:cs="宋体"/>
                <w:sz w:val="18"/>
                <w:szCs w:val="18"/>
              </w:rPr>
              <w:t>中和盛杰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13705DA"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46E8652B" w14:textId="77777777" w:rsidR="007B3DB2" w:rsidRPr="0063248C" w:rsidRDefault="00000000">
            <w:pPr>
              <w:spacing w:line="240" w:lineRule="exact"/>
              <w:rPr>
                <w:rFonts w:cs="宋体"/>
                <w:sz w:val="18"/>
                <w:szCs w:val="18"/>
              </w:rPr>
            </w:pPr>
            <w:r w:rsidRPr="0063248C">
              <w:rPr>
                <w:rFonts w:cs="宋体"/>
                <w:sz w:val="18"/>
                <w:szCs w:val="18"/>
              </w:rPr>
              <w:t>青岛中和盛杰食品有限公司，本公司控股子公司</w:t>
            </w:r>
          </w:p>
        </w:tc>
      </w:tr>
      <w:tr w:rsidR="007B3DB2" w:rsidRPr="0063248C" w14:paraId="0576C22F"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6B0B4CDA" w14:textId="77777777" w:rsidR="007B3DB2" w:rsidRPr="0063248C" w:rsidRDefault="00000000">
            <w:pPr>
              <w:spacing w:line="240" w:lineRule="exact"/>
              <w:rPr>
                <w:rFonts w:cs="宋体"/>
                <w:sz w:val="18"/>
                <w:szCs w:val="18"/>
              </w:rPr>
            </w:pPr>
            <w:r w:rsidRPr="0063248C">
              <w:rPr>
                <w:rFonts w:cs="宋体"/>
                <w:sz w:val="18"/>
                <w:szCs w:val="18"/>
              </w:rPr>
              <w:t>安丘龙大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B903ABC"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572A1BBB" w14:textId="77777777" w:rsidR="007B3DB2" w:rsidRPr="0063248C" w:rsidRDefault="00000000">
            <w:pPr>
              <w:spacing w:line="240" w:lineRule="exact"/>
              <w:rPr>
                <w:rFonts w:cs="宋体"/>
                <w:sz w:val="18"/>
                <w:szCs w:val="18"/>
              </w:rPr>
            </w:pPr>
            <w:r w:rsidRPr="0063248C">
              <w:rPr>
                <w:rFonts w:cs="宋体"/>
                <w:sz w:val="18"/>
                <w:szCs w:val="18"/>
              </w:rPr>
              <w:t>安丘龙大养殖有限公司，本公司全资孙公司</w:t>
            </w:r>
          </w:p>
        </w:tc>
      </w:tr>
      <w:tr w:rsidR="007B3DB2" w:rsidRPr="0063248C" w14:paraId="57048CEA"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3804321B" w14:textId="77777777" w:rsidR="007B3DB2" w:rsidRPr="0063248C" w:rsidRDefault="00000000">
            <w:pPr>
              <w:spacing w:line="240" w:lineRule="exact"/>
              <w:rPr>
                <w:rFonts w:cs="宋体"/>
                <w:sz w:val="18"/>
                <w:szCs w:val="18"/>
              </w:rPr>
            </w:pPr>
            <w:r w:rsidRPr="0063248C">
              <w:rPr>
                <w:rFonts w:cs="宋体"/>
                <w:sz w:val="18"/>
                <w:szCs w:val="18"/>
              </w:rPr>
              <w:t>云南福照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4031605"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557079FC" w14:textId="77777777" w:rsidR="007B3DB2" w:rsidRPr="0063248C" w:rsidRDefault="00000000">
            <w:pPr>
              <w:spacing w:line="240" w:lineRule="exact"/>
              <w:rPr>
                <w:rFonts w:cs="宋体"/>
                <w:sz w:val="18"/>
                <w:szCs w:val="18"/>
              </w:rPr>
            </w:pPr>
            <w:r w:rsidRPr="0063248C">
              <w:rPr>
                <w:rFonts w:cs="宋体"/>
                <w:sz w:val="18"/>
                <w:szCs w:val="18"/>
              </w:rPr>
              <w:t>云南福照食品有限公司，本公司控股子公司</w:t>
            </w:r>
          </w:p>
        </w:tc>
      </w:tr>
      <w:tr w:rsidR="007B3DB2" w:rsidRPr="0063248C" w14:paraId="63F83C95"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649EDB13" w14:textId="77777777" w:rsidR="007B3DB2" w:rsidRPr="0063248C" w:rsidRDefault="00000000">
            <w:pPr>
              <w:spacing w:line="240" w:lineRule="exact"/>
              <w:rPr>
                <w:rFonts w:cs="宋体"/>
                <w:sz w:val="18"/>
                <w:szCs w:val="18"/>
              </w:rPr>
            </w:pPr>
            <w:r w:rsidRPr="0063248C">
              <w:rPr>
                <w:rFonts w:cs="宋体"/>
                <w:sz w:val="18"/>
                <w:szCs w:val="18"/>
              </w:rPr>
              <w:t>新胜锦</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D476196"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767790BB" w14:textId="77777777" w:rsidR="007B3DB2" w:rsidRPr="0063248C" w:rsidRDefault="00000000">
            <w:pPr>
              <w:spacing w:line="240" w:lineRule="exact"/>
              <w:rPr>
                <w:rFonts w:cs="宋体"/>
                <w:sz w:val="18"/>
                <w:szCs w:val="18"/>
              </w:rPr>
            </w:pPr>
            <w:r w:rsidRPr="0063248C">
              <w:rPr>
                <w:rFonts w:cs="宋体"/>
                <w:sz w:val="18"/>
                <w:szCs w:val="18"/>
              </w:rPr>
              <w:t>青岛新胜</w:t>
            </w:r>
            <w:proofErr w:type="gramStart"/>
            <w:r w:rsidRPr="0063248C">
              <w:rPr>
                <w:rFonts w:cs="宋体"/>
                <w:sz w:val="18"/>
                <w:szCs w:val="18"/>
              </w:rPr>
              <w:t>锦食品</w:t>
            </w:r>
            <w:proofErr w:type="gramEnd"/>
            <w:r w:rsidRPr="0063248C">
              <w:rPr>
                <w:rFonts w:cs="宋体"/>
                <w:sz w:val="18"/>
                <w:szCs w:val="18"/>
              </w:rPr>
              <w:t>商贸有限公司，</w:t>
            </w:r>
            <w:proofErr w:type="gramStart"/>
            <w:r w:rsidRPr="0063248C">
              <w:rPr>
                <w:rFonts w:cs="宋体"/>
                <w:sz w:val="18"/>
                <w:szCs w:val="18"/>
              </w:rPr>
              <w:t>中和盛杰全资</w:t>
            </w:r>
            <w:proofErr w:type="gramEnd"/>
            <w:r w:rsidRPr="0063248C">
              <w:rPr>
                <w:rFonts w:cs="宋体"/>
                <w:sz w:val="18"/>
                <w:szCs w:val="18"/>
              </w:rPr>
              <w:t>子公司</w:t>
            </w:r>
          </w:p>
        </w:tc>
      </w:tr>
      <w:tr w:rsidR="007B3DB2" w:rsidRPr="0063248C" w14:paraId="78F475D9"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45391AA3" w14:textId="77777777" w:rsidR="007B3DB2" w:rsidRPr="0063248C" w:rsidRDefault="00000000">
            <w:pPr>
              <w:spacing w:line="240" w:lineRule="exact"/>
              <w:rPr>
                <w:rFonts w:cs="宋体"/>
                <w:sz w:val="18"/>
                <w:szCs w:val="18"/>
              </w:rPr>
            </w:pPr>
            <w:r w:rsidRPr="0063248C">
              <w:rPr>
                <w:rFonts w:cs="宋体"/>
                <w:sz w:val="18"/>
                <w:szCs w:val="18"/>
              </w:rPr>
              <w:t>莱阳龙大养殖</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ABFB861"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681140EB" w14:textId="77777777" w:rsidR="007B3DB2" w:rsidRPr="0063248C" w:rsidRDefault="00000000">
            <w:pPr>
              <w:spacing w:line="240" w:lineRule="exact"/>
              <w:rPr>
                <w:rFonts w:cs="宋体"/>
                <w:sz w:val="18"/>
                <w:szCs w:val="18"/>
              </w:rPr>
            </w:pPr>
            <w:r w:rsidRPr="0063248C">
              <w:rPr>
                <w:rFonts w:cs="宋体"/>
                <w:sz w:val="18"/>
                <w:szCs w:val="18"/>
              </w:rPr>
              <w:t>莱阳龙大养殖有限公司，本公司全资孙公司</w:t>
            </w:r>
          </w:p>
        </w:tc>
      </w:tr>
      <w:tr w:rsidR="007B3DB2" w:rsidRPr="0063248C" w14:paraId="15B92344"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5559F70C" w14:textId="77777777" w:rsidR="007B3DB2" w:rsidRPr="0063248C" w:rsidRDefault="00000000">
            <w:pPr>
              <w:spacing w:line="240" w:lineRule="exact"/>
              <w:rPr>
                <w:rFonts w:cs="宋体"/>
                <w:sz w:val="18"/>
                <w:szCs w:val="18"/>
              </w:rPr>
            </w:pPr>
            <w:r w:rsidRPr="0063248C">
              <w:rPr>
                <w:rFonts w:cs="宋体"/>
                <w:sz w:val="18"/>
                <w:szCs w:val="18"/>
              </w:rPr>
              <w:t>黑龙江龙大养殖</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76772E1"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56AF14AD" w14:textId="77777777" w:rsidR="007B3DB2" w:rsidRPr="0063248C" w:rsidRDefault="00000000">
            <w:pPr>
              <w:spacing w:line="240" w:lineRule="exact"/>
              <w:rPr>
                <w:rFonts w:cs="宋体"/>
                <w:sz w:val="18"/>
                <w:szCs w:val="18"/>
              </w:rPr>
            </w:pPr>
            <w:r w:rsidRPr="0063248C">
              <w:rPr>
                <w:rFonts w:cs="宋体"/>
                <w:sz w:val="18"/>
                <w:szCs w:val="18"/>
              </w:rPr>
              <w:t>黑龙江龙大养殖有限公司，本公司全资子公司</w:t>
            </w:r>
          </w:p>
        </w:tc>
      </w:tr>
      <w:tr w:rsidR="007B3DB2" w:rsidRPr="0063248C" w14:paraId="7BC9A949"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7A8AA930" w14:textId="77777777" w:rsidR="007B3DB2" w:rsidRPr="0063248C" w:rsidRDefault="00000000">
            <w:pPr>
              <w:spacing w:line="240" w:lineRule="exact"/>
              <w:rPr>
                <w:rFonts w:cs="宋体"/>
                <w:sz w:val="18"/>
                <w:szCs w:val="18"/>
              </w:rPr>
            </w:pPr>
            <w:r w:rsidRPr="0063248C">
              <w:rPr>
                <w:rFonts w:cs="宋体"/>
                <w:sz w:val="18"/>
                <w:szCs w:val="18"/>
              </w:rPr>
              <w:t>乳山龙大养殖</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4898D33"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1BFAB39F" w14:textId="77777777" w:rsidR="007B3DB2" w:rsidRPr="0063248C" w:rsidRDefault="00000000">
            <w:pPr>
              <w:spacing w:line="240" w:lineRule="exact"/>
              <w:rPr>
                <w:rFonts w:cs="宋体"/>
                <w:sz w:val="18"/>
                <w:szCs w:val="18"/>
              </w:rPr>
            </w:pPr>
            <w:r w:rsidRPr="0063248C">
              <w:rPr>
                <w:rFonts w:cs="宋体"/>
                <w:sz w:val="18"/>
                <w:szCs w:val="18"/>
              </w:rPr>
              <w:t>乳山龙大养殖有限公司，本公司全资孙公司</w:t>
            </w:r>
          </w:p>
        </w:tc>
      </w:tr>
      <w:tr w:rsidR="007B3DB2" w:rsidRPr="0063248C" w14:paraId="2D522E9A"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02703D26" w14:textId="77777777" w:rsidR="007B3DB2" w:rsidRPr="0063248C" w:rsidRDefault="00000000">
            <w:pPr>
              <w:spacing w:line="240" w:lineRule="exact"/>
              <w:rPr>
                <w:rFonts w:cs="宋体"/>
                <w:sz w:val="18"/>
                <w:szCs w:val="18"/>
              </w:rPr>
            </w:pPr>
            <w:r w:rsidRPr="0063248C">
              <w:rPr>
                <w:rFonts w:cs="宋体"/>
                <w:sz w:val="18"/>
                <w:szCs w:val="18"/>
              </w:rPr>
              <w:t>黑龙江龙大肉食品</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6E69660"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7723A3DC" w14:textId="77777777" w:rsidR="007B3DB2" w:rsidRPr="0063248C" w:rsidRDefault="00000000">
            <w:pPr>
              <w:spacing w:line="240" w:lineRule="exact"/>
              <w:rPr>
                <w:rFonts w:cs="宋体"/>
                <w:sz w:val="18"/>
                <w:szCs w:val="18"/>
              </w:rPr>
            </w:pPr>
            <w:r w:rsidRPr="0063248C">
              <w:rPr>
                <w:rFonts w:cs="宋体"/>
                <w:sz w:val="18"/>
                <w:szCs w:val="18"/>
              </w:rPr>
              <w:t>黑龙江龙大肉食品有限公司，本公司全资子公司</w:t>
            </w:r>
          </w:p>
        </w:tc>
      </w:tr>
      <w:tr w:rsidR="007B3DB2" w:rsidRPr="0063248C" w14:paraId="76FCC43D"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44D29134" w14:textId="77777777" w:rsidR="007B3DB2" w:rsidRPr="0063248C" w:rsidRDefault="00000000">
            <w:pPr>
              <w:spacing w:line="240" w:lineRule="exact"/>
              <w:rPr>
                <w:rFonts w:cs="宋体"/>
                <w:sz w:val="18"/>
                <w:szCs w:val="18"/>
              </w:rPr>
            </w:pPr>
            <w:r w:rsidRPr="0063248C">
              <w:rPr>
                <w:rFonts w:cs="宋体"/>
                <w:sz w:val="18"/>
                <w:szCs w:val="18"/>
              </w:rPr>
              <w:t>莱州龙大养殖</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D1947C3"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2DE2F5CF" w14:textId="77777777" w:rsidR="007B3DB2" w:rsidRPr="0063248C" w:rsidRDefault="00000000">
            <w:pPr>
              <w:spacing w:line="240" w:lineRule="exact"/>
              <w:rPr>
                <w:rFonts w:cs="宋体"/>
                <w:sz w:val="18"/>
                <w:szCs w:val="18"/>
              </w:rPr>
            </w:pPr>
            <w:r w:rsidRPr="0063248C">
              <w:rPr>
                <w:rFonts w:cs="宋体"/>
                <w:sz w:val="18"/>
                <w:szCs w:val="18"/>
              </w:rPr>
              <w:t>莱州龙大养殖有限公司，本公司全资孙公司</w:t>
            </w:r>
          </w:p>
        </w:tc>
      </w:tr>
      <w:tr w:rsidR="007B3DB2" w:rsidRPr="0063248C" w14:paraId="4C598901"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5A014149" w14:textId="77777777" w:rsidR="007B3DB2" w:rsidRPr="0063248C" w:rsidRDefault="00000000">
            <w:pPr>
              <w:spacing w:line="240" w:lineRule="exact"/>
              <w:rPr>
                <w:rFonts w:cs="宋体"/>
                <w:sz w:val="18"/>
                <w:szCs w:val="18"/>
              </w:rPr>
            </w:pPr>
            <w:proofErr w:type="gramStart"/>
            <w:r w:rsidRPr="0063248C">
              <w:rPr>
                <w:rFonts w:cs="宋体"/>
                <w:sz w:val="18"/>
                <w:szCs w:val="18"/>
              </w:rPr>
              <w:t>通辽金</w:t>
            </w:r>
            <w:proofErr w:type="gramEnd"/>
            <w:r w:rsidRPr="0063248C">
              <w:rPr>
                <w:rFonts w:cs="宋体"/>
                <w:sz w:val="18"/>
                <w:szCs w:val="18"/>
              </w:rPr>
              <w:t>泉</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D32615C"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10CE1071" w14:textId="77777777" w:rsidR="007B3DB2" w:rsidRPr="0063248C" w:rsidRDefault="00000000">
            <w:pPr>
              <w:spacing w:line="240" w:lineRule="exact"/>
              <w:rPr>
                <w:rFonts w:cs="宋体"/>
                <w:sz w:val="18"/>
                <w:szCs w:val="18"/>
              </w:rPr>
            </w:pPr>
            <w:proofErr w:type="gramStart"/>
            <w:r w:rsidRPr="0063248C">
              <w:rPr>
                <w:rFonts w:cs="宋体"/>
                <w:sz w:val="18"/>
                <w:szCs w:val="18"/>
              </w:rPr>
              <w:t>通辽金泉食品</w:t>
            </w:r>
            <w:proofErr w:type="gramEnd"/>
            <w:r w:rsidRPr="0063248C">
              <w:rPr>
                <w:rFonts w:cs="宋体"/>
                <w:sz w:val="18"/>
                <w:szCs w:val="18"/>
              </w:rPr>
              <w:t>有限责任公司，本公司全资子公司</w:t>
            </w:r>
          </w:p>
        </w:tc>
      </w:tr>
      <w:tr w:rsidR="007B3DB2" w:rsidRPr="0063248C" w14:paraId="734B829C"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21E9CFEB" w14:textId="77777777" w:rsidR="007B3DB2" w:rsidRPr="0063248C" w:rsidRDefault="00000000">
            <w:pPr>
              <w:spacing w:line="240" w:lineRule="exact"/>
              <w:rPr>
                <w:rFonts w:cs="宋体"/>
                <w:sz w:val="18"/>
                <w:szCs w:val="18"/>
              </w:rPr>
            </w:pPr>
            <w:r w:rsidRPr="0063248C">
              <w:rPr>
                <w:rFonts w:cs="宋体"/>
                <w:sz w:val="18"/>
                <w:szCs w:val="18"/>
              </w:rPr>
              <w:t>乳山中和盛杰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1DA3B12"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4C18ED11" w14:textId="77777777" w:rsidR="007B3DB2" w:rsidRPr="0063248C" w:rsidRDefault="00000000">
            <w:pPr>
              <w:spacing w:line="240" w:lineRule="exact"/>
              <w:rPr>
                <w:rFonts w:cs="宋体"/>
                <w:sz w:val="18"/>
                <w:szCs w:val="18"/>
              </w:rPr>
            </w:pPr>
            <w:r w:rsidRPr="0063248C">
              <w:rPr>
                <w:rFonts w:cs="宋体"/>
                <w:sz w:val="18"/>
                <w:szCs w:val="18"/>
              </w:rPr>
              <w:t>乳山中和盛杰食品有限公司，本公司全资孙公司</w:t>
            </w:r>
          </w:p>
        </w:tc>
      </w:tr>
      <w:tr w:rsidR="007B3DB2" w:rsidRPr="0063248C" w14:paraId="7E46D274"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32DE87EB" w14:textId="77777777" w:rsidR="007B3DB2" w:rsidRPr="0063248C" w:rsidRDefault="00000000">
            <w:pPr>
              <w:spacing w:line="240" w:lineRule="exact"/>
              <w:rPr>
                <w:rFonts w:cs="宋体"/>
                <w:sz w:val="18"/>
                <w:szCs w:val="18"/>
              </w:rPr>
            </w:pPr>
            <w:r w:rsidRPr="0063248C">
              <w:rPr>
                <w:rFonts w:cs="宋体"/>
                <w:sz w:val="18"/>
                <w:szCs w:val="18"/>
              </w:rPr>
              <w:t>龙大沁</w:t>
            </w:r>
            <w:proofErr w:type="gramStart"/>
            <w:r w:rsidRPr="0063248C">
              <w:rPr>
                <w:rFonts w:cs="宋体"/>
                <w:sz w:val="18"/>
                <w:szCs w:val="18"/>
              </w:rPr>
              <w:t>侬</w:t>
            </w:r>
            <w:proofErr w:type="gramEnd"/>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E1115EB"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1082A028" w14:textId="77777777" w:rsidR="007B3DB2" w:rsidRPr="0063248C" w:rsidRDefault="00000000">
            <w:pPr>
              <w:spacing w:line="240" w:lineRule="exact"/>
              <w:rPr>
                <w:rFonts w:cs="宋体"/>
                <w:sz w:val="18"/>
                <w:szCs w:val="18"/>
              </w:rPr>
            </w:pPr>
            <w:r w:rsidRPr="0063248C">
              <w:rPr>
                <w:rFonts w:cs="宋体"/>
                <w:sz w:val="18"/>
                <w:szCs w:val="18"/>
              </w:rPr>
              <w:t>江苏龙大沁侬食品有限公司，本公司全资子公司</w:t>
            </w:r>
          </w:p>
        </w:tc>
      </w:tr>
      <w:tr w:rsidR="007B3DB2" w:rsidRPr="0063248C" w14:paraId="4FAC7C6A"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7E04A79E" w14:textId="77777777" w:rsidR="007B3DB2" w:rsidRPr="0063248C" w:rsidRDefault="00000000">
            <w:pPr>
              <w:spacing w:line="240" w:lineRule="exact"/>
              <w:rPr>
                <w:rFonts w:cs="宋体"/>
                <w:sz w:val="18"/>
                <w:szCs w:val="18"/>
              </w:rPr>
            </w:pPr>
            <w:r w:rsidRPr="0063248C">
              <w:rPr>
                <w:rFonts w:cs="宋体"/>
                <w:sz w:val="18"/>
                <w:szCs w:val="18"/>
              </w:rPr>
              <w:t>湖北龙大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39F65CB"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6510C6EE" w14:textId="77777777" w:rsidR="007B3DB2" w:rsidRPr="0063248C" w:rsidRDefault="00000000">
            <w:pPr>
              <w:spacing w:line="240" w:lineRule="exact"/>
              <w:rPr>
                <w:rFonts w:cs="宋体"/>
                <w:sz w:val="18"/>
                <w:szCs w:val="18"/>
              </w:rPr>
            </w:pPr>
            <w:r w:rsidRPr="0063248C">
              <w:rPr>
                <w:rFonts w:cs="宋体"/>
                <w:sz w:val="18"/>
                <w:szCs w:val="18"/>
              </w:rPr>
              <w:t>湖北龙大肉食品有限公司，本公司全资子公司</w:t>
            </w:r>
          </w:p>
        </w:tc>
      </w:tr>
      <w:tr w:rsidR="007B3DB2" w:rsidRPr="0063248C" w14:paraId="350C2D60"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272DD430" w14:textId="77777777" w:rsidR="007B3DB2" w:rsidRPr="0063248C" w:rsidRDefault="00000000">
            <w:pPr>
              <w:spacing w:line="240" w:lineRule="exact"/>
              <w:rPr>
                <w:rFonts w:cs="宋体"/>
                <w:sz w:val="18"/>
                <w:szCs w:val="18"/>
              </w:rPr>
            </w:pPr>
            <w:r w:rsidRPr="0063248C">
              <w:rPr>
                <w:rFonts w:cs="宋体"/>
                <w:sz w:val="18"/>
                <w:szCs w:val="18"/>
              </w:rPr>
              <w:t>成都龙大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431FB93"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2C8CEA7B" w14:textId="77777777" w:rsidR="007B3DB2" w:rsidRPr="0063248C" w:rsidRDefault="00000000">
            <w:pPr>
              <w:spacing w:line="240" w:lineRule="exact"/>
              <w:rPr>
                <w:rFonts w:cs="宋体"/>
                <w:sz w:val="18"/>
                <w:szCs w:val="18"/>
              </w:rPr>
            </w:pPr>
            <w:r w:rsidRPr="0063248C">
              <w:rPr>
                <w:rFonts w:cs="宋体"/>
                <w:sz w:val="18"/>
                <w:szCs w:val="18"/>
              </w:rPr>
              <w:t>成都龙大肉食品有限公司，本公司全资子公司</w:t>
            </w:r>
          </w:p>
        </w:tc>
      </w:tr>
      <w:tr w:rsidR="007B3DB2" w:rsidRPr="0063248C" w14:paraId="72B1CD8E"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2F359AA9" w14:textId="77777777" w:rsidR="007B3DB2" w:rsidRPr="0063248C" w:rsidRDefault="00000000">
            <w:pPr>
              <w:spacing w:line="240" w:lineRule="exact"/>
              <w:rPr>
                <w:rFonts w:cs="宋体"/>
                <w:sz w:val="18"/>
                <w:szCs w:val="18"/>
              </w:rPr>
            </w:pPr>
            <w:proofErr w:type="gramStart"/>
            <w:r w:rsidRPr="0063248C">
              <w:rPr>
                <w:rFonts w:cs="宋体"/>
                <w:sz w:val="18"/>
                <w:szCs w:val="18"/>
              </w:rPr>
              <w:t>龙鲜生</w:t>
            </w:r>
            <w:proofErr w:type="gramEnd"/>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67B169E"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2B1F8158" w14:textId="77777777" w:rsidR="007B3DB2" w:rsidRPr="0063248C" w:rsidRDefault="00000000">
            <w:pPr>
              <w:spacing w:line="240" w:lineRule="exact"/>
              <w:rPr>
                <w:rFonts w:cs="宋体"/>
                <w:sz w:val="18"/>
                <w:szCs w:val="18"/>
              </w:rPr>
            </w:pPr>
            <w:r w:rsidRPr="0063248C">
              <w:rPr>
                <w:rFonts w:cs="宋体"/>
                <w:sz w:val="18"/>
                <w:szCs w:val="18"/>
              </w:rPr>
              <w:t>山东</w:t>
            </w:r>
            <w:proofErr w:type="gramStart"/>
            <w:r w:rsidRPr="0063248C">
              <w:rPr>
                <w:rFonts w:cs="宋体"/>
                <w:sz w:val="18"/>
                <w:szCs w:val="18"/>
              </w:rPr>
              <w:t>龙鲜生供应</w:t>
            </w:r>
            <w:proofErr w:type="gramEnd"/>
            <w:r w:rsidRPr="0063248C">
              <w:rPr>
                <w:rFonts w:cs="宋体"/>
                <w:sz w:val="18"/>
                <w:szCs w:val="18"/>
              </w:rPr>
              <w:t>链管理有限公司，本公司全资子公司</w:t>
            </w:r>
          </w:p>
        </w:tc>
      </w:tr>
      <w:tr w:rsidR="007B3DB2" w:rsidRPr="0063248C" w14:paraId="3559ED3C"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2A27B075" w14:textId="77777777" w:rsidR="007B3DB2" w:rsidRPr="0063248C" w:rsidRDefault="00000000">
            <w:pPr>
              <w:spacing w:line="240" w:lineRule="exact"/>
              <w:rPr>
                <w:rFonts w:cs="宋体"/>
                <w:sz w:val="18"/>
                <w:szCs w:val="18"/>
              </w:rPr>
            </w:pPr>
            <w:r w:rsidRPr="0063248C">
              <w:rPr>
                <w:rFonts w:cs="宋体"/>
                <w:sz w:val="18"/>
                <w:szCs w:val="18"/>
              </w:rPr>
              <w:t>中国证监会</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FA93352"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2922C12F" w14:textId="77777777" w:rsidR="007B3DB2" w:rsidRPr="0063248C" w:rsidRDefault="00000000">
            <w:pPr>
              <w:spacing w:line="240" w:lineRule="exact"/>
              <w:rPr>
                <w:rFonts w:cs="宋体"/>
                <w:sz w:val="18"/>
                <w:szCs w:val="18"/>
              </w:rPr>
            </w:pPr>
            <w:r w:rsidRPr="0063248C">
              <w:rPr>
                <w:rFonts w:cs="宋体"/>
                <w:sz w:val="18"/>
                <w:szCs w:val="18"/>
              </w:rPr>
              <w:t>中国证券监督管理委员会</w:t>
            </w:r>
          </w:p>
        </w:tc>
      </w:tr>
      <w:tr w:rsidR="007B3DB2" w:rsidRPr="0063248C" w14:paraId="626CD2E4"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55EEE35F" w14:textId="77777777" w:rsidR="007B3DB2" w:rsidRPr="0063248C" w:rsidRDefault="00000000">
            <w:pPr>
              <w:spacing w:line="240" w:lineRule="exact"/>
              <w:rPr>
                <w:rFonts w:cs="宋体"/>
                <w:sz w:val="18"/>
                <w:szCs w:val="18"/>
              </w:rPr>
            </w:pPr>
            <w:r w:rsidRPr="0063248C">
              <w:rPr>
                <w:rFonts w:cs="宋体"/>
                <w:sz w:val="18"/>
                <w:szCs w:val="18"/>
              </w:rPr>
              <w:t>报告期</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895A5C7"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30059D35"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w:t>
            </w:r>
            <w:r w:rsidRPr="0063248C">
              <w:rPr>
                <w:rFonts w:cs="宋体"/>
                <w:sz w:val="18"/>
                <w:szCs w:val="18"/>
              </w:rPr>
              <w:t>月</w:t>
            </w:r>
            <w:r w:rsidRPr="0063248C">
              <w:rPr>
                <w:rFonts w:cs="宋体"/>
                <w:sz w:val="18"/>
                <w:szCs w:val="18"/>
              </w:rPr>
              <w:t>1</w:t>
            </w:r>
            <w:r w:rsidRPr="0063248C">
              <w:rPr>
                <w:rFonts w:cs="宋体"/>
                <w:sz w:val="18"/>
                <w:szCs w:val="18"/>
              </w:rPr>
              <w:t>日至</w:t>
            </w:r>
            <w:r w:rsidRPr="0063248C">
              <w:rPr>
                <w:rFonts w:cs="宋体"/>
                <w:sz w:val="18"/>
                <w:szCs w:val="18"/>
              </w:rPr>
              <w:t>2024</w:t>
            </w:r>
            <w:r w:rsidRPr="0063248C">
              <w:rPr>
                <w:rFonts w:cs="宋体"/>
                <w:sz w:val="18"/>
                <w:szCs w:val="18"/>
              </w:rPr>
              <w:t>年</w:t>
            </w:r>
            <w:r w:rsidRPr="0063248C">
              <w:rPr>
                <w:rFonts w:cs="宋体"/>
                <w:sz w:val="18"/>
                <w:szCs w:val="18"/>
              </w:rPr>
              <w:t>6</w:t>
            </w:r>
            <w:r w:rsidRPr="0063248C">
              <w:rPr>
                <w:rFonts w:cs="宋体"/>
                <w:sz w:val="18"/>
                <w:szCs w:val="18"/>
              </w:rPr>
              <w:t>月</w:t>
            </w:r>
            <w:r w:rsidRPr="0063248C">
              <w:rPr>
                <w:rFonts w:cs="宋体"/>
                <w:sz w:val="18"/>
                <w:szCs w:val="18"/>
              </w:rPr>
              <w:t>30</w:t>
            </w:r>
            <w:r w:rsidRPr="0063248C">
              <w:rPr>
                <w:rFonts w:cs="宋体"/>
                <w:sz w:val="18"/>
                <w:szCs w:val="18"/>
              </w:rPr>
              <w:t>日</w:t>
            </w:r>
          </w:p>
        </w:tc>
      </w:tr>
      <w:tr w:rsidR="007B3DB2" w:rsidRPr="0063248C" w14:paraId="2975A864" w14:textId="77777777" w:rsidTr="0063248C">
        <w:trPr>
          <w:trHeight w:val="240"/>
        </w:trPr>
        <w:tc>
          <w:tcPr>
            <w:tcW w:w="2694" w:type="dxa"/>
            <w:tcBorders>
              <w:top w:val="single" w:sz="2" w:space="0" w:color="auto"/>
              <w:left w:val="single" w:sz="2" w:space="0" w:color="auto"/>
              <w:bottom w:val="single" w:sz="2" w:space="0" w:color="auto"/>
              <w:right w:val="single" w:sz="2" w:space="0" w:color="auto"/>
            </w:tcBorders>
            <w:vAlign w:val="center"/>
          </w:tcPr>
          <w:p w14:paraId="03E37077" w14:textId="77777777" w:rsidR="007B3DB2" w:rsidRPr="0063248C" w:rsidRDefault="00000000">
            <w:pPr>
              <w:spacing w:line="240" w:lineRule="exact"/>
              <w:rPr>
                <w:rFonts w:cs="宋体"/>
                <w:sz w:val="18"/>
                <w:szCs w:val="18"/>
              </w:rPr>
            </w:pPr>
            <w:r w:rsidRPr="0063248C">
              <w:rPr>
                <w:rFonts w:cs="宋体"/>
                <w:sz w:val="18"/>
                <w:szCs w:val="18"/>
              </w:rPr>
              <w:t>元、万元</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75E2D78" w14:textId="77777777" w:rsidR="007B3DB2" w:rsidRPr="0063248C" w:rsidRDefault="00000000">
            <w:pPr>
              <w:spacing w:before="40" w:after="40" w:line="240" w:lineRule="exact"/>
              <w:jc w:val="center"/>
              <w:rPr>
                <w:rFonts w:cs="宋体"/>
                <w:sz w:val="18"/>
                <w:szCs w:val="18"/>
              </w:rPr>
            </w:pPr>
            <w:r w:rsidRPr="0063248C">
              <w:rPr>
                <w:rFonts w:cs="宋体"/>
                <w:sz w:val="18"/>
                <w:szCs w:val="18"/>
              </w:rPr>
              <w:t>指</w:t>
            </w:r>
          </w:p>
        </w:tc>
        <w:tc>
          <w:tcPr>
            <w:tcW w:w="5811" w:type="dxa"/>
            <w:tcBorders>
              <w:top w:val="single" w:sz="2" w:space="0" w:color="auto"/>
              <w:left w:val="single" w:sz="2" w:space="0" w:color="auto"/>
              <w:bottom w:val="single" w:sz="2" w:space="0" w:color="auto"/>
              <w:right w:val="single" w:sz="2" w:space="0" w:color="auto"/>
            </w:tcBorders>
            <w:vAlign w:val="center"/>
          </w:tcPr>
          <w:p w14:paraId="03031CD4" w14:textId="77777777" w:rsidR="007B3DB2" w:rsidRPr="0063248C" w:rsidRDefault="00000000">
            <w:pPr>
              <w:spacing w:line="240" w:lineRule="exact"/>
              <w:rPr>
                <w:rFonts w:cs="宋体"/>
                <w:sz w:val="18"/>
                <w:szCs w:val="18"/>
              </w:rPr>
            </w:pPr>
            <w:r w:rsidRPr="0063248C">
              <w:rPr>
                <w:rFonts w:cs="宋体"/>
                <w:sz w:val="18"/>
                <w:szCs w:val="18"/>
              </w:rPr>
              <w:t>人民币元、万元</w:t>
            </w:r>
          </w:p>
        </w:tc>
      </w:tr>
    </w:tbl>
    <w:p w14:paraId="21C9C0BA" w14:textId="77777777" w:rsidR="007B3DB2" w:rsidRPr="0063248C" w:rsidRDefault="00000000">
      <w:r w:rsidRPr="0063248C">
        <w:br w:type="page"/>
      </w:r>
    </w:p>
    <w:p w14:paraId="53F3531F" w14:textId="77777777" w:rsidR="007B3DB2" w:rsidRPr="0063248C" w:rsidRDefault="00000000">
      <w:pPr>
        <w:pStyle w:val="headingh1"/>
        <w:spacing w:before="340" w:after="330" w:line="773" w:lineRule="exact"/>
        <w:jc w:val="center"/>
        <w:rPr>
          <w:rFonts w:cs="宋体"/>
          <w:b/>
          <w:bCs/>
          <w:sz w:val="32"/>
          <w:szCs w:val="32"/>
        </w:rPr>
      </w:pPr>
      <w:bookmarkStart w:id="1" w:name="_Toc988890"/>
      <w:r w:rsidRPr="0063248C">
        <w:rPr>
          <w:rFonts w:cs="宋体"/>
          <w:b/>
          <w:bCs/>
          <w:sz w:val="32"/>
          <w:szCs w:val="32"/>
        </w:rPr>
        <w:lastRenderedPageBreak/>
        <w:t>第二节</w:t>
      </w:r>
      <w:r w:rsidRPr="0063248C">
        <w:rPr>
          <w:rFonts w:cs="宋体"/>
          <w:b/>
          <w:bCs/>
          <w:sz w:val="32"/>
          <w:szCs w:val="32"/>
        </w:rPr>
        <w:t xml:space="preserve"> </w:t>
      </w:r>
      <w:r w:rsidRPr="0063248C">
        <w:rPr>
          <w:rFonts w:cs="宋体"/>
          <w:b/>
          <w:bCs/>
          <w:sz w:val="32"/>
          <w:szCs w:val="32"/>
        </w:rPr>
        <w:t>公司简介和主要财务指标</w:t>
      </w:r>
      <w:bookmarkEnd w:id="1"/>
    </w:p>
    <w:p w14:paraId="38C8A4E7" w14:textId="77777777" w:rsidR="007B3DB2" w:rsidRPr="0063248C" w:rsidRDefault="00000000">
      <w:pPr>
        <w:pStyle w:val="2"/>
        <w:spacing w:before="300" w:after="300" w:line="320" w:lineRule="exact"/>
        <w:rPr>
          <w:rFonts w:cs="宋体"/>
          <w:b/>
          <w:bCs/>
          <w:sz w:val="24"/>
          <w:szCs w:val="24"/>
        </w:rPr>
      </w:pPr>
      <w:bookmarkStart w:id="2" w:name="_Toc988891"/>
      <w:r w:rsidRPr="0063248C">
        <w:rPr>
          <w:rFonts w:cs="宋体"/>
          <w:b/>
          <w:bCs/>
          <w:sz w:val="24"/>
          <w:szCs w:val="24"/>
        </w:rPr>
        <w:t>一、公司简介</w:t>
      </w:r>
      <w:bookmarkEnd w:id="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4260A49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46B0731" w14:textId="77777777" w:rsidR="007B3DB2" w:rsidRPr="0063248C" w:rsidRDefault="00000000">
            <w:pPr>
              <w:spacing w:before="40" w:after="40" w:line="240" w:lineRule="exact"/>
              <w:rPr>
                <w:rFonts w:cs="宋体"/>
                <w:sz w:val="18"/>
                <w:szCs w:val="18"/>
              </w:rPr>
            </w:pPr>
            <w:r w:rsidRPr="0063248C">
              <w:rPr>
                <w:rFonts w:cs="宋体"/>
                <w:sz w:val="18"/>
                <w:szCs w:val="18"/>
              </w:rPr>
              <w:t>股票简称</w:t>
            </w:r>
          </w:p>
        </w:tc>
        <w:tc>
          <w:tcPr>
            <w:tcW w:w="2410" w:type="dxa"/>
            <w:tcBorders>
              <w:top w:val="single" w:sz="2" w:space="0" w:color="auto"/>
              <w:left w:val="single" w:sz="2" w:space="0" w:color="auto"/>
              <w:bottom w:val="single" w:sz="2" w:space="0" w:color="auto"/>
              <w:right w:val="single" w:sz="2" w:space="0" w:color="auto"/>
            </w:tcBorders>
            <w:vAlign w:val="center"/>
          </w:tcPr>
          <w:p w14:paraId="18FF8B0A" w14:textId="77777777" w:rsidR="007B3DB2" w:rsidRPr="0063248C" w:rsidRDefault="00000000" w:rsidP="00F07AAA">
            <w:pPr>
              <w:spacing w:line="240" w:lineRule="exact"/>
              <w:jc w:val="center"/>
              <w:rPr>
                <w:rFonts w:cs="宋体"/>
                <w:sz w:val="18"/>
                <w:szCs w:val="18"/>
              </w:rPr>
            </w:pPr>
            <w:r w:rsidRPr="0063248C">
              <w:rPr>
                <w:rFonts w:cs="宋体"/>
                <w:sz w:val="18"/>
                <w:szCs w:val="18"/>
              </w:rPr>
              <w:t>龙大美食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E85C6DE" w14:textId="77777777" w:rsidR="007B3DB2" w:rsidRPr="0063248C" w:rsidRDefault="00000000">
            <w:pPr>
              <w:spacing w:before="40" w:after="40" w:line="240" w:lineRule="exact"/>
              <w:rPr>
                <w:rFonts w:cs="宋体"/>
                <w:sz w:val="18"/>
                <w:szCs w:val="18"/>
              </w:rPr>
            </w:pPr>
            <w:r w:rsidRPr="0063248C">
              <w:rPr>
                <w:rFonts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14:paraId="0D2AEA06" w14:textId="77777777" w:rsidR="007B3DB2" w:rsidRPr="0063248C" w:rsidRDefault="00000000" w:rsidP="00F07AAA">
            <w:pPr>
              <w:spacing w:line="240" w:lineRule="exact"/>
              <w:jc w:val="center"/>
              <w:rPr>
                <w:rFonts w:cs="宋体"/>
                <w:sz w:val="18"/>
                <w:szCs w:val="18"/>
              </w:rPr>
            </w:pPr>
            <w:r w:rsidRPr="0063248C">
              <w:rPr>
                <w:rFonts w:cs="宋体"/>
                <w:sz w:val="18"/>
                <w:szCs w:val="18"/>
              </w:rPr>
              <w:t>002726</w:t>
            </w:r>
          </w:p>
        </w:tc>
      </w:tr>
      <w:tr w:rsidR="007B3DB2" w:rsidRPr="0063248C" w14:paraId="4F9CCE0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0965E51" w14:textId="77777777" w:rsidR="007B3DB2" w:rsidRPr="0063248C" w:rsidRDefault="00000000">
            <w:pPr>
              <w:spacing w:before="40" w:after="40" w:line="240" w:lineRule="exact"/>
              <w:rPr>
                <w:rFonts w:cs="宋体"/>
                <w:sz w:val="18"/>
                <w:szCs w:val="18"/>
              </w:rPr>
            </w:pPr>
            <w:r w:rsidRPr="0063248C">
              <w:rPr>
                <w:rFonts w:cs="宋体"/>
                <w:sz w:val="18"/>
                <w:szCs w:val="18"/>
              </w:rPr>
              <w:t>变更前的股票简称（如有）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73AD04C4" w14:textId="77777777" w:rsidR="007B3DB2" w:rsidRPr="0063248C" w:rsidRDefault="00000000">
            <w:pPr>
              <w:spacing w:line="240" w:lineRule="exact"/>
              <w:rPr>
                <w:rFonts w:cs="宋体"/>
                <w:sz w:val="18"/>
                <w:szCs w:val="18"/>
              </w:rPr>
            </w:pPr>
            <w:r w:rsidRPr="0063248C">
              <w:rPr>
                <w:rFonts w:cs="宋体"/>
                <w:sz w:val="18"/>
                <w:szCs w:val="18"/>
              </w:rPr>
              <w:t>公司股票简称于</w:t>
            </w:r>
            <w:r w:rsidRPr="0063248C">
              <w:rPr>
                <w:rFonts w:cs="宋体"/>
                <w:sz w:val="18"/>
                <w:szCs w:val="18"/>
              </w:rPr>
              <w:t>2021</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24</w:t>
            </w:r>
            <w:r w:rsidRPr="0063248C">
              <w:rPr>
                <w:rFonts w:cs="宋体"/>
                <w:sz w:val="18"/>
                <w:szCs w:val="18"/>
              </w:rPr>
              <w:t>日由</w:t>
            </w:r>
            <w:r w:rsidRPr="0063248C">
              <w:rPr>
                <w:rFonts w:cs="宋体"/>
                <w:sz w:val="18"/>
                <w:szCs w:val="18"/>
              </w:rPr>
              <w:t>“</w:t>
            </w:r>
            <w:r w:rsidRPr="0063248C">
              <w:rPr>
                <w:rFonts w:cs="宋体"/>
                <w:sz w:val="18"/>
                <w:szCs w:val="18"/>
              </w:rPr>
              <w:t>龙大肉食</w:t>
            </w:r>
            <w:r w:rsidRPr="0063248C">
              <w:rPr>
                <w:rFonts w:cs="宋体"/>
                <w:sz w:val="18"/>
                <w:szCs w:val="18"/>
              </w:rPr>
              <w:t>”</w:t>
            </w:r>
            <w:r w:rsidRPr="0063248C">
              <w:rPr>
                <w:rFonts w:cs="宋体"/>
                <w:sz w:val="18"/>
                <w:szCs w:val="18"/>
              </w:rPr>
              <w:t>变更为</w:t>
            </w:r>
            <w:r w:rsidRPr="0063248C">
              <w:rPr>
                <w:rFonts w:cs="宋体"/>
                <w:sz w:val="18"/>
                <w:szCs w:val="18"/>
              </w:rPr>
              <w:t>“</w:t>
            </w:r>
            <w:r w:rsidRPr="0063248C">
              <w:rPr>
                <w:rFonts w:cs="宋体"/>
                <w:sz w:val="18"/>
                <w:szCs w:val="18"/>
              </w:rPr>
              <w:t>龙大美食</w:t>
            </w:r>
            <w:r w:rsidRPr="0063248C">
              <w:rPr>
                <w:rFonts w:cs="宋体"/>
                <w:sz w:val="18"/>
                <w:szCs w:val="18"/>
              </w:rPr>
              <w:t>”</w:t>
            </w:r>
          </w:p>
        </w:tc>
      </w:tr>
      <w:tr w:rsidR="007B3DB2" w:rsidRPr="0063248C" w14:paraId="08EE77E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D9817D7" w14:textId="77777777" w:rsidR="007B3DB2" w:rsidRPr="0063248C" w:rsidRDefault="00000000">
            <w:pPr>
              <w:spacing w:before="40" w:after="40" w:line="240" w:lineRule="exact"/>
              <w:rPr>
                <w:rFonts w:cs="宋体"/>
                <w:sz w:val="18"/>
                <w:szCs w:val="18"/>
              </w:rPr>
            </w:pPr>
            <w:r w:rsidRPr="0063248C">
              <w:rPr>
                <w:rFonts w:cs="宋体"/>
                <w:sz w:val="18"/>
                <w:szCs w:val="18"/>
              </w:rPr>
              <w:t>股票上市证券交易所</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5ED76945" w14:textId="77777777" w:rsidR="007B3DB2" w:rsidRPr="0063248C" w:rsidRDefault="00000000">
            <w:pPr>
              <w:spacing w:line="240" w:lineRule="exact"/>
              <w:rPr>
                <w:rFonts w:cs="宋体"/>
                <w:sz w:val="18"/>
                <w:szCs w:val="18"/>
              </w:rPr>
            </w:pPr>
            <w:r w:rsidRPr="0063248C">
              <w:rPr>
                <w:rFonts w:cs="宋体"/>
                <w:sz w:val="18"/>
                <w:szCs w:val="18"/>
              </w:rPr>
              <w:t>深圳证券交易所</w:t>
            </w:r>
          </w:p>
        </w:tc>
      </w:tr>
      <w:tr w:rsidR="007B3DB2" w:rsidRPr="0063248C" w14:paraId="3D80653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F7B7C3D" w14:textId="77777777" w:rsidR="007B3DB2" w:rsidRPr="0063248C" w:rsidRDefault="00000000">
            <w:pPr>
              <w:spacing w:before="40" w:after="40" w:line="240" w:lineRule="exact"/>
              <w:rPr>
                <w:rFonts w:cs="宋体"/>
                <w:sz w:val="18"/>
                <w:szCs w:val="18"/>
              </w:rPr>
            </w:pPr>
            <w:r w:rsidRPr="0063248C">
              <w:rPr>
                <w:rFonts w:cs="宋体"/>
                <w:sz w:val="18"/>
                <w:szCs w:val="18"/>
              </w:rPr>
              <w:t>公司的中文名称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7F5A1263" w14:textId="77777777" w:rsidR="007B3DB2" w:rsidRPr="0063248C" w:rsidRDefault="00000000">
            <w:pPr>
              <w:spacing w:line="240" w:lineRule="exact"/>
              <w:rPr>
                <w:rFonts w:cs="宋体"/>
                <w:sz w:val="18"/>
                <w:szCs w:val="18"/>
              </w:rPr>
            </w:pPr>
            <w:r w:rsidRPr="0063248C">
              <w:rPr>
                <w:rFonts w:cs="宋体"/>
                <w:sz w:val="18"/>
                <w:szCs w:val="18"/>
              </w:rPr>
              <w:t>山东龙大美食股份有限公司</w:t>
            </w:r>
          </w:p>
        </w:tc>
      </w:tr>
      <w:tr w:rsidR="007B3DB2" w:rsidRPr="0063248C" w14:paraId="55C785C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1B6BAC8" w14:textId="77777777" w:rsidR="007B3DB2" w:rsidRPr="0063248C" w:rsidRDefault="00000000">
            <w:pPr>
              <w:spacing w:before="40" w:after="40" w:line="240" w:lineRule="exact"/>
              <w:rPr>
                <w:rFonts w:cs="宋体"/>
                <w:sz w:val="18"/>
                <w:szCs w:val="18"/>
              </w:rPr>
            </w:pPr>
            <w:r w:rsidRPr="0063248C">
              <w:rPr>
                <w:rFonts w:cs="宋体"/>
                <w:sz w:val="18"/>
                <w:szCs w:val="18"/>
              </w:rPr>
              <w:t>公司的中文简称（如有）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5A28440D" w14:textId="77777777" w:rsidR="007B3DB2" w:rsidRPr="0063248C" w:rsidRDefault="00000000">
            <w:pPr>
              <w:spacing w:line="240" w:lineRule="exact"/>
              <w:rPr>
                <w:rFonts w:cs="宋体"/>
                <w:sz w:val="18"/>
                <w:szCs w:val="18"/>
              </w:rPr>
            </w:pPr>
            <w:r w:rsidRPr="0063248C">
              <w:rPr>
                <w:rFonts w:cs="宋体"/>
                <w:sz w:val="18"/>
                <w:szCs w:val="18"/>
              </w:rPr>
              <w:t>龙大美食</w:t>
            </w:r>
          </w:p>
        </w:tc>
      </w:tr>
      <w:tr w:rsidR="007B3DB2" w:rsidRPr="0063248C" w14:paraId="3B82290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26533EF" w14:textId="77777777" w:rsidR="007B3DB2" w:rsidRPr="0063248C" w:rsidRDefault="00000000">
            <w:pPr>
              <w:spacing w:before="40" w:after="40" w:line="240" w:lineRule="exact"/>
              <w:rPr>
                <w:rFonts w:cs="宋体"/>
                <w:sz w:val="18"/>
                <w:szCs w:val="18"/>
              </w:rPr>
            </w:pPr>
            <w:r w:rsidRPr="0063248C">
              <w:rPr>
                <w:rFonts w:cs="宋体"/>
                <w:sz w:val="18"/>
                <w:szCs w:val="18"/>
              </w:rPr>
              <w:t>公司的外文名称（如有）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5F863A94" w14:textId="77777777" w:rsidR="007B3DB2" w:rsidRPr="0063248C" w:rsidRDefault="00000000">
            <w:pPr>
              <w:spacing w:line="240" w:lineRule="exact"/>
              <w:rPr>
                <w:rFonts w:cs="宋体"/>
                <w:sz w:val="18"/>
                <w:szCs w:val="18"/>
              </w:rPr>
            </w:pPr>
            <w:r w:rsidRPr="0063248C">
              <w:rPr>
                <w:rFonts w:cs="宋体"/>
                <w:sz w:val="18"/>
                <w:szCs w:val="18"/>
              </w:rPr>
              <w:t xml:space="preserve">Shandong </w:t>
            </w:r>
            <w:proofErr w:type="spellStart"/>
            <w:r w:rsidRPr="0063248C">
              <w:rPr>
                <w:rFonts w:cs="宋体"/>
                <w:sz w:val="18"/>
                <w:szCs w:val="18"/>
              </w:rPr>
              <w:t>Longda</w:t>
            </w:r>
            <w:proofErr w:type="spellEnd"/>
            <w:r w:rsidRPr="0063248C">
              <w:rPr>
                <w:rFonts w:cs="宋体"/>
                <w:sz w:val="18"/>
                <w:szCs w:val="18"/>
              </w:rPr>
              <w:t xml:space="preserve"> </w:t>
            </w:r>
            <w:proofErr w:type="spellStart"/>
            <w:r w:rsidRPr="0063248C">
              <w:rPr>
                <w:rFonts w:cs="宋体"/>
                <w:sz w:val="18"/>
                <w:szCs w:val="18"/>
              </w:rPr>
              <w:t>Meishi</w:t>
            </w:r>
            <w:proofErr w:type="spellEnd"/>
            <w:r w:rsidRPr="0063248C">
              <w:rPr>
                <w:rFonts w:cs="宋体"/>
                <w:sz w:val="18"/>
                <w:szCs w:val="18"/>
              </w:rPr>
              <w:t xml:space="preserve"> </w:t>
            </w:r>
            <w:proofErr w:type="spellStart"/>
            <w:proofErr w:type="gramStart"/>
            <w:r w:rsidRPr="0063248C">
              <w:rPr>
                <w:rFonts w:cs="宋体"/>
                <w:sz w:val="18"/>
                <w:szCs w:val="18"/>
              </w:rPr>
              <w:t>CO.,Ltd</w:t>
            </w:r>
            <w:proofErr w:type="spellEnd"/>
            <w:r w:rsidRPr="0063248C">
              <w:rPr>
                <w:rFonts w:cs="宋体"/>
                <w:sz w:val="18"/>
                <w:szCs w:val="18"/>
              </w:rPr>
              <w:t>.</w:t>
            </w:r>
            <w:proofErr w:type="gramEnd"/>
          </w:p>
        </w:tc>
      </w:tr>
      <w:tr w:rsidR="007B3DB2" w:rsidRPr="0063248C" w14:paraId="29E25D6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B6D4658" w14:textId="77777777" w:rsidR="007B3DB2" w:rsidRPr="0063248C" w:rsidRDefault="00000000">
            <w:pPr>
              <w:spacing w:before="40" w:after="40" w:line="240" w:lineRule="exact"/>
              <w:rPr>
                <w:rFonts w:cs="宋体"/>
                <w:sz w:val="18"/>
                <w:szCs w:val="18"/>
              </w:rPr>
            </w:pPr>
            <w:r w:rsidRPr="0063248C">
              <w:rPr>
                <w:rFonts w:cs="宋体"/>
                <w:sz w:val="18"/>
                <w:szCs w:val="18"/>
              </w:rPr>
              <w:t>公司的外文名称缩写（如有）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7A304C0C" w14:textId="77777777" w:rsidR="007B3DB2" w:rsidRPr="0063248C" w:rsidRDefault="00000000">
            <w:pPr>
              <w:spacing w:line="240" w:lineRule="exact"/>
              <w:rPr>
                <w:rFonts w:cs="宋体"/>
                <w:sz w:val="18"/>
                <w:szCs w:val="18"/>
              </w:rPr>
            </w:pPr>
            <w:r w:rsidRPr="0063248C">
              <w:rPr>
                <w:rFonts w:cs="宋体"/>
                <w:sz w:val="18"/>
                <w:szCs w:val="18"/>
              </w:rPr>
              <w:t>LONGDA</w:t>
            </w:r>
          </w:p>
        </w:tc>
      </w:tr>
      <w:tr w:rsidR="007B3DB2" w:rsidRPr="0063248C" w14:paraId="691BEC2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C25E167" w14:textId="77777777" w:rsidR="007B3DB2" w:rsidRPr="0063248C" w:rsidRDefault="00000000">
            <w:pPr>
              <w:spacing w:before="40" w:after="40" w:line="240" w:lineRule="exact"/>
              <w:rPr>
                <w:rFonts w:cs="宋体"/>
                <w:sz w:val="18"/>
                <w:szCs w:val="18"/>
              </w:rPr>
            </w:pPr>
            <w:r w:rsidRPr="0063248C">
              <w:rPr>
                <w:rFonts w:cs="宋体"/>
                <w:sz w:val="18"/>
                <w:szCs w:val="18"/>
              </w:rPr>
              <w:t>公司的法定代表人</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044513F9" w14:textId="77777777" w:rsidR="007B3DB2" w:rsidRPr="0063248C" w:rsidRDefault="00000000">
            <w:pPr>
              <w:spacing w:line="240" w:lineRule="exact"/>
              <w:rPr>
                <w:rFonts w:cs="宋体"/>
                <w:sz w:val="18"/>
                <w:szCs w:val="18"/>
              </w:rPr>
            </w:pPr>
            <w:r w:rsidRPr="0063248C">
              <w:rPr>
                <w:rFonts w:cs="宋体"/>
                <w:sz w:val="18"/>
                <w:szCs w:val="18"/>
              </w:rPr>
              <w:t>杨晓初</w:t>
            </w:r>
          </w:p>
        </w:tc>
      </w:tr>
    </w:tbl>
    <w:p w14:paraId="6F3EA26D" w14:textId="77777777" w:rsidR="007B3DB2" w:rsidRPr="0063248C" w:rsidRDefault="00000000">
      <w:pPr>
        <w:pStyle w:val="2"/>
        <w:spacing w:before="300" w:after="300" w:line="320" w:lineRule="exact"/>
        <w:rPr>
          <w:rFonts w:cs="宋体"/>
          <w:b/>
          <w:bCs/>
          <w:sz w:val="24"/>
          <w:szCs w:val="24"/>
        </w:rPr>
      </w:pPr>
      <w:bookmarkStart w:id="3" w:name="_Toc988892"/>
      <w:r w:rsidRPr="0063248C">
        <w:rPr>
          <w:rFonts w:cs="宋体"/>
          <w:b/>
          <w:bCs/>
          <w:sz w:val="24"/>
          <w:szCs w:val="24"/>
        </w:rPr>
        <w:t>二、联系人和联系方式</w:t>
      </w:r>
      <w:bookmarkEnd w:id="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7ED890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EA13C7"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058D96" w14:textId="77777777" w:rsidR="007B3DB2" w:rsidRPr="0063248C" w:rsidRDefault="00000000">
            <w:pPr>
              <w:spacing w:before="40" w:after="40" w:line="240" w:lineRule="exact"/>
              <w:jc w:val="center"/>
              <w:rPr>
                <w:rFonts w:cs="宋体"/>
                <w:sz w:val="18"/>
                <w:szCs w:val="18"/>
              </w:rPr>
            </w:pPr>
            <w:r w:rsidRPr="0063248C">
              <w:rPr>
                <w:rFonts w:cs="宋体"/>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159A98" w14:textId="77777777" w:rsidR="007B3DB2" w:rsidRPr="0063248C" w:rsidRDefault="00000000">
            <w:pPr>
              <w:spacing w:before="40" w:after="40" w:line="240" w:lineRule="exact"/>
              <w:jc w:val="center"/>
              <w:rPr>
                <w:rFonts w:cs="宋体"/>
                <w:sz w:val="18"/>
                <w:szCs w:val="18"/>
              </w:rPr>
            </w:pPr>
            <w:r w:rsidRPr="0063248C">
              <w:rPr>
                <w:rFonts w:cs="宋体"/>
                <w:sz w:val="18"/>
                <w:szCs w:val="18"/>
              </w:rPr>
              <w:t>证券事务代表</w:t>
            </w:r>
          </w:p>
        </w:tc>
      </w:tr>
      <w:tr w:rsidR="007B3DB2" w:rsidRPr="0063248C" w14:paraId="2C214E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327C42" w14:textId="77777777" w:rsidR="007B3DB2" w:rsidRPr="0063248C" w:rsidRDefault="00000000">
            <w:pPr>
              <w:spacing w:before="40" w:after="40" w:line="240" w:lineRule="exact"/>
              <w:rPr>
                <w:rFonts w:cs="宋体"/>
                <w:sz w:val="18"/>
                <w:szCs w:val="18"/>
              </w:rPr>
            </w:pPr>
            <w:r w:rsidRPr="0063248C">
              <w:rPr>
                <w:rFonts w:cs="宋体"/>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14:paraId="0CD5DA4E" w14:textId="77777777" w:rsidR="007B3DB2" w:rsidRPr="0063248C" w:rsidRDefault="00000000" w:rsidP="0063248C">
            <w:pPr>
              <w:spacing w:line="240" w:lineRule="exact"/>
              <w:jc w:val="center"/>
              <w:rPr>
                <w:rFonts w:cs="宋体"/>
                <w:sz w:val="18"/>
                <w:szCs w:val="18"/>
              </w:rPr>
            </w:pPr>
            <w:r w:rsidRPr="0063248C">
              <w:rPr>
                <w:rFonts w:cs="宋体"/>
                <w:sz w:val="18"/>
                <w:szCs w:val="18"/>
              </w:rPr>
              <w:t>张瑞</w:t>
            </w:r>
          </w:p>
        </w:tc>
        <w:tc>
          <w:tcPr>
            <w:tcW w:w="3213" w:type="dxa"/>
            <w:tcBorders>
              <w:top w:val="single" w:sz="2" w:space="0" w:color="auto"/>
              <w:left w:val="single" w:sz="2" w:space="0" w:color="auto"/>
              <w:bottom w:val="single" w:sz="2" w:space="0" w:color="auto"/>
              <w:right w:val="single" w:sz="2" w:space="0" w:color="auto"/>
            </w:tcBorders>
            <w:vAlign w:val="center"/>
          </w:tcPr>
          <w:p w14:paraId="03248C26" w14:textId="77777777" w:rsidR="007B3DB2" w:rsidRPr="0063248C" w:rsidRDefault="00000000" w:rsidP="0063248C">
            <w:pPr>
              <w:spacing w:line="240" w:lineRule="exact"/>
              <w:jc w:val="center"/>
              <w:rPr>
                <w:rFonts w:cs="宋体"/>
                <w:sz w:val="18"/>
                <w:szCs w:val="18"/>
              </w:rPr>
            </w:pPr>
            <w:r w:rsidRPr="0063248C">
              <w:rPr>
                <w:rFonts w:cs="宋体"/>
                <w:sz w:val="18"/>
                <w:szCs w:val="18"/>
              </w:rPr>
              <w:t>彭威</w:t>
            </w:r>
          </w:p>
        </w:tc>
      </w:tr>
      <w:tr w:rsidR="007B3DB2" w:rsidRPr="0063248C" w14:paraId="0A88AC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DD614C" w14:textId="77777777" w:rsidR="007B3DB2" w:rsidRPr="0063248C" w:rsidRDefault="00000000">
            <w:pPr>
              <w:spacing w:before="40" w:after="40" w:line="240" w:lineRule="exact"/>
              <w:rPr>
                <w:rFonts w:cs="宋体"/>
                <w:sz w:val="18"/>
                <w:szCs w:val="18"/>
              </w:rPr>
            </w:pPr>
            <w:r w:rsidRPr="0063248C">
              <w:rPr>
                <w:rFonts w:cs="宋体"/>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14:paraId="0BEA5583" w14:textId="77777777" w:rsidR="007B3DB2" w:rsidRPr="0063248C" w:rsidRDefault="00000000" w:rsidP="0063248C">
            <w:pPr>
              <w:spacing w:line="240" w:lineRule="exact"/>
              <w:jc w:val="center"/>
              <w:rPr>
                <w:rFonts w:cs="宋体"/>
                <w:sz w:val="18"/>
                <w:szCs w:val="18"/>
              </w:rPr>
            </w:pPr>
            <w:r w:rsidRPr="0063248C">
              <w:rPr>
                <w:rFonts w:cs="宋体"/>
                <w:sz w:val="18"/>
                <w:szCs w:val="18"/>
              </w:rPr>
              <w:t>山东省莱阳市龙门东路</w:t>
            </w:r>
            <w:r w:rsidRPr="0063248C">
              <w:rPr>
                <w:rFonts w:cs="宋体"/>
                <w:sz w:val="18"/>
                <w:szCs w:val="18"/>
              </w:rPr>
              <w:t>99</w:t>
            </w:r>
            <w:r w:rsidRPr="0063248C">
              <w:rPr>
                <w:rFonts w:cs="宋体"/>
                <w:sz w:val="18"/>
                <w:szCs w:val="18"/>
              </w:rPr>
              <w:t>号</w:t>
            </w:r>
          </w:p>
        </w:tc>
        <w:tc>
          <w:tcPr>
            <w:tcW w:w="3213" w:type="dxa"/>
            <w:tcBorders>
              <w:top w:val="single" w:sz="2" w:space="0" w:color="auto"/>
              <w:left w:val="single" w:sz="2" w:space="0" w:color="auto"/>
              <w:bottom w:val="single" w:sz="2" w:space="0" w:color="auto"/>
              <w:right w:val="single" w:sz="2" w:space="0" w:color="auto"/>
            </w:tcBorders>
            <w:vAlign w:val="center"/>
          </w:tcPr>
          <w:p w14:paraId="37DF3F35" w14:textId="77777777" w:rsidR="007B3DB2" w:rsidRPr="0063248C" w:rsidRDefault="00000000" w:rsidP="0063248C">
            <w:pPr>
              <w:spacing w:line="240" w:lineRule="exact"/>
              <w:jc w:val="center"/>
              <w:rPr>
                <w:rFonts w:cs="宋体"/>
                <w:sz w:val="18"/>
                <w:szCs w:val="18"/>
              </w:rPr>
            </w:pPr>
            <w:r w:rsidRPr="0063248C">
              <w:rPr>
                <w:rFonts w:cs="宋体"/>
                <w:sz w:val="18"/>
                <w:szCs w:val="18"/>
              </w:rPr>
              <w:t>山东省莱阳市龙门东路</w:t>
            </w:r>
            <w:r w:rsidRPr="0063248C">
              <w:rPr>
                <w:rFonts w:cs="宋体"/>
                <w:sz w:val="18"/>
                <w:szCs w:val="18"/>
              </w:rPr>
              <w:t>99</w:t>
            </w:r>
            <w:r w:rsidRPr="0063248C">
              <w:rPr>
                <w:rFonts w:cs="宋体"/>
                <w:sz w:val="18"/>
                <w:szCs w:val="18"/>
              </w:rPr>
              <w:t>号</w:t>
            </w:r>
          </w:p>
        </w:tc>
      </w:tr>
      <w:tr w:rsidR="007B3DB2" w:rsidRPr="0063248C" w14:paraId="13FF61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3E03E2" w14:textId="77777777" w:rsidR="007B3DB2" w:rsidRPr="0063248C" w:rsidRDefault="00000000">
            <w:pPr>
              <w:spacing w:before="40" w:after="40" w:line="240" w:lineRule="exact"/>
              <w:rPr>
                <w:rFonts w:cs="宋体"/>
                <w:sz w:val="18"/>
                <w:szCs w:val="18"/>
              </w:rPr>
            </w:pPr>
            <w:r w:rsidRPr="0063248C">
              <w:rPr>
                <w:rFonts w:cs="宋体"/>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14:paraId="3E27CAAC" w14:textId="77777777" w:rsidR="007B3DB2" w:rsidRPr="0063248C" w:rsidRDefault="00000000" w:rsidP="0063248C">
            <w:pPr>
              <w:spacing w:line="240" w:lineRule="exact"/>
              <w:jc w:val="center"/>
              <w:rPr>
                <w:rFonts w:cs="宋体"/>
                <w:sz w:val="18"/>
                <w:szCs w:val="18"/>
              </w:rPr>
            </w:pPr>
            <w:r w:rsidRPr="0063248C">
              <w:rPr>
                <w:rFonts w:cs="宋体"/>
                <w:sz w:val="18"/>
                <w:szCs w:val="18"/>
              </w:rPr>
              <w:t>0535-7717760</w:t>
            </w:r>
          </w:p>
        </w:tc>
        <w:tc>
          <w:tcPr>
            <w:tcW w:w="3213" w:type="dxa"/>
            <w:tcBorders>
              <w:top w:val="single" w:sz="2" w:space="0" w:color="auto"/>
              <w:left w:val="single" w:sz="2" w:space="0" w:color="auto"/>
              <w:bottom w:val="single" w:sz="2" w:space="0" w:color="auto"/>
              <w:right w:val="single" w:sz="2" w:space="0" w:color="auto"/>
            </w:tcBorders>
            <w:vAlign w:val="center"/>
          </w:tcPr>
          <w:p w14:paraId="1796EC99" w14:textId="77777777" w:rsidR="007B3DB2" w:rsidRPr="0063248C" w:rsidRDefault="00000000" w:rsidP="0063248C">
            <w:pPr>
              <w:spacing w:line="240" w:lineRule="exact"/>
              <w:jc w:val="center"/>
              <w:rPr>
                <w:rFonts w:cs="宋体"/>
                <w:sz w:val="18"/>
                <w:szCs w:val="18"/>
              </w:rPr>
            </w:pPr>
            <w:r w:rsidRPr="0063248C">
              <w:rPr>
                <w:rFonts w:cs="宋体"/>
                <w:sz w:val="18"/>
                <w:szCs w:val="18"/>
              </w:rPr>
              <w:t>0535-7717760</w:t>
            </w:r>
          </w:p>
        </w:tc>
      </w:tr>
      <w:tr w:rsidR="007B3DB2" w:rsidRPr="0063248C" w14:paraId="3D7044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45B2C0" w14:textId="77777777" w:rsidR="007B3DB2" w:rsidRPr="0063248C" w:rsidRDefault="00000000">
            <w:pPr>
              <w:spacing w:before="40" w:after="40" w:line="240" w:lineRule="exact"/>
              <w:rPr>
                <w:rFonts w:cs="宋体"/>
                <w:sz w:val="18"/>
                <w:szCs w:val="18"/>
              </w:rPr>
            </w:pPr>
            <w:r w:rsidRPr="0063248C">
              <w:rPr>
                <w:rFonts w:cs="宋体"/>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14:paraId="57E7446B" w14:textId="77777777" w:rsidR="007B3DB2" w:rsidRPr="0063248C" w:rsidRDefault="00000000" w:rsidP="0063248C">
            <w:pPr>
              <w:spacing w:line="240" w:lineRule="exact"/>
              <w:jc w:val="center"/>
              <w:rPr>
                <w:rFonts w:cs="宋体"/>
                <w:sz w:val="18"/>
                <w:szCs w:val="18"/>
              </w:rPr>
            </w:pPr>
            <w:r w:rsidRPr="0063248C">
              <w:rPr>
                <w:rFonts w:cs="宋体"/>
                <w:sz w:val="18"/>
                <w:szCs w:val="18"/>
              </w:rPr>
              <w:t>0535-7717760</w:t>
            </w:r>
          </w:p>
        </w:tc>
        <w:tc>
          <w:tcPr>
            <w:tcW w:w="3213" w:type="dxa"/>
            <w:tcBorders>
              <w:top w:val="single" w:sz="2" w:space="0" w:color="auto"/>
              <w:left w:val="single" w:sz="2" w:space="0" w:color="auto"/>
              <w:bottom w:val="single" w:sz="2" w:space="0" w:color="auto"/>
              <w:right w:val="single" w:sz="2" w:space="0" w:color="auto"/>
            </w:tcBorders>
            <w:vAlign w:val="center"/>
          </w:tcPr>
          <w:p w14:paraId="5E38A073" w14:textId="77777777" w:rsidR="007B3DB2" w:rsidRPr="0063248C" w:rsidRDefault="00000000" w:rsidP="0063248C">
            <w:pPr>
              <w:spacing w:line="240" w:lineRule="exact"/>
              <w:jc w:val="center"/>
              <w:rPr>
                <w:rFonts w:cs="宋体"/>
                <w:sz w:val="18"/>
                <w:szCs w:val="18"/>
              </w:rPr>
            </w:pPr>
            <w:r w:rsidRPr="0063248C">
              <w:rPr>
                <w:rFonts w:cs="宋体"/>
                <w:sz w:val="18"/>
                <w:szCs w:val="18"/>
              </w:rPr>
              <w:t>0535-7717760</w:t>
            </w:r>
          </w:p>
        </w:tc>
      </w:tr>
      <w:tr w:rsidR="007B3DB2" w:rsidRPr="0063248C" w14:paraId="100F1D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130590" w14:textId="77777777" w:rsidR="007B3DB2" w:rsidRPr="0063248C" w:rsidRDefault="00000000">
            <w:pPr>
              <w:spacing w:before="40" w:after="40" w:line="240" w:lineRule="exact"/>
              <w:rPr>
                <w:rFonts w:cs="宋体"/>
                <w:sz w:val="18"/>
                <w:szCs w:val="18"/>
              </w:rPr>
            </w:pPr>
            <w:r w:rsidRPr="0063248C">
              <w:rPr>
                <w:rFonts w:cs="宋体"/>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14:paraId="4FC91784" w14:textId="77777777" w:rsidR="007B3DB2" w:rsidRPr="0063248C" w:rsidRDefault="00000000" w:rsidP="0063248C">
            <w:pPr>
              <w:spacing w:line="240" w:lineRule="exact"/>
              <w:jc w:val="center"/>
              <w:rPr>
                <w:rFonts w:cs="宋体"/>
                <w:sz w:val="18"/>
                <w:szCs w:val="18"/>
              </w:rPr>
            </w:pPr>
            <w:r w:rsidRPr="0063248C">
              <w:rPr>
                <w:rFonts w:cs="宋体"/>
                <w:sz w:val="18"/>
                <w:szCs w:val="18"/>
              </w:rPr>
              <w:t>zqb@longdameishi.com</w:t>
            </w:r>
          </w:p>
        </w:tc>
        <w:tc>
          <w:tcPr>
            <w:tcW w:w="3213" w:type="dxa"/>
            <w:tcBorders>
              <w:top w:val="single" w:sz="2" w:space="0" w:color="auto"/>
              <w:left w:val="single" w:sz="2" w:space="0" w:color="auto"/>
              <w:bottom w:val="single" w:sz="2" w:space="0" w:color="auto"/>
              <w:right w:val="single" w:sz="2" w:space="0" w:color="auto"/>
            </w:tcBorders>
            <w:vAlign w:val="center"/>
          </w:tcPr>
          <w:p w14:paraId="7097F140" w14:textId="77777777" w:rsidR="007B3DB2" w:rsidRPr="0063248C" w:rsidRDefault="00000000" w:rsidP="0063248C">
            <w:pPr>
              <w:spacing w:line="240" w:lineRule="exact"/>
              <w:jc w:val="center"/>
              <w:rPr>
                <w:rFonts w:cs="宋体"/>
                <w:sz w:val="18"/>
                <w:szCs w:val="18"/>
              </w:rPr>
            </w:pPr>
            <w:r w:rsidRPr="0063248C">
              <w:rPr>
                <w:rFonts w:cs="宋体"/>
                <w:sz w:val="18"/>
                <w:szCs w:val="18"/>
              </w:rPr>
              <w:t>zqb@longdameishi.com</w:t>
            </w:r>
          </w:p>
        </w:tc>
      </w:tr>
    </w:tbl>
    <w:p w14:paraId="2EE5341A" w14:textId="77777777" w:rsidR="007B3DB2" w:rsidRPr="0063248C" w:rsidRDefault="00000000">
      <w:pPr>
        <w:pStyle w:val="2"/>
        <w:spacing w:before="300" w:after="300" w:line="320" w:lineRule="exact"/>
        <w:rPr>
          <w:rFonts w:cs="宋体"/>
          <w:b/>
          <w:bCs/>
          <w:sz w:val="24"/>
          <w:szCs w:val="24"/>
        </w:rPr>
      </w:pPr>
      <w:bookmarkStart w:id="4" w:name="_Toc988893"/>
      <w:r w:rsidRPr="0063248C">
        <w:rPr>
          <w:rFonts w:cs="宋体"/>
          <w:b/>
          <w:bCs/>
          <w:sz w:val="24"/>
          <w:szCs w:val="24"/>
        </w:rPr>
        <w:t>三、其他情况</w:t>
      </w:r>
      <w:bookmarkEnd w:id="4"/>
    </w:p>
    <w:p w14:paraId="2A0C8457" w14:textId="77777777" w:rsidR="007B3DB2" w:rsidRPr="0063248C" w:rsidRDefault="00000000">
      <w:pPr>
        <w:pStyle w:val="3"/>
        <w:spacing w:line="280" w:lineRule="exact"/>
        <w:jc w:val="left"/>
        <w:rPr>
          <w:rFonts w:cs="宋体"/>
          <w:b/>
          <w:bCs/>
        </w:rPr>
      </w:pPr>
      <w:bookmarkStart w:id="5" w:name="_Toc988894"/>
      <w:r w:rsidRPr="0063248C">
        <w:rPr>
          <w:rFonts w:cs="宋体"/>
          <w:b/>
          <w:bCs/>
        </w:rPr>
        <w:t>1</w:t>
      </w:r>
      <w:r w:rsidRPr="0063248C">
        <w:rPr>
          <w:rFonts w:cs="宋体"/>
          <w:b/>
          <w:bCs/>
        </w:rPr>
        <w:t>、公司联系方式</w:t>
      </w:r>
      <w:bookmarkEnd w:id="5"/>
    </w:p>
    <w:p w14:paraId="3D3DCE9A" w14:textId="77777777" w:rsidR="007B3DB2" w:rsidRPr="0063248C" w:rsidRDefault="00000000">
      <w:pPr>
        <w:spacing w:before="100" w:after="100" w:line="240" w:lineRule="exact"/>
        <w:rPr>
          <w:rFonts w:cs="宋体"/>
          <w:sz w:val="18"/>
          <w:szCs w:val="18"/>
        </w:rPr>
      </w:pPr>
      <w:r w:rsidRPr="0063248C">
        <w:rPr>
          <w:rFonts w:cs="宋体"/>
          <w:sz w:val="18"/>
          <w:szCs w:val="18"/>
        </w:rPr>
        <w:t>公司注册地址、公司办公地址及其邮政编码、公司网址、电子信箱等在报告期是否变化</w:t>
      </w:r>
    </w:p>
    <w:p w14:paraId="072BD15A"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370B1049" w14:textId="77777777" w:rsidR="007B3DB2" w:rsidRPr="0063248C" w:rsidRDefault="00000000">
      <w:pPr>
        <w:spacing w:before="100" w:after="100" w:line="240" w:lineRule="exact"/>
        <w:rPr>
          <w:rFonts w:cs="宋体"/>
          <w:sz w:val="18"/>
          <w:szCs w:val="18"/>
        </w:rPr>
      </w:pPr>
      <w:r w:rsidRPr="0063248C">
        <w:rPr>
          <w:rFonts w:cs="宋体"/>
          <w:sz w:val="18"/>
          <w:szCs w:val="18"/>
        </w:rPr>
        <w:t>公司注册地址、公司办公地址及其邮政编码、公司网址、电子信箱等在报告期无变化，具体可参见</w:t>
      </w:r>
      <w:r w:rsidRPr="0063248C">
        <w:rPr>
          <w:rFonts w:cs="宋体"/>
          <w:sz w:val="18"/>
          <w:szCs w:val="18"/>
        </w:rPr>
        <w:t>2023</w:t>
      </w:r>
      <w:r w:rsidRPr="0063248C">
        <w:rPr>
          <w:rFonts w:cs="宋体"/>
          <w:sz w:val="18"/>
          <w:szCs w:val="18"/>
        </w:rPr>
        <w:t>年年报。</w:t>
      </w:r>
    </w:p>
    <w:p w14:paraId="3E7C88E7" w14:textId="77777777" w:rsidR="007B3DB2" w:rsidRPr="0063248C" w:rsidRDefault="00000000">
      <w:pPr>
        <w:pStyle w:val="3"/>
        <w:spacing w:line="280" w:lineRule="exact"/>
        <w:jc w:val="left"/>
        <w:rPr>
          <w:rFonts w:cs="宋体"/>
          <w:b/>
          <w:bCs/>
        </w:rPr>
      </w:pPr>
      <w:bookmarkStart w:id="6" w:name="_Toc988895"/>
      <w:r w:rsidRPr="0063248C">
        <w:rPr>
          <w:rFonts w:cs="宋体"/>
          <w:b/>
          <w:bCs/>
        </w:rPr>
        <w:t>2</w:t>
      </w:r>
      <w:r w:rsidRPr="0063248C">
        <w:rPr>
          <w:rFonts w:cs="宋体"/>
          <w:b/>
          <w:bCs/>
        </w:rPr>
        <w:t>、信息披露及备置地点</w:t>
      </w:r>
      <w:bookmarkEnd w:id="6"/>
    </w:p>
    <w:p w14:paraId="4A9CCB3A" w14:textId="77777777" w:rsidR="007B3DB2" w:rsidRPr="0063248C" w:rsidRDefault="00000000">
      <w:pPr>
        <w:spacing w:before="100" w:after="100" w:line="240" w:lineRule="exact"/>
        <w:rPr>
          <w:rFonts w:cs="宋体"/>
          <w:sz w:val="18"/>
          <w:szCs w:val="18"/>
        </w:rPr>
      </w:pPr>
      <w:r w:rsidRPr="0063248C">
        <w:rPr>
          <w:rFonts w:cs="宋体"/>
          <w:sz w:val="18"/>
          <w:szCs w:val="18"/>
        </w:rPr>
        <w:t>信息披露及备置地点在报告期是否变化</w:t>
      </w:r>
    </w:p>
    <w:p w14:paraId="7C2D4A95"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0932026" w14:textId="77777777" w:rsidR="007B3DB2" w:rsidRPr="0063248C" w:rsidRDefault="00000000">
      <w:pPr>
        <w:spacing w:before="100" w:after="100" w:line="240" w:lineRule="exact"/>
        <w:rPr>
          <w:rFonts w:cs="宋体"/>
          <w:sz w:val="18"/>
          <w:szCs w:val="18"/>
        </w:rPr>
      </w:pPr>
      <w:r w:rsidRPr="0063248C">
        <w:rPr>
          <w:rFonts w:cs="宋体"/>
          <w:sz w:val="18"/>
          <w:szCs w:val="18"/>
        </w:rPr>
        <w:t>公司披露半年度报告的证券交易所网站和媒体名称及网址，公司半年度报告备置地在报告期无变化，具体可参见</w:t>
      </w:r>
      <w:r w:rsidRPr="0063248C">
        <w:rPr>
          <w:rFonts w:cs="宋体"/>
          <w:sz w:val="18"/>
          <w:szCs w:val="18"/>
        </w:rPr>
        <w:t>2023</w:t>
      </w:r>
      <w:r w:rsidRPr="0063248C">
        <w:rPr>
          <w:rFonts w:cs="宋体"/>
          <w:sz w:val="18"/>
          <w:szCs w:val="18"/>
        </w:rPr>
        <w:t>年年报。</w:t>
      </w:r>
    </w:p>
    <w:p w14:paraId="574552E8" w14:textId="77777777" w:rsidR="007B3DB2" w:rsidRPr="0063248C" w:rsidRDefault="00000000">
      <w:pPr>
        <w:pStyle w:val="3"/>
        <w:spacing w:line="280" w:lineRule="exact"/>
        <w:jc w:val="left"/>
        <w:rPr>
          <w:rFonts w:cs="宋体"/>
          <w:b/>
          <w:bCs/>
        </w:rPr>
      </w:pPr>
      <w:bookmarkStart w:id="7" w:name="_Toc988896"/>
      <w:r w:rsidRPr="0063248C">
        <w:rPr>
          <w:rFonts w:cs="宋体"/>
          <w:b/>
          <w:bCs/>
        </w:rPr>
        <w:t>3</w:t>
      </w:r>
      <w:r w:rsidRPr="0063248C">
        <w:rPr>
          <w:rFonts w:cs="宋体"/>
          <w:b/>
          <w:bCs/>
        </w:rPr>
        <w:t>、其他有关资料</w:t>
      </w:r>
      <w:bookmarkEnd w:id="7"/>
    </w:p>
    <w:p w14:paraId="198A66ED" w14:textId="77777777" w:rsidR="007B3DB2" w:rsidRPr="0063248C" w:rsidRDefault="00000000">
      <w:pPr>
        <w:spacing w:before="100" w:after="100" w:line="240" w:lineRule="exact"/>
        <w:rPr>
          <w:rFonts w:cs="宋体"/>
          <w:sz w:val="18"/>
          <w:szCs w:val="18"/>
        </w:rPr>
      </w:pPr>
      <w:r w:rsidRPr="0063248C">
        <w:rPr>
          <w:rFonts w:cs="宋体"/>
          <w:sz w:val="18"/>
          <w:szCs w:val="18"/>
        </w:rPr>
        <w:t>其他有关资料在报告期是否变更情况</w:t>
      </w:r>
    </w:p>
    <w:p w14:paraId="6D9B4100"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81991F6" w14:textId="77777777" w:rsidR="007B3DB2" w:rsidRPr="0063248C" w:rsidRDefault="00000000">
      <w:pPr>
        <w:pStyle w:val="2"/>
        <w:spacing w:before="300" w:after="300" w:line="320" w:lineRule="exact"/>
        <w:rPr>
          <w:rFonts w:cs="宋体"/>
          <w:b/>
          <w:bCs/>
          <w:sz w:val="24"/>
          <w:szCs w:val="24"/>
        </w:rPr>
      </w:pPr>
      <w:bookmarkStart w:id="8" w:name="_Toc988897"/>
      <w:r w:rsidRPr="0063248C">
        <w:rPr>
          <w:rFonts w:cs="宋体"/>
          <w:b/>
          <w:bCs/>
          <w:sz w:val="24"/>
          <w:szCs w:val="24"/>
        </w:rPr>
        <w:lastRenderedPageBreak/>
        <w:t>四、主要会计数据和财务指标</w:t>
      </w:r>
      <w:bookmarkEnd w:id="8"/>
    </w:p>
    <w:p w14:paraId="0801790A" w14:textId="77777777" w:rsidR="007B3DB2" w:rsidRPr="0063248C" w:rsidRDefault="00000000">
      <w:pPr>
        <w:spacing w:before="100" w:after="100" w:line="240" w:lineRule="exact"/>
        <w:rPr>
          <w:rFonts w:cs="宋体"/>
          <w:sz w:val="18"/>
          <w:szCs w:val="18"/>
        </w:rPr>
      </w:pPr>
      <w:r w:rsidRPr="0063248C">
        <w:rPr>
          <w:rFonts w:cs="宋体"/>
          <w:sz w:val="18"/>
          <w:szCs w:val="18"/>
        </w:rPr>
        <w:t>公司是否需追溯调整或重述以前年度会计数据</w:t>
      </w:r>
    </w:p>
    <w:p w14:paraId="3B8D330C"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是</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51D8CF4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2EC38F7"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B521AE6"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7DEA1C1" w14:textId="77777777" w:rsidR="007B3DB2" w:rsidRPr="0063248C" w:rsidRDefault="00000000">
            <w:pPr>
              <w:spacing w:before="40" w:after="40" w:line="240" w:lineRule="exact"/>
              <w:jc w:val="center"/>
              <w:rPr>
                <w:rFonts w:cs="宋体"/>
                <w:sz w:val="18"/>
                <w:szCs w:val="18"/>
              </w:rPr>
            </w:pPr>
            <w:r w:rsidRPr="0063248C">
              <w:rPr>
                <w:rFonts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2F0256F"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本报告期比上年同期增减</w:t>
            </w:r>
          </w:p>
        </w:tc>
      </w:tr>
      <w:tr w:rsidR="007B3DB2" w:rsidRPr="0063248C" w14:paraId="6B08437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5944989" w14:textId="77777777" w:rsidR="007B3DB2" w:rsidRPr="0063248C" w:rsidRDefault="00000000">
            <w:pPr>
              <w:spacing w:before="40" w:after="40" w:line="240" w:lineRule="exact"/>
              <w:rPr>
                <w:rFonts w:cs="宋体"/>
                <w:sz w:val="18"/>
                <w:szCs w:val="18"/>
              </w:rPr>
            </w:pPr>
            <w:r w:rsidRPr="0063248C">
              <w:rPr>
                <w:rFonts w:cs="宋体"/>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14:paraId="24D5D17B" w14:textId="77777777" w:rsidR="007B3DB2" w:rsidRPr="0063248C" w:rsidRDefault="00000000">
            <w:pPr>
              <w:spacing w:line="240" w:lineRule="exact"/>
              <w:jc w:val="right"/>
              <w:rPr>
                <w:rFonts w:cs="宋体"/>
                <w:sz w:val="18"/>
                <w:szCs w:val="18"/>
              </w:rPr>
            </w:pPr>
            <w:r w:rsidRPr="0063248C">
              <w:rPr>
                <w:rFonts w:cs="宋体"/>
                <w:sz w:val="18"/>
                <w:szCs w:val="18"/>
              </w:rPr>
              <w:t>5,044,132,021.30</w:t>
            </w:r>
          </w:p>
        </w:tc>
        <w:tc>
          <w:tcPr>
            <w:tcW w:w="2410" w:type="dxa"/>
            <w:tcBorders>
              <w:top w:val="single" w:sz="2" w:space="0" w:color="auto"/>
              <w:left w:val="single" w:sz="2" w:space="0" w:color="auto"/>
              <w:bottom w:val="single" w:sz="2" w:space="0" w:color="auto"/>
              <w:right w:val="single" w:sz="2" w:space="0" w:color="auto"/>
            </w:tcBorders>
            <w:vAlign w:val="center"/>
          </w:tcPr>
          <w:p w14:paraId="39D224D0" w14:textId="77777777" w:rsidR="007B3DB2" w:rsidRPr="0063248C" w:rsidRDefault="00000000">
            <w:pPr>
              <w:spacing w:line="240" w:lineRule="exact"/>
              <w:jc w:val="right"/>
              <w:rPr>
                <w:rFonts w:cs="宋体"/>
                <w:sz w:val="18"/>
                <w:szCs w:val="18"/>
              </w:rPr>
            </w:pPr>
            <w:r w:rsidRPr="0063248C">
              <w:rPr>
                <w:rFonts w:cs="宋体"/>
                <w:sz w:val="18"/>
                <w:szCs w:val="18"/>
              </w:rPr>
              <w:t>6,726,422,093.49</w:t>
            </w:r>
          </w:p>
        </w:tc>
        <w:tc>
          <w:tcPr>
            <w:tcW w:w="2410" w:type="dxa"/>
            <w:tcBorders>
              <w:top w:val="single" w:sz="2" w:space="0" w:color="auto"/>
              <w:left w:val="single" w:sz="2" w:space="0" w:color="auto"/>
              <w:bottom w:val="single" w:sz="2" w:space="0" w:color="auto"/>
              <w:right w:val="single" w:sz="2" w:space="0" w:color="auto"/>
            </w:tcBorders>
            <w:vAlign w:val="center"/>
          </w:tcPr>
          <w:p w14:paraId="4DDB2431" w14:textId="77777777" w:rsidR="007B3DB2" w:rsidRPr="0063248C" w:rsidRDefault="00000000">
            <w:pPr>
              <w:spacing w:line="240" w:lineRule="exact"/>
              <w:jc w:val="right"/>
              <w:rPr>
                <w:rFonts w:cs="宋体"/>
                <w:sz w:val="18"/>
                <w:szCs w:val="18"/>
              </w:rPr>
            </w:pPr>
            <w:r w:rsidRPr="0063248C">
              <w:rPr>
                <w:rFonts w:cs="宋体"/>
                <w:sz w:val="18"/>
                <w:szCs w:val="18"/>
              </w:rPr>
              <w:t>-25.01%</w:t>
            </w:r>
          </w:p>
        </w:tc>
      </w:tr>
      <w:tr w:rsidR="007B3DB2" w:rsidRPr="0063248C" w14:paraId="505799C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7111A00" w14:textId="77777777" w:rsidR="007B3DB2" w:rsidRPr="0063248C" w:rsidRDefault="00000000">
            <w:pPr>
              <w:spacing w:before="40" w:after="40" w:line="240" w:lineRule="exact"/>
              <w:rPr>
                <w:rFonts w:cs="宋体"/>
                <w:sz w:val="18"/>
                <w:szCs w:val="18"/>
              </w:rPr>
            </w:pPr>
            <w:r w:rsidRPr="0063248C">
              <w:rPr>
                <w:rFonts w:cs="宋体"/>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14:paraId="261F4FE3" w14:textId="77777777" w:rsidR="007B3DB2" w:rsidRPr="0063248C" w:rsidRDefault="00000000">
            <w:pPr>
              <w:spacing w:line="240" w:lineRule="exact"/>
              <w:jc w:val="right"/>
              <w:rPr>
                <w:rFonts w:cs="宋体"/>
                <w:sz w:val="18"/>
                <w:szCs w:val="18"/>
              </w:rPr>
            </w:pPr>
            <w:r w:rsidRPr="0063248C">
              <w:rPr>
                <w:rFonts w:cs="宋体"/>
                <w:sz w:val="18"/>
                <w:szCs w:val="18"/>
              </w:rPr>
              <w:t>58,152,622.01</w:t>
            </w:r>
          </w:p>
        </w:tc>
        <w:tc>
          <w:tcPr>
            <w:tcW w:w="2410" w:type="dxa"/>
            <w:tcBorders>
              <w:top w:val="single" w:sz="2" w:space="0" w:color="auto"/>
              <w:left w:val="single" w:sz="2" w:space="0" w:color="auto"/>
              <w:bottom w:val="single" w:sz="2" w:space="0" w:color="auto"/>
              <w:right w:val="single" w:sz="2" w:space="0" w:color="auto"/>
            </w:tcBorders>
            <w:vAlign w:val="center"/>
          </w:tcPr>
          <w:p w14:paraId="1A4881CC" w14:textId="77777777" w:rsidR="007B3DB2" w:rsidRPr="0063248C" w:rsidRDefault="00000000">
            <w:pPr>
              <w:spacing w:line="240" w:lineRule="exact"/>
              <w:jc w:val="right"/>
              <w:rPr>
                <w:rFonts w:cs="宋体"/>
                <w:sz w:val="18"/>
                <w:szCs w:val="18"/>
              </w:rPr>
            </w:pPr>
            <w:r w:rsidRPr="0063248C">
              <w:rPr>
                <w:rFonts w:cs="宋体"/>
                <w:sz w:val="18"/>
                <w:szCs w:val="18"/>
              </w:rPr>
              <w:t>-624,337,418.82</w:t>
            </w:r>
          </w:p>
        </w:tc>
        <w:tc>
          <w:tcPr>
            <w:tcW w:w="2410" w:type="dxa"/>
            <w:tcBorders>
              <w:top w:val="single" w:sz="2" w:space="0" w:color="auto"/>
              <w:left w:val="single" w:sz="2" w:space="0" w:color="auto"/>
              <w:bottom w:val="single" w:sz="2" w:space="0" w:color="auto"/>
              <w:right w:val="single" w:sz="2" w:space="0" w:color="auto"/>
            </w:tcBorders>
            <w:vAlign w:val="center"/>
          </w:tcPr>
          <w:p w14:paraId="6AA829C7" w14:textId="77777777" w:rsidR="007B3DB2" w:rsidRPr="0063248C" w:rsidRDefault="00000000">
            <w:pPr>
              <w:spacing w:line="240" w:lineRule="exact"/>
              <w:jc w:val="right"/>
              <w:rPr>
                <w:rFonts w:cs="宋体"/>
                <w:sz w:val="18"/>
                <w:szCs w:val="18"/>
              </w:rPr>
            </w:pPr>
            <w:r w:rsidRPr="0063248C">
              <w:rPr>
                <w:rFonts w:cs="宋体"/>
                <w:sz w:val="18"/>
                <w:szCs w:val="18"/>
              </w:rPr>
              <w:t>109.31%</w:t>
            </w:r>
          </w:p>
        </w:tc>
      </w:tr>
      <w:tr w:rsidR="007B3DB2" w:rsidRPr="0063248C" w14:paraId="5A0E57B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BB22827" w14:textId="77777777" w:rsidR="007B3DB2" w:rsidRPr="0063248C" w:rsidRDefault="00000000">
            <w:pPr>
              <w:spacing w:before="40" w:after="40" w:line="240" w:lineRule="exact"/>
              <w:rPr>
                <w:rFonts w:cs="宋体"/>
                <w:sz w:val="18"/>
                <w:szCs w:val="18"/>
              </w:rPr>
            </w:pPr>
            <w:r w:rsidRPr="0063248C">
              <w:rPr>
                <w:rFonts w:cs="宋体"/>
                <w:sz w:val="18"/>
                <w:szCs w:val="18"/>
              </w:rPr>
              <w:t>归属于上市公司股东的扣除非经常性损益的净利润（元）</w:t>
            </w:r>
          </w:p>
        </w:tc>
        <w:tc>
          <w:tcPr>
            <w:tcW w:w="2410" w:type="dxa"/>
            <w:tcBorders>
              <w:top w:val="single" w:sz="2" w:space="0" w:color="auto"/>
              <w:left w:val="single" w:sz="2" w:space="0" w:color="auto"/>
              <w:bottom w:val="single" w:sz="2" w:space="0" w:color="auto"/>
              <w:right w:val="single" w:sz="2" w:space="0" w:color="auto"/>
            </w:tcBorders>
            <w:vAlign w:val="center"/>
          </w:tcPr>
          <w:p w14:paraId="0CBB2C00" w14:textId="77777777" w:rsidR="007B3DB2" w:rsidRPr="0063248C" w:rsidRDefault="00000000">
            <w:pPr>
              <w:spacing w:line="240" w:lineRule="exact"/>
              <w:jc w:val="right"/>
              <w:rPr>
                <w:rFonts w:cs="宋体"/>
                <w:sz w:val="18"/>
                <w:szCs w:val="18"/>
              </w:rPr>
            </w:pPr>
            <w:r w:rsidRPr="0063248C">
              <w:rPr>
                <w:rFonts w:cs="宋体"/>
                <w:sz w:val="18"/>
                <w:szCs w:val="18"/>
              </w:rPr>
              <w:t>55,794,551.21</w:t>
            </w:r>
          </w:p>
        </w:tc>
        <w:tc>
          <w:tcPr>
            <w:tcW w:w="2410" w:type="dxa"/>
            <w:tcBorders>
              <w:top w:val="single" w:sz="2" w:space="0" w:color="auto"/>
              <w:left w:val="single" w:sz="2" w:space="0" w:color="auto"/>
              <w:bottom w:val="single" w:sz="2" w:space="0" w:color="auto"/>
              <w:right w:val="single" w:sz="2" w:space="0" w:color="auto"/>
            </w:tcBorders>
            <w:vAlign w:val="center"/>
          </w:tcPr>
          <w:p w14:paraId="0393A896" w14:textId="77777777" w:rsidR="007B3DB2" w:rsidRPr="0063248C" w:rsidRDefault="00000000">
            <w:pPr>
              <w:spacing w:line="240" w:lineRule="exact"/>
              <w:jc w:val="right"/>
              <w:rPr>
                <w:rFonts w:cs="宋体"/>
                <w:sz w:val="18"/>
                <w:szCs w:val="18"/>
              </w:rPr>
            </w:pPr>
            <w:r w:rsidRPr="0063248C">
              <w:rPr>
                <w:rFonts w:cs="宋体"/>
                <w:sz w:val="18"/>
                <w:szCs w:val="18"/>
              </w:rPr>
              <w:t>-464,087,662.40</w:t>
            </w:r>
          </w:p>
        </w:tc>
        <w:tc>
          <w:tcPr>
            <w:tcW w:w="2410" w:type="dxa"/>
            <w:tcBorders>
              <w:top w:val="single" w:sz="2" w:space="0" w:color="auto"/>
              <w:left w:val="single" w:sz="2" w:space="0" w:color="auto"/>
              <w:bottom w:val="single" w:sz="2" w:space="0" w:color="auto"/>
              <w:right w:val="single" w:sz="2" w:space="0" w:color="auto"/>
            </w:tcBorders>
            <w:vAlign w:val="center"/>
          </w:tcPr>
          <w:p w14:paraId="52B738E4" w14:textId="77777777" w:rsidR="007B3DB2" w:rsidRPr="0063248C" w:rsidRDefault="00000000">
            <w:pPr>
              <w:spacing w:line="240" w:lineRule="exact"/>
              <w:jc w:val="right"/>
              <w:rPr>
                <w:rFonts w:cs="宋体"/>
                <w:sz w:val="18"/>
                <w:szCs w:val="18"/>
              </w:rPr>
            </w:pPr>
            <w:r w:rsidRPr="0063248C">
              <w:rPr>
                <w:rFonts w:cs="宋体"/>
                <w:sz w:val="18"/>
                <w:szCs w:val="18"/>
              </w:rPr>
              <w:t>112.02%</w:t>
            </w:r>
          </w:p>
        </w:tc>
      </w:tr>
      <w:tr w:rsidR="007B3DB2" w:rsidRPr="0063248C" w14:paraId="73D87D6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482653" w14:textId="77777777" w:rsidR="007B3DB2" w:rsidRPr="0063248C" w:rsidRDefault="00000000">
            <w:pPr>
              <w:spacing w:before="40" w:after="40" w:line="240" w:lineRule="exact"/>
              <w:rPr>
                <w:rFonts w:cs="宋体"/>
                <w:sz w:val="18"/>
                <w:szCs w:val="18"/>
              </w:rPr>
            </w:pPr>
            <w:r w:rsidRPr="0063248C">
              <w:rPr>
                <w:rFonts w:cs="宋体"/>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14:paraId="31F3415A" w14:textId="77777777" w:rsidR="007B3DB2" w:rsidRPr="0063248C" w:rsidRDefault="00000000">
            <w:pPr>
              <w:spacing w:line="240" w:lineRule="exact"/>
              <w:jc w:val="right"/>
              <w:rPr>
                <w:rFonts w:cs="宋体"/>
                <w:sz w:val="18"/>
                <w:szCs w:val="18"/>
              </w:rPr>
            </w:pPr>
            <w:r w:rsidRPr="0063248C">
              <w:rPr>
                <w:rFonts w:cs="宋体"/>
                <w:sz w:val="18"/>
                <w:szCs w:val="18"/>
              </w:rPr>
              <w:t>221,525,233.05</w:t>
            </w:r>
          </w:p>
        </w:tc>
        <w:tc>
          <w:tcPr>
            <w:tcW w:w="2410" w:type="dxa"/>
            <w:tcBorders>
              <w:top w:val="single" w:sz="2" w:space="0" w:color="auto"/>
              <w:left w:val="single" w:sz="2" w:space="0" w:color="auto"/>
              <w:bottom w:val="single" w:sz="2" w:space="0" w:color="auto"/>
              <w:right w:val="single" w:sz="2" w:space="0" w:color="auto"/>
            </w:tcBorders>
            <w:vAlign w:val="center"/>
          </w:tcPr>
          <w:p w14:paraId="5C1EF5A2" w14:textId="77777777" w:rsidR="007B3DB2" w:rsidRPr="0063248C" w:rsidRDefault="00000000">
            <w:pPr>
              <w:spacing w:line="240" w:lineRule="exact"/>
              <w:jc w:val="right"/>
              <w:rPr>
                <w:rFonts w:cs="宋体"/>
                <w:sz w:val="18"/>
                <w:szCs w:val="18"/>
              </w:rPr>
            </w:pPr>
            <w:r w:rsidRPr="0063248C">
              <w:rPr>
                <w:rFonts w:cs="宋体"/>
                <w:sz w:val="18"/>
                <w:szCs w:val="18"/>
              </w:rPr>
              <w:t>-366,555,444.44</w:t>
            </w:r>
          </w:p>
        </w:tc>
        <w:tc>
          <w:tcPr>
            <w:tcW w:w="2410" w:type="dxa"/>
            <w:tcBorders>
              <w:top w:val="single" w:sz="2" w:space="0" w:color="auto"/>
              <w:left w:val="single" w:sz="2" w:space="0" w:color="auto"/>
              <w:bottom w:val="single" w:sz="2" w:space="0" w:color="auto"/>
              <w:right w:val="single" w:sz="2" w:space="0" w:color="auto"/>
            </w:tcBorders>
            <w:vAlign w:val="center"/>
          </w:tcPr>
          <w:p w14:paraId="2AC21CD2" w14:textId="77777777" w:rsidR="007B3DB2" w:rsidRPr="0063248C" w:rsidRDefault="00000000">
            <w:pPr>
              <w:spacing w:line="240" w:lineRule="exact"/>
              <w:jc w:val="right"/>
              <w:rPr>
                <w:rFonts w:cs="宋体"/>
                <w:sz w:val="18"/>
                <w:szCs w:val="18"/>
              </w:rPr>
            </w:pPr>
            <w:r w:rsidRPr="0063248C">
              <w:rPr>
                <w:rFonts w:cs="宋体"/>
                <w:sz w:val="18"/>
                <w:szCs w:val="18"/>
              </w:rPr>
              <w:t>160.43%</w:t>
            </w:r>
          </w:p>
        </w:tc>
      </w:tr>
      <w:tr w:rsidR="007B3DB2" w:rsidRPr="0063248C" w14:paraId="60D8587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34ECAF4" w14:textId="77777777" w:rsidR="007B3DB2" w:rsidRPr="0063248C" w:rsidRDefault="00000000">
            <w:pPr>
              <w:spacing w:before="40" w:after="40" w:line="240" w:lineRule="exact"/>
              <w:rPr>
                <w:rFonts w:cs="宋体"/>
                <w:sz w:val="18"/>
                <w:szCs w:val="18"/>
              </w:rPr>
            </w:pPr>
            <w:r w:rsidRPr="0063248C">
              <w:rPr>
                <w:rFonts w:cs="宋体"/>
                <w:sz w:val="18"/>
                <w:szCs w:val="18"/>
              </w:rPr>
              <w:t>基本每股收益（元</w:t>
            </w:r>
            <w:r w:rsidRPr="0063248C">
              <w:rPr>
                <w:rFonts w:cs="宋体"/>
                <w:sz w:val="18"/>
                <w:szCs w:val="18"/>
              </w:rPr>
              <w:t>/</w:t>
            </w:r>
            <w:r w:rsidRPr="0063248C">
              <w:rPr>
                <w:rFonts w:cs="宋体"/>
                <w:sz w:val="18"/>
                <w:szCs w:val="18"/>
              </w:rPr>
              <w:t>股）</w:t>
            </w:r>
          </w:p>
        </w:tc>
        <w:tc>
          <w:tcPr>
            <w:tcW w:w="2410" w:type="dxa"/>
            <w:tcBorders>
              <w:top w:val="single" w:sz="2" w:space="0" w:color="auto"/>
              <w:left w:val="single" w:sz="2" w:space="0" w:color="auto"/>
              <w:bottom w:val="single" w:sz="2" w:space="0" w:color="auto"/>
              <w:right w:val="single" w:sz="2" w:space="0" w:color="auto"/>
            </w:tcBorders>
            <w:vAlign w:val="center"/>
          </w:tcPr>
          <w:p w14:paraId="10CCCEE1" w14:textId="77777777" w:rsidR="007B3DB2" w:rsidRPr="0063248C" w:rsidRDefault="00000000">
            <w:pPr>
              <w:spacing w:line="240" w:lineRule="exact"/>
              <w:jc w:val="right"/>
              <w:rPr>
                <w:rFonts w:cs="宋体"/>
                <w:sz w:val="18"/>
                <w:szCs w:val="18"/>
              </w:rPr>
            </w:pPr>
            <w:r w:rsidRPr="0063248C">
              <w:rPr>
                <w:rFonts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14:paraId="1C295838" w14:textId="77777777" w:rsidR="007B3DB2" w:rsidRPr="0063248C" w:rsidRDefault="00000000">
            <w:pPr>
              <w:spacing w:line="240" w:lineRule="exact"/>
              <w:jc w:val="right"/>
              <w:rPr>
                <w:rFonts w:cs="宋体"/>
                <w:sz w:val="18"/>
                <w:szCs w:val="18"/>
              </w:rPr>
            </w:pPr>
            <w:r w:rsidRPr="0063248C">
              <w:rPr>
                <w:rFonts w:cs="宋体"/>
                <w:sz w:val="18"/>
                <w:szCs w:val="18"/>
              </w:rPr>
              <w:t>-0.58</w:t>
            </w:r>
          </w:p>
        </w:tc>
        <w:tc>
          <w:tcPr>
            <w:tcW w:w="2410" w:type="dxa"/>
            <w:tcBorders>
              <w:top w:val="single" w:sz="2" w:space="0" w:color="auto"/>
              <w:left w:val="single" w:sz="2" w:space="0" w:color="auto"/>
              <w:bottom w:val="single" w:sz="2" w:space="0" w:color="auto"/>
              <w:right w:val="single" w:sz="2" w:space="0" w:color="auto"/>
            </w:tcBorders>
            <w:vAlign w:val="center"/>
          </w:tcPr>
          <w:p w14:paraId="792A24F2" w14:textId="77777777" w:rsidR="007B3DB2" w:rsidRPr="0063248C" w:rsidRDefault="00000000">
            <w:pPr>
              <w:spacing w:line="240" w:lineRule="exact"/>
              <w:jc w:val="right"/>
              <w:rPr>
                <w:rFonts w:cs="宋体"/>
                <w:sz w:val="18"/>
                <w:szCs w:val="18"/>
              </w:rPr>
            </w:pPr>
            <w:r w:rsidRPr="0063248C">
              <w:rPr>
                <w:rFonts w:cs="宋体"/>
                <w:sz w:val="18"/>
                <w:szCs w:val="18"/>
              </w:rPr>
              <w:t>108.62%</w:t>
            </w:r>
          </w:p>
        </w:tc>
      </w:tr>
      <w:tr w:rsidR="007B3DB2" w:rsidRPr="0063248C" w14:paraId="52BEDF4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6C7A7EC" w14:textId="77777777" w:rsidR="007B3DB2" w:rsidRPr="0063248C" w:rsidRDefault="00000000">
            <w:pPr>
              <w:spacing w:before="40" w:after="40" w:line="240" w:lineRule="exact"/>
              <w:rPr>
                <w:rFonts w:cs="宋体"/>
                <w:sz w:val="18"/>
                <w:szCs w:val="18"/>
              </w:rPr>
            </w:pPr>
            <w:r w:rsidRPr="0063248C">
              <w:rPr>
                <w:rFonts w:cs="宋体"/>
                <w:sz w:val="18"/>
                <w:szCs w:val="18"/>
              </w:rPr>
              <w:t>稀释每股收益（元</w:t>
            </w:r>
            <w:r w:rsidRPr="0063248C">
              <w:rPr>
                <w:rFonts w:cs="宋体"/>
                <w:sz w:val="18"/>
                <w:szCs w:val="18"/>
              </w:rPr>
              <w:t>/</w:t>
            </w:r>
            <w:r w:rsidRPr="0063248C">
              <w:rPr>
                <w:rFonts w:cs="宋体"/>
                <w:sz w:val="18"/>
                <w:szCs w:val="18"/>
              </w:rPr>
              <w:t>股）</w:t>
            </w:r>
          </w:p>
        </w:tc>
        <w:tc>
          <w:tcPr>
            <w:tcW w:w="2410" w:type="dxa"/>
            <w:tcBorders>
              <w:top w:val="single" w:sz="2" w:space="0" w:color="auto"/>
              <w:left w:val="single" w:sz="2" w:space="0" w:color="auto"/>
              <w:bottom w:val="single" w:sz="2" w:space="0" w:color="auto"/>
              <w:right w:val="single" w:sz="2" w:space="0" w:color="auto"/>
            </w:tcBorders>
            <w:vAlign w:val="center"/>
          </w:tcPr>
          <w:p w14:paraId="1481F3E3" w14:textId="77777777" w:rsidR="007B3DB2" w:rsidRPr="0063248C" w:rsidRDefault="00000000">
            <w:pPr>
              <w:spacing w:line="240" w:lineRule="exact"/>
              <w:jc w:val="right"/>
              <w:rPr>
                <w:rFonts w:cs="宋体"/>
                <w:sz w:val="18"/>
                <w:szCs w:val="18"/>
              </w:rPr>
            </w:pPr>
            <w:r w:rsidRPr="0063248C">
              <w:rPr>
                <w:rFonts w:cs="宋体"/>
                <w:sz w:val="18"/>
                <w:szCs w:val="18"/>
              </w:rPr>
              <w:t>0.07</w:t>
            </w:r>
          </w:p>
        </w:tc>
        <w:tc>
          <w:tcPr>
            <w:tcW w:w="2410" w:type="dxa"/>
            <w:tcBorders>
              <w:top w:val="single" w:sz="2" w:space="0" w:color="auto"/>
              <w:left w:val="single" w:sz="2" w:space="0" w:color="auto"/>
              <w:bottom w:val="single" w:sz="2" w:space="0" w:color="auto"/>
              <w:right w:val="single" w:sz="2" w:space="0" w:color="auto"/>
            </w:tcBorders>
            <w:vAlign w:val="center"/>
          </w:tcPr>
          <w:p w14:paraId="5875F533" w14:textId="77777777" w:rsidR="007B3DB2" w:rsidRPr="0063248C" w:rsidRDefault="00000000">
            <w:pPr>
              <w:spacing w:line="240" w:lineRule="exact"/>
              <w:jc w:val="right"/>
              <w:rPr>
                <w:rFonts w:cs="宋体"/>
                <w:sz w:val="18"/>
                <w:szCs w:val="18"/>
              </w:rPr>
            </w:pPr>
            <w:r w:rsidRPr="0063248C">
              <w:rPr>
                <w:rFonts w:cs="宋体"/>
                <w:sz w:val="18"/>
                <w:szCs w:val="18"/>
              </w:rPr>
              <w:t>-0.53</w:t>
            </w:r>
          </w:p>
        </w:tc>
        <w:tc>
          <w:tcPr>
            <w:tcW w:w="2410" w:type="dxa"/>
            <w:tcBorders>
              <w:top w:val="single" w:sz="2" w:space="0" w:color="auto"/>
              <w:left w:val="single" w:sz="2" w:space="0" w:color="auto"/>
              <w:bottom w:val="single" w:sz="2" w:space="0" w:color="auto"/>
              <w:right w:val="single" w:sz="2" w:space="0" w:color="auto"/>
            </w:tcBorders>
            <w:vAlign w:val="center"/>
          </w:tcPr>
          <w:p w14:paraId="404C8609" w14:textId="77777777" w:rsidR="007B3DB2" w:rsidRPr="0063248C" w:rsidRDefault="00000000">
            <w:pPr>
              <w:spacing w:line="240" w:lineRule="exact"/>
              <w:jc w:val="right"/>
              <w:rPr>
                <w:rFonts w:cs="宋体"/>
                <w:sz w:val="18"/>
                <w:szCs w:val="18"/>
              </w:rPr>
            </w:pPr>
            <w:r w:rsidRPr="0063248C">
              <w:rPr>
                <w:rFonts w:cs="宋体"/>
                <w:sz w:val="18"/>
                <w:szCs w:val="18"/>
              </w:rPr>
              <w:t>113.21%</w:t>
            </w:r>
          </w:p>
        </w:tc>
      </w:tr>
      <w:tr w:rsidR="007B3DB2" w:rsidRPr="0063248C" w14:paraId="671B100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F89C3F2" w14:textId="77777777" w:rsidR="007B3DB2" w:rsidRPr="0063248C" w:rsidRDefault="00000000">
            <w:pPr>
              <w:spacing w:before="40" w:after="40" w:line="240" w:lineRule="exact"/>
              <w:rPr>
                <w:rFonts w:cs="宋体"/>
                <w:sz w:val="18"/>
                <w:szCs w:val="18"/>
              </w:rPr>
            </w:pPr>
            <w:r w:rsidRPr="0063248C">
              <w:rPr>
                <w:rFonts w:cs="宋体"/>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14:paraId="632F0A7B" w14:textId="77777777" w:rsidR="007B3DB2" w:rsidRPr="0063248C" w:rsidRDefault="00000000">
            <w:pPr>
              <w:spacing w:line="240" w:lineRule="exact"/>
              <w:jc w:val="right"/>
              <w:rPr>
                <w:rFonts w:cs="宋体"/>
                <w:sz w:val="18"/>
                <w:szCs w:val="18"/>
              </w:rPr>
            </w:pPr>
            <w:r w:rsidRPr="0063248C">
              <w:rPr>
                <w:rFonts w:cs="宋体"/>
                <w:sz w:val="18"/>
                <w:szCs w:val="18"/>
              </w:rPr>
              <w:t>4.34%</w:t>
            </w:r>
          </w:p>
        </w:tc>
        <w:tc>
          <w:tcPr>
            <w:tcW w:w="2410" w:type="dxa"/>
            <w:tcBorders>
              <w:top w:val="single" w:sz="2" w:space="0" w:color="auto"/>
              <w:left w:val="single" w:sz="2" w:space="0" w:color="auto"/>
              <w:bottom w:val="single" w:sz="2" w:space="0" w:color="auto"/>
              <w:right w:val="single" w:sz="2" w:space="0" w:color="auto"/>
            </w:tcBorders>
            <w:vAlign w:val="center"/>
          </w:tcPr>
          <w:p w14:paraId="1EB1FC5C" w14:textId="77777777" w:rsidR="007B3DB2" w:rsidRPr="0063248C" w:rsidRDefault="00000000">
            <w:pPr>
              <w:spacing w:line="240" w:lineRule="exact"/>
              <w:jc w:val="right"/>
              <w:rPr>
                <w:rFonts w:cs="宋体"/>
                <w:sz w:val="18"/>
                <w:szCs w:val="18"/>
              </w:rPr>
            </w:pPr>
            <w:r w:rsidRPr="0063248C">
              <w:rPr>
                <w:rFonts w:cs="宋体"/>
                <w:sz w:val="18"/>
                <w:szCs w:val="18"/>
              </w:rPr>
              <w:t>-22.26%</w:t>
            </w:r>
          </w:p>
        </w:tc>
        <w:tc>
          <w:tcPr>
            <w:tcW w:w="2410" w:type="dxa"/>
            <w:tcBorders>
              <w:top w:val="single" w:sz="2" w:space="0" w:color="auto"/>
              <w:left w:val="single" w:sz="2" w:space="0" w:color="auto"/>
              <w:bottom w:val="single" w:sz="2" w:space="0" w:color="auto"/>
              <w:right w:val="single" w:sz="2" w:space="0" w:color="auto"/>
            </w:tcBorders>
            <w:vAlign w:val="center"/>
          </w:tcPr>
          <w:p w14:paraId="2D2B0993" w14:textId="77777777" w:rsidR="007B3DB2" w:rsidRPr="0063248C" w:rsidRDefault="00000000">
            <w:pPr>
              <w:spacing w:line="240" w:lineRule="exact"/>
              <w:jc w:val="right"/>
              <w:rPr>
                <w:rFonts w:cs="宋体"/>
                <w:sz w:val="18"/>
                <w:szCs w:val="18"/>
              </w:rPr>
            </w:pPr>
            <w:r w:rsidRPr="0063248C">
              <w:rPr>
                <w:rFonts w:cs="宋体"/>
                <w:sz w:val="18"/>
                <w:szCs w:val="18"/>
              </w:rPr>
              <w:t>26.60%</w:t>
            </w:r>
          </w:p>
        </w:tc>
      </w:tr>
      <w:tr w:rsidR="007B3DB2" w:rsidRPr="0063248C" w14:paraId="477A881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444107B"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238E9EC"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C72AECB" w14:textId="77777777" w:rsidR="007B3DB2" w:rsidRPr="0063248C" w:rsidRDefault="00000000">
            <w:pPr>
              <w:spacing w:before="40" w:after="40" w:line="240" w:lineRule="exact"/>
              <w:jc w:val="center"/>
              <w:rPr>
                <w:rFonts w:cs="宋体"/>
                <w:sz w:val="18"/>
                <w:szCs w:val="18"/>
              </w:rPr>
            </w:pPr>
            <w:r w:rsidRPr="0063248C">
              <w:rPr>
                <w:rFonts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6A87418"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本报告期末比上年度末增减</w:t>
            </w:r>
          </w:p>
        </w:tc>
      </w:tr>
      <w:tr w:rsidR="007B3DB2" w:rsidRPr="0063248C" w14:paraId="1F86CA5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2C3F695" w14:textId="77777777" w:rsidR="007B3DB2" w:rsidRPr="0063248C" w:rsidRDefault="00000000">
            <w:pPr>
              <w:spacing w:before="40" w:after="40" w:line="240" w:lineRule="exact"/>
              <w:rPr>
                <w:rFonts w:cs="宋体"/>
                <w:sz w:val="18"/>
                <w:szCs w:val="18"/>
              </w:rPr>
            </w:pPr>
            <w:r w:rsidRPr="0063248C">
              <w:rPr>
                <w:rFonts w:cs="宋体"/>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14:paraId="72D78140" w14:textId="77777777" w:rsidR="007B3DB2" w:rsidRPr="0063248C" w:rsidRDefault="00000000">
            <w:pPr>
              <w:spacing w:line="240" w:lineRule="exact"/>
              <w:jc w:val="right"/>
              <w:rPr>
                <w:rFonts w:cs="宋体"/>
                <w:sz w:val="18"/>
                <w:szCs w:val="18"/>
              </w:rPr>
            </w:pPr>
            <w:r w:rsidRPr="0063248C">
              <w:rPr>
                <w:rFonts w:cs="宋体"/>
                <w:sz w:val="18"/>
                <w:szCs w:val="18"/>
              </w:rPr>
              <w:t>5,934,505,143.97</w:t>
            </w:r>
          </w:p>
        </w:tc>
        <w:tc>
          <w:tcPr>
            <w:tcW w:w="2410" w:type="dxa"/>
            <w:tcBorders>
              <w:top w:val="single" w:sz="2" w:space="0" w:color="auto"/>
              <w:left w:val="single" w:sz="2" w:space="0" w:color="auto"/>
              <w:bottom w:val="single" w:sz="2" w:space="0" w:color="auto"/>
              <w:right w:val="single" w:sz="2" w:space="0" w:color="auto"/>
            </w:tcBorders>
            <w:vAlign w:val="center"/>
          </w:tcPr>
          <w:p w14:paraId="50866D42" w14:textId="77777777" w:rsidR="007B3DB2" w:rsidRPr="0063248C" w:rsidRDefault="00000000">
            <w:pPr>
              <w:spacing w:line="240" w:lineRule="exact"/>
              <w:jc w:val="right"/>
              <w:rPr>
                <w:rFonts w:cs="宋体"/>
                <w:sz w:val="18"/>
                <w:szCs w:val="18"/>
              </w:rPr>
            </w:pPr>
            <w:r w:rsidRPr="0063248C">
              <w:rPr>
                <w:rFonts w:cs="宋体"/>
                <w:sz w:val="18"/>
                <w:szCs w:val="18"/>
              </w:rPr>
              <w:t>6,317,538,408.46</w:t>
            </w:r>
          </w:p>
        </w:tc>
        <w:tc>
          <w:tcPr>
            <w:tcW w:w="2410" w:type="dxa"/>
            <w:tcBorders>
              <w:top w:val="single" w:sz="2" w:space="0" w:color="auto"/>
              <w:left w:val="single" w:sz="2" w:space="0" w:color="auto"/>
              <w:bottom w:val="single" w:sz="2" w:space="0" w:color="auto"/>
              <w:right w:val="single" w:sz="2" w:space="0" w:color="auto"/>
            </w:tcBorders>
            <w:vAlign w:val="center"/>
          </w:tcPr>
          <w:p w14:paraId="501A644D" w14:textId="77777777" w:rsidR="007B3DB2" w:rsidRPr="0063248C" w:rsidRDefault="00000000">
            <w:pPr>
              <w:spacing w:line="240" w:lineRule="exact"/>
              <w:jc w:val="right"/>
              <w:rPr>
                <w:rFonts w:cs="宋体"/>
                <w:sz w:val="18"/>
                <w:szCs w:val="18"/>
              </w:rPr>
            </w:pPr>
            <w:r w:rsidRPr="0063248C">
              <w:rPr>
                <w:rFonts w:cs="宋体"/>
                <w:sz w:val="18"/>
                <w:szCs w:val="18"/>
              </w:rPr>
              <w:t>-6.06%</w:t>
            </w:r>
          </w:p>
        </w:tc>
      </w:tr>
      <w:tr w:rsidR="007B3DB2" w:rsidRPr="0063248C" w14:paraId="161B6E7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10C784B" w14:textId="77777777" w:rsidR="007B3DB2" w:rsidRPr="0063248C" w:rsidRDefault="00000000">
            <w:pPr>
              <w:spacing w:before="40" w:after="40" w:line="240" w:lineRule="exact"/>
              <w:rPr>
                <w:rFonts w:cs="宋体"/>
                <w:sz w:val="18"/>
                <w:szCs w:val="18"/>
              </w:rPr>
            </w:pPr>
            <w:r w:rsidRPr="0063248C">
              <w:rPr>
                <w:rFonts w:cs="宋体"/>
                <w:sz w:val="18"/>
                <w:szCs w:val="18"/>
              </w:rPr>
              <w:t>归属于上市公司股东的净资产（元）</w:t>
            </w:r>
          </w:p>
        </w:tc>
        <w:tc>
          <w:tcPr>
            <w:tcW w:w="2410" w:type="dxa"/>
            <w:tcBorders>
              <w:top w:val="single" w:sz="2" w:space="0" w:color="auto"/>
              <w:left w:val="single" w:sz="2" w:space="0" w:color="auto"/>
              <w:bottom w:val="single" w:sz="2" w:space="0" w:color="auto"/>
              <w:right w:val="single" w:sz="2" w:space="0" w:color="auto"/>
            </w:tcBorders>
            <w:vAlign w:val="center"/>
          </w:tcPr>
          <w:p w14:paraId="266F9A2F" w14:textId="77777777" w:rsidR="007B3DB2" w:rsidRPr="0063248C" w:rsidRDefault="00000000">
            <w:pPr>
              <w:spacing w:line="240" w:lineRule="exact"/>
              <w:jc w:val="right"/>
              <w:rPr>
                <w:rFonts w:cs="宋体"/>
                <w:sz w:val="18"/>
                <w:szCs w:val="18"/>
              </w:rPr>
            </w:pPr>
            <w:r w:rsidRPr="0063248C">
              <w:rPr>
                <w:rFonts w:cs="宋体"/>
                <w:sz w:val="18"/>
                <w:szCs w:val="18"/>
              </w:rPr>
              <w:t>1,540,135,274.04</w:t>
            </w:r>
          </w:p>
        </w:tc>
        <w:tc>
          <w:tcPr>
            <w:tcW w:w="2410" w:type="dxa"/>
            <w:tcBorders>
              <w:top w:val="single" w:sz="2" w:space="0" w:color="auto"/>
              <w:left w:val="single" w:sz="2" w:space="0" w:color="auto"/>
              <w:bottom w:val="single" w:sz="2" w:space="0" w:color="auto"/>
              <w:right w:val="single" w:sz="2" w:space="0" w:color="auto"/>
            </w:tcBorders>
            <w:vAlign w:val="center"/>
          </w:tcPr>
          <w:p w14:paraId="227AB4C0" w14:textId="77777777" w:rsidR="007B3DB2" w:rsidRPr="0063248C" w:rsidRDefault="00000000">
            <w:pPr>
              <w:spacing w:line="240" w:lineRule="exact"/>
              <w:jc w:val="right"/>
              <w:rPr>
                <w:rFonts w:cs="宋体"/>
                <w:sz w:val="18"/>
                <w:szCs w:val="18"/>
              </w:rPr>
            </w:pPr>
            <w:r w:rsidRPr="0063248C">
              <w:rPr>
                <w:rFonts w:cs="宋体"/>
                <w:sz w:val="18"/>
                <w:szCs w:val="18"/>
              </w:rPr>
              <w:t>1,481,981,607.33</w:t>
            </w:r>
          </w:p>
        </w:tc>
        <w:tc>
          <w:tcPr>
            <w:tcW w:w="2410" w:type="dxa"/>
            <w:tcBorders>
              <w:top w:val="single" w:sz="2" w:space="0" w:color="auto"/>
              <w:left w:val="single" w:sz="2" w:space="0" w:color="auto"/>
              <w:bottom w:val="single" w:sz="2" w:space="0" w:color="auto"/>
              <w:right w:val="single" w:sz="2" w:space="0" w:color="auto"/>
            </w:tcBorders>
            <w:vAlign w:val="center"/>
          </w:tcPr>
          <w:p w14:paraId="5874DBA7" w14:textId="77777777" w:rsidR="007B3DB2" w:rsidRPr="0063248C" w:rsidRDefault="00000000">
            <w:pPr>
              <w:spacing w:line="240" w:lineRule="exact"/>
              <w:jc w:val="right"/>
              <w:rPr>
                <w:rFonts w:cs="宋体"/>
                <w:sz w:val="18"/>
                <w:szCs w:val="18"/>
              </w:rPr>
            </w:pPr>
            <w:r w:rsidRPr="0063248C">
              <w:rPr>
                <w:rFonts w:cs="宋体"/>
                <w:sz w:val="18"/>
                <w:szCs w:val="18"/>
              </w:rPr>
              <w:t>3.92%</w:t>
            </w:r>
          </w:p>
        </w:tc>
      </w:tr>
    </w:tbl>
    <w:p w14:paraId="356961B6" w14:textId="77777777" w:rsidR="007B3DB2" w:rsidRPr="0063248C" w:rsidRDefault="00000000">
      <w:pPr>
        <w:pStyle w:val="2"/>
        <w:spacing w:before="300" w:after="300" w:line="320" w:lineRule="exact"/>
        <w:rPr>
          <w:rFonts w:cs="宋体"/>
          <w:b/>
          <w:bCs/>
          <w:sz w:val="24"/>
          <w:szCs w:val="24"/>
        </w:rPr>
      </w:pPr>
      <w:bookmarkStart w:id="9" w:name="_Toc988898"/>
      <w:r w:rsidRPr="0063248C">
        <w:rPr>
          <w:rFonts w:cs="宋体"/>
          <w:b/>
          <w:bCs/>
          <w:sz w:val="24"/>
          <w:szCs w:val="24"/>
        </w:rPr>
        <w:t>五、境内外会计准则下会计数据差异</w:t>
      </w:r>
      <w:bookmarkEnd w:id="9"/>
    </w:p>
    <w:p w14:paraId="26D6497A" w14:textId="77777777" w:rsidR="007B3DB2" w:rsidRPr="0063248C" w:rsidRDefault="00000000">
      <w:pPr>
        <w:pStyle w:val="3"/>
        <w:spacing w:line="280" w:lineRule="exact"/>
        <w:jc w:val="left"/>
        <w:rPr>
          <w:rFonts w:cs="宋体"/>
          <w:b/>
          <w:bCs/>
        </w:rPr>
      </w:pPr>
      <w:bookmarkStart w:id="10" w:name="_Toc988899"/>
      <w:r w:rsidRPr="0063248C">
        <w:rPr>
          <w:rFonts w:cs="宋体"/>
          <w:b/>
          <w:bCs/>
        </w:rPr>
        <w:t>1</w:t>
      </w:r>
      <w:r w:rsidRPr="0063248C">
        <w:rPr>
          <w:rFonts w:cs="宋体"/>
          <w:b/>
          <w:bCs/>
        </w:rPr>
        <w:t>、同时按照国际会计准则与按照中国会计准则披露的财务</w:t>
      </w:r>
      <w:proofErr w:type="gramStart"/>
      <w:r w:rsidRPr="0063248C">
        <w:rPr>
          <w:rFonts w:cs="宋体"/>
          <w:b/>
          <w:bCs/>
        </w:rPr>
        <w:t>报告中净利润</w:t>
      </w:r>
      <w:proofErr w:type="gramEnd"/>
      <w:r w:rsidRPr="0063248C">
        <w:rPr>
          <w:rFonts w:cs="宋体"/>
          <w:b/>
          <w:bCs/>
        </w:rPr>
        <w:t>和净资产差异情况</w:t>
      </w:r>
      <w:bookmarkEnd w:id="10"/>
    </w:p>
    <w:p w14:paraId="05CD964E"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3B0BDEAA" w14:textId="77777777" w:rsidR="007B3DB2" w:rsidRPr="0063248C" w:rsidRDefault="00000000">
      <w:pPr>
        <w:spacing w:before="100" w:after="100" w:line="240" w:lineRule="exact"/>
        <w:rPr>
          <w:rFonts w:cs="宋体"/>
          <w:sz w:val="18"/>
          <w:szCs w:val="18"/>
        </w:rPr>
      </w:pPr>
      <w:r w:rsidRPr="0063248C">
        <w:rPr>
          <w:rFonts w:cs="宋体"/>
          <w:sz w:val="18"/>
          <w:szCs w:val="18"/>
        </w:rPr>
        <w:t>公司报告期不存在按照国际会计准则与按照中国会计准则披露的财务</w:t>
      </w:r>
      <w:proofErr w:type="gramStart"/>
      <w:r w:rsidRPr="0063248C">
        <w:rPr>
          <w:rFonts w:cs="宋体"/>
          <w:sz w:val="18"/>
          <w:szCs w:val="18"/>
        </w:rPr>
        <w:t>报告中净利润</w:t>
      </w:r>
      <w:proofErr w:type="gramEnd"/>
      <w:r w:rsidRPr="0063248C">
        <w:rPr>
          <w:rFonts w:cs="宋体"/>
          <w:sz w:val="18"/>
          <w:szCs w:val="18"/>
        </w:rPr>
        <w:t>和净资产差异情况。</w:t>
      </w:r>
    </w:p>
    <w:p w14:paraId="5169FFAA" w14:textId="77777777" w:rsidR="007B3DB2" w:rsidRPr="0063248C" w:rsidRDefault="00000000">
      <w:pPr>
        <w:pStyle w:val="3"/>
        <w:spacing w:line="280" w:lineRule="exact"/>
        <w:jc w:val="left"/>
        <w:rPr>
          <w:rFonts w:cs="宋体"/>
          <w:b/>
          <w:bCs/>
        </w:rPr>
      </w:pPr>
      <w:bookmarkStart w:id="11" w:name="_Toc988900"/>
      <w:r w:rsidRPr="0063248C">
        <w:rPr>
          <w:rFonts w:cs="宋体"/>
          <w:b/>
          <w:bCs/>
        </w:rPr>
        <w:t>2</w:t>
      </w:r>
      <w:r w:rsidRPr="0063248C">
        <w:rPr>
          <w:rFonts w:cs="宋体"/>
          <w:b/>
          <w:bCs/>
        </w:rPr>
        <w:t>、同时按照境外会计准则与按照中国会计准则披露的财务</w:t>
      </w:r>
      <w:proofErr w:type="gramStart"/>
      <w:r w:rsidRPr="0063248C">
        <w:rPr>
          <w:rFonts w:cs="宋体"/>
          <w:b/>
          <w:bCs/>
        </w:rPr>
        <w:t>报告中净利润</w:t>
      </w:r>
      <w:proofErr w:type="gramEnd"/>
      <w:r w:rsidRPr="0063248C">
        <w:rPr>
          <w:rFonts w:cs="宋体"/>
          <w:b/>
          <w:bCs/>
        </w:rPr>
        <w:t>和净资产差异情况</w:t>
      </w:r>
      <w:bookmarkEnd w:id="11"/>
    </w:p>
    <w:p w14:paraId="6A8209C7"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9BDFC26" w14:textId="77777777" w:rsidR="007B3DB2" w:rsidRPr="0063248C" w:rsidRDefault="00000000">
      <w:pPr>
        <w:spacing w:before="100" w:after="100" w:line="240" w:lineRule="exact"/>
        <w:rPr>
          <w:rFonts w:cs="宋体"/>
          <w:sz w:val="18"/>
          <w:szCs w:val="18"/>
        </w:rPr>
      </w:pPr>
      <w:r w:rsidRPr="0063248C">
        <w:rPr>
          <w:rFonts w:cs="宋体"/>
          <w:sz w:val="18"/>
          <w:szCs w:val="18"/>
        </w:rPr>
        <w:t>公司报告期不存在按照境外会计准则与按照中国会计准则披露的财务</w:t>
      </w:r>
      <w:proofErr w:type="gramStart"/>
      <w:r w:rsidRPr="0063248C">
        <w:rPr>
          <w:rFonts w:cs="宋体"/>
          <w:sz w:val="18"/>
          <w:szCs w:val="18"/>
        </w:rPr>
        <w:t>报告中净利润</w:t>
      </w:r>
      <w:proofErr w:type="gramEnd"/>
      <w:r w:rsidRPr="0063248C">
        <w:rPr>
          <w:rFonts w:cs="宋体"/>
          <w:sz w:val="18"/>
          <w:szCs w:val="18"/>
        </w:rPr>
        <w:t>和净资产差异情况。</w:t>
      </w:r>
    </w:p>
    <w:p w14:paraId="287F0404" w14:textId="77777777" w:rsidR="007B3DB2" w:rsidRPr="0063248C" w:rsidRDefault="00000000">
      <w:pPr>
        <w:pStyle w:val="2"/>
        <w:spacing w:before="300" w:after="300" w:line="320" w:lineRule="exact"/>
        <w:rPr>
          <w:rFonts w:cs="宋体"/>
          <w:b/>
          <w:bCs/>
          <w:sz w:val="24"/>
          <w:szCs w:val="24"/>
        </w:rPr>
      </w:pPr>
      <w:bookmarkStart w:id="12" w:name="_Toc988901"/>
      <w:r w:rsidRPr="0063248C">
        <w:rPr>
          <w:rFonts w:cs="宋体"/>
          <w:b/>
          <w:bCs/>
          <w:sz w:val="24"/>
          <w:szCs w:val="24"/>
        </w:rPr>
        <w:t>六、非经常性损益项目及金额</w:t>
      </w:r>
      <w:bookmarkEnd w:id="12"/>
    </w:p>
    <w:p w14:paraId="2BC9C880" w14:textId="77777777" w:rsidR="007B3DB2" w:rsidRPr="0063248C" w:rsidRDefault="00000000">
      <w:pPr>
        <w:spacing w:before="100" w:after="10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771D8F11"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0D7B92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0684B3" w14:textId="77777777" w:rsidR="007B3DB2" w:rsidRPr="0063248C" w:rsidRDefault="00000000">
            <w:pPr>
              <w:spacing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1D94E1" w14:textId="77777777" w:rsidR="007B3DB2" w:rsidRPr="0063248C" w:rsidRDefault="00000000">
            <w:pPr>
              <w:spacing w:line="240" w:lineRule="exact"/>
              <w:jc w:val="center"/>
              <w:rPr>
                <w:rFonts w:cs="宋体"/>
                <w:sz w:val="18"/>
                <w:szCs w:val="18"/>
              </w:rPr>
            </w:pPr>
            <w:r w:rsidRPr="0063248C">
              <w:rPr>
                <w:rFonts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E54B04" w14:textId="77777777" w:rsidR="007B3DB2" w:rsidRPr="0063248C" w:rsidRDefault="00000000">
            <w:pPr>
              <w:spacing w:line="240" w:lineRule="exact"/>
              <w:jc w:val="center"/>
              <w:rPr>
                <w:rFonts w:cs="宋体"/>
                <w:sz w:val="18"/>
                <w:szCs w:val="18"/>
              </w:rPr>
            </w:pPr>
            <w:r w:rsidRPr="0063248C">
              <w:rPr>
                <w:rFonts w:cs="宋体"/>
                <w:sz w:val="18"/>
                <w:szCs w:val="18"/>
              </w:rPr>
              <w:t>说明</w:t>
            </w:r>
          </w:p>
        </w:tc>
      </w:tr>
      <w:tr w:rsidR="007B3DB2" w:rsidRPr="0063248C" w14:paraId="70CA05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B6AF7E" w14:textId="77777777" w:rsidR="007B3DB2" w:rsidRPr="0063248C" w:rsidRDefault="00000000">
            <w:pPr>
              <w:spacing w:line="240" w:lineRule="exact"/>
              <w:rPr>
                <w:rFonts w:cs="宋体"/>
                <w:sz w:val="18"/>
                <w:szCs w:val="18"/>
              </w:rPr>
            </w:pPr>
            <w:r w:rsidRPr="0063248C">
              <w:rPr>
                <w:rFonts w:cs="宋体"/>
                <w:sz w:val="18"/>
                <w:szCs w:val="18"/>
              </w:rPr>
              <w:t>非流动性资产处置损益（包括已计提资产减值准备的冲销部分）</w:t>
            </w:r>
          </w:p>
        </w:tc>
        <w:tc>
          <w:tcPr>
            <w:tcW w:w="3213" w:type="dxa"/>
            <w:tcBorders>
              <w:top w:val="single" w:sz="2" w:space="0" w:color="auto"/>
              <w:left w:val="single" w:sz="2" w:space="0" w:color="auto"/>
              <w:bottom w:val="single" w:sz="2" w:space="0" w:color="auto"/>
              <w:right w:val="single" w:sz="2" w:space="0" w:color="auto"/>
            </w:tcBorders>
            <w:vAlign w:val="center"/>
          </w:tcPr>
          <w:p w14:paraId="73775AE6" w14:textId="77777777" w:rsidR="007B3DB2" w:rsidRPr="0063248C" w:rsidRDefault="00000000">
            <w:pPr>
              <w:spacing w:line="240" w:lineRule="exact"/>
              <w:jc w:val="right"/>
              <w:rPr>
                <w:rFonts w:cs="宋体"/>
                <w:sz w:val="18"/>
                <w:szCs w:val="18"/>
              </w:rPr>
            </w:pPr>
            <w:r w:rsidRPr="0063248C">
              <w:rPr>
                <w:rFonts w:cs="宋体"/>
                <w:sz w:val="18"/>
                <w:szCs w:val="18"/>
              </w:rPr>
              <w:t>-640,396.94</w:t>
            </w:r>
          </w:p>
        </w:tc>
        <w:tc>
          <w:tcPr>
            <w:tcW w:w="3213" w:type="dxa"/>
            <w:tcBorders>
              <w:top w:val="single" w:sz="2" w:space="0" w:color="auto"/>
              <w:left w:val="single" w:sz="2" w:space="0" w:color="auto"/>
              <w:bottom w:val="single" w:sz="2" w:space="0" w:color="auto"/>
              <w:right w:val="single" w:sz="2" w:space="0" w:color="auto"/>
            </w:tcBorders>
            <w:vAlign w:val="center"/>
          </w:tcPr>
          <w:p w14:paraId="44E7197F" w14:textId="77777777" w:rsidR="007B3DB2" w:rsidRPr="0063248C" w:rsidRDefault="007B3DB2">
            <w:pPr>
              <w:spacing w:line="240" w:lineRule="exact"/>
              <w:rPr>
                <w:rFonts w:cs="宋体"/>
                <w:sz w:val="18"/>
                <w:szCs w:val="18"/>
              </w:rPr>
            </w:pPr>
          </w:p>
        </w:tc>
      </w:tr>
      <w:tr w:rsidR="007B3DB2" w:rsidRPr="0063248C" w14:paraId="1903E1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3C8DAA" w14:textId="77777777" w:rsidR="007B3DB2" w:rsidRPr="0063248C" w:rsidRDefault="00000000">
            <w:pPr>
              <w:spacing w:line="240" w:lineRule="exact"/>
              <w:rPr>
                <w:rFonts w:cs="宋体"/>
                <w:sz w:val="18"/>
                <w:szCs w:val="18"/>
              </w:rPr>
            </w:pPr>
            <w:r w:rsidRPr="0063248C">
              <w:rPr>
                <w:rFonts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14:paraId="5B137452" w14:textId="77777777" w:rsidR="007B3DB2" w:rsidRPr="0063248C" w:rsidRDefault="00000000">
            <w:pPr>
              <w:spacing w:line="240" w:lineRule="exact"/>
              <w:jc w:val="right"/>
              <w:rPr>
                <w:rFonts w:cs="宋体"/>
                <w:sz w:val="18"/>
                <w:szCs w:val="18"/>
              </w:rPr>
            </w:pPr>
            <w:r w:rsidRPr="0063248C">
              <w:rPr>
                <w:rFonts w:cs="宋体"/>
                <w:sz w:val="18"/>
                <w:szCs w:val="18"/>
              </w:rPr>
              <w:t>6,969,253.10</w:t>
            </w:r>
          </w:p>
        </w:tc>
        <w:tc>
          <w:tcPr>
            <w:tcW w:w="3213" w:type="dxa"/>
            <w:tcBorders>
              <w:top w:val="single" w:sz="2" w:space="0" w:color="auto"/>
              <w:left w:val="single" w:sz="2" w:space="0" w:color="auto"/>
              <w:bottom w:val="single" w:sz="2" w:space="0" w:color="auto"/>
              <w:right w:val="single" w:sz="2" w:space="0" w:color="auto"/>
            </w:tcBorders>
            <w:vAlign w:val="center"/>
          </w:tcPr>
          <w:p w14:paraId="14624529" w14:textId="77777777" w:rsidR="007B3DB2" w:rsidRPr="0063248C" w:rsidRDefault="007B3DB2">
            <w:pPr>
              <w:spacing w:line="240" w:lineRule="exact"/>
              <w:rPr>
                <w:rFonts w:cs="宋体"/>
                <w:sz w:val="18"/>
                <w:szCs w:val="18"/>
              </w:rPr>
            </w:pPr>
          </w:p>
        </w:tc>
      </w:tr>
      <w:tr w:rsidR="007B3DB2" w:rsidRPr="0063248C" w14:paraId="2431E1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EC00E4" w14:textId="77777777" w:rsidR="007B3DB2" w:rsidRPr="0063248C" w:rsidRDefault="00000000">
            <w:pPr>
              <w:spacing w:line="240" w:lineRule="exact"/>
              <w:rPr>
                <w:rFonts w:cs="宋体"/>
                <w:sz w:val="18"/>
                <w:szCs w:val="18"/>
              </w:rPr>
            </w:pPr>
            <w:r w:rsidRPr="0063248C">
              <w:rPr>
                <w:rFonts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14:paraId="2CEB130E" w14:textId="77777777" w:rsidR="007B3DB2" w:rsidRPr="0063248C" w:rsidRDefault="00000000">
            <w:pPr>
              <w:spacing w:line="240" w:lineRule="exact"/>
              <w:jc w:val="right"/>
              <w:rPr>
                <w:rFonts w:cs="宋体"/>
                <w:sz w:val="18"/>
                <w:szCs w:val="18"/>
              </w:rPr>
            </w:pPr>
            <w:r w:rsidRPr="0063248C">
              <w:rPr>
                <w:rFonts w:cs="宋体"/>
                <w:sz w:val="18"/>
                <w:szCs w:val="18"/>
              </w:rPr>
              <w:t>-3,656,501.35</w:t>
            </w:r>
          </w:p>
        </w:tc>
        <w:tc>
          <w:tcPr>
            <w:tcW w:w="3213" w:type="dxa"/>
            <w:tcBorders>
              <w:top w:val="single" w:sz="2" w:space="0" w:color="auto"/>
              <w:left w:val="single" w:sz="2" w:space="0" w:color="auto"/>
              <w:bottom w:val="single" w:sz="2" w:space="0" w:color="auto"/>
              <w:right w:val="single" w:sz="2" w:space="0" w:color="auto"/>
            </w:tcBorders>
            <w:vAlign w:val="center"/>
          </w:tcPr>
          <w:p w14:paraId="5146CCF6" w14:textId="77777777" w:rsidR="007B3DB2" w:rsidRPr="0063248C" w:rsidRDefault="007B3DB2">
            <w:pPr>
              <w:spacing w:line="240" w:lineRule="exact"/>
              <w:rPr>
                <w:rFonts w:cs="宋体"/>
                <w:sz w:val="18"/>
                <w:szCs w:val="18"/>
              </w:rPr>
            </w:pPr>
          </w:p>
        </w:tc>
      </w:tr>
      <w:tr w:rsidR="007B3DB2" w:rsidRPr="0063248C" w14:paraId="02F88A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9711DF" w14:textId="77777777" w:rsidR="007B3DB2" w:rsidRPr="0063248C" w:rsidRDefault="00000000">
            <w:pPr>
              <w:spacing w:line="240" w:lineRule="exact"/>
              <w:ind w:firstLineChars="200" w:firstLine="360"/>
              <w:rPr>
                <w:rFonts w:cs="宋体"/>
                <w:sz w:val="18"/>
                <w:szCs w:val="18"/>
              </w:rPr>
            </w:pPr>
            <w:r w:rsidRPr="0063248C">
              <w:rPr>
                <w:rFonts w:cs="宋体"/>
                <w:sz w:val="18"/>
                <w:szCs w:val="18"/>
              </w:rPr>
              <w:t>少数股东权益影响额（税后）</w:t>
            </w:r>
          </w:p>
        </w:tc>
        <w:tc>
          <w:tcPr>
            <w:tcW w:w="3213" w:type="dxa"/>
            <w:tcBorders>
              <w:top w:val="single" w:sz="2" w:space="0" w:color="auto"/>
              <w:left w:val="single" w:sz="2" w:space="0" w:color="auto"/>
              <w:bottom w:val="single" w:sz="2" w:space="0" w:color="auto"/>
              <w:right w:val="single" w:sz="2" w:space="0" w:color="auto"/>
            </w:tcBorders>
            <w:vAlign w:val="center"/>
          </w:tcPr>
          <w:p w14:paraId="46957226" w14:textId="77777777" w:rsidR="007B3DB2" w:rsidRPr="0063248C" w:rsidRDefault="00000000">
            <w:pPr>
              <w:spacing w:line="240" w:lineRule="exact"/>
              <w:jc w:val="right"/>
              <w:rPr>
                <w:rFonts w:cs="宋体"/>
                <w:sz w:val="18"/>
                <w:szCs w:val="18"/>
              </w:rPr>
            </w:pPr>
            <w:r w:rsidRPr="0063248C">
              <w:rPr>
                <w:rFonts w:cs="宋体"/>
                <w:sz w:val="18"/>
                <w:szCs w:val="18"/>
              </w:rPr>
              <w:t>314,284.01</w:t>
            </w:r>
          </w:p>
        </w:tc>
        <w:tc>
          <w:tcPr>
            <w:tcW w:w="3213" w:type="dxa"/>
            <w:tcBorders>
              <w:top w:val="single" w:sz="2" w:space="0" w:color="auto"/>
              <w:left w:val="single" w:sz="2" w:space="0" w:color="auto"/>
              <w:bottom w:val="single" w:sz="2" w:space="0" w:color="auto"/>
              <w:right w:val="single" w:sz="2" w:space="0" w:color="auto"/>
            </w:tcBorders>
            <w:vAlign w:val="center"/>
          </w:tcPr>
          <w:p w14:paraId="6E490959" w14:textId="77777777" w:rsidR="007B3DB2" w:rsidRPr="0063248C" w:rsidRDefault="007B3DB2">
            <w:pPr>
              <w:spacing w:line="240" w:lineRule="exact"/>
              <w:rPr>
                <w:rFonts w:cs="宋体"/>
                <w:sz w:val="18"/>
                <w:szCs w:val="18"/>
              </w:rPr>
            </w:pPr>
          </w:p>
        </w:tc>
      </w:tr>
      <w:tr w:rsidR="007B3DB2" w:rsidRPr="0063248C" w14:paraId="4E400F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EA05BF" w14:textId="77777777" w:rsidR="007B3DB2" w:rsidRPr="0063248C" w:rsidRDefault="00000000">
            <w:pPr>
              <w:spacing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3EB3507" w14:textId="77777777" w:rsidR="007B3DB2" w:rsidRPr="0063248C" w:rsidRDefault="00000000">
            <w:pPr>
              <w:spacing w:line="240" w:lineRule="exact"/>
              <w:jc w:val="right"/>
              <w:rPr>
                <w:rFonts w:cs="宋体"/>
                <w:sz w:val="18"/>
                <w:szCs w:val="18"/>
              </w:rPr>
            </w:pPr>
            <w:r w:rsidRPr="0063248C">
              <w:rPr>
                <w:rFonts w:cs="宋体"/>
                <w:sz w:val="18"/>
                <w:szCs w:val="18"/>
              </w:rPr>
              <w:t>2,358,070.80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5E0058" w14:textId="77777777" w:rsidR="007B3DB2" w:rsidRPr="0063248C" w:rsidRDefault="007B3DB2"/>
        </w:tc>
      </w:tr>
    </w:tbl>
    <w:p w14:paraId="0AA551CA" w14:textId="77777777" w:rsidR="007B3DB2" w:rsidRPr="0063248C" w:rsidRDefault="00000000">
      <w:pPr>
        <w:spacing w:before="100" w:after="100" w:line="240" w:lineRule="exact"/>
        <w:rPr>
          <w:rFonts w:cs="宋体"/>
          <w:sz w:val="18"/>
          <w:szCs w:val="18"/>
        </w:rPr>
      </w:pPr>
      <w:r w:rsidRPr="0063248C">
        <w:rPr>
          <w:rFonts w:cs="宋体"/>
          <w:sz w:val="18"/>
          <w:szCs w:val="18"/>
        </w:rPr>
        <w:lastRenderedPageBreak/>
        <w:t>其他符合非经常性损益定义的损益项目的具体情况：</w:t>
      </w:r>
    </w:p>
    <w:p w14:paraId="033F56E0"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FF49476" w14:textId="77777777" w:rsidR="007B3DB2" w:rsidRPr="0063248C" w:rsidRDefault="00000000">
      <w:pPr>
        <w:spacing w:before="100" w:after="100" w:line="240" w:lineRule="exact"/>
        <w:rPr>
          <w:rFonts w:cs="宋体"/>
          <w:sz w:val="18"/>
          <w:szCs w:val="18"/>
        </w:rPr>
      </w:pPr>
      <w:r w:rsidRPr="0063248C">
        <w:rPr>
          <w:rFonts w:cs="宋体"/>
          <w:sz w:val="18"/>
          <w:szCs w:val="18"/>
        </w:rPr>
        <w:t>公司不存在其他符合非经常性损益定义的损益项目的具体情况。</w:t>
      </w:r>
    </w:p>
    <w:p w14:paraId="54F0387A" w14:textId="77777777" w:rsidR="007B3DB2" w:rsidRPr="0063248C" w:rsidRDefault="00000000">
      <w:pPr>
        <w:spacing w:before="100" w:after="100" w:line="240" w:lineRule="exact"/>
        <w:rPr>
          <w:rFonts w:cs="宋体"/>
          <w:sz w:val="18"/>
          <w:szCs w:val="18"/>
        </w:rPr>
      </w:pPr>
      <w:r w:rsidRPr="0063248C">
        <w:rPr>
          <w:rFonts w:cs="宋体"/>
          <w:sz w:val="18"/>
          <w:szCs w:val="18"/>
        </w:rPr>
        <w:t>将《公开发行证券的公司信息披露解释性公告第</w:t>
      </w:r>
      <w:r w:rsidRPr="0063248C">
        <w:rPr>
          <w:rFonts w:cs="宋体"/>
          <w:sz w:val="18"/>
          <w:szCs w:val="18"/>
        </w:rPr>
        <w:t>1</w:t>
      </w:r>
      <w:r w:rsidRPr="0063248C">
        <w:rPr>
          <w:rFonts w:cs="宋体"/>
          <w:sz w:val="18"/>
          <w:szCs w:val="18"/>
        </w:rPr>
        <w:t>号</w:t>
      </w:r>
      <w:r w:rsidRPr="0063248C">
        <w:rPr>
          <w:rFonts w:cs="宋体"/>
          <w:sz w:val="18"/>
          <w:szCs w:val="18"/>
        </w:rPr>
        <w:t>——</w:t>
      </w:r>
      <w:r w:rsidRPr="0063248C">
        <w:rPr>
          <w:rFonts w:cs="宋体"/>
          <w:sz w:val="18"/>
          <w:szCs w:val="18"/>
        </w:rPr>
        <w:t>非经常性损益》中列举的非经常性损益项目界定为经常性损益项目的情况说明</w:t>
      </w:r>
    </w:p>
    <w:p w14:paraId="1EB38759"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85C31CE" w14:textId="77777777" w:rsidR="007B3DB2" w:rsidRPr="0063248C" w:rsidRDefault="00000000">
      <w:pPr>
        <w:spacing w:before="100" w:after="100" w:line="240" w:lineRule="exact"/>
        <w:rPr>
          <w:rFonts w:cs="宋体"/>
          <w:sz w:val="18"/>
          <w:szCs w:val="18"/>
        </w:rPr>
      </w:pPr>
      <w:r w:rsidRPr="0063248C">
        <w:rPr>
          <w:rFonts w:cs="宋体"/>
          <w:sz w:val="18"/>
          <w:szCs w:val="18"/>
        </w:rPr>
        <w:t>公司不存在将《公开发行证券的公司信息披露解释性公告第</w:t>
      </w:r>
      <w:r w:rsidRPr="0063248C">
        <w:rPr>
          <w:rFonts w:cs="宋体"/>
          <w:sz w:val="18"/>
          <w:szCs w:val="18"/>
        </w:rPr>
        <w:t>1</w:t>
      </w:r>
      <w:r w:rsidRPr="0063248C">
        <w:rPr>
          <w:rFonts w:cs="宋体"/>
          <w:sz w:val="18"/>
          <w:szCs w:val="18"/>
        </w:rPr>
        <w:t>号</w:t>
      </w:r>
      <w:r w:rsidRPr="0063248C">
        <w:rPr>
          <w:rFonts w:cs="宋体"/>
          <w:sz w:val="18"/>
          <w:szCs w:val="18"/>
        </w:rPr>
        <w:t>——</w:t>
      </w:r>
      <w:r w:rsidRPr="0063248C">
        <w:rPr>
          <w:rFonts w:cs="宋体"/>
          <w:sz w:val="18"/>
          <w:szCs w:val="18"/>
        </w:rPr>
        <w:t>非经常性损益》中列举的非经常性损益项目界定为经常性损益的项目的情形。</w:t>
      </w:r>
    </w:p>
    <w:p w14:paraId="33EF88D3" w14:textId="77777777" w:rsidR="007B3DB2" w:rsidRPr="0063248C" w:rsidRDefault="00000000">
      <w:r w:rsidRPr="0063248C">
        <w:br w:type="page"/>
      </w:r>
    </w:p>
    <w:p w14:paraId="0760CA17" w14:textId="77777777" w:rsidR="007B3DB2" w:rsidRPr="0063248C" w:rsidRDefault="00000000">
      <w:pPr>
        <w:pStyle w:val="headingh1"/>
        <w:spacing w:before="340" w:after="330" w:line="773" w:lineRule="exact"/>
        <w:jc w:val="center"/>
        <w:rPr>
          <w:rFonts w:cs="宋体"/>
          <w:b/>
          <w:bCs/>
          <w:sz w:val="32"/>
          <w:szCs w:val="32"/>
        </w:rPr>
      </w:pPr>
      <w:bookmarkStart w:id="13" w:name="_Toc988902"/>
      <w:r w:rsidRPr="0063248C">
        <w:rPr>
          <w:rFonts w:cs="宋体"/>
          <w:b/>
          <w:bCs/>
          <w:sz w:val="32"/>
          <w:szCs w:val="32"/>
        </w:rPr>
        <w:lastRenderedPageBreak/>
        <w:t>第三节</w:t>
      </w:r>
      <w:r w:rsidRPr="0063248C">
        <w:rPr>
          <w:rFonts w:cs="宋体"/>
          <w:b/>
          <w:bCs/>
          <w:sz w:val="32"/>
          <w:szCs w:val="32"/>
        </w:rPr>
        <w:t xml:space="preserve"> </w:t>
      </w:r>
      <w:r w:rsidRPr="0063248C">
        <w:rPr>
          <w:rFonts w:cs="宋体"/>
          <w:b/>
          <w:bCs/>
          <w:sz w:val="32"/>
          <w:szCs w:val="32"/>
        </w:rPr>
        <w:t>管理</w:t>
      </w:r>
      <w:proofErr w:type="gramStart"/>
      <w:r w:rsidRPr="0063248C">
        <w:rPr>
          <w:rFonts w:cs="宋体"/>
          <w:b/>
          <w:bCs/>
          <w:sz w:val="32"/>
          <w:szCs w:val="32"/>
        </w:rPr>
        <w:t>层讨论</w:t>
      </w:r>
      <w:proofErr w:type="gramEnd"/>
      <w:r w:rsidRPr="0063248C">
        <w:rPr>
          <w:rFonts w:cs="宋体"/>
          <w:b/>
          <w:bCs/>
          <w:sz w:val="32"/>
          <w:szCs w:val="32"/>
        </w:rPr>
        <w:t>与分析</w:t>
      </w:r>
      <w:bookmarkEnd w:id="13"/>
    </w:p>
    <w:p w14:paraId="27359A1E" w14:textId="77777777" w:rsidR="007B3DB2" w:rsidRPr="0063248C" w:rsidRDefault="00000000">
      <w:pPr>
        <w:pStyle w:val="2"/>
        <w:spacing w:before="300" w:after="300" w:line="320" w:lineRule="exact"/>
        <w:rPr>
          <w:rFonts w:cs="宋体"/>
          <w:b/>
          <w:bCs/>
          <w:sz w:val="24"/>
          <w:szCs w:val="24"/>
        </w:rPr>
      </w:pPr>
      <w:bookmarkStart w:id="14" w:name="_Toc988903"/>
      <w:r w:rsidRPr="0063248C">
        <w:rPr>
          <w:rFonts w:cs="宋体"/>
          <w:b/>
          <w:bCs/>
          <w:sz w:val="24"/>
          <w:szCs w:val="24"/>
        </w:rPr>
        <w:t>一、报告期内公司从事的主要业务</w:t>
      </w:r>
      <w:bookmarkEnd w:id="14"/>
    </w:p>
    <w:p w14:paraId="4E66287F" w14:textId="77777777" w:rsidR="00517D34" w:rsidRPr="0063248C" w:rsidRDefault="00000000">
      <w:pPr>
        <w:pStyle w:val="a3"/>
        <w:spacing w:before="0" w:beforeAutospacing="0" w:after="0" w:afterAutospacing="0" w:line="276" w:lineRule="auto"/>
        <w:ind w:firstLine="360"/>
        <w:jc w:val="both"/>
        <w:divId w:val="951668771"/>
        <w:rPr>
          <w:rFonts w:ascii="Times New Roman" w:hAnsi="Times New Roman"/>
          <w:sz w:val="21"/>
          <w:szCs w:val="21"/>
        </w:rPr>
      </w:pPr>
      <w:r w:rsidRPr="0063248C">
        <w:rPr>
          <w:rFonts w:ascii="Times New Roman" w:hAnsi="Times New Roman" w:hint="eastAsia"/>
          <w:sz w:val="18"/>
          <w:szCs w:val="18"/>
        </w:rPr>
        <w:t>（一）报告期公司所处行业情况</w:t>
      </w:r>
    </w:p>
    <w:p w14:paraId="402C616F" w14:textId="77777777" w:rsidR="00517D34" w:rsidRPr="0063248C" w:rsidRDefault="00000000">
      <w:pPr>
        <w:pStyle w:val="a3"/>
        <w:spacing w:before="0" w:beforeAutospacing="0" w:after="0" w:afterAutospacing="0" w:line="276" w:lineRule="auto"/>
        <w:ind w:firstLine="360"/>
        <w:jc w:val="both"/>
        <w:divId w:val="951668771"/>
        <w:rPr>
          <w:rFonts w:ascii="Times New Roman" w:hAnsi="Times New Roman"/>
          <w:sz w:val="21"/>
          <w:szCs w:val="21"/>
        </w:rPr>
      </w:pPr>
      <w:r w:rsidRPr="0063248C">
        <w:rPr>
          <w:rFonts w:ascii="Times New Roman" w:hAnsi="Times New Roman" w:hint="eastAsia"/>
          <w:sz w:val="18"/>
          <w:szCs w:val="18"/>
        </w:rPr>
        <w:t>1</w:t>
      </w:r>
      <w:r w:rsidRPr="0063248C">
        <w:rPr>
          <w:rFonts w:ascii="Times New Roman" w:hAnsi="Times New Roman" w:hint="eastAsia"/>
          <w:sz w:val="18"/>
          <w:szCs w:val="18"/>
        </w:rPr>
        <w:t>、预制菜行业</w:t>
      </w:r>
    </w:p>
    <w:p w14:paraId="01A2BC3D" w14:textId="060934C5" w:rsidR="00517D34" w:rsidRPr="0063248C" w:rsidRDefault="00000000">
      <w:pPr>
        <w:pStyle w:val="a3"/>
        <w:spacing w:before="0" w:beforeAutospacing="0" w:after="0" w:afterAutospacing="0"/>
        <w:ind w:firstLine="360"/>
        <w:jc w:val="both"/>
        <w:divId w:val="951668771"/>
        <w:rPr>
          <w:rFonts w:ascii="Times New Roman" w:hAnsi="Times New Roman"/>
          <w:sz w:val="21"/>
          <w:szCs w:val="21"/>
        </w:rPr>
      </w:pPr>
      <w:r w:rsidRPr="0063248C">
        <w:rPr>
          <w:rFonts w:ascii="Times New Roman" w:hAnsi="Times New Roman" w:hint="eastAsia"/>
          <w:sz w:val="18"/>
          <w:szCs w:val="18"/>
        </w:rPr>
        <w:t>2023</w:t>
      </w:r>
      <w:r w:rsidRPr="0063248C">
        <w:rPr>
          <w:rFonts w:ascii="Times New Roman" w:hAnsi="Times New Roman" w:hint="eastAsia"/>
          <w:sz w:val="18"/>
          <w:szCs w:val="18"/>
        </w:rPr>
        <w:t>年</w:t>
      </w:r>
      <w:r w:rsidRPr="0063248C">
        <w:rPr>
          <w:rFonts w:ascii="Times New Roman" w:hAnsi="Times New Roman" w:hint="eastAsia"/>
          <w:sz w:val="18"/>
          <w:szCs w:val="18"/>
        </w:rPr>
        <w:t>2</w:t>
      </w:r>
      <w:r w:rsidRPr="0063248C">
        <w:rPr>
          <w:rFonts w:ascii="Times New Roman" w:hAnsi="Times New Roman" w:hint="eastAsia"/>
          <w:sz w:val="18"/>
          <w:szCs w:val="18"/>
        </w:rPr>
        <w:t>月预制菜被首次写进中央一号文件后，地方也响应了中央的号召针对当地的预制</w:t>
      </w:r>
      <w:proofErr w:type="gramStart"/>
      <w:r w:rsidRPr="0063248C">
        <w:rPr>
          <w:rFonts w:ascii="Times New Roman" w:hAnsi="Times New Roman" w:hint="eastAsia"/>
          <w:sz w:val="18"/>
          <w:szCs w:val="18"/>
        </w:rPr>
        <w:t>菜产业</w:t>
      </w:r>
      <w:proofErr w:type="gramEnd"/>
      <w:r w:rsidRPr="0063248C">
        <w:rPr>
          <w:rFonts w:ascii="Times New Roman" w:hAnsi="Times New Roman" w:hint="eastAsia"/>
          <w:sz w:val="18"/>
          <w:szCs w:val="18"/>
        </w:rPr>
        <w:t>制定出相应发展方针和措施助</w:t>
      </w:r>
      <w:proofErr w:type="gramStart"/>
      <w:r w:rsidRPr="0063248C">
        <w:rPr>
          <w:rFonts w:ascii="Times New Roman" w:hAnsi="Times New Roman" w:hint="eastAsia"/>
          <w:sz w:val="18"/>
          <w:szCs w:val="18"/>
        </w:rPr>
        <w:t>推当地预制菜产业</w:t>
      </w:r>
      <w:proofErr w:type="gramEnd"/>
      <w:r w:rsidRPr="0063248C">
        <w:rPr>
          <w:rFonts w:ascii="Times New Roman" w:hAnsi="Times New Roman" w:hint="eastAsia"/>
          <w:sz w:val="18"/>
          <w:szCs w:val="18"/>
        </w:rPr>
        <w:t>的发展，资本市场和预制菜投资者也纷纷入局。</w:t>
      </w:r>
      <w:r w:rsidRPr="0063248C">
        <w:rPr>
          <w:rFonts w:ascii="Times New Roman" w:hAnsi="Times New Roman" w:hint="eastAsia"/>
          <w:sz w:val="18"/>
          <w:szCs w:val="18"/>
        </w:rPr>
        <w:t>2024</w:t>
      </w:r>
      <w:r w:rsidRPr="0063248C">
        <w:rPr>
          <w:rFonts w:ascii="Times New Roman" w:hAnsi="Times New Roman" w:hint="eastAsia"/>
          <w:sz w:val="18"/>
          <w:szCs w:val="18"/>
        </w:rPr>
        <w:t>年</w:t>
      </w:r>
      <w:r w:rsidRPr="0063248C">
        <w:rPr>
          <w:rFonts w:ascii="Times New Roman" w:hAnsi="Times New Roman" w:hint="eastAsia"/>
          <w:sz w:val="18"/>
          <w:szCs w:val="18"/>
        </w:rPr>
        <w:t>3</w:t>
      </w:r>
      <w:r w:rsidRPr="0063248C">
        <w:rPr>
          <w:rFonts w:ascii="Times New Roman" w:hAnsi="Times New Roman" w:hint="eastAsia"/>
          <w:sz w:val="18"/>
          <w:szCs w:val="18"/>
        </w:rPr>
        <w:t>月，国家市场监督管理总局联合教育部、工业和信息化部、农业农村部、商务部、国家卫生健康委印发《关于加强预制菜食品安全监管促进产业高质量发展的通知》，首次在国家层面对预制菜原辅料、预加工工艺等进行了严格界定，为预制</w:t>
      </w:r>
      <w:proofErr w:type="gramStart"/>
      <w:r w:rsidRPr="0063248C">
        <w:rPr>
          <w:rFonts w:ascii="Times New Roman" w:hAnsi="Times New Roman" w:hint="eastAsia"/>
          <w:sz w:val="18"/>
          <w:szCs w:val="18"/>
        </w:rPr>
        <w:t>菜行业</w:t>
      </w:r>
      <w:proofErr w:type="gramEnd"/>
      <w:r w:rsidRPr="0063248C">
        <w:rPr>
          <w:rFonts w:ascii="Times New Roman" w:hAnsi="Times New Roman" w:hint="eastAsia"/>
          <w:sz w:val="18"/>
          <w:szCs w:val="18"/>
        </w:rPr>
        <w:t>的健康、规范、高质量发展指明了方向。根据《</w:t>
      </w:r>
      <w:r w:rsidRPr="0063248C">
        <w:rPr>
          <w:rFonts w:ascii="Times New Roman" w:hAnsi="Times New Roman" w:hint="eastAsia"/>
          <w:sz w:val="18"/>
          <w:szCs w:val="18"/>
        </w:rPr>
        <w:t>2023</w:t>
      </w:r>
      <w:r w:rsidRPr="0063248C">
        <w:rPr>
          <w:rFonts w:ascii="Times New Roman" w:hAnsi="Times New Roman" w:hint="eastAsia"/>
          <w:sz w:val="18"/>
          <w:szCs w:val="18"/>
        </w:rPr>
        <w:t>年中国预制菜产业发展蓝皮书》，预计到</w:t>
      </w:r>
      <w:r w:rsidRPr="0063248C">
        <w:rPr>
          <w:rFonts w:ascii="Times New Roman" w:hAnsi="Times New Roman" w:hint="eastAsia"/>
          <w:sz w:val="18"/>
          <w:szCs w:val="18"/>
        </w:rPr>
        <w:t>2026</w:t>
      </w:r>
      <w:r w:rsidRPr="0063248C">
        <w:rPr>
          <w:rFonts w:ascii="Times New Roman" w:hAnsi="Times New Roman" w:hint="eastAsia"/>
          <w:sz w:val="18"/>
          <w:szCs w:val="18"/>
        </w:rPr>
        <w:t>年，国内预制菜市场规模将达</w:t>
      </w:r>
      <w:r w:rsidRPr="0063248C">
        <w:rPr>
          <w:rFonts w:ascii="Times New Roman" w:hAnsi="Times New Roman" w:hint="eastAsia"/>
          <w:sz w:val="18"/>
          <w:szCs w:val="18"/>
        </w:rPr>
        <w:t xml:space="preserve">10,720 </w:t>
      </w:r>
      <w:r w:rsidRPr="0063248C">
        <w:rPr>
          <w:rFonts w:ascii="Times New Roman" w:hAnsi="Times New Roman" w:hint="eastAsia"/>
          <w:sz w:val="18"/>
          <w:szCs w:val="18"/>
        </w:rPr>
        <w:t>亿元。而我国预制菜起步较晚，行业集中度较低，根据《中国烹饪协会五年（</w:t>
      </w:r>
      <w:r w:rsidRPr="0063248C">
        <w:rPr>
          <w:rFonts w:ascii="Times New Roman" w:hAnsi="Times New Roman" w:hint="eastAsia"/>
          <w:sz w:val="18"/>
          <w:szCs w:val="18"/>
        </w:rPr>
        <w:t>2021-2025</w:t>
      </w:r>
      <w:r w:rsidRPr="0063248C">
        <w:rPr>
          <w:rFonts w:ascii="Times New Roman" w:hAnsi="Times New Roman" w:hint="eastAsia"/>
          <w:sz w:val="18"/>
          <w:szCs w:val="18"/>
        </w:rPr>
        <w:t>）工作规划》，目前国内预制菜渗透率只有</w:t>
      </w:r>
      <w:r w:rsidRPr="0063248C">
        <w:rPr>
          <w:rFonts w:ascii="Times New Roman" w:hAnsi="Times New Roman" w:hint="eastAsia"/>
          <w:sz w:val="18"/>
          <w:szCs w:val="18"/>
        </w:rPr>
        <w:t>10%-15%</w:t>
      </w:r>
      <w:r w:rsidRPr="0063248C">
        <w:rPr>
          <w:rFonts w:ascii="Times New Roman" w:hAnsi="Times New Roman" w:hint="eastAsia"/>
          <w:sz w:val="18"/>
          <w:szCs w:val="18"/>
        </w:rPr>
        <w:t>，而美国、日本预制菜渗透率已达</w:t>
      </w:r>
      <w:r w:rsidRPr="0063248C">
        <w:rPr>
          <w:rFonts w:ascii="Times New Roman" w:hAnsi="Times New Roman" w:hint="eastAsia"/>
          <w:sz w:val="18"/>
          <w:szCs w:val="18"/>
        </w:rPr>
        <w:t>60%</w:t>
      </w:r>
      <w:r w:rsidRPr="0063248C">
        <w:rPr>
          <w:rFonts w:ascii="Times New Roman" w:hAnsi="Times New Roman" w:hint="eastAsia"/>
          <w:sz w:val="18"/>
          <w:szCs w:val="18"/>
        </w:rPr>
        <w:t>以上，中国预制菜市场还有较大的扩容空间。山东省作为中国预制</w:t>
      </w:r>
      <w:proofErr w:type="gramStart"/>
      <w:r w:rsidRPr="0063248C">
        <w:rPr>
          <w:rFonts w:ascii="Times New Roman" w:hAnsi="Times New Roman" w:hint="eastAsia"/>
          <w:sz w:val="18"/>
          <w:szCs w:val="18"/>
        </w:rPr>
        <w:t>菜产业</w:t>
      </w:r>
      <w:proofErr w:type="gramEnd"/>
      <w:r w:rsidRPr="0063248C">
        <w:rPr>
          <w:rFonts w:ascii="Times New Roman" w:hAnsi="Times New Roman" w:hint="eastAsia"/>
          <w:sz w:val="18"/>
          <w:szCs w:val="18"/>
        </w:rPr>
        <w:t>大省，当地政府积极推动预制</w:t>
      </w:r>
      <w:proofErr w:type="gramStart"/>
      <w:r w:rsidRPr="0063248C">
        <w:rPr>
          <w:rFonts w:ascii="Times New Roman" w:hAnsi="Times New Roman" w:hint="eastAsia"/>
          <w:sz w:val="18"/>
          <w:szCs w:val="18"/>
        </w:rPr>
        <w:t>菜行业</w:t>
      </w:r>
      <w:proofErr w:type="gramEnd"/>
      <w:r w:rsidRPr="0063248C">
        <w:rPr>
          <w:rFonts w:ascii="Times New Roman" w:hAnsi="Times New Roman" w:hint="eastAsia"/>
          <w:sz w:val="18"/>
          <w:szCs w:val="18"/>
        </w:rPr>
        <w:t>的发展。</w:t>
      </w:r>
      <w:r w:rsidRPr="0063248C">
        <w:rPr>
          <w:rFonts w:ascii="Times New Roman" w:hAnsi="Times New Roman" w:hint="eastAsia"/>
          <w:sz w:val="18"/>
          <w:szCs w:val="18"/>
        </w:rPr>
        <w:t>2024</w:t>
      </w:r>
      <w:r w:rsidRPr="0063248C">
        <w:rPr>
          <w:rFonts w:ascii="Times New Roman" w:hAnsi="Times New Roman" w:hint="eastAsia"/>
          <w:sz w:val="18"/>
          <w:szCs w:val="18"/>
        </w:rPr>
        <w:t>年</w:t>
      </w:r>
      <w:r w:rsidRPr="0063248C">
        <w:rPr>
          <w:rFonts w:ascii="Times New Roman" w:hAnsi="Times New Roman" w:hint="eastAsia"/>
          <w:sz w:val="18"/>
          <w:szCs w:val="18"/>
        </w:rPr>
        <w:t>6</w:t>
      </w:r>
      <w:r w:rsidRPr="0063248C">
        <w:rPr>
          <w:rFonts w:ascii="Times New Roman" w:hAnsi="Times New Roman" w:hint="eastAsia"/>
          <w:sz w:val="18"/>
          <w:szCs w:val="18"/>
        </w:rPr>
        <w:t>月，山东省发展改革委等</w:t>
      </w:r>
      <w:r w:rsidRPr="0063248C">
        <w:rPr>
          <w:rFonts w:ascii="Times New Roman" w:hAnsi="Times New Roman" w:hint="eastAsia"/>
          <w:sz w:val="18"/>
          <w:szCs w:val="18"/>
        </w:rPr>
        <w:t>12</w:t>
      </w:r>
      <w:r w:rsidRPr="0063248C">
        <w:rPr>
          <w:rFonts w:ascii="Times New Roman" w:hAnsi="Times New Roman" w:hint="eastAsia"/>
          <w:sz w:val="18"/>
          <w:szCs w:val="18"/>
        </w:rPr>
        <w:t>部门联合印发《山东省预制菜产业高质量发展规划（</w:t>
      </w:r>
      <w:r w:rsidRPr="0063248C">
        <w:rPr>
          <w:rFonts w:ascii="Times New Roman" w:hAnsi="Times New Roman" w:hint="eastAsia"/>
          <w:sz w:val="18"/>
          <w:szCs w:val="18"/>
        </w:rPr>
        <w:t>2024</w:t>
      </w:r>
      <w:r w:rsidRPr="0063248C">
        <w:rPr>
          <w:rFonts w:ascii="Times New Roman" w:hAnsi="Times New Roman" w:hint="eastAsia"/>
          <w:sz w:val="18"/>
          <w:szCs w:val="18"/>
        </w:rPr>
        <w:t>—</w:t>
      </w:r>
      <w:r w:rsidRPr="0063248C">
        <w:rPr>
          <w:rFonts w:ascii="Times New Roman" w:hAnsi="Times New Roman" w:hint="eastAsia"/>
          <w:sz w:val="18"/>
          <w:szCs w:val="18"/>
        </w:rPr>
        <w:t>2027</w:t>
      </w:r>
      <w:r w:rsidRPr="0063248C">
        <w:rPr>
          <w:rFonts w:ascii="Times New Roman" w:hAnsi="Times New Roman" w:hint="eastAsia"/>
          <w:sz w:val="18"/>
          <w:szCs w:val="18"/>
        </w:rPr>
        <w:t>年）》，力争到</w:t>
      </w:r>
      <w:r w:rsidRPr="0063248C">
        <w:rPr>
          <w:rFonts w:ascii="Times New Roman" w:hAnsi="Times New Roman" w:hint="eastAsia"/>
          <w:sz w:val="18"/>
          <w:szCs w:val="18"/>
        </w:rPr>
        <w:t>2027</w:t>
      </w:r>
      <w:r w:rsidRPr="0063248C">
        <w:rPr>
          <w:rFonts w:ascii="Times New Roman" w:hAnsi="Times New Roman" w:hint="eastAsia"/>
          <w:sz w:val="18"/>
          <w:szCs w:val="18"/>
        </w:rPr>
        <w:t>年，全省预制菜市场经营主体数量突破</w:t>
      </w:r>
      <w:r w:rsidRPr="0063248C">
        <w:rPr>
          <w:rFonts w:ascii="Times New Roman" w:hAnsi="Times New Roman" w:hint="eastAsia"/>
          <w:sz w:val="18"/>
          <w:szCs w:val="18"/>
        </w:rPr>
        <w:t>8</w:t>
      </w:r>
      <w:r w:rsidR="006B562D">
        <w:rPr>
          <w:rFonts w:ascii="Times New Roman" w:hAnsi="Times New Roman" w:hint="eastAsia"/>
          <w:sz w:val="18"/>
          <w:szCs w:val="18"/>
        </w:rPr>
        <w:t>,</w:t>
      </w:r>
      <w:r w:rsidRPr="0063248C">
        <w:rPr>
          <w:rFonts w:ascii="Times New Roman" w:hAnsi="Times New Roman" w:hint="eastAsia"/>
          <w:sz w:val="18"/>
          <w:szCs w:val="18"/>
        </w:rPr>
        <w:t>000</w:t>
      </w:r>
      <w:r w:rsidRPr="0063248C">
        <w:rPr>
          <w:rFonts w:ascii="Times New Roman" w:hAnsi="Times New Roman" w:hint="eastAsia"/>
          <w:sz w:val="18"/>
          <w:szCs w:val="18"/>
        </w:rPr>
        <w:t>家，全产业链产值超过</w:t>
      </w:r>
      <w:r w:rsidRPr="0063248C">
        <w:rPr>
          <w:rFonts w:ascii="Times New Roman" w:hAnsi="Times New Roman" w:hint="eastAsia"/>
          <w:sz w:val="18"/>
          <w:szCs w:val="18"/>
        </w:rPr>
        <w:t>6</w:t>
      </w:r>
      <w:r w:rsidR="006B562D">
        <w:rPr>
          <w:rFonts w:ascii="Times New Roman" w:hAnsi="Times New Roman" w:hint="eastAsia"/>
          <w:sz w:val="18"/>
          <w:szCs w:val="18"/>
        </w:rPr>
        <w:t>,</w:t>
      </w:r>
      <w:r w:rsidRPr="0063248C">
        <w:rPr>
          <w:rFonts w:ascii="Times New Roman" w:hAnsi="Times New Roman" w:hint="eastAsia"/>
          <w:sz w:val="18"/>
          <w:szCs w:val="18"/>
        </w:rPr>
        <w:t>600</w:t>
      </w:r>
      <w:r w:rsidRPr="0063248C">
        <w:rPr>
          <w:rFonts w:ascii="Times New Roman" w:hAnsi="Times New Roman" w:hint="eastAsia"/>
          <w:sz w:val="18"/>
          <w:szCs w:val="18"/>
        </w:rPr>
        <w:t>亿元。公司作为预制</w:t>
      </w:r>
      <w:proofErr w:type="gramStart"/>
      <w:r w:rsidRPr="0063248C">
        <w:rPr>
          <w:rFonts w:ascii="Times New Roman" w:hAnsi="Times New Roman" w:hint="eastAsia"/>
          <w:sz w:val="18"/>
          <w:szCs w:val="18"/>
        </w:rPr>
        <w:t>菜行业</w:t>
      </w:r>
      <w:proofErr w:type="gramEnd"/>
      <w:r w:rsidRPr="0063248C">
        <w:rPr>
          <w:rFonts w:ascii="Times New Roman" w:hAnsi="Times New Roman" w:hint="eastAsia"/>
          <w:sz w:val="18"/>
          <w:szCs w:val="18"/>
        </w:rPr>
        <w:t>头部企业，将继续依托在技术、生产、人员、市场等方面的优势，进一步巩固公司的行业地位。</w:t>
      </w:r>
    </w:p>
    <w:p w14:paraId="5B1C2CA0" w14:textId="77777777" w:rsidR="00517D34" w:rsidRPr="0063248C" w:rsidRDefault="00000000">
      <w:pPr>
        <w:pStyle w:val="a3"/>
        <w:spacing w:before="0" w:beforeAutospacing="0" w:after="0" w:afterAutospacing="0" w:line="276" w:lineRule="auto"/>
        <w:ind w:firstLine="360"/>
        <w:jc w:val="both"/>
        <w:divId w:val="951668771"/>
        <w:rPr>
          <w:rFonts w:ascii="Times New Roman" w:hAnsi="Times New Roman"/>
          <w:sz w:val="21"/>
          <w:szCs w:val="21"/>
        </w:rPr>
      </w:pPr>
      <w:r w:rsidRPr="0063248C">
        <w:rPr>
          <w:rFonts w:ascii="Times New Roman" w:hAnsi="Times New Roman" w:hint="eastAsia"/>
          <w:sz w:val="18"/>
          <w:szCs w:val="18"/>
        </w:rPr>
        <w:t>2</w:t>
      </w:r>
      <w:r w:rsidRPr="0063248C">
        <w:rPr>
          <w:rFonts w:ascii="Times New Roman" w:hAnsi="Times New Roman" w:hint="eastAsia"/>
          <w:sz w:val="18"/>
          <w:szCs w:val="18"/>
        </w:rPr>
        <w:t>、生猪屠宰行业</w:t>
      </w:r>
    </w:p>
    <w:p w14:paraId="62E8E65E" w14:textId="2A3A2476" w:rsidR="00517D34" w:rsidRPr="0063248C" w:rsidRDefault="00000000">
      <w:pPr>
        <w:pStyle w:val="a3"/>
        <w:spacing w:before="0" w:beforeAutospacing="0" w:after="0" w:afterAutospacing="0" w:line="276" w:lineRule="auto"/>
        <w:ind w:firstLine="360"/>
        <w:jc w:val="both"/>
        <w:divId w:val="951668771"/>
        <w:rPr>
          <w:rFonts w:ascii="Times New Roman" w:hAnsi="Times New Roman"/>
          <w:sz w:val="21"/>
          <w:szCs w:val="21"/>
        </w:rPr>
      </w:pPr>
      <w:r w:rsidRPr="0063248C">
        <w:rPr>
          <w:rFonts w:ascii="Times New Roman" w:hAnsi="Times New Roman" w:hint="eastAsia"/>
          <w:sz w:val="18"/>
          <w:szCs w:val="18"/>
        </w:rPr>
        <w:t>根据国家统计局及农业农村部数据，</w:t>
      </w:r>
      <w:r w:rsidRPr="0063248C">
        <w:rPr>
          <w:rFonts w:ascii="Times New Roman" w:hAnsi="Times New Roman" w:hint="eastAsia"/>
          <w:sz w:val="18"/>
          <w:szCs w:val="18"/>
        </w:rPr>
        <w:t>2020</w:t>
      </w:r>
      <w:r w:rsidRPr="0063248C">
        <w:rPr>
          <w:rFonts w:ascii="Times New Roman" w:hAnsi="Times New Roman" w:hint="eastAsia"/>
          <w:sz w:val="18"/>
          <w:szCs w:val="18"/>
        </w:rPr>
        <w:t>年</w:t>
      </w:r>
      <w:r w:rsidRPr="0063248C">
        <w:rPr>
          <w:rFonts w:ascii="Times New Roman" w:hAnsi="Times New Roman" w:hint="eastAsia"/>
          <w:sz w:val="18"/>
          <w:szCs w:val="18"/>
        </w:rPr>
        <w:t>-2023</w:t>
      </w:r>
      <w:r w:rsidRPr="0063248C">
        <w:rPr>
          <w:rFonts w:ascii="Times New Roman" w:hAnsi="Times New Roman" w:hint="eastAsia"/>
          <w:sz w:val="18"/>
          <w:szCs w:val="18"/>
        </w:rPr>
        <w:t>年，我国规模以上定点屠宰企业（年屠宰量</w:t>
      </w:r>
      <w:r w:rsidRPr="0063248C">
        <w:rPr>
          <w:rFonts w:ascii="Times New Roman" w:hAnsi="Times New Roman" w:hint="eastAsia"/>
          <w:sz w:val="18"/>
          <w:szCs w:val="18"/>
        </w:rPr>
        <w:t>2</w:t>
      </w:r>
      <w:r w:rsidRPr="0063248C">
        <w:rPr>
          <w:rFonts w:ascii="Times New Roman" w:hAnsi="Times New Roman" w:hint="eastAsia"/>
          <w:sz w:val="18"/>
          <w:szCs w:val="18"/>
        </w:rPr>
        <w:t>万头以上）生猪屠宰数量从</w:t>
      </w:r>
      <w:r w:rsidRPr="0063248C">
        <w:rPr>
          <w:rFonts w:ascii="Times New Roman" w:hAnsi="Times New Roman" w:hint="eastAsia"/>
          <w:sz w:val="18"/>
          <w:szCs w:val="18"/>
        </w:rPr>
        <w:t>1.6</w:t>
      </w:r>
      <w:r w:rsidRPr="0063248C">
        <w:rPr>
          <w:rFonts w:ascii="Times New Roman" w:hAnsi="Times New Roman" w:hint="eastAsia"/>
          <w:sz w:val="18"/>
          <w:szCs w:val="18"/>
        </w:rPr>
        <w:t>亿头增长至</w:t>
      </w:r>
      <w:r w:rsidRPr="0063248C">
        <w:rPr>
          <w:rFonts w:ascii="Times New Roman" w:hAnsi="Times New Roman" w:hint="eastAsia"/>
          <w:sz w:val="18"/>
          <w:szCs w:val="18"/>
        </w:rPr>
        <w:t>3.4</w:t>
      </w:r>
      <w:r w:rsidRPr="0063248C">
        <w:rPr>
          <w:rFonts w:ascii="Times New Roman" w:hAnsi="Times New Roman" w:hint="eastAsia"/>
          <w:sz w:val="18"/>
          <w:szCs w:val="18"/>
        </w:rPr>
        <w:t>亿头，规模以上定点屠宰生猪占比从</w:t>
      </w:r>
      <w:r w:rsidRPr="0063248C">
        <w:rPr>
          <w:rFonts w:ascii="Times New Roman" w:hAnsi="Times New Roman" w:hint="eastAsia"/>
          <w:sz w:val="18"/>
          <w:szCs w:val="18"/>
        </w:rPr>
        <w:t>2020</w:t>
      </w:r>
      <w:r w:rsidRPr="0063248C">
        <w:rPr>
          <w:rFonts w:ascii="Times New Roman" w:hAnsi="Times New Roman" w:hint="eastAsia"/>
          <w:sz w:val="18"/>
          <w:szCs w:val="18"/>
        </w:rPr>
        <w:t>年的</w:t>
      </w:r>
      <w:r w:rsidRPr="0063248C">
        <w:rPr>
          <w:rFonts w:ascii="Times New Roman" w:hAnsi="Times New Roman" w:hint="eastAsia"/>
          <w:sz w:val="18"/>
          <w:szCs w:val="18"/>
        </w:rPr>
        <w:t>30.9%</w:t>
      </w:r>
      <w:r w:rsidRPr="0063248C">
        <w:rPr>
          <w:rFonts w:ascii="Times New Roman" w:hAnsi="Times New Roman" w:hint="eastAsia"/>
          <w:sz w:val="18"/>
          <w:szCs w:val="18"/>
        </w:rPr>
        <w:t>提升至</w:t>
      </w:r>
      <w:r w:rsidRPr="0063248C">
        <w:rPr>
          <w:rFonts w:ascii="Times New Roman" w:hAnsi="Times New Roman" w:hint="eastAsia"/>
          <w:sz w:val="18"/>
          <w:szCs w:val="18"/>
        </w:rPr>
        <w:t>2023</w:t>
      </w:r>
      <w:r w:rsidRPr="0063248C">
        <w:rPr>
          <w:rFonts w:ascii="Times New Roman" w:hAnsi="Times New Roman" w:hint="eastAsia"/>
          <w:sz w:val="18"/>
          <w:szCs w:val="18"/>
        </w:rPr>
        <w:t>年的</w:t>
      </w:r>
      <w:r w:rsidRPr="0063248C">
        <w:rPr>
          <w:rFonts w:ascii="Times New Roman" w:hAnsi="Times New Roman" w:hint="eastAsia"/>
          <w:sz w:val="18"/>
          <w:szCs w:val="18"/>
        </w:rPr>
        <w:t>47.3%</w:t>
      </w:r>
      <w:r w:rsidRPr="0063248C">
        <w:rPr>
          <w:rFonts w:ascii="Times New Roman" w:hAnsi="Times New Roman" w:hint="eastAsia"/>
          <w:sz w:val="18"/>
          <w:szCs w:val="18"/>
        </w:rPr>
        <w:t>，行业集中度逐渐提升。同时，受非洲猪瘟和环保政策的影响，我国政府不断提高防疫、环保和食品安全等方面的要求，从政策上加速小型屠宰场的退出，将进一步推动屠宰企业的规模化发展。</w:t>
      </w:r>
      <w:r w:rsidRPr="0063248C">
        <w:rPr>
          <w:rFonts w:ascii="Times New Roman" w:hAnsi="Times New Roman" w:hint="eastAsia"/>
          <w:sz w:val="18"/>
          <w:szCs w:val="18"/>
        </w:rPr>
        <w:t>2024</w:t>
      </w:r>
      <w:r w:rsidRPr="0063248C">
        <w:rPr>
          <w:rFonts w:ascii="Times New Roman" w:hAnsi="Times New Roman" w:hint="eastAsia"/>
          <w:sz w:val="18"/>
          <w:szCs w:val="18"/>
        </w:rPr>
        <w:t>年上半年，全国规模以上生猪定点屠宰企业屠宰量合计</w:t>
      </w:r>
      <w:r w:rsidRPr="0063248C">
        <w:rPr>
          <w:rFonts w:ascii="Times New Roman" w:hAnsi="Times New Roman" w:hint="eastAsia"/>
          <w:sz w:val="18"/>
          <w:szCs w:val="18"/>
        </w:rPr>
        <w:t>16</w:t>
      </w:r>
      <w:r w:rsidR="006B562D">
        <w:rPr>
          <w:rFonts w:ascii="Times New Roman" w:hAnsi="Times New Roman" w:hint="eastAsia"/>
          <w:sz w:val="18"/>
          <w:szCs w:val="18"/>
        </w:rPr>
        <w:t>,</w:t>
      </w:r>
      <w:r w:rsidRPr="0063248C">
        <w:rPr>
          <w:rFonts w:ascii="Times New Roman" w:hAnsi="Times New Roman" w:hint="eastAsia"/>
          <w:sz w:val="18"/>
          <w:szCs w:val="18"/>
        </w:rPr>
        <w:t>034.59</w:t>
      </w:r>
      <w:r w:rsidRPr="0063248C">
        <w:rPr>
          <w:rFonts w:ascii="Times New Roman" w:hAnsi="Times New Roman" w:hint="eastAsia"/>
          <w:sz w:val="18"/>
          <w:szCs w:val="18"/>
        </w:rPr>
        <w:t>万头，同比减少</w:t>
      </w:r>
      <w:r w:rsidRPr="0063248C">
        <w:rPr>
          <w:rFonts w:ascii="Times New Roman" w:hAnsi="Times New Roman" w:hint="eastAsia"/>
          <w:sz w:val="18"/>
          <w:szCs w:val="18"/>
        </w:rPr>
        <w:t>0.7%</w:t>
      </w:r>
      <w:r w:rsidRPr="0063248C">
        <w:rPr>
          <w:rFonts w:ascii="Times New Roman" w:hAnsi="Times New Roman" w:hint="eastAsia"/>
          <w:sz w:val="18"/>
          <w:szCs w:val="18"/>
        </w:rPr>
        <w:t>。此外，随着农业农村部发布的《生猪屠宰质量管理规范》施行，对定点屠宰企业生产管理进行了明确的要求，将进一步保障生猪产品质量安全、维护生物安全，也将不断促进行业的提档升级和健康发展。</w:t>
      </w:r>
    </w:p>
    <w:p w14:paraId="1BDA8D33" w14:textId="77777777" w:rsidR="00517D34" w:rsidRPr="0063248C" w:rsidRDefault="00000000">
      <w:pPr>
        <w:pStyle w:val="a3"/>
        <w:spacing w:before="0" w:beforeAutospacing="0" w:after="0" w:afterAutospacing="0" w:line="276" w:lineRule="auto"/>
        <w:ind w:firstLine="360"/>
        <w:jc w:val="both"/>
        <w:divId w:val="951668771"/>
        <w:rPr>
          <w:rFonts w:ascii="Times New Roman" w:hAnsi="Times New Roman"/>
          <w:sz w:val="21"/>
          <w:szCs w:val="21"/>
        </w:rPr>
      </w:pPr>
      <w:r w:rsidRPr="0063248C">
        <w:rPr>
          <w:rFonts w:ascii="Times New Roman" w:hAnsi="Times New Roman" w:hint="eastAsia"/>
          <w:sz w:val="18"/>
          <w:szCs w:val="18"/>
        </w:rPr>
        <w:t>3</w:t>
      </w:r>
      <w:r w:rsidRPr="0063248C">
        <w:rPr>
          <w:rFonts w:ascii="Times New Roman" w:hAnsi="Times New Roman" w:hint="eastAsia"/>
          <w:sz w:val="18"/>
          <w:szCs w:val="18"/>
        </w:rPr>
        <w:t>、生猪养殖行业</w:t>
      </w:r>
    </w:p>
    <w:p w14:paraId="2A67AA55" w14:textId="139593DE" w:rsidR="00517D34" w:rsidRPr="0063248C" w:rsidRDefault="00000000">
      <w:pPr>
        <w:pStyle w:val="a3"/>
        <w:spacing w:before="0" w:beforeAutospacing="0" w:after="0" w:afterAutospacing="0" w:line="276" w:lineRule="auto"/>
        <w:ind w:firstLine="360"/>
        <w:jc w:val="both"/>
        <w:divId w:val="951668771"/>
        <w:rPr>
          <w:rFonts w:ascii="Times New Roman" w:hAnsi="Times New Roman"/>
          <w:sz w:val="21"/>
          <w:szCs w:val="21"/>
        </w:rPr>
      </w:pPr>
      <w:r w:rsidRPr="0063248C">
        <w:rPr>
          <w:rFonts w:ascii="Times New Roman" w:hAnsi="Times New Roman" w:hint="eastAsia"/>
          <w:sz w:val="18"/>
          <w:szCs w:val="18"/>
        </w:rPr>
        <w:t>自</w:t>
      </w:r>
      <w:r w:rsidRPr="0063248C">
        <w:rPr>
          <w:rFonts w:ascii="Times New Roman" w:hAnsi="Times New Roman" w:hint="eastAsia"/>
          <w:sz w:val="18"/>
          <w:szCs w:val="18"/>
        </w:rPr>
        <w:t>2023</w:t>
      </w:r>
      <w:r w:rsidRPr="0063248C">
        <w:rPr>
          <w:rFonts w:ascii="Times New Roman" w:hAnsi="Times New Roman" w:hint="eastAsia"/>
          <w:sz w:val="18"/>
          <w:szCs w:val="18"/>
        </w:rPr>
        <w:t>年</w:t>
      </w:r>
      <w:r w:rsidRPr="0063248C">
        <w:rPr>
          <w:rFonts w:ascii="Times New Roman" w:hAnsi="Times New Roman" w:hint="eastAsia"/>
          <w:sz w:val="18"/>
          <w:szCs w:val="18"/>
        </w:rPr>
        <w:t>1</w:t>
      </w:r>
      <w:r w:rsidRPr="0063248C">
        <w:rPr>
          <w:rFonts w:ascii="Times New Roman" w:hAnsi="Times New Roman" w:hint="eastAsia"/>
          <w:sz w:val="18"/>
          <w:szCs w:val="18"/>
        </w:rPr>
        <w:t>月以来，全国生猪行业进入去产能周期，生猪出栏量稳步下降。根据国家统计局数据，</w:t>
      </w:r>
      <w:r w:rsidRPr="0063248C">
        <w:rPr>
          <w:rFonts w:ascii="Times New Roman" w:hAnsi="Times New Roman" w:hint="eastAsia"/>
          <w:sz w:val="18"/>
          <w:szCs w:val="18"/>
        </w:rPr>
        <w:t>2024</w:t>
      </w:r>
      <w:r w:rsidRPr="0063248C">
        <w:rPr>
          <w:rFonts w:ascii="Times New Roman" w:hAnsi="Times New Roman" w:hint="eastAsia"/>
          <w:sz w:val="18"/>
          <w:szCs w:val="18"/>
        </w:rPr>
        <w:t>年上半年，全国生猪出栏</w:t>
      </w:r>
      <w:r w:rsidRPr="0063248C">
        <w:rPr>
          <w:rFonts w:ascii="Times New Roman" w:hAnsi="Times New Roman" w:hint="eastAsia"/>
          <w:sz w:val="18"/>
          <w:szCs w:val="18"/>
        </w:rPr>
        <w:t>36,395</w:t>
      </w:r>
      <w:r w:rsidRPr="0063248C">
        <w:rPr>
          <w:rFonts w:ascii="Times New Roman" w:hAnsi="Times New Roman" w:hint="eastAsia"/>
          <w:sz w:val="18"/>
          <w:szCs w:val="18"/>
        </w:rPr>
        <w:t>万头，同比减少</w:t>
      </w:r>
      <w:r w:rsidRPr="0063248C">
        <w:rPr>
          <w:rFonts w:ascii="Times New Roman" w:hAnsi="Times New Roman" w:hint="eastAsia"/>
          <w:sz w:val="18"/>
          <w:szCs w:val="18"/>
        </w:rPr>
        <w:t>1,153</w:t>
      </w:r>
      <w:r w:rsidRPr="0063248C">
        <w:rPr>
          <w:rFonts w:ascii="Times New Roman" w:hAnsi="Times New Roman" w:hint="eastAsia"/>
          <w:sz w:val="18"/>
          <w:szCs w:val="18"/>
        </w:rPr>
        <w:t>万头，下降</w:t>
      </w:r>
      <w:r w:rsidRPr="0063248C">
        <w:rPr>
          <w:rFonts w:ascii="Times New Roman" w:hAnsi="Times New Roman" w:hint="eastAsia"/>
          <w:sz w:val="18"/>
          <w:szCs w:val="18"/>
        </w:rPr>
        <w:t>3.1%</w:t>
      </w:r>
      <w:r w:rsidRPr="0063248C">
        <w:rPr>
          <w:rFonts w:ascii="Times New Roman" w:hAnsi="Times New Roman" w:hint="eastAsia"/>
          <w:sz w:val="18"/>
          <w:szCs w:val="18"/>
        </w:rPr>
        <w:t>；猪肉产量</w:t>
      </w:r>
      <w:r w:rsidRPr="0063248C">
        <w:rPr>
          <w:rFonts w:ascii="Times New Roman" w:hAnsi="Times New Roman" w:hint="eastAsia"/>
          <w:sz w:val="18"/>
          <w:szCs w:val="18"/>
        </w:rPr>
        <w:t>2</w:t>
      </w:r>
      <w:r w:rsidR="006B562D">
        <w:rPr>
          <w:rFonts w:ascii="Times New Roman" w:hAnsi="Times New Roman" w:hint="eastAsia"/>
          <w:sz w:val="18"/>
          <w:szCs w:val="18"/>
        </w:rPr>
        <w:t>,</w:t>
      </w:r>
      <w:r w:rsidRPr="0063248C">
        <w:rPr>
          <w:rFonts w:ascii="Times New Roman" w:hAnsi="Times New Roman" w:hint="eastAsia"/>
          <w:sz w:val="18"/>
          <w:szCs w:val="18"/>
        </w:rPr>
        <w:t>981</w:t>
      </w:r>
      <w:r w:rsidRPr="0063248C">
        <w:rPr>
          <w:rFonts w:ascii="Times New Roman" w:hAnsi="Times New Roman" w:hint="eastAsia"/>
          <w:sz w:val="18"/>
          <w:szCs w:val="18"/>
        </w:rPr>
        <w:t>万吨，减少</w:t>
      </w:r>
      <w:r w:rsidRPr="0063248C">
        <w:rPr>
          <w:rFonts w:ascii="Times New Roman" w:hAnsi="Times New Roman" w:hint="eastAsia"/>
          <w:sz w:val="18"/>
          <w:szCs w:val="18"/>
        </w:rPr>
        <w:t>51</w:t>
      </w:r>
      <w:r w:rsidRPr="0063248C">
        <w:rPr>
          <w:rFonts w:ascii="Times New Roman" w:hAnsi="Times New Roman" w:hint="eastAsia"/>
          <w:sz w:val="18"/>
          <w:szCs w:val="18"/>
        </w:rPr>
        <w:t>万吨，下降</w:t>
      </w:r>
      <w:r w:rsidRPr="0063248C">
        <w:rPr>
          <w:rFonts w:ascii="Times New Roman" w:hAnsi="Times New Roman" w:hint="eastAsia"/>
          <w:sz w:val="18"/>
          <w:szCs w:val="18"/>
        </w:rPr>
        <w:t>1.7%</w:t>
      </w:r>
      <w:r w:rsidRPr="0063248C">
        <w:rPr>
          <w:rFonts w:ascii="Times New Roman" w:hAnsi="Times New Roman" w:hint="eastAsia"/>
          <w:sz w:val="18"/>
          <w:szCs w:val="18"/>
        </w:rPr>
        <w:t>。二季度末，全国生猪存栏</w:t>
      </w:r>
      <w:r w:rsidRPr="0063248C">
        <w:rPr>
          <w:rFonts w:ascii="Times New Roman" w:hAnsi="Times New Roman" w:hint="eastAsia"/>
          <w:sz w:val="18"/>
          <w:szCs w:val="18"/>
        </w:rPr>
        <w:t>41,533</w:t>
      </w:r>
      <w:r w:rsidRPr="0063248C">
        <w:rPr>
          <w:rFonts w:ascii="Times New Roman" w:hAnsi="Times New Roman" w:hint="eastAsia"/>
          <w:sz w:val="18"/>
          <w:szCs w:val="18"/>
        </w:rPr>
        <w:t>万头，同比减少</w:t>
      </w:r>
      <w:r w:rsidRPr="0063248C">
        <w:rPr>
          <w:rFonts w:ascii="Times New Roman" w:hAnsi="Times New Roman" w:hint="eastAsia"/>
          <w:sz w:val="18"/>
          <w:szCs w:val="18"/>
        </w:rPr>
        <w:t>1,984</w:t>
      </w:r>
      <w:r w:rsidRPr="0063248C">
        <w:rPr>
          <w:rFonts w:ascii="Times New Roman" w:hAnsi="Times New Roman" w:hint="eastAsia"/>
          <w:sz w:val="18"/>
          <w:szCs w:val="18"/>
        </w:rPr>
        <w:t>万头，下降</w:t>
      </w:r>
      <w:r w:rsidRPr="0063248C">
        <w:rPr>
          <w:rFonts w:ascii="Times New Roman" w:hAnsi="Times New Roman" w:hint="eastAsia"/>
          <w:sz w:val="18"/>
          <w:szCs w:val="18"/>
        </w:rPr>
        <w:t>4.6%</w:t>
      </w:r>
      <w:r w:rsidRPr="0063248C">
        <w:rPr>
          <w:rFonts w:ascii="Times New Roman" w:hAnsi="Times New Roman" w:hint="eastAsia"/>
          <w:sz w:val="18"/>
          <w:szCs w:val="18"/>
        </w:rPr>
        <w:t>。其中，</w:t>
      </w:r>
      <w:proofErr w:type="gramStart"/>
      <w:r w:rsidRPr="0063248C">
        <w:rPr>
          <w:rFonts w:ascii="Times New Roman" w:hAnsi="Times New Roman" w:hint="eastAsia"/>
          <w:sz w:val="18"/>
          <w:szCs w:val="18"/>
        </w:rPr>
        <w:t>能繁母猪</w:t>
      </w:r>
      <w:proofErr w:type="gramEnd"/>
      <w:r w:rsidRPr="0063248C">
        <w:rPr>
          <w:rFonts w:ascii="Times New Roman" w:hAnsi="Times New Roman" w:hint="eastAsia"/>
          <w:sz w:val="18"/>
          <w:szCs w:val="18"/>
        </w:rPr>
        <w:t>存栏</w:t>
      </w:r>
      <w:r w:rsidRPr="0063248C">
        <w:rPr>
          <w:rFonts w:ascii="Times New Roman" w:hAnsi="Times New Roman" w:hint="eastAsia"/>
          <w:sz w:val="18"/>
          <w:szCs w:val="18"/>
        </w:rPr>
        <w:t>4,038</w:t>
      </w:r>
      <w:r w:rsidRPr="0063248C">
        <w:rPr>
          <w:rFonts w:ascii="Times New Roman" w:hAnsi="Times New Roman" w:hint="eastAsia"/>
          <w:sz w:val="18"/>
          <w:szCs w:val="18"/>
        </w:rPr>
        <w:t>万头，同比减少</w:t>
      </w:r>
      <w:r w:rsidRPr="0063248C">
        <w:rPr>
          <w:rFonts w:ascii="Times New Roman" w:hAnsi="Times New Roman" w:hint="eastAsia"/>
          <w:sz w:val="18"/>
          <w:szCs w:val="18"/>
        </w:rPr>
        <w:t>259</w:t>
      </w:r>
      <w:r w:rsidRPr="0063248C">
        <w:rPr>
          <w:rFonts w:ascii="Times New Roman" w:hAnsi="Times New Roman" w:hint="eastAsia"/>
          <w:sz w:val="18"/>
          <w:szCs w:val="18"/>
        </w:rPr>
        <w:t>万头，下降</w:t>
      </w:r>
      <w:r w:rsidRPr="0063248C">
        <w:rPr>
          <w:rFonts w:ascii="Times New Roman" w:hAnsi="Times New Roman" w:hint="eastAsia"/>
          <w:sz w:val="18"/>
          <w:szCs w:val="18"/>
        </w:rPr>
        <w:t>6.0%</w:t>
      </w:r>
      <w:r w:rsidRPr="0063248C">
        <w:rPr>
          <w:rFonts w:ascii="Times New Roman" w:hAnsi="Times New Roman" w:hint="eastAsia"/>
          <w:sz w:val="18"/>
          <w:szCs w:val="18"/>
        </w:rPr>
        <w:t>。</w:t>
      </w:r>
      <w:proofErr w:type="gramStart"/>
      <w:r w:rsidRPr="0063248C">
        <w:rPr>
          <w:rFonts w:ascii="Times New Roman" w:hAnsi="Times New Roman" w:hint="eastAsia"/>
          <w:sz w:val="18"/>
          <w:szCs w:val="18"/>
        </w:rPr>
        <w:t>受去化产</w:t>
      </w:r>
      <w:proofErr w:type="gramEnd"/>
      <w:r w:rsidRPr="0063248C">
        <w:rPr>
          <w:rFonts w:ascii="Times New Roman" w:hAnsi="Times New Roman" w:hint="eastAsia"/>
          <w:sz w:val="18"/>
          <w:szCs w:val="18"/>
        </w:rPr>
        <w:t>能带来的供需关系变化，自二季度以来生猪价格持续上涨，随着生猪价格突破行业平均成本线，整体行业将逐渐由亏损变为盈利。</w:t>
      </w:r>
    </w:p>
    <w:p w14:paraId="65FE3952" w14:textId="77777777" w:rsidR="00517D34" w:rsidRPr="0063248C" w:rsidRDefault="00000000">
      <w:pPr>
        <w:pStyle w:val="a3"/>
        <w:spacing w:before="0" w:beforeAutospacing="0" w:after="0" w:afterAutospacing="0" w:line="276" w:lineRule="auto"/>
        <w:ind w:firstLine="360"/>
        <w:jc w:val="both"/>
        <w:divId w:val="951668771"/>
        <w:rPr>
          <w:rFonts w:ascii="Times New Roman" w:hAnsi="Times New Roman"/>
          <w:sz w:val="21"/>
          <w:szCs w:val="21"/>
        </w:rPr>
      </w:pPr>
      <w:r w:rsidRPr="0063248C">
        <w:rPr>
          <w:rFonts w:ascii="Times New Roman" w:hAnsi="Times New Roman" w:hint="eastAsia"/>
          <w:sz w:val="18"/>
          <w:szCs w:val="18"/>
        </w:rPr>
        <w:t>（二）报告期内公司从事的主要业务</w:t>
      </w:r>
    </w:p>
    <w:p w14:paraId="64E9F2B4" w14:textId="77777777" w:rsidR="00517D34" w:rsidRPr="0063248C" w:rsidRDefault="00000000">
      <w:pPr>
        <w:pStyle w:val="a3"/>
        <w:spacing w:before="0" w:beforeAutospacing="0" w:after="0" w:afterAutospacing="0" w:line="276" w:lineRule="auto"/>
        <w:ind w:firstLine="360"/>
        <w:jc w:val="both"/>
        <w:divId w:val="951668771"/>
        <w:rPr>
          <w:rFonts w:ascii="Times New Roman" w:hAnsi="Times New Roman"/>
          <w:sz w:val="21"/>
          <w:szCs w:val="21"/>
        </w:rPr>
      </w:pPr>
      <w:r w:rsidRPr="0063248C">
        <w:rPr>
          <w:rFonts w:ascii="Times New Roman" w:hAnsi="Times New Roman" w:hint="eastAsia"/>
          <w:sz w:val="18"/>
          <w:szCs w:val="18"/>
        </w:rPr>
        <w:t>报告期内，公司秉持“一体两翼”发展战略，以食品为主体，以养殖和屠宰为两翼支撑，致力于发展成为中国领先的食品企业，为中国人健康饮食提供高品质的系统解决方案。主要产品为预制食品（预制食材、预制半成品及预制成品）、熟食制品及鲜冻肉。</w:t>
      </w:r>
    </w:p>
    <w:p w14:paraId="7E10BD27" w14:textId="77777777" w:rsidR="00517D34" w:rsidRPr="0063248C" w:rsidRDefault="00000000">
      <w:pPr>
        <w:pStyle w:val="a3"/>
        <w:spacing w:before="0" w:beforeAutospacing="0" w:after="0" w:afterAutospacing="0" w:line="276" w:lineRule="auto"/>
        <w:ind w:firstLine="360"/>
        <w:jc w:val="both"/>
        <w:divId w:val="951668771"/>
        <w:rPr>
          <w:rFonts w:ascii="Times New Roman" w:hAnsi="Times New Roman" w:cs="Calibri"/>
          <w:sz w:val="21"/>
          <w:szCs w:val="21"/>
        </w:rPr>
      </w:pPr>
      <w:r w:rsidRPr="0063248C">
        <w:rPr>
          <w:rFonts w:ascii="Times New Roman" w:hAnsi="Times New Roman" w:cs="Calibri" w:hint="eastAsia"/>
          <w:sz w:val="18"/>
          <w:szCs w:val="18"/>
        </w:rPr>
        <w:t>1</w:t>
      </w:r>
      <w:r w:rsidRPr="0063248C">
        <w:rPr>
          <w:rFonts w:ascii="Times New Roman" w:hAnsi="Times New Roman" w:cs="Calibri" w:hint="eastAsia"/>
          <w:sz w:val="18"/>
          <w:szCs w:val="18"/>
        </w:rPr>
        <w:t>、食品业务</w:t>
      </w:r>
    </w:p>
    <w:p w14:paraId="6335723C" w14:textId="77777777" w:rsidR="00517D34" w:rsidRPr="0063248C" w:rsidRDefault="00000000">
      <w:pPr>
        <w:pStyle w:val="a3"/>
        <w:spacing w:before="0" w:beforeAutospacing="0" w:after="0" w:afterAutospacing="0" w:line="276" w:lineRule="auto"/>
        <w:ind w:firstLine="360"/>
        <w:jc w:val="both"/>
        <w:divId w:val="951668771"/>
        <w:rPr>
          <w:rFonts w:ascii="Times New Roman" w:hAnsi="Times New Roman" w:cs="Calibri"/>
          <w:sz w:val="21"/>
          <w:szCs w:val="21"/>
        </w:rPr>
      </w:pPr>
      <w:r w:rsidRPr="0063248C">
        <w:rPr>
          <w:rFonts w:ascii="Times New Roman" w:hAnsi="Times New Roman" w:cs="Calibri" w:hint="eastAsia"/>
          <w:sz w:val="18"/>
          <w:szCs w:val="18"/>
        </w:rPr>
        <w:t>公司食品业务主要包括预制食品和熟食制品的研发、生产和销售。报告期内，公司继续聚焦食品主体业务，整体以提升规模、降本增效、强化内控、利润导向为经营方针，持续推进以食品为主体战略，并依托“三位一体”研发格局，以市场需求为导向，持续加大在产品设计、口味创新、质量控制、保鲜技术和加工工艺的投入，保障产品满足市场需求；同时调整业务结构，抓住关键时间节点和核心业务，通过深入挖潜老客户、开发新客户、聚焦新赛道、组织人员拓充等</w:t>
      </w:r>
      <w:r w:rsidRPr="0063248C">
        <w:rPr>
          <w:rFonts w:ascii="Times New Roman" w:hAnsi="Times New Roman" w:cs="Calibri" w:hint="eastAsia"/>
          <w:sz w:val="18"/>
          <w:szCs w:val="18"/>
        </w:rPr>
        <w:lastRenderedPageBreak/>
        <w:t>策略，持续推动大客户业务快速增长，进一步提高了公司食品业务的占比。报告期内，公司食品业务实现收入</w:t>
      </w:r>
      <w:r w:rsidRPr="0063248C">
        <w:rPr>
          <w:rFonts w:ascii="Times New Roman" w:hAnsi="Times New Roman" w:cs="Calibri" w:hint="eastAsia"/>
          <w:sz w:val="18"/>
          <w:szCs w:val="18"/>
        </w:rPr>
        <w:t>10.82</w:t>
      </w:r>
      <w:r w:rsidRPr="0063248C">
        <w:rPr>
          <w:rFonts w:ascii="Times New Roman" w:hAnsi="Times New Roman" w:cs="Calibri" w:hint="eastAsia"/>
          <w:sz w:val="18"/>
          <w:szCs w:val="18"/>
        </w:rPr>
        <w:t>亿元，同比增长</w:t>
      </w:r>
      <w:r w:rsidRPr="0063248C">
        <w:rPr>
          <w:rFonts w:ascii="Times New Roman" w:hAnsi="Times New Roman" w:cs="Calibri" w:hint="eastAsia"/>
          <w:sz w:val="18"/>
          <w:szCs w:val="18"/>
        </w:rPr>
        <w:t>0.39%</w:t>
      </w:r>
      <w:r w:rsidRPr="0063248C">
        <w:rPr>
          <w:rFonts w:ascii="Times New Roman" w:hAnsi="Times New Roman" w:cs="Calibri" w:hint="eastAsia"/>
          <w:sz w:val="18"/>
          <w:szCs w:val="18"/>
        </w:rPr>
        <w:t>，占公司营业收入的比例由上年同期的</w:t>
      </w:r>
      <w:r w:rsidRPr="0063248C">
        <w:rPr>
          <w:rFonts w:ascii="Times New Roman" w:hAnsi="Times New Roman" w:cs="Calibri" w:hint="eastAsia"/>
          <w:sz w:val="18"/>
          <w:szCs w:val="18"/>
        </w:rPr>
        <w:t>16.02%</w:t>
      </w:r>
      <w:r w:rsidRPr="0063248C">
        <w:rPr>
          <w:rFonts w:ascii="Times New Roman" w:hAnsi="Times New Roman" w:cs="Calibri" w:hint="eastAsia"/>
          <w:sz w:val="18"/>
          <w:szCs w:val="18"/>
        </w:rPr>
        <w:t>提升至</w:t>
      </w:r>
      <w:r w:rsidRPr="0063248C">
        <w:rPr>
          <w:rFonts w:ascii="Times New Roman" w:hAnsi="Times New Roman" w:cs="Calibri" w:hint="eastAsia"/>
          <w:sz w:val="18"/>
          <w:szCs w:val="18"/>
        </w:rPr>
        <w:t>21.45%</w:t>
      </w:r>
      <w:r w:rsidRPr="0063248C">
        <w:rPr>
          <w:rFonts w:ascii="Times New Roman" w:hAnsi="Times New Roman" w:cs="Calibri" w:hint="eastAsia"/>
          <w:sz w:val="18"/>
          <w:szCs w:val="18"/>
        </w:rPr>
        <w:t>。</w:t>
      </w:r>
    </w:p>
    <w:p w14:paraId="146C4563" w14:textId="77777777" w:rsidR="00517D34" w:rsidRPr="0063248C" w:rsidRDefault="00000000">
      <w:pPr>
        <w:pStyle w:val="a3"/>
        <w:spacing w:before="0" w:beforeAutospacing="0" w:after="0" w:afterAutospacing="0" w:line="276" w:lineRule="auto"/>
        <w:ind w:firstLine="360"/>
        <w:jc w:val="both"/>
        <w:divId w:val="951668771"/>
        <w:rPr>
          <w:rFonts w:ascii="Times New Roman" w:hAnsi="Times New Roman" w:cs="Calibri"/>
          <w:sz w:val="21"/>
          <w:szCs w:val="21"/>
        </w:rPr>
      </w:pPr>
      <w:r w:rsidRPr="0063248C">
        <w:rPr>
          <w:rFonts w:ascii="Times New Roman" w:hAnsi="Times New Roman" w:cs="Calibri" w:hint="eastAsia"/>
          <w:sz w:val="18"/>
          <w:szCs w:val="18"/>
        </w:rPr>
        <w:t>2</w:t>
      </w:r>
      <w:r w:rsidRPr="0063248C">
        <w:rPr>
          <w:rFonts w:ascii="Times New Roman" w:hAnsi="Times New Roman" w:cs="Calibri" w:hint="eastAsia"/>
          <w:sz w:val="18"/>
          <w:szCs w:val="18"/>
        </w:rPr>
        <w:t>、屠宰业务</w:t>
      </w:r>
    </w:p>
    <w:p w14:paraId="18AE956C" w14:textId="77777777" w:rsidR="00517D34" w:rsidRPr="0063248C" w:rsidRDefault="00000000">
      <w:pPr>
        <w:pStyle w:val="a3"/>
        <w:spacing w:before="0" w:beforeAutospacing="0" w:after="0" w:afterAutospacing="0" w:line="276" w:lineRule="auto"/>
        <w:ind w:firstLine="360"/>
        <w:jc w:val="both"/>
        <w:divId w:val="951668771"/>
        <w:rPr>
          <w:rFonts w:ascii="Times New Roman" w:hAnsi="Times New Roman" w:cs="Calibri"/>
          <w:sz w:val="21"/>
          <w:szCs w:val="21"/>
        </w:rPr>
      </w:pPr>
      <w:r w:rsidRPr="0063248C">
        <w:rPr>
          <w:rFonts w:ascii="Times New Roman" w:hAnsi="Times New Roman" w:cs="Calibri" w:hint="eastAsia"/>
          <w:sz w:val="18"/>
          <w:szCs w:val="18"/>
        </w:rPr>
        <w:t>公司屠宰业务主要包括生猪屠宰及鲜冻肉的加工业务，目前公司拥有莱阳、聊城、潍坊、黑龙江、河南、巴中等</w:t>
      </w:r>
      <w:r w:rsidRPr="0063248C">
        <w:rPr>
          <w:rFonts w:ascii="Times New Roman" w:hAnsi="Times New Roman" w:cs="Calibri" w:hint="eastAsia"/>
          <w:sz w:val="18"/>
          <w:szCs w:val="18"/>
        </w:rPr>
        <w:t>8</w:t>
      </w:r>
      <w:r w:rsidRPr="0063248C">
        <w:rPr>
          <w:rFonts w:ascii="Times New Roman" w:hAnsi="Times New Roman" w:cs="Calibri" w:hint="eastAsia"/>
          <w:sz w:val="18"/>
          <w:szCs w:val="18"/>
        </w:rPr>
        <w:t>个大型屠宰场，年生猪屠宰能力达到</w:t>
      </w:r>
      <w:r w:rsidRPr="0063248C">
        <w:rPr>
          <w:rFonts w:ascii="Times New Roman" w:hAnsi="Times New Roman" w:cs="Calibri" w:hint="eastAsia"/>
          <w:sz w:val="18"/>
          <w:szCs w:val="18"/>
        </w:rPr>
        <w:t>1,500</w:t>
      </w:r>
      <w:r w:rsidRPr="0063248C">
        <w:rPr>
          <w:rFonts w:ascii="Times New Roman" w:hAnsi="Times New Roman" w:cs="Calibri" w:hint="eastAsia"/>
          <w:sz w:val="18"/>
          <w:szCs w:val="18"/>
        </w:rPr>
        <w:t>万头。公司始终坚持采用国际一流进口设备，全自动生猪屠宰，分割白条肉，以全封闭、无菌式的生产管理，保证出产产品完全符合国际化高标准的卫生要求。报告期内，公司不断进行新产品和新工艺创新，提升了人工劳效和产品品质，同时，公司对产能和渠道结构进行了优化，在提升毛利水平的同时为食品板块提供了有力的支撑。受制于终端需求疲软，报告期内，公司屠宰业务实现收入</w:t>
      </w:r>
      <w:r w:rsidRPr="0063248C">
        <w:rPr>
          <w:rFonts w:ascii="Times New Roman" w:hAnsi="Times New Roman" w:cs="Calibri" w:hint="eastAsia"/>
          <w:sz w:val="18"/>
          <w:szCs w:val="18"/>
        </w:rPr>
        <w:t>39.01</w:t>
      </w:r>
      <w:r w:rsidRPr="0063248C">
        <w:rPr>
          <w:rFonts w:ascii="Times New Roman" w:hAnsi="Times New Roman" w:cs="Calibri" w:hint="eastAsia"/>
          <w:sz w:val="18"/>
          <w:szCs w:val="18"/>
        </w:rPr>
        <w:t>亿元，较上年同期下降</w:t>
      </w:r>
      <w:r w:rsidRPr="0063248C">
        <w:rPr>
          <w:rFonts w:ascii="Times New Roman" w:hAnsi="Times New Roman" w:cs="Calibri" w:hint="eastAsia"/>
          <w:sz w:val="18"/>
          <w:szCs w:val="18"/>
        </w:rPr>
        <w:t>17.04%</w:t>
      </w:r>
      <w:r w:rsidRPr="0063248C">
        <w:rPr>
          <w:rFonts w:ascii="Times New Roman" w:hAnsi="Times New Roman" w:cs="Calibri" w:hint="eastAsia"/>
          <w:sz w:val="18"/>
          <w:szCs w:val="18"/>
        </w:rPr>
        <w:t>，但毛利水平较上年同期有所上升，渠道和结构调整初见成效。</w:t>
      </w:r>
    </w:p>
    <w:p w14:paraId="7CA71B62" w14:textId="77777777" w:rsidR="00517D34" w:rsidRPr="0063248C" w:rsidRDefault="00000000">
      <w:pPr>
        <w:pStyle w:val="a3"/>
        <w:spacing w:before="0" w:beforeAutospacing="0" w:after="0" w:afterAutospacing="0" w:line="276" w:lineRule="auto"/>
        <w:ind w:firstLine="360"/>
        <w:jc w:val="both"/>
        <w:divId w:val="951668771"/>
        <w:rPr>
          <w:rFonts w:ascii="Times New Roman" w:hAnsi="Times New Roman" w:cs="Calibri"/>
          <w:sz w:val="21"/>
          <w:szCs w:val="21"/>
        </w:rPr>
      </w:pPr>
      <w:r w:rsidRPr="0063248C">
        <w:rPr>
          <w:rFonts w:ascii="Times New Roman" w:hAnsi="Times New Roman" w:cs="Calibri" w:hint="eastAsia"/>
          <w:sz w:val="18"/>
          <w:szCs w:val="18"/>
        </w:rPr>
        <w:t>3</w:t>
      </w:r>
      <w:r w:rsidRPr="0063248C">
        <w:rPr>
          <w:rFonts w:ascii="Times New Roman" w:hAnsi="Times New Roman" w:cs="Calibri" w:hint="eastAsia"/>
          <w:sz w:val="18"/>
          <w:szCs w:val="18"/>
        </w:rPr>
        <w:t>、养殖业务</w:t>
      </w:r>
    </w:p>
    <w:p w14:paraId="31D285EC" w14:textId="77777777" w:rsidR="00517D34" w:rsidRPr="0063248C" w:rsidRDefault="00000000">
      <w:pPr>
        <w:pStyle w:val="a3"/>
        <w:spacing w:before="0" w:beforeAutospacing="0" w:after="0" w:afterAutospacing="0" w:line="276" w:lineRule="auto"/>
        <w:ind w:firstLine="360"/>
        <w:jc w:val="both"/>
        <w:divId w:val="951668771"/>
        <w:rPr>
          <w:rFonts w:ascii="Times New Roman" w:hAnsi="Times New Roman" w:cs="Calibri"/>
          <w:sz w:val="21"/>
          <w:szCs w:val="21"/>
        </w:rPr>
      </w:pPr>
      <w:r w:rsidRPr="0063248C">
        <w:rPr>
          <w:rFonts w:ascii="Times New Roman" w:hAnsi="Times New Roman" w:cs="Calibri" w:hint="eastAsia"/>
          <w:sz w:val="18"/>
          <w:szCs w:val="18"/>
        </w:rPr>
        <w:t>公司养殖业务主要包含生猪养殖，其主要定位于为食品业务把控原材料成本和满足大客户的溯源需求，并根据大客户的需要进行产能的动态调配。公司养殖业务主要采取“公司</w:t>
      </w:r>
      <w:r w:rsidRPr="0063248C">
        <w:rPr>
          <w:rFonts w:ascii="Times New Roman" w:hAnsi="Times New Roman" w:cs="Calibri" w:hint="eastAsia"/>
          <w:sz w:val="18"/>
          <w:szCs w:val="18"/>
        </w:rPr>
        <w:t>+</w:t>
      </w:r>
      <w:r w:rsidRPr="0063248C">
        <w:rPr>
          <w:rFonts w:ascii="Times New Roman" w:hAnsi="Times New Roman" w:cs="Calibri" w:hint="eastAsia"/>
          <w:sz w:val="18"/>
          <w:szCs w:val="18"/>
        </w:rPr>
        <w:t>农户”和公司自养两种养殖模式。在“公司</w:t>
      </w:r>
      <w:r w:rsidRPr="0063248C">
        <w:rPr>
          <w:rFonts w:ascii="Times New Roman" w:hAnsi="Times New Roman" w:cs="Calibri" w:hint="eastAsia"/>
          <w:sz w:val="18"/>
          <w:szCs w:val="18"/>
        </w:rPr>
        <w:t>+</w:t>
      </w:r>
      <w:r w:rsidRPr="0063248C">
        <w:rPr>
          <w:rFonts w:ascii="Times New Roman" w:hAnsi="Times New Roman" w:cs="Calibri" w:hint="eastAsia"/>
          <w:sz w:val="18"/>
          <w:szCs w:val="18"/>
        </w:rPr>
        <w:t>农户”的模式下，公司通过委托代养的方法与农户合作，委托模式采取统一规划、统一猪种、统一饲料、统一防疫、统一保健和统一检测全力保障生猪养殖品质。在公司自养的模式下，公司对养殖场实施完全控制，公司管理涵盖了从种猪到育肥猪的整个养殖过程。公司通过自建饲料公司，自产饲料进行生猪喂养，结合“全产业链”发展模式，通过全过程质量控制，为企业客户提供优质的产品供应和品质保障。报告期内，公司根据市场情况灵活调整规模，不断升级和完善疫病防控系统，降低疫情损失，提升育肥成活率，同时加强成本管控，降低饲料成本，进行管理增效，进一步降低养殖成本。随着生猪价格的回暖，公司养殖业务已实现盈利。</w:t>
      </w:r>
    </w:p>
    <w:p w14:paraId="74688A5E" w14:textId="77777777" w:rsidR="007B3DB2" w:rsidRPr="0063248C" w:rsidRDefault="00000000">
      <w:pPr>
        <w:spacing w:before="100" w:after="100" w:line="240" w:lineRule="exact"/>
        <w:rPr>
          <w:rFonts w:cs="宋体"/>
          <w:sz w:val="18"/>
          <w:szCs w:val="18"/>
        </w:rPr>
      </w:pPr>
      <w:r w:rsidRPr="0063248C">
        <w:rPr>
          <w:rFonts w:cs="宋体"/>
          <w:sz w:val="18"/>
          <w:szCs w:val="18"/>
        </w:rPr>
        <w:t>公司需遵守《深圳证券交易所上市公司自律监管指引第</w:t>
      </w:r>
      <w:r w:rsidRPr="0063248C">
        <w:rPr>
          <w:rFonts w:cs="宋体"/>
          <w:sz w:val="18"/>
          <w:szCs w:val="18"/>
        </w:rPr>
        <w:t>3</w:t>
      </w:r>
      <w:r w:rsidRPr="0063248C">
        <w:rPr>
          <w:rFonts w:cs="宋体"/>
          <w:sz w:val="18"/>
          <w:szCs w:val="18"/>
        </w:rPr>
        <w:t>号</w:t>
      </w:r>
      <w:r w:rsidRPr="0063248C">
        <w:rPr>
          <w:rFonts w:cs="宋体"/>
          <w:sz w:val="18"/>
          <w:szCs w:val="18"/>
        </w:rPr>
        <w:t>——</w:t>
      </w:r>
      <w:r w:rsidRPr="0063248C">
        <w:rPr>
          <w:rFonts w:cs="宋体"/>
          <w:sz w:val="18"/>
          <w:szCs w:val="18"/>
        </w:rPr>
        <w:t>行业信息披露》中的</w:t>
      </w:r>
      <w:r w:rsidRPr="0063248C">
        <w:rPr>
          <w:rFonts w:cs="宋体"/>
          <w:sz w:val="18"/>
          <w:szCs w:val="18"/>
        </w:rPr>
        <w:t>“</w:t>
      </w:r>
      <w:r w:rsidRPr="0063248C">
        <w:rPr>
          <w:rFonts w:cs="宋体"/>
          <w:sz w:val="18"/>
          <w:szCs w:val="18"/>
        </w:rPr>
        <w:t>食品及酒制造相关业务</w:t>
      </w:r>
      <w:r w:rsidRPr="0063248C">
        <w:rPr>
          <w:rFonts w:cs="宋体"/>
          <w:sz w:val="18"/>
          <w:szCs w:val="18"/>
        </w:rPr>
        <w:t>”</w:t>
      </w:r>
      <w:r w:rsidRPr="0063248C">
        <w:rPr>
          <w:rFonts w:cs="宋体"/>
          <w:sz w:val="18"/>
          <w:szCs w:val="18"/>
        </w:rPr>
        <w:t>的披露要求</w:t>
      </w:r>
    </w:p>
    <w:p w14:paraId="69913DF8" w14:textId="77777777" w:rsidR="007B3DB2" w:rsidRPr="0063248C" w:rsidRDefault="007B3DB2"/>
    <w:p w14:paraId="04033CD2" w14:textId="77777777" w:rsidR="007B3DB2" w:rsidRPr="0063248C" w:rsidRDefault="00000000">
      <w:pPr>
        <w:spacing w:before="100" w:after="100" w:line="240" w:lineRule="exact"/>
        <w:rPr>
          <w:rFonts w:cs="宋体"/>
          <w:sz w:val="18"/>
          <w:szCs w:val="18"/>
        </w:rPr>
      </w:pPr>
      <w:r w:rsidRPr="0063248C">
        <w:rPr>
          <w:rFonts w:cs="宋体"/>
          <w:sz w:val="18"/>
          <w:szCs w:val="18"/>
        </w:rPr>
        <w:t>品牌运营情况</w:t>
      </w:r>
    </w:p>
    <w:p w14:paraId="0B410315" w14:textId="77777777" w:rsidR="00517D34" w:rsidRPr="0063248C" w:rsidRDefault="00000000" w:rsidP="0063248C">
      <w:pPr>
        <w:pStyle w:val="a3"/>
        <w:ind w:firstLineChars="200" w:firstLine="360"/>
        <w:divId w:val="1602713607"/>
        <w:rPr>
          <w:rFonts w:ascii="Times New Roman" w:hAnsi="Times New Roman"/>
          <w:sz w:val="18"/>
          <w:szCs w:val="18"/>
        </w:rPr>
      </w:pPr>
      <w:r w:rsidRPr="0063248C">
        <w:rPr>
          <w:rFonts w:ascii="Times New Roman" w:hAnsi="Times New Roman" w:hint="eastAsia"/>
          <w:sz w:val="18"/>
          <w:szCs w:val="18"/>
        </w:rPr>
        <w:t>公司坚持“一体两翼”发展战略，高度重视品牌建设和发展，致力于打造“中华预制菜肴最佳供应商”，为中国人健康饮食提供高品质系统解决方案。报告期内，公司持续强化品牌营销能力，紧跟国际国内产业发展趋势，建立稳定、广泛的客户群体，获得消费者的青睐和认可，具有良好的市场品牌效应。公司</w:t>
      </w:r>
      <w:proofErr w:type="gramStart"/>
      <w:r w:rsidRPr="0063248C">
        <w:rPr>
          <w:rFonts w:ascii="Times New Roman" w:hAnsi="Times New Roman" w:hint="eastAsia"/>
          <w:sz w:val="18"/>
          <w:szCs w:val="18"/>
        </w:rPr>
        <w:t>践行</w:t>
      </w:r>
      <w:proofErr w:type="gramEnd"/>
      <w:r w:rsidRPr="0063248C">
        <w:rPr>
          <w:rFonts w:ascii="Times New Roman" w:hAnsi="Times New Roman" w:hint="eastAsia"/>
          <w:sz w:val="18"/>
          <w:szCs w:val="18"/>
        </w:rPr>
        <w:t>品牌策略，通过生产、研发、市场等多维</w:t>
      </w:r>
      <w:proofErr w:type="gramStart"/>
      <w:r w:rsidRPr="0063248C">
        <w:rPr>
          <w:rFonts w:ascii="Times New Roman" w:hAnsi="Times New Roman" w:hint="eastAsia"/>
          <w:sz w:val="18"/>
          <w:szCs w:val="18"/>
        </w:rPr>
        <w:t>度共同</w:t>
      </w:r>
      <w:proofErr w:type="gramEnd"/>
      <w:r w:rsidRPr="0063248C">
        <w:rPr>
          <w:rFonts w:ascii="Times New Roman" w:hAnsi="Times New Roman" w:hint="eastAsia"/>
          <w:sz w:val="18"/>
          <w:szCs w:val="18"/>
        </w:rPr>
        <w:t>打造统一的食品品牌企业形象，最终实现企业品牌与产品品牌的相互助力。</w:t>
      </w:r>
    </w:p>
    <w:p w14:paraId="581FF858" w14:textId="77777777" w:rsidR="007B3DB2" w:rsidRPr="0063248C" w:rsidRDefault="00000000">
      <w:pPr>
        <w:spacing w:before="100" w:after="100" w:line="240" w:lineRule="exact"/>
        <w:rPr>
          <w:rFonts w:cs="宋体"/>
          <w:sz w:val="18"/>
          <w:szCs w:val="18"/>
        </w:rPr>
      </w:pPr>
      <w:r w:rsidRPr="0063248C">
        <w:rPr>
          <w:rFonts w:cs="宋体"/>
          <w:sz w:val="18"/>
          <w:szCs w:val="18"/>
        </w:rPr>
        <w:t>主要销售模式</w:t>
      </w:r>
    </w:p>
    <w:p w14:paraId="5D873F41" w14:textId="77777777" w:rsidR="00517D34" w:rsidRPr="0063248C" w:rsidRDefault="00000000">
      <w:pPr>
        <w:pStyle w:val="a3"/>
        <w:spacing w:before="0" w:beforeAutospacing="0" w:after="0" w:afterAutospacing="0" w:line="276" w:lineRule="auto"/>
        <w:ind w:firstLine="360"/>
        <w:jc w:val="both"/>
        <w:divId w:val="1504393162"/>
        <w:rPr>
          <w:rFonts w:ascii="Times New Roman" w:hAnsi="Times New Roman"/>
          <w:sz w:val="21"/>
          <w:szCs w:val="21"/>
        </w:rPr>
      </w:pPr>
      <w:r w:rsidRPr="0063248C">
        <w:rPr>
          <w:rFonts w:ascii="Times New Roman" w:hAnsi="Times New Roman" w:hint="eastAsia"/>
          <w:sz w:val="18"/>
          <w:szCs w:val="18"/>
        </w:rPr>
        <w:t>公司销售模式以经销渠道为主。经销渠道占比</w:t>
      </w:r>
      <w:r w:rsidRPr="0063248C">
        <w:rPr>
          <w:rFonts w:ascii="Times New Roman" w:hAnsi="Times New Roman" w:hint="eastAsia"/>
          <w:sz w:val="18"/>
          <w:szCs w:val="18"/>
        </w:rPr>
        <w:t xml:space="preserve"> 80.57%</w:t>
      </w:r>
      <w:r w:rsidRPr="0063248C">
        <w:rPr>
          <w:rFonts w:ascii="Times New Roman" w:hAnsi="Times New Roman" w:hint="eastAsia"/>
          <w:sz w:val="18"/>
          <w:szCs w:val="18"/>
        </w:rPr>
        <w:t>，主要包括生鲜市场、冻品市场、农贸市场、中小型餐饮连锁和</w:t>
      </w:r>
      <w:r w:rsidRPr="0063248C">
        <w:rPr>
          <w:rFonts w:ascii="Times New Roman" w:hAnsi="Times New Roman" w:hint="eastAsia"/>
          <w:sz w:val="18"/>
          <w:szCs w:val="18"/>
        </w:rPr>
        <w:t xml:space="preserve">BC </w:t>
      </w:r>
      <w:r w:rsidRPr="0063248C">
        <w:rPr>
          <w:rFonts w:ascii="Times New Roman" w:hAnsi="Times New Roman" w:hint="eastAsia"/>
          <w:sz w:val="18"/>
          <w:szCs w:val="18"/>
        </w:rPr>
        <w:t>商超等。直营渠道占比</w:t>
      </w:r>
      <w:r w:rsidRPr="0063248C">
        <w:rPr>
          <w:rFonts w:ascii="Times New Roman" w:hAnsi="Times New Roman" w:hint="eastAsia"/>
          <w:sz w:val="18"/>
          <w:szCs w:val="18"/>
        </w:rPr>
        <w:t>19.43%</w:t>
      </w:r>
      <w:r w:rsidRPr="0063248C">
        <w:rPr>
          <w:rFonts w:ascii="Times New Roman" w:hAnsi="Times New Roman" w:hint="eastAsia"/>
          <w:sz w:val="18"/>
          <w:szCs w:val="18"/>
        </w:rPr>
        <w:t>，主要包括大型餐饮、食品加工企业、全国知名连锁商超、自营专卖店、线上新零售</w:t>
      </w:r>
      <w:proofErr w:type="gramStart"/>
      <w:r w:rsidRPr="0063248C">
        <w:rPr>
          <w:rFonts w:ascii="Times New Roman" w:hAnsi="Times New Roman" w:hint="eastAsia"/>
          <w:sz w:val="18"/>
          <w:szCs w:val="18"/>
        </w:rPr>
        <w:t>和特通渠道</w:t>
      </w:r>
      <w:proofErr w:type="gramEnd"/>
      <w:r w:rsidRPr="0063248C">
        <w:rPr>
          <w:rFonts w:ascii="Times New Roman" w:hAnsi="Times New Roman" w:hint="eastAsia"/>
          <w:sz w:val="18"/>
          <w:szCs w:val="18"/>
        </w:rPr>
        <w:t>等。</w:t>
      </w:r>
    </w:p>
    <w:p w14:paraId="2892810C" w14:textId="77777777" w:rsidR="007B3DB2" w:rsidRPr="0063248C" w:rsidRDefault="00000000">
      <w:pPr>
        <w:spacing w:before="100" w:after="100" w:line="240" w:lineRule="exact"/>
        <w:rPr>
          <w:rFonts w:cs="宋体"/>
          <w:sz w:val="18"/>
          <w:szCs w:val="18"/>
        </w:rPr>
      </w:pPr>
      <w:r w:rsidRPr="0063248C">
        <w:rPr>
          <w:rFonts w:cs="宋体"/>
          <w:sz w:val="18"/>
          <w:szCs w:val="18"/>
        </w:rPr>
        <w:t>经销模式</w:t>
      </w:r>
    </w:p>
    <w:p w14:paraId="176D7A6F" w14:textId="77777777" w:rsidR="007B3DB2" w:rsidRPr="0063248C" w:rsidRDefault="00000000">
      <w:pPr>
        <w:spacing w:before="100" w:after="10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5DFEBC54" w14:textId="77777777" w:rsidR="00517D34" w:rsidRPr="0063248C" w:rsidRDefault="00000000">
      <w:pPr>
        <w:pStyle w:val="a3"/>
        <w:spacing w:before="0" w:beforeAutospacing="0" w:after="0" w:afterAutospacing="0" w:line="276" w:lineRule="auto"/>
        <w:ind w:firstLine="360"/>
        <w:jc w:val="both"/>
        <w:divId w:val="1654069477"/>
        <w:rPr>
          <w:rFonts w:ascii="Times New Roman" w:hAnsi="Times New Roman"/>
          <w:sz w:val="21"/>
          <w:szCs w:val="21"/>
        </w:rPr>
      </w:pPr>
      <w:r w:rsidRPr="0063248C">
        <w:rPr>
          <w:rFonts w:ascii="Times New Roman" w:hAnsi="Times New Roman" w:hint="eastAsia"/>
          <w:sz w:val="18"/>
          <w:szCs w:val="18"/>
        </w:rPr>
        <w:t>在公司全国化布局下，建立了以经销商为主的全国性销售网络。报告期内，公司前五大经销客户销售总额合计为</w:t>
      </w:r>
      <w:r w:rsidRPr="0063248C">
        <w:rPr>
          <w:rFonts w:ascii="Times New Roman" w:hAnsi="Times New Roman" w:hint="eastAsia"/>
          <w:sz w:val="18"/>
          <w:szCs w:val="18"/>
        </w:rPr>
        <w:t>34,333.53</w:t>
      </w:r>
      <w:r w:rsidRPr="0063248C">
        <w:rPr>
          <w:rFonts w:ascii="Times New Roman" w:hAnsi="Times New Roman" w:hint="eastAsia"/>
          <w:sz w:val="18"/>
          <w:szCs w:val="18"/>
        </w:rPr>
        <w:t>万元，占公司营业收入的</w:t>
      </w:r>
      <w:r w:rsidRPr="0063248C">
        <w:rPr>
          <w:rFonts w:ascii="Times New Roman" w:hAnsi="Times New Roman" w:hint="eastAsia"/>
          <w:sz w:val="18"/>
          <w:szCs w:val="18"/>
        </w:rPr>
        <w:t>6.81%</w:t>
      </w:r>
      <w:r w:rsidRPr="0063248C">
        <w:rPr>
          <w:rFonts w:ascii="Times New Roman" w:hAnsi="Times New Roman" w:hint="eastAsia"/>
          <w:sz w:val="18"/>
          <w:szCs w:val="18"/>
        </w:rPr>
        <w:t>，截至本报告期末，公司前五大经销商客户应收账款合计为</w:t>
      </w:r>
      <w:r w:rsidRPr="0063248C">
        <w:rPr>
          <w:rFonts w:ascii="Times New Roman" w:hAnsi="Times New Roman" w:hint="eastAsia"/>
          <w:sz w:val="18"/>
          <w:szCs w:val="18"/>
        </w:rPr>
        <w:t>2,963.95</w:t>
      </w:r>
      <w:r w:rsidRPr="0063248C">
        <w:rPr>
          <w:rFonts w:ascii="Times New Roman" w:hAnsi="Times New Roman" w:hint="eastAsia"/>
          <w:sz w:val="18"/>
          <w:szCs w:val="18"/>
        </w:rPr>
        <w:t>万元。按产品分类的营业收入、营业成本、毛利率及同比变动情况见“管理层讨论与分析”中“主营业务分析”。</w:t>
      </w:r>
    </w:p>
    <w:p w14:paraId="108BD1B6" w14:textId="77777777" w:rsidR="007B3DB2" w:rsidRPr="0063248C" w:rsidRDefault="00000000">
      <w:pPr>
        <w:spacing w:before="100" w:after="100" w:line="240" w:lineRule="exact"/>
        <w:rPr>
          <w:rFonts w:cs="宋体"/>
          <w:sz w:val="18"/>
          <w:szCs w:val="18"/>
        </w:rPr>
      </w:pPr>
      <w:r w:rsidRPr="0063248C">
        <w:rPr>
          <w:rFonts w:cs="宋体"/>
          <w:sz w:val="18"/>
          <w:szCs w:val="18"/>
        </w:rPr>
        <w:t>门店销售终端占比超过</w:t>
      </w:r>
      <w:r w:rsidRPr="0063248C">
        <w:rPr>
          <w:rFonts w:cs="宋体"/>
          <w:sz w:val="18"/>
          <w:szCs w:val="18"/>
        </w:rPr>
        <w:t>10%</w:t>
      </w:r>
    </w:p>
    <w:p w14:paraId="5EF8FBDF"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0E3822A" w14:textId="77777777" w:rsidR="007B3DB2" w:rsidRPr="0063248C" w:rsidRDefault="00000000">
      <w:pPr>
        <w:spacing w:before="100" w:after="100" w:line="240" w:lineRule="exact"/>
        <w:rPr>
          <w:rFonts w:cs="宋体"/>
          <w:sz w:val="18"/>
          <w:szCs w:val="18"/>
        </w:rPr>
      </w:pPr>
      <w:r w:rsidRPr="0063248C">
        <w:rPr>
          <w:rFonts w:cs="宋体"/>
          <w:sz w:val="18"/>
          <w:szCs w:val="18"/>
        </w:rPr>
        <w:t>线上直销销售</w:t>
      </w:r>
    </w:p>
    <w:p w14:paraId="03054B2C" w14:textId="77777777" w:rsidR="007B3DB2" w:rsidRPr="0063248C" w:rsidRDefault="00000000">
      <w:pPr>
        <w:spacing w:before="100" w:after="100" w:line="240" w:lineRule="exact"/>
        <w:rPr>
          <w:rFonts w:cs="宋体"/>
          <w:sz w:val="18"/>
          <w:szCs w:val="18"/>
        </w:rPr>
      </w:pPr>
      <w:r w:rsidRPr="0063248C">
        <w:rPr>
          <w:rFonts w:cs="宋体"/>
          <w:sz w:val="18"/>
          <w:szCs w:val="18"/>
        </w:rPr>
        <w:lastRenderedPageBreak/>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7D217627" w14:textId="697E79F0" w:rsidR="00517D34" w:rsidRPr="0063248C" w:rsidRDefault="00000000" w:rsidP="0063248C">
      <w:pPr>
        <w:pStyle w:val="a3"/>
        <w:ind w:firstLineChars="200" w:firstLine="360"/>
        <w:divId w:val="415395966"/>
        <w:rPr>
          <w:rFonts w:ascii="Times New Roman" w:hAnsi="Times New Roman"/>
          <w:sz w:val="18"/>
          <w:szCs w:val="18"/>
        </w:rPr>
      </w:pPr>
      <w:r w:rsidRPr="0063248C">
        <w:rPr>
          <w:rFonts w:ascii="Times New Roman" w:hAnsi="Times New Roman" w:hint="eastAsia"/>
          <w:sz w:val="18"/>
          <w:szCs w:val="18"/>
        </w:rPr>
        <w:t>公司线上销售主要依托京东、抖音、快手、拼多多、</w:t>
      </w:r>
      <w:proofErr w:type="gramStart"/>
      <w:r w:rsidRPr="0063248C">
        <w:rPr>
          <w:rFonts w:ascii="Times New Roman" w:hAnsi="Times New Roman" w:hint="eastAsia"/>
          <w:sz w:val="18"/>
          <w:szCs w:val="18"/>
        </w:rPr>
        <w:t>美团快驴</w:t>
      </w:r>
      <w:proofErr w:type="gramEnd"/>
      <w:r w:rsidRPr="0063248C">
        <w:rPr>
          <w:rFonts w:ascii="Times New Roman" w:hAnsi="Times New Roman" w:hint="eastAsia"/>
          <w:sz w:val="18"/>
          <w:szCs w:val="18"/>
        </w:rPr>
        <w:t>、微商城、美菜、私域、天猫、视频号等</w:t>
      </w:r>
      <w:r w:rsidRPr="0063248C">
        <w:rPr>
          <w:rFonts w:ascii="Times New Roman" w:hAnsi="Times New Roman" w:hint="eastAsia"/>
          <w:sz w:val="18"/>
          <w:szCs w:val="18"/>
        </w:rPr>
        <w:t>10</w:t>
      </w:r>
      <w:r w:rsidRPr="0063248C">
        <w:rPr>
          <w:rFonts w:ascii="Times New Roman" w:hAnsi="Times New Roman" w:hint="eastAsia"/>
          <w:sz w:val="18"/>
          <w:szCs w:val="18"/>
        </w:rPr>
        <w:t>余个线上平台进行销售，</w:t>
      </w:r>
      <w:r w:rsidRPr="0063248C">
        <w:rPr>
          <w:rFonts w:ascii="Times New Roman" w:hAnsi="Times New Roman" w:hint="eastAsia"/>
          <w:sz w:val="18"/>
          <w:szCs w:val="18"/>
        </w:rPr>
        <w:t>2024</w:t>
      </w:r>
      <w:r w:rsidRPr="0063248C">
        <w:rPr>
          <w:rFonts w:ascii="Times New Roman" w:hAnsi="Times New Roman" w:hint="eastAsia"/>
          <w:sz w:val="18"/>
          <w:szCs w:val="18"/>
        </w:rPr>
        <w:t>年上半年线上销售额较去年同期增加</w:t>
      </w:r>
      <w:r w:rsidRPr="0063248C">
        <w:rPr>
          <w:rFonts w:ascii="Times New Roman" w:hAnsi="Times New Roman" w:hint="eastAsia"/>
          <w:sz w:val="18"/>
          <w:szCs w:val="18"/>
        </w:rPr>
        <w:t>20.71%</w:t>
      </w:r>
      <w:r w:rsidRPr="0063248C">
        <w:rPr>
          <w:rFonts w:ascii="Times New Roman" w:hAnsi="Times New Roman" w:hint="eastAsia"/>
          <w:sz w:val="18"/>
          <w:szCs w:val="18"/>
        </w:rPr>
        <w:t>。线上销售产品主要涵盖公司预制食材、预制半成品、预制成品等预制菜系列产品和低温火腿、老式火腿、烤肠等熟食类制品以及鲜冻肉系列产品。</w:t>
      </w:r>
    </w:p>
    <w:p w14:paraId="07BEA598" w14:textId="77777777" w:rsidR="007B3DB2" w:rsidRPr="0063248C" w:rsidRDefault="00000000">
      <w:pPr>
        <w:spacing w:before="100" w:after="100" w:line="240" w:lineRule="exact"/>
        <w:rPr>
          <w:rFonts w:cs="宋体"/>
          <w:sz w:val="18"/>
          <w:szCs w:val="18"/>
        </w:rPr>
      </w:pPr>
      <w:r w:rsidRPr="0063248C">
        <w:rPr>
          <w:rFonts w:cs="宋体"/>
          <w:sz w:val="18"/>
          <w:szCs w:val="18"/>
        </w:rPr>
        <w:t>占当期营业收入总额</w:t>
      </w:r>
      <w:r w:rsidRPr="0063248C">
        <w:rPr>
          <w:rFonts w:cs="宋体"/>
          <w:sz w:val="18"/>
          <w:szCs w:val="18"/>
        </w:rPr>
        <w:t>10%</w:t>
      </w:r>
      <w:r w:rsidRPr="0063248C">
        <w:rPr>
          <w:rFonts w:cs="宋体"/>
          <w:sz w:val="18"/>
          <w:szCs w:val="18"/>
        </w:rPr>
        <w:t>以上的主要产品销售价格较上</w:t>
      </w:r>
      <w:proofErr w:type="gramStart"/>
      <w:r w:rsidRPr="0063248C">
        <w:rPr>
          <w:rFonts w:cs="宋体"/>
          <w:sz w:val="18"/>
          <w:szCs w:val="18"/>
        </w:rPr>
        <w:t>一报告</w:t>
      </w:r>
      <w:proofErr w:type="gramEnd"/>
      <w:r w:rsidRPr="0063248C">
        <w:rPr>
          <w:rFonts w:cs="宋体"/>
          <w:sz w:val="18"/>
          <w:szCs w:val="18"/>
        </w:rPr>
        <w:t>期的变动幅度超过</w:t>
      </w:r>
      <w:r w:rsidRPr="0063248C">
        <w:rPr>
          <w:rFonts w:cs="宋体"/>
          <w:sz w:val="18"/>
          <w:szCs w:val="18"/>
        </w:rPr>
        <w:t>30%</w:t>
      </w:r>
    </w:p>
    <w:p w14:paraId="37E36028"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8ECB141" w14:textId="77777777" w:rsidR="007B3DB2" w:rsidRPr="0063248C" w:rsidRDefault="00000000">
      <w:pPr>
        <w:spacing w:before="100" w:after="100" w:line="240" w:lineRule="exact"/>
        <w:rPr>
          <w:rFonts w:cs="宋体"/>
          <w:sz w:val="18"/>
          <w:szCs w:val="18"/>
        </w:rPr>
      </w:pPr>
      <w:r w:rsidRPr="0063248C">
        <w:rPr>
          <w:rFonts w:cs="宋体"/>
          <w:sz w:val="18"/>
          <w:szCs w:val="18"/>
        </w:rPr>
        <w:t>采购模式及采购内容</w:t>
      </w:r>
    </w:p>
    <w:p w14:paraId="1B58D279"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298794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8F26DA" w14:textId="77777777" w:rsidR="007B3DB2" w:rsidRPr="0063248C" w:rsidRDefault="00000000">
            <w:pPr>
              <w:spacing w:before="40" w:after="40" w:line="240" w:lineRule="exact"/>
              <w:jc w:val="center"/>
              <w:rPr>
                <w:rFonts w:cs="宋体"/>
                <w:sz w:val="18"/>
                <w:szCs w:val="18"/>
              </w:rPr>
            </w:pPr>
            <w:r w:rsidRPr="0063248C">
              <w:rPr>
                <w:rFonts w:cs="宋体"/>
                <w:sz w:val="18"/>
                <w:szCs w:val="18"/>
              </w:rPr>
              <w:t>采购模式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D24A31" w14:textId="77777777" w:rsidR="007B3DB2" w:rsidRPr="0063248C" w:rsidRDefault="00000000">
            <w:pPr>
              <w:spacing w:before="40" w:after="40" w:line="240" w:lineRule="exact"/>
              <w:jc w:val="center"/>
              <w:rPr>
                <w:rFonts w:cs="宋体"/>
                <w:sz w:val="18"/>
                <w:szCs w:val="18"/>
              </w:rPr>
            </w:pPr>
            <w:r w:rsidRPr="0063248C">
              <w:rPr>
                <w:rFonts w:cs="宋体"/>
                <w:sz w:val="18"/>
                <w:szCs w:val="18"/>
              </w:rPr>
              <w:t>采购内容</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752133" w14:textId="77777777" w:rsidR="007B3DB2" w:rsidRPr="0063248C" w:rsidRDefault="00000000">
            <w:pPr>
              <w:spacing w:before="40" w:after="40" w:line="240" w:lineRule="exact"/>
              <w:jc w:val="center"/>
              <w:rPr>
                <w:rFonts w:cs="宋体"/>
                <w:sz w:val="18"/>
                <w:szCs w:val="18"/>
              </w:rPr>
            </w:pPr>
            <w:r w:rsidRPr="0063248C">
              <w:rPr>
                <w:rFonts w:cs="宋体"/>
                <w:sz w:val="18"/>
                <w:szCs w:val="18"/>
              </w:rPr>
              <w:t>主要采购内容的金额</w:t>
            </w:r>
          </w:p>
        </w:tc>
      </w:tr>
      <w:tr w:rsidR="007B3DB2" w:rsidRPr="0063248C" w14:paraId="463D321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165EAEC" w14:textId="77777777" w:rsidR="007B3DB2" w:rsidRPr="0063248C" w:rsidRDefault="00000000">
            <w:pPr>
              <w:spacing w:line="240" w:lineRule="exact"/>
              <w:rPr>
                <w:rFonts w:cs="宋体"/>
                <w:sz w:val="18"/>
                <w:szCs w:val="18"/>
              </w:rPr>
            </w:pPr>
            <w:r w:rsidRPr="0063248C">
              <w:rPr>
                <w:rFonts w:cs="宋体"/>
                <w:sz w:val="18"/>
                <w:szCs w:val="18"/>
              </w:rPr>
              <w:t>合同</w:t>
            </w:r>
            <w:r w:rsidRPr="0063248C">
              <w:rPr>
                <w:rFonts w:cs="宋体"/>
                <w:sz w:val="18"/>
                <w:szCs w:val="18"/>
              </w:rPr>
              <w:t>+</w:t>
            </w:r>
            <w:r w:rsidRPr="0063248C">
              <w:rPr>
                <w:rFonts w:cs="宋体"/>
                <w:sz w:val="18"/>
                <w:szCs w:val="18"/>
              </w:rPr>
              <w:t>按需采购</w:t>
            </w:r>
          </w:p>
        </w:tc>
        <w:tc>
          <w:tcPr>
            <w:tcW w:w="3213" w:type="dxa"/>
            <w:tcBorders>
              <w:top w:val="single" w:sz="2" w:space="0" w:color="auto"/>
              <w:left w:val="single" w:sz="2" w:space="0" w:color="auto"/>
              <w:bottom w:val="single" w:sz="2" w:space="0" w:color="auto"/>
              <w:right w:val="single" w:sz="2" w:space="0" w:color="auto"/>
            </w:tcBorders>
            <w:vAlign w:val="center"/>
          </w:tcPr>
          <w:p w14:paraId="4DF25260" w14:textId="77777777" w:rsidR="007B3DB2" w:rsidRPr="0063248C" w:rsidRDefault="00000000">
            <w:pPr>
              <w:spacing w:line="240" w:lineRule="exact"/>
              <w:rPr>
                <w:rFonts w:cs="宋体"/>
                <w:sz w:val="18"/>
                <w:szCs w:val="18"/>
              </w:rPr>
            </w:pPr>
            <w:r w:rsidRPr="0063248C">
              <w:rPr>
                <w:rFonts w:cs="宋体"/>
                <w:sz w:val="18"/>
                <w:szCs w:val="18"/>
              </w:rPr>
              <w:t>原材料</w:t>
            </w:r>
          </w:p>
        </w:tc>
        <w:tc>
          <w:tcPr>
            <w:tcW w:w="3213" w:type="dxa"/>
            <w:tcBorders>
              <w:top w:val="single" w:sz="2" w:space="0" w:color="auto"/>
              <w:left w:val="single" w:sz="2" w:space="0" w:color="auto"/>
              <w:bottom w:val="single" w:sz="2" w:space="0" w:color="auto"/>
              <w:right w:val="single" w:sz="2" w:space="0" w:color="auto"/>
            </w:tcBorders>
            <w:vAlign w:val="center"/>
          </w:tcPr>
          <w:p w14:paraId="644F0344" w14:textId="77777777" w:rsidR="007B3DB2" w:rsidRPr="0063248C" w:rsidRDefault="00000000">
            <w:pPr>
              <w:spacing w:line="240" w:lineRule="exact"/>
              <w:jc w:val="right"/>
              <w:rPr>
                <w:rFonts w:cs="宋体"/>
                <w:sz w:val="18"/>
                <w:szCs w:val="18"/>
              </w:rPr>
            </w:pPr>
            <w:r w:rsidRPr="0063248C">
              <w:rPr>
                <w:rFonts w:cs="宋体"/>
                <w:sz w:val="18"/>
                <w:szCs w:val="18"/>
              </w:rPr>
              <w:t>4,548,008,157.36</w:t>
            </w:r>
          </w:p>
        </w:tc>
      </w:tr>
      <w:tr w:rsidR="007B3DB2" w:rsidRPr="0063248C" w14:paraId="48758AB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4B7E697" w14:textId="77777777" w:rsidR="007B3DB2" w:rsidRPr="0063248C" w:rsidRDefault="00000000">
            <w:pPr>
              <w:spacing w:line="240" w:lineRule="exact"/>
              <w:rPr>
                <w:rFonts w:cs="宋体"/>
                <w:sz w:val="18"/>
                <w:szCs w:val="18"/>
              </w:rPr>
            </w:pPr>
            <w:r w:rsidRPr="0063248C">
              <w:rPr>
                <w:rFonts w:cs="宋体"/>
                <w:sz w:val="18"/>
                <w:szCs w:val="18"/>
              </w:rPr>
              <w:t>合同</w:t>
            </w:r>
            <w:r w:rsidRPr="0063248C">
              <w:rPr>
                <w:rFonts w:cs="宋体"/>
                <w:sz w:val="18"/>
                <w:szCs w:val="18"/>
              </w:rPr>
              <w:t>+</w:t>
            </w:r>
            <w:r w:rsidRPr="0063248C">
              <w:rPr>
                <w:rFonts w:cs="宋体"/>
                <w:sz w:val="18"/>
                <w:szCs w:val="18"/>
              </w:rPr>
              <w:t>按需采购</w:t>
            </w:r>
          </w:p>
        </w:tc>
        <w:tc>
          <w:tcPr>
            <w:tcW w:w="3213" w:type="dxa"/>
            <w:tcBorders>
              <w:top w:val="single" w:sz="2" w:space="0" w:color="auto"/>
              <w:left w:val="single" w:sz="2" w:space="0" w:color="auto"/>
              <w:bottom w:val="single" w:sz="2" w:space="0" w:color="auto"/>
              <w:right w:val="single" w:sz="2" w:space="0" w:color="auto"/>
            </w:tcBorders>
            <w:vAlign w:val="center"/>
          </w:tcPr>
          <w:p w14:paraId="0E15EBDA" w14:textId="77777777" w:rsidR="007B3DB2" w:rsidRPr="0063248C" w:rsidRDefault="00000000">
            <w:pPr>
              <w:spacing w:line="240" w:lineRule="exact"/>
              <w:rPr>
                <w:rFonts w:cs="宋体"/>
                <w:sz w:val="18"/>
                <w:szCs w:val="18"/>
              </w:rPr>
            </w:pPr>
            <w:r w:rsidRPr="0063248C">
              <w:rPr>
                <w:rFonts w:cs="宋体"/>
                <w:sz w:val="18"/>
                <w:szCs w:val="18"/>
              </w:rPr>
              <w:t>燃料和动力</w:t>
            </w:r>
          </w:p>
        </w:tc>
        <w:tc>
          <w:tcPr>
            <w:tcW w:w="3213" w:type="dxa"/>
            <w:tcBorders>
              <w:top w:val="single" w:sz="2" w:space="0" w:color="auto"/>
              <w:left w:val="single" w:sz="2" w:space="0" w:color="auto"/>
              <w:bottom w:val="single" w:sz="2" w:space="0" w:color="auto"/>
              <w:right w:val="single" w:sz="2" w:space="0" w:color="auto"/>
            </w:tcBorders>
            <w:vAlign w:val="center"/>
          </w:tcPr>
          <w:p w14:paraId="7A05B820" w14:textId="77777777" w:rsidR="007B3DB2" w:rsidRPr="0063248C" w:rsidRDefault="00000000">
            <w:pPr>
              <w:spacing w:line="240" w:lineRule="exact"/>
              <w:jc w:val="right"/>
              <w:rPr>
                <w:rFonts w:cs="宋体"/>
                <w:sz w:val="18"/>
                <w:szCs w:val="18"/>
              </w:rPr>
            </w:pPr>
            <w:r w:rsidRPr="0063248C">
              <w:rPr>
                <w:rFonts w:cs="宋体"/>
                <w:sz w:val="18"/>
                <w:szCs w:val="18"/>
              </w:rPr>
              <w:t>47,144,761.97</w:t>
            </w:r>
          </w:p>
        </w:tc>
      </w:tr>
    </w:tbl>
    <w:p w14:paraId="6057D903" w14:textId="77777777" w:rsidR="007B3DB2" w:rsidRPr="0063248C" w:rsidRDefault="00000000">
      <w:pPr>
        <w:spacing w:before="100" w:after="100" w:line="240" w:lineRule="exact"/>
        <w:rPr>
          <w:rFonts w:cs="宋体"/>
          <w:sz w:val="18"/>
          <w:szCs w:val="18"/>
        </w:rPr>
      </w:pPr>
      <w:r w:rsidRPr="0063248C">
        <w:rPr>
          <w:rFonts w:cs="宋体"/>
          <w:sz w:val="18"/>
          <w:szCs w:val="18"/>
        </w:rPr>
        <w:t>向合作社或农户采购原材料占</w:t>
      </w:r>
      <w:proofErr w:type="gramStart"/>
      <w:r w:rsidRPr="0063248C">
        <w:rPr>
          <w:rFonts w:cs="宋体"/>
          <w:sz w:val="18"/>
          <w:szCs w:val="18"/>
        </w:rPr>
        <w:t>采购总</w:t>
      </w:r>
      <w:proofErr w:type="gramEnd"/>
      <w:r w:rsidRPr="0063248C">
        <w:rPr>
          <w:rFonts w:cs="宋体"/>
          <w:sz w:val="18"/>
          <w:szCs w:val="18"/>
        </w:rPr>
        <w:t>金额比例超过</w:t>
      </w:r>
      <w:r w:rsidRPr="0063248C">
        <w:rPr>
          <w:rFonts w:cs="宋体"/>
          <w:sz w:val="18"/>
          <w:szCs w:val="18"/>
        </w:rPr>
        <w:t>30%</w:t>
      </w:r>
    </w:p>
    <w:p w14:paraId="252D20F5"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F561AD0" w14:textId="77777777" w:rsidR="007B3DB2" w:rsidRPr="0063248C" w:rsidRDefault="00000000">
      <w:pPr>
        <w:spacing w:before="100" w:after="100" w:line="240" w:lineRule="exact"/>
        <w:rPr>
          <w:rFonts w:cs="宋体"/>
          <w:sz w:val="18"/>
          <w:szCs w:val="18"/>
        </w:rPr>
      </w:pPr>
      <w:r w:rsidRPr="0063248C">
        <w:rPr>
          <w:rFonts w:cs="宋体"/>
          <w:sz w:val="18"/>
          <w:szCs w:val="18"/>
        </w:rPr>
        <w:t>主要外购原材料价格同比变动超过</w:t>
      </w:r>
      <w:r w:rsidRPr="0063248C">
        <w:rPr>
          <w:rFonts w:cs="宋体"/>
          <w:sz w:val="18"/>
          <w:szCs w:val="18"/>
        </w:rPr>
        <w:t>30%</w:t>
      </w:r>
    </w:p>
    <w:p w14:paraId="354F862A"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6DAC29D" w14:textId="77777777" w:rsidR="007B3DB2" w:rsidRPr="0063248C" w:rsidRDefault="00000000">
      <w:pPr>
        <w:spacing w:before="100" w:after="100" w:line="240" w:lineRule="exact"/>
        <w:rPr>
          <w:rFonts w:cs="宋体"/>
          <w:sz w:val="18"/>
          <w:szCs w:val="18"/>
        </w:rPr>
      </w:pPr>
      <w:r w:rsidRPr="0063248C">
        <w:rPr>
          <w:rFonts w:cs="宋体"/>
          <w:sz w:val="18"/>
          <w:szCs w:val="18"/>
        </w:rPr>
        <w:t>主要生产模式</w:t>
      </w:r>
    </w:p>
    <w:p w14:paraId="5168D434" w14:textId="77777777" w:rsidR="00517D34" w:rsidRPr="0063248C" w:rsidRDefault="00000000" w:rsidP="0063248C">
      <w:pPr>
        <w:pStyle w:val="a3"/>
        <w:ind w:firstLineChars="200" w:firstLine="360"/>
        <w:divId w:val="1022782327"/>
        <w:rPr>
          <w:rFonts w:ascii="Times New Roman" w:hAnsi="Times New Roman"/>
          <w:sz w:val="18"/>
          <w:szCs w:val="18"/>
        </w:rPr>
      </w:pPr>
      <w:r w:rsidRPr="0063248C">
        <w:rPr>
          <w:rFonts w:ascii="Times New Roman" w:hAnsi="Times New Roman" w:hint="eastAsia"/>
          <w:sz w:val="18"/>
          <w:szCs w:val="18"/>
        </w:rPr>
        <w:t>公司实行“以销定产”经营模式，主要涉及预制食品、肉制品和鲜冻肉生产等板块，并根据市场订单、产品库存及市场预测情况等合理制定生产计划。公司主要产品以自产为主，由公司采购原辅料、包材等，在自有厂区生产加工。在实际生产过程中，基于对市场的把控和客户的实际需求进行订单预测，由销售部门提报产品需求，通过系统计算用料需求，导出理论采购量，同时分析原辅料库存、各车间领用及请购情况，下达原辅物料采购计划给采购部，下达生产计划给生产部。</w:t>
      </w:r>
    </w:p>
    <w:p w14:paraId="3DA1C08F" w14:textId="77777777" w:rsidR="007B3DB2" w:rsidRPr="0063248C" w:rsidRDefault="00000000">
      <w:pPr>
        <w:spacing w:before="100" w:after="100" w:line="240" w:lineRule="exact"/>
        <w:rPr>
          <w:rFonts w:cs="宋体"/>
          <w:sz w:val="18"/>
          <w:szCs w:val="18"/>
        </w:rPr>
      </w:pPr>
      <w:r w:rsidRPr="0063248C">
        <w:rPr>
          <w:rFonts w:cs="宋体"/>
          <w:sz w:val="18"/>
          <w:szCs w:val="18"/>
        </w:rPr>
        <w:t>委托加工生产</w:t>
      </w:r>
    </w:p>
    <w:p w14:paraId="0164F67C"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9509FEE" w14:textId="77777777" w:rsidR="007B3DB2" w:rsidRPr="0063248C" w:rsidRDefault="00000000">
      <w:pPr>
        <w:spacing w:before="100" w:after="100" w:line="240" w:lineRule="exact"/>
        <w:rPr>
          <w:rFonts w:cs="宋体"/>
          <w:sz w:val="18"/>
          <w:szCs w:val="18"/>
        </w:rPr>
      </w:pPr>
      <w:r w:rsidRPr="0063248C">
        <w:rPr>
          <w:rFonts w:cs="宋体"/>
          <w:sz w:val="18"/>
          <w:szCs w:val="18"/>
        </w:rPr>
        <w:t>营业成本的主要构成项目</w:t>
      </w:r>
    </w:p>
    <w:p w14:paraId="45143FBC" w14:textId="77777777" w:rsidR="00517D34" w:rsidRPr="0063248C" w:rsidRDefault="00000000">
      <w:pPr>
        <w:pStyle w:val="a3"/>
        <w:divId w:val="1584296455"/>
        <w:rPr>
          <w:rFonts w:ascii="Times New Roman" w:hAnsi="Times New Roman"/>
          <w:sz w:val="18"/>
          <w:szCs w:val="18"/>
        </w:rPr>
      </w:pPr>
      <w:r w:rsidRPr="0063248C">
        <w:rPr>
          <w:rFonts w:ascii="Times New Roman" w:hAnsi="Times New Roman" w:hint="eastAsia"/>
          <w:sz w:val="18"/>
          <w:szCs w:val="18"/>
        </w:rPr>
        <w:t>参见本节“主营业务分析”。</w:t>
      </w:r>
    </w:p>
    <w:p w14:paraId="34DDDF35" w14:textId="77777777" w:rsidR="007B3DB2" w:rsidRPr="0063248C" w:rsidRDefault="00000000">
      <w:pPr>
        <w:spacing w:before="100" w:after="100" w:line="240" w:lineRule="exact"/>
        <w:rPr>
          <w:rFonts w:cs="宋体"/>
          <w:sz w:val="18"/>
          <w:szCs w:val="18"/>
        </w:rPr>
      </w:pPr>
      <w:r w:rsidRPr="0063248C">
        <w:rPr>
          <w:rFonts w:cs="宋体"/>
          <w:sz w:val="18"/>
          <w:szCs w:val="18"/>
        </w:rPr>
        <w:t>产量与库存量</w:t>
      </w:r>
    </w:p>
    <w:tbl>
      <w:tblPr>
        <w:tblW w:w="8790" w:type="dxa"/>
        <w:tblCellMar>
          <w:left w:w="0" w:type="dxa"/>
          <w:right w:w="0" w:type="dxa"/>
        </w:tblCellMar>
        <w:tblLook w:val="04A0" w:firstRow="1" w:lastRow="0" w:firstColumn="1" w:lastColumn="0" w:noHBand="0" w:noVBand="1"/>
      </w:tblPr>
      <w:tblGrid>
        <w:gridCol w:w="1740"/>
        <w:gridCol w:w="1410"/>
        <w:gridCol w:w="1410"/>
        <w:gridCol w:w="1410"/>
        <w:gridCol w:w="1410"/>
        <w:gridCol w:w="1410"/>
      </w:tblGrid>
      <w:tr w:rsidR="00517D34" w:rsidRPr="0063248C" w14:paraId="7B837A0A" w14:textId="77777777">
        <w:trPr>
          <w:divId w:val="1265109228"/>
          <w:trHeight w:val="154"/>
        </w:trPr>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C8D68F" w14:textId="77777777" w:rsidR="00517D34" w:rsidRPr="0063248C" w:rsidRDefault="00000000">
            <w:pPr>
              <w:widowControl/>
              <w:rPr>
                <w:color w:val="000000"/>
                <w:kern w:val="0"/>
                <w:sz w:val="18"/>
                <w:szCs w:val="18"/>
                <w14:ligatures w14:val="none"/>
              </w:rPr>
            </w:pPr>
            <w:r w:rsidRPr="0063248C">
              <w:rPr>
                <w:rFonts w:hint="eastAsia"/>
                <w:color w:val="000000"/>
                <w:sz w:val="18"/>
                <w:szCs w:val="18"/>
              </w:rPr>
              <w:t>行业分类</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9DC11C7" w14:textId="77777777" w:rsidR="00517D34" w:rsidRPr="0063248C" w:rsidRDefault="00000000">
            <w:pPr>
              <w:rPr>
                <w:color w:val="000000"/>
                <w:sz w:val="18"/>
                <w:szCs w:val="18"/>
              </w:rPr>
            </w:pPr>
            <w:r w:rsidRPr="0063248C">
              <w:rPr>
                <w:rFonts w:hint="eastAsia"/>
                <w:color w:val="000000"/>
                <w:sz w:val="18"/>
                <w:szCs w:val="18"/>
              </w:rPr>
              <w:t>项目</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AA2D35D" w14:textId="77777777" w:rsidR="00517D34" w:rsidRPr="0063248C" w:rsidRDefault="00000000">
            <w:pPr>
              <w:rPr>
                <w:color w:val="000000"/>
                <w:sz w:val="18"/>
                <w:szCs w:val="18"/>
              </w:rPr>
            </w:pPr>
            <w:r w:rsidRPr="0063248C">
              <w:rPr>
                <w:rFonts w:hint="eastAsia"/>
                <w:color w:val="000000"/>
                <w:sz w:val="18"/>
                <w:szCs w:val="18"/>
              </w:rPr>
              <w:t>单位</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9368FB" w14:textId="77777777" w:rsidR="00517D34" w:rsidRPr="0063248C" w:rsidRDefault="00000000">
            <w:pPr>
              <w:rPr>
                <w:rFonts w:cs="Times New Roman"/>
                <w:color w:val="000000"/>
                <w:sz w:val="18"/>
                <w:szCs w:val="18"/>
              </w:rPr>
            </w:pPr>
            <w:r w:rsidRPr="0063248C">
              <w:rPr>
                <w:rFonts w:cs="Times New Roman"/>
                <w:color w:val="000000"/>
                <w:sz w:val="18"/>
                <w:szCs w:val="18"/>
              </w:rPr>
              <w:t>2024 </w:t>
            </w:r>
            <w:r w:rsidRPr="0063248C">
              <w:rPr>
                <w:rFonts w:cs="Times New Roman" w:hint="eastAsia"/>
                <w:color w:val="000000"/>
                <w:sz w:val="18"/>
                <w:szCs w:val="18"/>
              </w:rPr>
              <w:t>年半年度</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2F48FD" w14:textId="77777777" w:rsidR="00517D34" w:rsidRPr="0063248C" w:rsidRDefault="00000000">
            <w:pPr>
              <w:rPr>
                <w:rFonts w:cs="Times New Roman"/>
                <w:color w:val="000000"/>
                <w:sz w:val="18"/>
                <w:szCs w:val="18"/>
              </w:rPr>
            </w:pPr>
            <w:r w:rsidRPr="0063248C">
              <w:rPr>
                <w:rFonts w:cs="Times New Roman"/>
                <w:color w:val="000000"/>
                <w:sz w:val="18"/>
                <w:szCs w:val="18"/>
              </w:rPr>
              <w:t xml:space="preserve">2023 </w:t>
            </w:r>
            <w:r w:rsidRPr="0063248C">
              <w:rPr>
                <w:rFonts w:cs="Times New Roman"/>
                <w:color w:val="000000"/>
                <w:sz w:val="18"/>
                <w:szCs w:val="18"/>
              </w:rPr>
              <w:t>年半年度</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60FE9A7" w14:textId="77777777" w:rsidR="00517D34" w:rsidRPr="0063248C" w:rsidRDefault="00000000">
            <w:pPr>
              <w:rPr>
                <w:rFonts w:cs="宋体"/>
                <w:color w:val="000000"/>
                <w:sz w:val="18"/>
                <w:szCs w:val="18"/>
              </w:rPr>
            </w:pPr>
            <w:r w:rsidRPr="0063248C">
              <w:rPr>
                <w:rFonts w:hint="eastAsia"/>
                <w:color w:val="000000"/>
                <w:sz w:val="18"/>
                <w:szCs w:val="18"/>
              </w:rPr>
              <w:t>同比增减</w:t>
            </w:r>
          </w:p>
        </w:tc>
      </w:tr>
      <w:tr w:rsidR="00517D34" w:rsidRPr="0063248C" w14:paraId="1798DFFC" w14:textId="77777777">
        <w:trPr>
          <w:divId w:val="1265109228"/>
          <w:trHeight w:val="270"/>
        </w:trPr>
        <w:tc>
          <w:tcPr>
            <w:tcW w:w="17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EDD1AF" w14:textId="77777777" w:rsidR="00517D34" w:rsidRPr="0063248C" w:rsidRDefault="00000000">
            <w:pPr>
              <w:jc w:val="center"/>
              <w:rPr>
                <w:color w:val="000000"/>
                <w:sz w:val="18"/>
                <w:szCs w:val="18"/>
              </w:rPr>
            </w:pPr>
            <w:r w:rsidRPr="0063248C">
              <w:rPr>
                <w:rFonts w:hint="eastAsia"/>
                <w:color w:val="000000"/>
                <w:sz w:val="18"/>
                <w:szCs w:val="18"/>
              </w:rPr>
              <w:t>生猪屠宰及肉类加工</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79210C0" w14:textId="77777777" w:rsidR="00517D34" w:rsidRPr="0063248C" w:rsidRDefault="00000000">
            <w:pPr>
              <w:rPr>
                <w:color w:val="000000"/>
                <w:sz w:val="18"/>
                <w:szCs w:val="18"/>
              </w:rPr>
            </w:pPr>
            <w:r w:rsidRPr="0063248C">
              <w:rPr>
                <w:rFonts w:hint="eastAsia"/>
                <w:color w:val="000000"/>
                <w:sz w:val="18"/>
                <w:szCs w:val="18"/>
              </w:rPr>
              <w:t>销售量</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995810" w14:textId="77777777" w:rsidR="00517D34" w:rsidRPr="0063248C" w:rsidRDefault="00000000">
            <w:pPr>
              <w:rPr>
                <w:color w:val="000000"/>
                <w:sz w:val="18"/>
                <w:szCs w:val="18"/>
              </w:rPr>
            </w:pPr>
            <w:r w:rsidRPr="0063248C">
              <w:rPr>
                <w:rFonts w:hint="eastAsia"/>
                <w:color w:val="000000"/>
                <w:sz w:val="18"/>
                <w:szCs w:val="18"/>
              </w:rPr>
              <w:t>吨</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AD42E22" w14:textId="77777777" w:rsidR="00517D34" w:rsidRPr="0063248C" w:rsidRDefault="00000000">
            <w:pPr>
              <w:jc w:val="right"/>
              <w:rPr>
                <w:rFonts w:cs="Times New Roman"/>
                <w:color w:val="000000"/>
                <w:sz w:val="18"/>
                <w:szCs w:val="18"/>
              </w:rPr>
            </w:pPr>
            <w:r w:rsidRPr="0063248C">
              <w:rPr>
                <w:rFonts w:cs="Times New Roman"/>
                <w:color w:val="000000"/>
                <w:sz w:val="18"/>
                <w:szCs w:val="18"/>
              </w:rPr>
              <w:t>287,440.78</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8FAC3C4" w14:textId="77777777" w:rsidR="00517D34" w:rsidRPr="0063248C" w:rsidRDefault="00000000">
            <w:pPr>
              <w:jc w:val="right"/>
              <w:rPr>
                <w:rFonts w:cs="Times New Roman"/>
                <w:color w:val="000000"/>
                <w:sz w:val="18"/>
                <w:szCs w:val="18"/>
              </w:rPr>
            </w:pPr>
            <w:r w:rsidRPr="0063248C">
              <w:rPr>
                <w:rFonts w:cs="Times New Roman"/>
                <w:color w:val="000000"/>
                <w:sz w:val="18"/>
                <w:szCs w:val="18"/>
              </w:rPr>
              <w:t>346,135.59</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73501F6" w14:textId="77777777" w:rsidR="00517D34" w:rsidRPr="0063248C" w:rsidRDefault="00000000">
            <w:pPr>
              <w:jc w:val="right"/>
              <w:rPr>
                <w:rFonts w:cs="Times New Roman"/>
                <w:color w:val="000000"/>
                <w:sz w:val="18"/>
                <w:szCs w:val="18"/>
              </w:rPr>
            </w:pPr>
            <w:r w:rsidRPr="0063248C">
              <w:rPr>
                <w:rFonts w:cs="Times New Roman"/>
                <w:color w:val="000000"/>
                <w:sz w:val="18"/>
                <w:szCs w:val="18"/>
              </w:rPr>
              <w:t>-16.96%</w:t>
            </w:r>
          </w:p>
        </w:tc>
      </w:tr>
      <w:tr w:rsidR="00517D34" w:rsidRPr="0063248C" w14:paraId="408D615A" w14:textId="77777777">
        <w:trPr>
          <w:divId w:val="1265109228"/>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D58110" w14:textId="77777777" w:rsidR="00517D34" w:rsidRPr="0063248C" w:rsidRDefault="00517D34">
            <w:pPr>
              <w:rPr>
                <w:rFonts w:cs="宋体"/>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C53DB2" w14:textId="77777777" w:rsidR="00517D34" w:rsidRPr="0063248C" w:rsidRDefault="00000000">
            <w:pPr>
              <w:rPr>
                <w:rFonts w:cs="宋体"/>
                <w:color w:val="000000"/>
                <w:sz w:val="18"/>
                <w:szCs w:val="18"/>
              </w:rPr>
            </w:pPr>
            <w:r w:rsidRPr="0063248C">
              <w:rPr>
                <w:rFonts w:hint="eastAsia"/>
                <w:color w:val="000000"/>
                <w:sz w:val="18"/>
                <w:szCs w:val="18"/>
              </w:rPr>
              <w:t>生产量</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CDCAB50" w14:textId="77777777" w:rsidR="00517D34" w:rsidRPr="0063248C" w:rsidRDefault="00000000">
            <w:pPr>
              <w:rPr>
                <w:color w:val="000000"/>
                <w:sz w:val="18"/>
                <w:szCs w:val="18"/>
              </w:rPr>
            </w:pPr>
            <w:r w:rsidRPr="0063248C">
              <w:rPr>
                <w:rFonts w:hint="eastAsia"/>
                <w:color w:val="000000"/>
                <w:sz w:val="18"/>
                <w:szCs w:val="18"/>
              </w:rPr>
              <w:t>吨</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8A4C0C8" w14:textId="77777777" w:rsidR="00517D34" w:rsidRPr="0063248C" w:rsidRDefault="00000000">
            <w:pPr>
              <w:jc w:val="right"/>
              <w:rPr>
                <w:rFonts w:cs="Times New Roman"/>
                <w:color w:val="000000"/>
                <w:sz w:val="18"/>
                <w:szCs w:val="18"/>
              </w:rPr>
            </w:pPr>
            <w:r w:rsidRPr="0063248C">
              <w:rPr>
                <w:rFonts w:cs="Times New Roman"/>
                <w:color w:val="000000"/>
                <w:sz w:val="18"/>
                <w:szCs w:val="18"/>
              </w:rPr>
              <w:t>285,476.06</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3846C48" w14:textId="77777777" w:rsidR="00517D34" w:rsidRPr="0063248C" w:rsidRDefault="00000000">
            <w:pPr>
              <w:jc w:val="right"/>
              <w:rPr>
                <w:rFonts w:cs="Times New Roman"/>
                <w:color w:val="000000"/>
                <w:sz w:val="18"/>
                <w:szCs w:val="18"/>
              </w:rPr>
            </w:pPr>
            <w:r w:rsidRPr="0063248C">
              <w:rPr>
                <w:rFonts w:cs="Times New Roman"/>
                <w:color w:val="000000"/>
                <w:sz w:val="18"/>
                <w:szCs w:val="18"/>
              </w:rPr>
              <w:t>379,316.20</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A3AE5C3" w14:textId="77777777" w:rsidR="00517D34" w:rsidRPr="0063248C" w:rsidRDefault="00000000">
            <w:pPr>
              <w:jc w:val="right"/>
              <w:rPr>
                <w:rFonts w:cs="Times New Roman"/>
                <w:color w:val="000000"/>
                <w:sz w:val="18"/>
                <w:szCs w:val="18"/>
              </w:rPr>
            </w:pPr>
            <w:r w:rsidRPr="0063248C">
              <w:rPr>
                <w:rFonts w:cs="Times New Roman"/>
                <w:color w:val="000000"/>
                <w:sz w:val="18"/>
                <w:szCs w:val="18"/>
              </w:rPr>
              <w:t>-24.74%</w:t>
            </w:r>
          </w:p>
        </w:tc>
      </w:tr>
      <w:tr w:rsidR="00517D34" w:rsidRPr="0063248C" w14:paraId="09BDAA63" w14:textId="77777777">
        <w:trPr>
          <w:divId w:val="1265109228"/>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C88C0" w14:textId="77777777" w:rsidR="00517D34" w:rsidRPr="0063248C" w:rsidRDefault="00517D34">
            <w:pPr>
              <w:rPr>
                <w:rFonts w:cs="宋体"/>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76D310" w14:textId="77777777" w:rsidR="00517D34" w:rsidRPr="0063248C" w:rsidRDefault="00000000">
            <w:pPr>
              <w:rPr>
                <w:rFonts w:cs="宋体"/>
                <w:color w:val="000000"/>
                <w:sz w:val="18"/>
                <w:szCs w:val="18"/>
              </w:rPr>
            </w:pPr>
            <w:r w:rsidRPr="0063248C">
              <w:rPr>
                <w:rFonts w:hint="eastAsia"/>
                <w:color w:val="000000"/>
                <w:sz w:val="18"/>
                <w:szCs w:val="18"/>
              </w:rPr>
              <w:t>库存量</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E8BF82F" w14:textId="77777777" w:rsidR="00517D34" w:rsidRPr="0063248C" w:rsidRDefault="00000000">
            <w:pPr>
              <w:rPr>
                <w:color w:val="000000"/>
                <w:sz w:val="18"/>
                <w:szCs w:val="18"/>
              </w:rPr>
            </w:pPr>
            <w:r w:rsidRPr="0063248C">
              <w:rPr>
                <w:rFonts w:hint="eastAsia"/>
                <w:color w:val="000000"/>
                <w:sz w:val="18"/>
                <w:szCs w:val="18"/>
              </w:rPr>
              <w:t>吨</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BD0815" w14:textId="77777777" w:rsidR="00517D34" w:rsidRPr="0063248C" w:rsidRDefault="00000000">
            <w:pPr>
              <w:jc w:val="right"/>
              <w:rPr>
                <w:rFonts w:cs="Times New Roman"/>
                <w:color w:val="000000"/>
                <w:sz w:val="18"/>
                <w:szCs w:val="18"/>
              </w:rPr>
            </w:pPr>
            <w:r w:rsidRPr="0063248C">
              <w:rPr>
                <w:rFonts w:cs="Times New Roman"/>
                <w:color w:val="000000"/>
                <w:sz w:val="18"/>
                <w:szCs w:val="18"/>
              </w:rPr>
              <w:t>36,020.52</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EBBB6A" w14:textId="77777777" w:rsidR="00517D34" w:rsidRPr="0063248C" w:rsidRDefault="00000000">
            <w:pPr>
              <w:jc w:val="right"/>
              <w:rPr>
                <w:rFonts w:cs="Times New Roman"/>
                <w:color w:val="000000"/>
                <w:sz w:val="18"/>
                <w:szCs w:val="18"/>
              </w:rPr>
            </w:pPr>
            <w:r w:rsidRPr="0063248C">
              <w:rPr>
                <w:rFonts w:cs="Times New Roman"/>
                <w:color w:val="000000"/>
                <w:sz w:val="18"/>
                <w:szCs w:val="18"/>
              </w:rPr>
              <w:t>53,990.48</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81844F" w14:textId="77777777" w:rsidR="00517D34" w:rsidRPr="0063248C" w:rsidRDefault="00000000">
            <w:pPr>
              <w:jc w:val="right"/>
              <w:rPr>
                <w:rFonts w:cs="Times New Roman"/>
                <w:color w:val="000000"/>
                <w:sz w:val="18"/>
                <w:szCs w:val="18"/>
              </w:rPr>
            </w:pPr>
            <w:r w:rsidRPr="0063248C">
              <w:rPr>
                <w:rFonts w:cs="Times New Roman"/>
                <w:color w:val="000000"/>
                <w:sz w:val="18"/>
                <w:szCs w:val="18"/>
              </w:rPr>
              <w:t>-33.28%</w:t>
            </w:r>
          </w:p>
        </w:tc>
      </w:tr>
    </w:tbl>
    <w:p w14:paraId="4C3E49B8" w14:textId="77777777" w:rsidR="00517D34" w:rsidRPr="0063248C" w:rsidRDefault="00517D34">
      <w:pPr>
        <w:divId w:val="1265109228"/>
      </w:pPr>
    </w:p>
    <w:p w14:paraId="0C9EE2B3" w14:textId="77777777" w:rsidR="007B3DB2" w:rsidRPr="0063248C" w:rsidRDefault="00000000">
      <w:pPr>
        <w:pStyle w:val="2"/>
        <w:spacing w:before="300" w:after="300" w:line="320" w:lineRule="exact"/>
        <w:rPr>
          <w:rFonts w:cs="宋体"/>
          <w:b/>
          <w:bCs/>
          <w:sz w:val="24"/>
          <w:szCs w:val="24"/>
        </w:rPr>
      </w:pPr>
      <w:bookmarkStart w:id="15" w:name="_Toc988904"/>
      <w:r w:rsidRPr="0063248C">
        <w:rPr>
          <w:rFonts w:cs="宋体"/>
          <w:b/>
          <w:bCs/>
          <w:sz w:val="24"/>
          <w:szCs w:val="24"/>
        </w:rPr>
        <w:t>二、核心竞争力分析</w:t>
      </w:r>
      <w:bookmarkEnd w:id="15"/>
    </w:p>
    <w:p w14:paraId="466BB21C" w14:textId="77777777" w:rsidR="0063248C" w:rsidRPr="0063248C" w:rsidRDefault="00000000" w:rsidP="0063248C">
      <w:pPr>
        <w:spacing w:line="276" w:lineRule="auto"/>
        <w:ind w:firstLineChars="200" w:firstLine="360"/>
        <w:divId w:val="1092240056"/>
        <w:rPr>
          <w:sz w:val="18"/>
          <w:szCs w:val="18"/>
        </w:rPr>
      </w:pPr>
      <w:r w:rsidRPr="0063248C">
        <w:rPr>
          <w:rFonts w:hint="eastAsia"/>
          <w:sz w:val="18"/>
          <w:szCs w:val="18"/>
        </w:rPr>
        <w:t>公司坚持以食品为主体，以屠宰和养殖为两翼支撑的“一体两翼”总体发展战略，凭借</w:t>
      </w:r>
      <w:r w:rsidRPr="0063248C">
        <w:rPr>
          <w:rFonts w:hint="eastAsia"/>
          <w:sz w:val="18"/>
          <w:szCs w:val="18"/>
        </w:rPr>
        <w:t>20</w:t>
      </w:r>
      <w:r w:rsidRPr="0063248C">
        <w:rPr>
          <w:rFonts w:hint="eastAsia"/>
          <w:sz w:val="18"/>
          <w:szCs w:val="18"/>
        </w:rPr>
        <w:t>多年从事食品行业的专业优势积累，形成了差异化的核心竞争力。公司食品业务瞄准万亿预制菜肴市场，养殖和屠宰业务的深厚经验为食品业务发展提供良好的支撑。如今，公司已经拥有全流程的研发生产能力，通过精细化加工工艺，形成众多用于不同渠道、不同市场的产品形态，满足不同客户的需求。主要竞争优势如下：</w:t>
      </w:r>
    </w:p>
    <w:p w14:paraId="2C9CC825" w14:textId="77777777" w:rsidR="0063248C" w:rsidRPr="0063248C" w:rsidRDefault="00000000" w:rsidP="0063248C">
      <w:pPr>
        <w:spacing w:line="276" w:lineRule="auto"/>
        <w:ind w:firstLineChars="200" w:firstLine="360"/>
        <w:divId w:val="1092240056"/>
        <w:rPr>
          <w:sz w:val="18"/>
          <w:szCs w:val="18"/>
        </w:rPr>
      </w:pPr>
      <w:r w:rsidRPr="0063248C">
        <w:rPr>
          <w:rFonts w:hint="eastAsia"/>
          <w:sz w:val="18"/>
          <w:szCs w:val="18"/>
        </w:rPr>
        <w:lastRenderedPageBreak/>
        <w:t>（一）品控优势</w:t>
      </w:r>
    </w:p>
    <w:p w14:paraId="15B70378" w14:textId="77777777" w:rsidR="0063248C" w:rsidRPr="0063248C" w:rsidRDefault="00000000" w:rsidP="0063248C">
      <w:pPr>
        <w:spacing w:line="276" w:lineRule="auto"/>
        <w:ind w:firstLineChars="200" w:firstLine="360"/>
        <w:divId w:val="1092240056"/>
        <w:rPr>
          <w:sz w:val="18"/>
          <w:szCs w:val="18"/>
        </w:rPr>
      </w:pPr>
      <w:r w:rsidRPr="0063248C">
        <w:rPr>
          <w:rFonts w:hint="eastAsia"/>
          <w:sz w:val="18"/>
          <w:szCs w:val="18"/>
        </w:rPr>
        <w:t>公司拥有二十多年对日出口的品质保障，严苛的出口品质管控体系锻造了龙大美食品质管理能力。同时，公司建立了质量与安全预警机制，从源头输入、加工过程、市场流通、市场抽检、行业动态全方位进行预警，防患于未然。并且，在多年的生产过程中，公司通过从原料采购、质量检测到冷链存储、即时零售的食品生产安全</w:t>
      </w:r>
      <w:r w:rsidRPr="0063248C">
        <w:rPr>
          <w:rFonts w:hint="eastAsia"/>
          <w:sz w:val="18"/>
          <w:szCs w:val="18"/>
        </w:rPr>
        <w:t>12</w:t>
      </w:r>
      <w:r w:rsidRPr="0063248C">
        <w:rPr>
          <w:rFonts w:hint="eastAsia"/>
          <w:sz w:val="18"/>
          <w:szCs w:val="18"/>
        </w:rPr>
        <w:t>道工序，严守食品安全线，打造了以源头控制、质量体系、产品检测为核心的食品安全保证体系。做到批批都检验，全程可追溯，实现对原料、生产、产品的全过程把控。同时，公司品控部门拥有品质问题的一票否决权，严把出厂关。此外，全资子公司杰科检测，是专业从事食品安全检测的国家级检测机构，负责公司原料、半成品、成品和辅料等全方位检测。杰科检测目前可开展</w:t>
      </w:r>
      <w:r w:rsidRPr="0063248C">
        <w:rPr>
          <w:rFonts w:hint="eastAsia"/>
          <w:sz w:val="18"/>
          <w:szCs w:val="18"/>
        </w:rPr>
        <w:t>8</w:t>
      </w:r>
      <w:r w:rsidRPr="0063248C">
        <w:rPr>
          <w:rFonts w:hint="eastAsia"/>
          <w:sz w:val="18"/>
          <w:szCs w:val="18"/>
        </w:rPr>
        <w:t>个大类</w:t>
      </w:r>
      <w:r w:rsidRPr="0063248C">
        <w:rPr>
          <w:rFonts w:hint="eastAsia"/>
          <w:sz w:val="18"/>
          <w:szCs w:val="18"/>
        </w:rPr>
        <w:t>1,111</w:t>
      </w:r>
      <w:r w:rsidRPr="0063248C">
        <w:rPr>
          <w:rFonts w:hint="eastAsia"/>
          <w:sz w:val="18"/>
          <w:szCs w:val="18"/>
        </w:rPr>
        <w:t>项指标检测，在《色谱》《食品科学》等权威期刊发表论文</w:t>
      </w:r>
      <w:r w:rsidRPr="0063248C">
        <w:rPr>
          <w:rFonts w:hint="eastAsia"/>
          <w:sz w:val="18"/>
          <w:szCs w:val="18"/>
        </w:rPr>
        <w:t>30</w:t>
      </w:r>
      <w:r w:rsidRPr="0063248C">
        <w:rPr>
          <w:rFonts w:hint="eastAsia"/>
          <w:sz w:val="18"/>
          <w:szCs w:val="18"/>
        </w:rPr>
        <w:t>余篇，参与了</w:t>
      </w:r>
      <w:r w:rsidRPr="0063248C">
        <w:rPr>
          <w:rFonts w:hint="eastAsia"/>
          <w:sz w:val="18"/>
          <w:szCs w:val="18"/>
        </w:rPr>
        <w:t>6</w:t>
      </w:r>
      <w:r w:rsidRPr="0063248C">
        <w:rPr>
          <w:rFonts w:hint="eastAsia"/>
          <w:sz w:val="18"/>
          <w:szCs w:val="18"/>
        </w:rPr>
        <w:t>个标准的制修订。杰科检测依据国家标准、行业标准、进口国标准，为内贸和外贸企业提供专业化检测服务，年检测样品</w:t>
      </w:r>
      <w:r w:rsidRPr="0063248C">
        <w:rPr>
          <w:rFonts w:hint="eastAsia"/>
          <w:sz w:val="18"/>
          <w:szCs w:val="18"/>
        </w:rPr>
        <w:t>4</w:t>
      </w:r>
      <w:r w:rsidRPr="0063248C">
        <w:rPr>
          <w:rFonts w:hint="eastAsia"/>
          <w:sz w:val="18"/>
          <w:szCs w:val="18"/>
        </w:rPr>
        <w:t>万余个，进一步为公司食品安全提供了保障。</w:t>
      </w:r>
    </w:p>
    <w:p w14:paraId="290CC5C6" w14:textId="77777777" w:rsidR="0063248C" w:rsidRPr="0063248C" w:rsidRDefault="00000000" w:rsidP="0063248C">
      <w:pPr>
        <w:spacing w:line="276" w:lineRule="auto"/>
        <w:ind w:firstLineChars="200" w:firstLine="360"/>
        <w:divId w:val="1092240056"/>
        <w:rPr>
          <w:sz w:val="18"/>
          <w:szCs w:val="18"/>
        </w:rPr>
      </w:pPr>
      <w:r w:rsidRPr="0063248C">
        <w:rPr>
          <w:rFonts w:hint="eastAsia"/>
          <w:sz w:val="18"/>
          <w:szCs w:val="18"/>
        </w:rPr>
        <w:t>（二）研发优势</w:t>
      </w:r>
    </w:p>
    <w:p w14:paraId="676BB371" w14:textId="7B9EC274" w:rsidR="0063248C" w:rsidRPr="0063248C" w:rsidRDefault="00000000" w:rsidP="00C117DA">
      <w:pPr>
        <w:spacing w:line="276" w:lineRule="auto"/>
        <w:ind w:firstLineChars="200" w:firstLine="360"/>
        <w:divId w:val="1092240056"/>
        <w:rPr>
          <w:sz w:val="18"/>
          <w:szCs w:val="18"/>
        </w:rPr>
      </w:pPr>
      <w:r w:rsidRPr="0063248C">
        <w:rPr>
          <w:rFonts w:hint="eastAsia"/>
          <w:sz w:val="18"/>
          <w:szCs w:val="18"/>
        </w:rPr>
        <w:t>公司立足山东、上海、四川三大国内领先的食品研发中心，形成“三位一体”的研发格局，便于快速掌握当地客户的需求和市场变化趋势，并与当地客户进行近距离沟通和服务，深度把握当地食品口味和客户的喜好程度，持续推进特色食品的主动研发。公司已经与中国农业科学院质量标准与检测技术研究所、西华大学、山东农业大学、山东省农业科学院、济南大学、烟台大学等高校、科研院所开展稳定的产学研合作，实现工业与传统的融合，让中华美食走进千家万户。截止目前，公司已获得发明专利</w:t>
      </w:r>
      <w:r w:rsidRPr="0063248C">
        <w:rPr>
          <w:rFonts w:hint="eastAsia"/>
          <w:sz w:val="18"/>
          <w:szCs w:val="18"/>
        </w:rPr>
        <w:t xml:space="preserve"> 8 </w:t>
      </w:r>
      <w:r w:rsidRPr="0063248C">
        <w:rPr>
          <w:rFonts w:hint="eastAsia"/>
          <w:sz w:val="18"/>
          <w:szCs w:val="18"/>
        </w:rPr>
        <w:t>项，实用新型专利</w:t>
      </w:r>
      <w:r w:rsidRPr="0063248C">
        <w:rPr>
          <w:rFonts w:hint="eastAsia"/>
          <w:sz w:val="18"/>
          <w:szCs w:val="18"/>
        </w:rPr>
        <w:t xml:space="preserve"> 15 </w:t>
      </w:r>
      <w:r w:rsidRPr="0063248C">
        <w:rPr>
          <w:rFonts w:hint="eastAsia"/>
          <w:sz w:val="18"/>
          <w:szCs w:val="18"/>
        </w:rPr>
        <w:t>项，并参与了部分国家标准及团体标准的制定与修订，同时获得了中国食品工业协会科学技术奖一等奖、中国商业联合会科学技术奖二等奖等重量级奖项。</w:t>
      </w:r>
    </w:p>
    <w:p w14:paraId="29CFE924" w14:textId="77777777" w:rsidR="0063248C" w:rsidRPr="0063248C" w:rsidRDefault="00000000" w:rsidP="0063248C">
      <w:pPr>
        <w:spacing w:line="276" w:lineRule="auto"/>
        <w:ind w:firstLineChars="200" w:firstLine="360"/>
        <w:divId w:val="1092240056"/>
        <w:rPr>
          <w:sz w:val="18"/>
          <w:szCs w:val="18"/>
        </w:rPr>
      </w:pPr>
      <w:r w:rsidRPr="0063248C">
        <w:rPr>
          <w:rFonts w:hint="eastAsia"/>
          <w:sz w:val="18"/>
          <w:szCs w:val="18"/>
        </w:rPr>
        <w:t>（三）产能及供应链优势</w:t>
      </w:r>
    </w:p>
    <w:p w14:paraId="282FE3EB" w14:textId="77777777" w:rsidR="00517D34" w:rsidRPr="0063248C" w:rsidRDefault="00000000" w:rsidP="0063248C">
      <w:pPr>
        <w:spacing w:line="276" w:lineRule="auto"/>
        <w:ind w:firstLineChars="200" w:firstLine="360"/>
        <w:divId w:val="1092240056"/>
        <w:rPr>
          <w:sz w:val="18"/>
          <w:szCs w:val="18"/>
        </w:rPr>
      </w:pPr>
      <w:r w:rsidRPr="0063248C">
        <w:rPr>
          <w:rFonts w:hint="eastAsia"/>
          <w:sz w:val="18"/>
          <w:szCs w:val="18"/>
        </w:rPr>
        <w:t>公司屠宰总体设计产能</w:t>
      </w:r>
      <w:r w:rsidRPr="0063248C">
        <w:rPr>
          <w:rFonts w:hint="eastAsia"/>
          <w:sz w:val="18"/>
          <w:szCs w:val="18"/>
        </w:rPr>
        <w:t>1,500</w:t>
      </w:r>
      <w:r w:rsidRPr="0063248C">
        <w:rPr>
          <w:rFonts w:hint="eastAsia"/>
          <w:sz w:val="18"/>
          <w:szCs w:val="18"/>
        </w:rPr>
        <w:t>万头，养殖总体设计产能控制在屠宰产能的</w:t>
      </w:r>
      <w:r w:rsidRPr="0063248C">
        <w:rPr>
          <w:rFonts w:hint="eastAsia"/>
          <w:sz w:val="18"/>
          <w:szCs w:val="18"/>
        </w:rPr>
        <w:t>10%</w:t>
      </w:r>
      <w:r w:rsidRPr="0063248C">
        <w:rPr>
          <w:rFonts w:hint="eastAsia"/>
          <w:sz w:val="18"/>
          <w:szCs w:val="18"/>
        </w:rPr>
        <w:t>以内；现有食品加工产能</w:t>
      </w:r>
      <w:r w:rsidRPr="0063248C">
        <w:rPr>
          <w:rFonts w:hint="eastAsia"/>
          <w:sz w:val="18"/>
          <w:szCs w:val="18"/>
        </w:rPr>
        <w:t>15.5</w:t>
      </w:r>
      <w:r w:rsidRPr="0063248C">
        <w:rPr>
          <w:rFonts w:hint="eastAsia"/>
          <w:sz w:val="18"/>
          <w:szCs w:val="18"/>
        </w:rPr>
        <w:t>万吨，另有在建产能约</w:t>
      </w:r>
      <w:r w:rsidRPr="0063248C">
        <w:rPr>
          <w:rFonts w:hint="eastAsia"/>
          <w:sz w:val="18"/>
          <w:szCs w:val="18"/>
        </w:rPr>
        <w:t>17.5</w:t>
      </w:r>
      <w:r w:rsidRPr="0063248C">
        <w:rPr>
          <w:rFonts w:hint="eastAsia"/>
          <w:sz w:val="18"/>
          <w:szCs w:val="18"/>
        </w:rPr>
        <w:t>万吨，投产</w:t>
      </w:r>
      <w:proofErr w:type="gramStart"/>
      <w:r w:rsidRPr="0063248C">
        <w:rPr>
          <w:rFonts w:hint="eastAsia"/>
          <w:sz w:val="18"/>
          <w:szCs w:val="18"/>
        </w:rPr>
        <w:t>后食品</w:t>
      </w:r>
      <w:proofErr w:type="gramEnd"/>
      <w:r w:rsidRPr="0063248C">
        <w:rPr>
          <w:rFonts w:hint="eastAsia"/>
          <w:sz w:val="18"/>
          <w:szCs w:val="18"/>
        </w:rPr>
        <w:t>产能将提升至</w:t>
      </w:r>
      <w:r w:rsidRPr="0063248C">
        <w:rPr>
          <w:rFonts w:hint="eastAsia"/>
          <w:sz w:val="18"/>
          <w:szCs w:val="18"/>
        </w:rPr>
        <w:t>33</w:t>
      </w:r>
      <w:r w:rsidRPr="0063248C">
        <w:rPr>
          <w:rFonts w:hint="eastAsia"/>
          <w:sz w:val="18"/>
          <w:szCs w:val="18"/>
        </w:rPr>
        <w:t>万吨</w:t>
      </w:r>
      <w:r w:rsidRPr="0063248C">
        <w:rPr>
          <w:rFonts w:hint="eastAsia"/>
          <w:sz w:val="18"/>
          <w:szCs w:val="18"/>
        </w:rPr>
        <w:t>/</w:t>
      </w:r>
      <w:r w:rsidRPr="0063248C">
        <w:rPr>
          <w:rFonts w:hint="eastAsia"/>
          <w:sz w:val="18"/>
          <w:szCs w:val="18"/>
        </w:rPr>
        <w:t>年，实现华东、华北、西南、华中、华南等区域的全覆盖，基本实现全国化的产能布局。同时，经过多年发展和沉淀，公司在食品、屠宰和养殖领域积累了丰富的经营经验，形成集原材料、生产能力、新产品研发、全国</w:t>
      </w:r>
      <w:proofErr w:type="gramStart"/>
      <w:r w:rsidRPr="0063248C">
        <w:rPr>
          <w:rFonts w:hint="eastAsia"/>
          <w:sz w:val="18"/>
          <w:szCs w:val="18"/>
        </w:rPr>
        <w:t>化渠道</w:t>
      </w:r>
      <w:proofErr w:type="gramEnd"/>
      <w:r w:rsidRPr="0063248C">
        <w:rPr>
          <w:rFonts w:hint="eastAsia"/>
          <w:sz w:val="18"/>
          <w:szCs w:val="18"/>
        </w:rPr>
        <w:t>等为一体的供应链整合和成本控制优势。公司养殖、屠宰业务直接提供肉类原料，缩短原料采购的中间环节，并依托</w:t>
      </w:r>
      <w:proofErr w:type="gramStart"/>
      <w:r w:rsidRPr="0063248C">
        <w:rPr>
          <w:rFonts w:hint="eastAsia"/>
          <w:sz w:val="18"/>
          <w:szCs w:val="18"/>
        </w:rPr>
        <w:t>全球直采模式</w:t>
      </w:r>
      <w:proofErr w:type="gramEnd"/>
      <w:r w:rsidRPr="0063248C">
        <w:rPr>
          <w:rFonts w:hint="eastAsia"/>
          <w:sz w:val="18"/>
          <w:szCs w:val="18"/>
        </w:rPr>
        <w:t>，实现多种动物蛋白补充，平抑原材料成本。物流配送上，公司依托源头基地和食品加工厂的全国</w:t>
      </w:r>
      <w:proofErr w:type="gramStart"/>
      <w:r w:rsidRPr="0063248C">
        <w:rPr>
          <w:rFonts w:hint="eastAsia"/>
          <w:sz w:val="18"/>
          <w:szCs w:val="18"/>
        </w:rPr>
        <w:t>化广泛</w:t>
      </w:r>
      <w:proofErr w:type="gramEnd"/>
      <w:r w:rsidRPr="0063248C">
        <w:rPr>
          <w:rFonts w:hint="eastAsia"/>
          <w:sz w:val="18"/>
          <w:szCs w:val="18"/>
        </w:rPr>
        <w:t>布局，加快物流运输建设，缩短运输距离，保障运输效率和产品新鲜度，节约运输成本。随着全国化供应链布局的深入，公司通过全国化、规模化经营，解决了一般预制</w:t>
      </w:r>
      <w:proofErr w:type="gramStart"/>
      <w:r w:rsidRPr="0063248C">
        <w:rPr>
          <w:rFonts w:hint="eastAsia"/>
          <w:sz w:val="18"/>
          <w:szCs w:val="18"/>
        </w:rPr>
        <w:t>菜企业</w:t>
      </w:r>
      <w:proofErr w:type="gramEnd"/>
      <w:r w:rsidRPr="0063248C">
        <w:rPr>
          <w:rFonts w:hint="eastAsia"/>
          <w:sz w:val="18"/>
          <w:szCs w:val="18"/>
        </w:rPr>
        <w:t>的区域化特征。（四）渠道优势</w:t>
      </w:r>
    </w:p>
    <w:p w14:paraId="5047800B" w14:textId="77777777" w:rsidR="0063248C" w:rsidRPr="0063248C" w:rsidRDefault="00000000" w:rsidP="0063248C">
      <w:pPr>
        <w:spacing w:line="276" w:lineRule="auto"/>
        <w:ind w:firstLineChars="200" w:firstLine="360"/>
        <w:divId w:val="1092240056"/>
        <w:rPr>
          <w:sz w:val="18"/>
          <w:szCs w:val="18"/>
        </w:rPr>
      </w:pPr>
      <w:r w:rsidRPr="0063248C">
        <w:rPr>
          <w:rFonts w:hint="eastAsia"/>
          <w:sz w:val="18"/>
          <w:szCs w:val="18"/>
        </w:rPr>
        <w:t>公司采取</w:t>
      </w:r>
      <w:r w:rsidRPr="0063248C">
        <w:rPr>
          <w:rFonts w:hint="eastAsia"/>
          <w:sz w:val="18"/>
          <w:szCs w:val="18"/>
        </w:rPr>
        <w:t>B</w:t>
      </w:r>
      <w:r w:rsidRPr="0063248C">
        <w:rPr>
          <w:rFonts w:hint="eastAsia"/>
          <w:sz w:val="18"/>
          <w:szCs w:val="18"/>
        </w:rPr>
        <w:t>端为主，</w:t>
      </w:r>
      <w:r w:rsidRPr="0063248C">
        <w:rPr>
          <w:rFonts w:hint="eastAsia"/>
          <w:sz w:val="18"/>
          <w:szCs w:val="18"/>
        </w:rPr>
        <w:t>C</w:t>
      </w:r>
      <w:r w:rsidRPr="0063248C">
        <w:rPr>
          <w:rFonts w:hint="eastAsia"/>
          <w:sz w:val="18"/>
          <w:szCs w:val="18"/>
        </w:rPr>
        <w:t>端为辅的渠道策略，依托二十余年对日出口的品质保障，建立了一套完善的客户服务标准规范。对大客户提供产品全生命周期管理服务，通过专人专班，满足客户对新品研发和产品品质的需求。经过多年发展，公司已经与超过</w:t>
      </w:r>
      <w:r w:rsidRPr="0063248C">
        <w:rPr>
          <w:rFonts w:hint="eastAsia"/>
          <w:sz w:val="18"/>
          <w:szCs w:val="18"/>
        </w:rPr>
        <w:t>1,000</w:t>
      </w:r>
      <w:r w:rsidRPr="0063248C">
        <w:rPr>
          <w:rFonts w:hint="eastAsia"/>
          <w:sz w:val="18"/>
          <w:szCs w:val="18"/>
        </w:rPr>
        <w:t>家知名企业客户达成合作，为超过</w:t>
      </w:r>
      <w:r w:rsidRPr="0063248C">
        <w:rPr>
          <w:rFonts w:hint="eastAsia"/>
          <w:sz w:val="18"/>
          <w:szCs w:val="18"/>
        </w:rPr>
        <w:t>200</w:t>
      </w:r>
      <w:r w:rsidRPr="0063248C">
        <w:rPr>
          <w:rFonts w:hint="eastAsia"/>
          <w:sz w:val="18"/>
          <w:szCs w:val="18"/>
        </w:rPr>
        <w:t>家大型企业客户提供定制化产品服务。在优质的服务和产品供应体系下，公司形成了一批运营能力强，资金实力雄厚，对公司信赖度高的大客户资源。同时，公司通过积极开拓京东、抖音、拼多多、</w:t>
      </w:r>
      <w:proofErr w:type="gramStart"/>
      <w:r w:rsidRPr="0063248C">
        <w:rPr>
          <w:rFonts w:hint="eastAsia"/>
          <w:sz w:val="18"/>
          <w:szCs w:val="18"/>
        </w:rPr>
        <w:t>美团等</w:t>
      </w:r>
      <w:proofErr w:type="gramEnd"/>
      <w:r w:rsidRPr="0063248C">
        <w:rPr>
          <w:rFonts w:hint="eastAsia"/>
          <w:sz w:val="18"/>
          <w:szCs w:val="18"/>
        </w:rPr>
        <w:t>平台的社区团购及电商直播渠道，</w:t>
      </w:r>
      <w:r w:rsidRPr="0063248C">
        <w:rPr>
          <w:rFonts w:hint="eastAsia"/>
          <w:sz w:val="18"/>
          <w:szCs w:val="18"/>
        </w:rPr>
        <w:t>C</w:t>
      </w:r>
      <w:proofErr w:type="gramStart"/>
      <w:r w:rsidRPr="0063248C">
        <w:rPr>
          <w:rFonts w:hint="eastAsia"/>
          <w:sz w:val="18"/>
          <w:szCs w:val="18"/>
        </w:rPr>
        <w:t>端客户</w:t>
      </w:r>
      <w:proofErr w:type="gramEnd"/>
      <w:r w:rsidRPr="0063248C">
        <w:rPr>
          <w:rFonts w:hint="eastAsia"/>
          <w:sz w:val="18"/>
          <w:szCs w:val="18"/>
        </w:rPr>
        <w:t>规模实现稳步发展。</w:t>
      </w:r>
    </w:p>
    <w:p w14:paraId="6207FF62" w14:textId="77777777" w:rsidR="0063248C" w:rsidRPr="0063248C" w:rsidRDefault="00000000" w:rsidP="0063248C">
      <w:pPr>
        <w:spacing w:line="276" w:lineRule="auto"/>
        <w:ind w:firstLineChars="200" w:firstLine="360"/>
        <w:divId w:val="1092240056"/>
        <w:rPr>
          <w:sz w:val="18"/>
          <w:szCs w:val="18"/>
        </w:rPr>
      </w:pPr>
      <w:r w:rsidRPr="0063248C">
        <w:rPr>
          <w:rFonts w:hint="eastAsia"/>
          <w:sz w:val="18"/>
          <w:szCs w:val="18"/>
        </w:rPr>
        <w:t>（五）品牌优势</w:t>
      </w:r>
    </w:p>
    <w:p w14:paraId="67DD4730" w14:textId="77777777" w:rsidR="00517D34" w:rsidRPr="0063248C" w:rsidRDefault="00000000" w:rsidP="0063248C">
      <w:pPr>
        <w:spacing w:line="276" w:lineRule="auto"/>
        <w:ind w:firstLineChars="200" w:firstLine="360"/>
        <w:divId w:val="1092240056"/>
        <w:rPr>
          <w:sz w:val="18"/>
          <w:szCs w:val="18"/>
        </w:rPr>
      </w:pPr>
      <w:r w:rsidRPr="0063248C">
        <w:rPr>
          <w:rFonts w:hint="eastAsia"/>
          <w:sz w:val="18"/>
          <w:szCs w:val="18"/>
        </w:rPr>
        <w:t>公司高度重视品牌建设和发展，致力于成为国内领先的食品企业。在此基础上，公司持续强化品牌营销能力，紧跟国际国内产业发展趋势，以预制</w:t>
      </w:r>
      <w:proofErr w:type="gramStart"/>
      <w:r w:rsidRPr="0063248C">
        <w:rPr>
          <w:rFonts w:hint="eastAsia"/>
          <w:sz w:val="18"/>
          <w:szCs w:val="18"/>
        </w:rPr>
        <w:t>菜产业</w:t>
      </w:r>
      <w:proofErr w:type="gramEnd"/>
      <w:r w:rsidRPr="0063248C">
        <w:rPr>
          <w:rFonts w:hint="eastAsia"/>
          <w:sz w:val="18"/>
          <w:szCs w:val="18"/>
        </w:rPr>
        <w:t>为纽带，积极推动地方一二三产业融合发展；参与成立预制</w:t>
      </w:r>
      <w:proofErr w:type="gramStart"/>
      <w:r w:rsidRPr="0063248C">
        <w:rPr>
          <w:rFonts w:hint="eastAsia"/>
          <w:sz w:val="18"/>
          <w:szCs w:val="18"/>
        </w:rPr>
        <w:t>菜产业</w:t>
      </w:r>
      <w:proofErr w:type="gramEnd"/>
      <w:r w:rsidRPr="0063248C">
        <w:rPr>
          <w:rFonts w:hint="eastAsia"/>
          <w:sz w:val="18"/>
          <w:szCs w:val="18"/>
        </w:rPr>
        <w:t>联盟，加入山东预制菜产业联合会及烟台市预制</w:t>
      </w:r>
      <w:proofErr w:type="gramStart"/>
      <w:r w:rsidRPr="0063248C">
        <w:rPr>
          <w:rFonts w:hint="eastAsia"/>
          <w:sz w:val="18"/>
          <w:szCs w:val="18"/>
        </w:rPr>
        <w:t>菜产业</w:t>
      </w:r>
      <w:proofErr w:type="gramEnd"/>
      <w:r w:rsidRPr="0063248C">
        <w:rPr>
          <w:rFonts w:hint="eastAsia"/>
          <w:sz w:val="18"/>
          <w:szCs w:val="18"/>
        </w:rPr>
        <w:t>协会，推动预制</w:t>
      </w:r>
      <w:proofErr w:type="gramStart"/>
      <w:r w:rsidRPr="0063248C">
        <w:rPr>
          <w:rFonts w:hint="eastAsia"/>
          <w:sz w:val="18"/>
          <w:szCs w:val="18"/>
        </w:rPr>
        <w:t>菜产业</w:t>
      </w:r>
      <w:proofErr w:type="gramEnd"/>
      <w:r w:rsidRPr="0063248C">
        <w:rPr>
          <w:rFonts w:hint="eastAsia"/>
          <w:sz w:val="18"/>
          <w:szCs w:val="18"/>
        </w:rPr>
        <w:t>共创共赢；参与中国国际食品博览会、中国</w:t>
      </w:r>
      <w:proofErr w:type="gramStart"/>
      <w:r w:rsidRPr="0063248C">
        <w:rPr>
          <w:rFonts w:hint="eastAsia"/>
          <w:sz w:val="18"/>
          <w:szCs w:val="18"/>
        </w:rPr>
        <w:t>食材电</w:t>
      </w:r>
      <w:proofErr w:type="gramEnd"/>
      <w:r w:rsidRPr="0063248C">
        <w:rPr>
          <w:rFonts w:hint="eastAsia"/>
          <w:sz w:val="18"/>
          <w:szCs w:val="18"/>
        </w:rPr>
        <w:t>商节等行业展会，增加品牌曝光度，加强与客户的洽谈合作。同时，公司持续强化品牌营销能力，紧跟国际国内产业发展趋势，建立稳定、广泛的客户群体，获得消费者的青睐和认可，具有良好的市场品牌效应。公司先后荣获“中国民营企业</w:t>
      </w:r>
      <w:r w:rsidRPr="0063248C">
        <w:rPr>
          <w:rFonts w:hint="eastAsia"/>
          <w:sz w:val="18"/>
          <w:szCs w:val="18"/>
        </w:rPr>
        <w:t>500</w:t>
      </w:r>
      <w:r w:rsidRPr="0063248C">
        <w:rPr>
          <w:rFonts w:hint="eastAsia"/>
          <w:sz w:val="18"/>
          <w:szCs w:val="18"/>
        </w:rPr>
        <w:t>强”、“中国农业企业</w:t>
      </w:r>
      <w:r w:rsidRPr="0063248C">
        <w:rPr>
          <w:rFonts w:hint="eastAsia"/>
          <w:sz w:val="18"/>
          <w:szCs w:val="18"/>
        </w:rPr>
        <w:t>500</w:t>
      </w:r>
      <w:r w:rsidRPr="0063248C">
        <w:rPr>
          <w:rFonts w:hint="eastAsia"/>
          <w:sz w:val="18"/>
          <w:szCs w:val="18"/>
        </w:rPr>
        <w:t>强”、“现代农业行业领军</w:t>
      </w:r>
      <w:r w:rsidRPr="0063248C">
        <w:rPr>
          <w:rFonts w:hint="eastAsia"/>
          <w:sz w:val="18"/>
          <w:szCs w:val="18"/>
        </w:rPr>
        <w:t>10</w:t>
      </w:r>
      <w:r w:rsidRPr="0063248C">
        <w:rPr>
          <w:rFonts w:hint="eastAsia"/>
          <w:sz w:val="18"/>
          <w:szCs w:val="18"/>
        </w:rPr>
        <w:t>强”、“最具投资价值企业”“大消费产业最具成长上市公司”“中国食品行业百强”“胡润中国预制菜生产企业百强榜”等多项荣誉。</w:t>
      </w:r>
    </w:p>
    <w:p w14:paraId="2F00EE8E" w14:textId="77777777" w:rsidR="007B3DB2" w:rsidRPr="0063248C" w:rsidRDefault="00000000">
      <w:pPr>
        <w:pStyle w:val="2"/>
        <w:spacing w:before="300" w:after="300" w:line="320" w:lineRule="exact"/>
        <w:rPr>
          <w:rFonts w:cs="宋体"/>
          <w:b/>
          <w:bCs/>
          <w:sz w:val="24"/>
          <w:szCs w:val="24"/>
        </w:rPr>
      </w:pPr>
      <w:bookmarkStart w:id="16" w:name="_Toc988905"/>
      <w:r w:rsidRPr="0063248C">
        <w:rPr>
          <w:rFonts w:cs="宋体"/>
          <w:b/>
          <w:bCs/>
          <w:sz w:val="24"/>
          <w:szCs w:val="24"/>
        </w:rPr>
        <w:lastRenderedPageBreak/>
        <w:t>三、主营业务分析</w:t>
      </w:r>
      <w:bookmarkEnd w:id="16"/>
    </w:p>
    <w:p w14:paraId="51CC8990" w14:textId="77777777" w:rsidR="007B3DB2" w:rsidRPr="0063248C" w:rsidRDefault="00000000">
      <w:pPr>
        <w:spacing w:before="100" w:after="100" w:line="240" w:lineRule="exact"/>
        <w:rPr>
          <w:rFonts w:cs="宋体"/>
          <w:sz w:val="18"/>
          <w:szCs w:val="18"/>
        </w:rPr>
      </w:pPr>
      <w:r w:rsidRPr="0063248C">
        <w:rPr>
          <w:rFonts w:cs="宋体"/>
          <w:sz w:val="18"/>
          <w:szCs w:val="18"/>
        </w:rPr>
        <w:t>概述</w:t>
      </w:r>
    </w:p>
    <w:p w14:paraId="2EC63A32" w14:textId="77777777" w:rsidR="007B3DB2" w:rsidRPr="0063248C" w:rsidRDefault="00000000">
      <w:pPr>
        <w:spacing w:before="100" w:after="100" w:line="240" w:lineRule="exact"/>
        <w:rPr>
          <w:rFonts w:cs="宋体"/>
          <w:sz w:val="18"/>
          <w:szCs w:val="18"/>
        </w:rPr>
      </w:pPr>
      <w:r w:rsidRPr="0063248C">
        <w:rPr>
          <w:rFonts w:cs="宋体"/>
          <w:sz w:val="18"/>
          <w:szCs w:val="18"/>
        </w:rPr>
        <w:t>参见</w:t>
      </w:r>
      <w:r w:rsidRPr="0063248C">
        <w:rPr>
          <w:rFonts w:cs="宋体"/>
          <w:sz w:val="18"/>
          <w:szCs w:val="18"/>
        </w:rPr>
        <w:t>“</w:t>
      </w:r>
      <w:r w:rsidRPr="0063248C">
        <w:rPr>
          <w:rFonts w:cs="宋体"/>
          <w:sz w:val="18"/>
          <w:szCs w:val="18"/>
        </w:rPr>
        <w:t>一、报告期内公司从事的主要业务</w:t>
      </w:r>
      <w:r w:rsidRPr="0063248C">
        <w:rPr>
          <w:rFonts w:cs="宋体"/>
          <w:sz w:val="18"/>
          <w:szCs w:val="18"/>
        </w:rPr>
        <w:t>”</w:t>
      </w:r>
      <w:r w:rsidRPr="0063248C">
        <w:rPr>
          <w:rFonts w:cs="宋体"/>
          <w:sz w:val="18"/>
          <w:szCs w:val="18"/>
        </w:rPr>
        <w:t>相关内容。</w:t>
      </w:r>
    </w:p>
    <w:p w14:paraId="05B364B0" w14:textId="77777777" w:rsidR="007B3DB2" w:rsidRPr="0063248C" w:rsidRDefault="00000000">
      <w:pPr>
        <w:spacing w:before="100" w:after="100" w:line="240" w:lineRule="exact"/>
        <w:rPr>
          <w:rFonts w:cs="宋体"/>
          <w:sz w:val="18"/>
          <w:szCs w:val="18"/>
        </w:rPr>
      </w:pPr>
      <w:r w:rsidRPr="0063248C">
        <w:rPr>
          <w:rFonts w:cs="宋体"/>
          <w:sz w:val="18"/>
          <w:szCs w:val="18"/>
        </w:rPr>
        <w:t>主要财务数据同比变动情况</w:t>
      </w:r>
    </w:p>
    <w:p w14:paraId="4E2A6337"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588"/>
        <w:gridCol w:w="2268"/>
      </w:tblGrid>
      <w:tr w:rsidR="007B3DB2" w:rsidRPr="0063248C" w14:paraId="078818D2" w14:textId="77777777" w:rsidTr="006709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4B2D266C"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27D73A"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9788550" w14:textId="77777777" w:rsidR="007B3DB2" w:rsidRPr="0063248C" w:rsidRDefault="00000000">
            <w:pPr>
              <w:spacing w:before="40" w:after="40" w:line="240" w:lineRule="exact"/>
              <w:jc w:val="center"/>
              <w:rPr>
                <w:rFonts w:cs="宋体"/>
                <w:sz w:val="18"/>
                <w:szCs w:val="18"/>
              </w:rPr>
            </w:pPr>
            <w:r w:rsidRPr="0063248C">
              <w:rPr>
                <w:rFonts w:cs="宋体"/>
                <w:sz w:val="18"/>
                <w:szCs w:val="18"/>
              </w:rPr>
              <w:t>上年同期</w:t>
            </w:r>
          </w:p>
        </w:tc>
        <w:tc>
          <w:tcPr>
            <w:tcW w:w="1588" w:type="dxa"/>
            <w:tcBorders>
              <w:top w:val="single" w:sz="2" w:space="0" w:color="auto"/>
              <w:left w:val="single" w:sz="2" w:space="0" w:color="auto"/>
              <w:bottom w:val="single" w:sz="2" w:space="0" w:color="auto"/>
              <w:right w:val="single" w:sz="2" w:space="0" w:color="auto"/>
            </w:tcBorders>
            <w:shd w:val="clear" w:color="auto" w:fill="D3D3D3"/>
            <w:vAlign w:val="center"/>
          </w:tcPr>
          <w:p w14:paraId="1F9F4593" w14:textId="77777777" w:rsidR="007B3DB2" w:rsidRPr="0063248C" w:rsidRDefault="00000000">
            <w:pPr>
              <w:spacing w:before="40" w:after="40" w:line="240" w:lineRule="exact"/>
              <w:jc w:val="center"/>
              <w:rPr>
                <w:rFonts w:cs="宋体"/>
                <w:sz w:val="18"/>
                <w:szCs w:val="18"/>
              </w:rPr>
            </w:pPr>
            <w:r w:rsidRPr="0063248C">
              <w:rPr>
                <w:rFonts w:cs="宋体"/>
                <w:sz w:val="18"/>
                <w:szCs w:val="18"/>
              </w:rPr>
              <w:t>同比增减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3C3CE774" w14:textId="77777777" w:rsidR="007B3DB2" w:rsidRPr="0063248C" w:rsidRDefault="00000000">
            <w:pPr>
              <w:spacing w:before="40" w:after="40" w:line="240" w:lineRule="exact"/>
              <w:jc w:val="center"/>
              <w:rPr>
                <w:rFonts w:cs="宋体"/>
                <w:sz w:val="18"/>
                <w:szCs w:val="18"/>
              </w:rPr>
            </w:pPr>
            <w:r w:rsidRPr="0063248C">
              <w:rPr>
                <w:rFonts w:cs="宋体"/>
                <w:sz w:val="18"/>
                <w:szCs w:val="18"/>
              </w:rPr>
              <w:t>变动原因</w:t>
            </w:r>
          </w:p>
        </w:tc>
      </w:tr>
      <w:tr w:rsidR="007B3DB2" w:rsidRPr="0063248C" w14:paraId="6DDFE990" w14:textId="77777777" w:rsidTr="006709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B2CF54D" w14:textId="77777777" w:rsidR="007B3DB2" w:rsidRPr="0063248C" w:rsidRDefault="00000000">
            <w:pPr>
              <w:spacing w:before="40" w:after="40" w:line="240" w:lineRule="exact"/>
              <w:rPr>
                <w:rFonts w:cs="宋体"/>
                <w:sz w:val="18"/>
                <w:szCs w:val="18"/>
              </w:rPr>
            </w:pPr>
            <w:r w:rsidRPr="0063248C">
              <w:rPr>
                <w:rFonts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14:paraId="56CB499D" w14:textId="77777777" w:rsidR="007B3DB2" w:rsidRPr="0063248C" w:rsidRDefault="00000000">
            <w:pPr>
              <w:spacing w:line="240" w:lineRule="exact"/>
              <w:jc w:val="right"/>
              <w:rPr>
                <w:rFonts w:cs="宋体"/>
                <w:sz w:val="18"/>
                <w:szCs w:val="18"/>
              </w:rPr>
            </w:pPr>
            <w:r w:rsidRPr="0063248C">
              <w:rPr>
                <w:rFonts w:cs="宋体"/>
                <w:sz w:val="18"/>
                <w:szCs w:val="18"/>
              </w:rPr>
              <w:t>5,044,132,021.30</w:t>
            </w:r>
          </w:p>
        </w:tc>
        <w:tc>
          <w:tcPr>
            <w:tcW w:w="1928" w:type="dxa"/>
            <w:tcBorders>
              <w:top w:val="single" w:sz="2" w:space="0" w:color="auto"/>
              <w:left w:val="single" w:sz="2" w:space="0" w:color="auto"/>
              <w:bottom w:val="single" w:sz="2" w:space="0" w:color="auto"/>
              <w:right w:val="single" w:sz="2" w:space="0" w:color="auto"/>
            </w:tcBorders>
            <w:vAlign w:val="center"/>
          </w:tcPr>
          <w:p w14:paraId="4FD3E02E" w14:textId="77777777" w:rsidR="007B3DB2" w:rsidRPr="0063248C" w:rsidRDefault="00000000">
            <w:pPr>
              <w:spacing w:line="240" w:lineRule="exact"/>
              <w:jc w:val="right"/>
              <w:rPr>
                <w:rFonts w:cs="宋体"/>
                <w:sz w:val="18"/>
                <w:szCs w:val="18"/>
              </w:rPr>
            </w:pPr>
            <w:r w:rsidRPr="0063248C">
              <w:rPr>
                <w:rFonts w:cs="宋体"/>
                <w:sz w:val="18"/>
                <w:szCs w:val="18"/>
              </w:rPr>
              <w:t>6,726,422,093.49</w:t>
            </w:r>
          </w:p>
        </w:tc>
        <w:tc>
          <w:tcPr>
            <w:tcW w:w="1588" w:type="dxa"/>
            <w:tcBorders>
              <w:top w:val="single" w:sz="2" w:space="0" w:color="auto"/>
              <w:left w:val="single" w:sz="2" w:space="0" w:color="auto"/>
              <w:bottom w:val="single" w:sz="2" w:space="0" w:color="auto"/>
              <w:right w:val="single" w:sz="2" w:space="0" w:color="auto"/>
            </w:tcBorders>
            <w:vAlign w:val="center"/>
          </w:tcPr>
          <w:p w14:paraId="0E4C1DE1" w14:textId="77777777" w:rsidR="007B3DB2" w:rsidRPr="0063248C" w:rsidRDefault="00000000">
            <w:pPr>
              <w:spacing w:line="240" w:lineRule="exact"/>
              <w:jc w:val="right"/>
              <w:rPr>
                <w:rFonts w:cs="宋体"/>
                <w:sz w:val="18"/>
                <w:szCs w:val="18"/>
              </w:rPr>
            </w:pPr>
            <w:r w:rsidRPr="0063248C">
              <w:rPr>
                <w:rFonts w:cs="宋体"/>
                <w:sz w:val="18"/>
                <w:szCs w:val="18"/>
              </w:rPr>
              <w:t>-25.01%</w:t>
            </w:r>
          </w:p>
        </w:tc>
        <w:tc>
          <w:tcPr>
            <w:tcW w:w="2268" w:type="dxa"/>
            <w:tcBorders>
              <w:top w:val="single" w:sz="2" w:space="0" w:color="auto"/>
              <w:left w:val="single" w:sz="2" w:space="0" w:color="auto"/>
              <w:bottom w:val="single" w:sz="2" w:space="0" w:color="auto"/>
              <w:right w:val="single" w:sz="2" w:space="0" w:color="auto"/>
            </w:tcBorders>
            <w:vAlign w:val="center"/>
          </w:tcPr>
          <w:p w14:paraId="1922FA10" w14:textId="77777777" w:rsidR="007B3DB2" w:rsidRPr="0063248C" w:rsidRDefault="007B3DB2">
            <w:pPr>
              <w:spacing w:line="240" w:lineRule="exact"/>
              <w:rPr>
                <w:rFonts w:cs="宋体"/>
                <w:sz w:val="18"/>
                <w:szCs w:val="18"/>
              </w:rPr>
            </w:pPr>
          </w:p>
        </w:tc>
      </w:tr>
      <w:tr w:rsidR="007B3DB2" w:rsidRPr="0063248C" w14:paraId="04CBC479" w14:textId="77777777" w:rsidTr="006709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42102A88" w14:textId="77777777" w:rsidR="007B3DB2" w:rsidRPr="0063248C" w:rsidRDefault="00000000">
            <w:pPr>
              <w:spacing w:before="40" w:after="40" w:line="240" w:lineRule="exact"/>
              <w:rPr>
                <w:rFonts w:cs="宋体"/>
                <w:sz w:val="18"/>
                <w:szCs w:val="18"/>
              </w:rPr>
            </w:pPr>
            <w:r w:rsidRPr="0063248C">
              <w:rPr>
                <w:rFonts w:cs="宋体"/>
                <w:sz w:val="18"/>
                <w:szCs w:val="18"/>
              </w:rPr>
              <w:t>营业成本</w:t>
            </w:r>
          </w:p>
        </w:tc>
        <w:tc>
          <w:tcPr>
            <w:tcW w:w="1928" w:type="dxa"/>
            <w:tcBorders>
              <w:top w:val="single" w:sz="2" w:space="0" w:color="auto"/>
              <w:left w:val="single" w:sz="2" w:space="0" w:color="auto"/>
              <w:bottom w:val="single" w:sz="2" w:space="0" w:color="auto"/>
              <w:right w:val="single" w:sz="2" w:space="0" w:color="auto"/>
            </w:tcBorders>
            <w:vAlign w:val="center"/>
          </w:tcPr>
          <w:p w14:paraId="013C6892" w14:textId="77777777" w:rsidR="007B3DB2" w:rsidRPr="0063248C" w:rsidRDefault="00000000">
            <w:pPr>
              <w:spacing w:line="240" w:lineRule="exact"/>
              <w:jc w:val="right"/>
              <w:rPr>
                <w:rFonts w:cs="宋体"/>
                <w:sz w:val="18"/>
                <w:szCs w:val="18"/>
              </w:rPr>
            </w:pPr>
            <w:r w:rsidRPr="0063248C">
              <w:rPr>
                <w:rFonts w:cs="宋体"/>
                <w:sz w:val="18"/>
                <w:szCs w:val="18"/>
              </w:rPr>
              <w:t>4,792,939,807.15</w:t>
            </w:r>
          </w:p>
        </w:tc>
        <w:tc>
          <w:tcPr>
            <w:tcW w:w="1928" w:type="dxa"/>
            <w:tcBorders>
              <w:top w:val="single" w:sz="2" w:space="0" w:color="auto"/>
              <w:left w:val="single" w:sz="2" w:space="0" w:color="auto"/>
              <w:bottom w:val="single" w:sz="2" w:space="0" w:color="auto"/>
              <w:right w:val="single" w:sz="2" w:space="0" w:color="auto"/>
            </w:tcBorders>
            <w:vAlign w:val="center"/>
          </w:tcPr>
          <w:p w14:paraId="05844F42" w14:textId="77777777" w:rsidR="007B3DB2" w:rsidRPr="0063248C" w:rsidRDefault="00000000">
            <w:pPr>
              <w:spacing w:line="240" w:lineRule="exact"/>
              <w:jc w:val="right"/>
              <w:rPr>
                <w:rFonts w:cs="宋体"/>
                <w:sz w:val="18"/>
                <w:szCs w:val="18"/>
              </w:rPr>
            </w:pPr>
            <w:r w:rsidRPr="0063248C">
              <w:rPr>
                <w:rFonts w:cs="宋体"/>
                <w:sz w:val="18"/>
                <w:szCs w:val="18"/>
              </w:rPr>
              <w:t>6,791,252,996.63</w:t>
            </w:r>
          </w:p>
        </w:tc>
        <w:tc>
          <w:tcPr>
            <w:tcW w:w="1588" w:type="dxa"/>
            <w:tcBorders>
              <w:top w:val="single" w:sz="2" w:space="0" w:color="auto"/>
              <w:left w:val="single" w:sz="2" w:space="0" w:color="auto"/>
              <w:bottom w:val="single" w:sz="2" w:space="0" w:color="auto"/>
              <w:right w:val="single" w:sz="2" w:space="0" w:color="auto"/>
            </w:tcBorders>
            <w:vAlign w:val="center"/>
          </w:tcPr>
          <w:p w14:paraId="3FE13C84" w14:textId="77777777" w:rsidR="007B3DB2" w:rsidRPr="0063248C" w:rsidRDefault="00000000">
            <w:pPr>
              <w:spacing w:line="240" w:lineRule="exact"/>
              <w:jc w:val="right"/>
              <w:rPr>
                <w:rFonts w:cs="宋体"/>
                <w:sz w:val="18"/>
                <w:szCs w:val="18"/>
              </w:rPr>
            </w:pPr>
            <w:r w:rsidRPr="0063248C">
              <w:rPr>
                <w:rFonts w:cs="宋体"/>
                <w:sz w:val="18"/>
                <w:szCs w:val="18"/>
              </w:rPr>
              <w:t>-29.42%</w:t>
            </w:r>
          </w:p>
        </w:tc>
        <w:tc>
          <w:tcPr>
            <w:tcW w:w="2268" w:type="dxa"/>
            <w:tcBorders>
              <w:top w:val="single" w:sz="2" w:space="0" w:color="auto"/>
              <w:left w:val="single" w:sz="2" w:space="0" w:color="auto"/>
              <w:bottom w:val="single" w:sz="2" w:space="0" w:color="auto"/>
              <w:right w:val="single" w:sz="2" w:space="0" w:color="auto"/>
            </w:tcBorders>
            <w:vAlign w:val="center"/>
          </w:tcPr>
          <w:p w14:paraId="3EDB795D" w14:textId="77777777" w:rsidR="007B3DB2" w:rsidRPr="0063248C" w:rsidRDefault="007B3DB2">
            <w:pPr>
              <w:spacing w:line="240" w:lineRule="exact"/>
              <w:rPr>
                <w:rFonts w:cs="宋体"/>
                <w:sz w:val="18"/>
                <w:szCs w:val="18"/>
              </w:rPr>
            </w:pPr>
          </w:p>
        </w:tc>
      </w:tr>
      <w:tr w:rsidR="007B3DB2" w:rsidRPr="0063248C" w14:paraId="149A05B4" w14:textId="77777777" w:rsidTr="006709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183D07B6" w14:textId="77777777" w:rsidR="007B3DB2" w:rsidRPr="0063248C" w:rsidRDefault="00000000">
            <w:pPr>
              <w:spacing w:before="40" w:after="40" w:line="240" w:lineRule="exact"/>
              <w:rPr>
                <w:rFonts w:cs="宋体"/>
                <w:sz w:val="18"/>
                <w:szCs w:val="18"/>
              </w:rPr>
            </w:pPr>
            <w:r w:rsidRPr="0063248C">
              <w:rPr>
                <w:rFonts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14:paraId="785D9BF8" w14:textId="77777777" w:rsidR="007B3DB2" w:rsidRPr="0063248C" w:rsidRDefault="00000000">
            <w:pPr>
              <w:spacing w:line="240" w:lineRule="exact"/>
              <w:jc w:val="right"/>
              <w:rPr>
                <w:rFonts w:cs="宋体"/>
                <w:sz w:val="18"/>
                <w:szCs w:val="18"/>
              </w:rPr>
            </w:pPr>
            <w:r w:rsidRPr="0063248C">
              <w:rPr>
                <w:rFonts w:cs="宋体"/>
                <w:sz w:val="18"/>
                <w:szCs w:val="18"/>
              </w:rPr>
              <w:t>57,280,512.12</w:t>
            </w:r>
          </w:p>
        </w:tc>
        <w:tc>
          <w:tcPr>
            <w:tcW w:w="1928" w:type="dxa"/>
            <w:tcBorders>
              <w:top w:val="single" w:sz="2" w:space="0" w:color="auto"/>
              <w:left w:val="single" w:sz="2" w:space="0" w:color="auto"/>
              <w:bottom w:val="single" w:sz="2" w:space="0" w:color="auto"/>
              <w:right w:val="single" w:sz="2" w:space="0" w:color="auto"/>
            </w:tcBorders>
            <w:vAlign w:val="center"/>
          </w:tcPr>
          <w:p w14:paraId="3A35648B" w14:textId="77777777" w:rsidR="007B3DB2" w:rsidRPr="0063248C" w:rsidRDefault="00000000">
            <w:pPr>
              <w:spacing w:line="240" w:lineRule="exact"/>
              <w:jc w:val="right"/>
              <w:rPr>
                <w:rFonts w:cs="宋体"/>
                <w:sz w:val="18"/>
                <w:szCs w:val="18"/>
              </w:rPr>
            </w:pPr>
            <w:r w:rsidRPr="0063248C">
              <w:rPr>
                <w:rFonts w:cs="宋体"/>
                <w:sz w:val="18"/>
                <w:szCs w:val="18"/>
              </w:rPr>
              <w:t>79,532,772.76</w:t>
            </w:r>
          </w:p>
        </w:tc>
        <w:tc>
          <w:tcPr>
            <w:tcW w:w="1588" w:type="dxa"/>
            <w:tcBorders>
              <w:top w:val="single" w:sz="2" w:space="0" w:color="auto"/>
              <w:left w:val="single" w:sz="2" w:space="0" w:color="auto"/>
              <w:bottom w:val="single" w:sz="2" w:space="0" w:color="auto"/>
              <w:right w:val="single" w:sz="2" w:space="0" w:color="auto"/>
            </w:tcBorders>
            <w:vAlign w:val="center"/>
          </w:tcPr>
          <w:p w14:paraId="2D5EEE41" w14:textId="77777777" w:rsidR="007B3DB2" w:rsidRPr="0063248C" w:rsidRDefault="00000000">
            <w:pPr>
              <w:spacing w:line="240" w:lineRule="exact"/>
              <w:jc w:val="right"/>
              <w:rPr>
                <w:rFonts w:cs="宋体"/>
                <w:sz w:val="18"/>
                <w:szCs w:val="18"/>
              </w:rPr>
            </w:pPr>
            <w:r w:rsidRPr="0063248C">
              <w:rPr>
                <w:rFonts w:cs="宋体"/>
                <w:sz w:val="18"/>
                <w:szCs w:val="18"/>
              </w:rPr>
              <w:t>-27.98%</w:t>
            </w:r>
          </w:p>
        </w:tc>
        <w:tc>
          <w:tcPr>
            <w:tcW w:w="2268" w:type="dxa"/>
            <w:tcBorders>
              <w:top w:val="single" w:sz="2" w:space="0" w:color="auto"/>
              <w:left w:val="single" w:sz="2" w:space="0" w:color="auto"/>
              <w:bottom w:val="single" w:sz="2" w:space="0" w:color="auto"/>
              <w:right w:val="single" w:sz="2" w:space="0" w:color="auto"/>
            </w:tcBorders>
            <w:vAlign w:val="center"/>
          </w:tcPr>
          <w:p w14:paraId="2DE71193" w14:textId="77777777" w:rsidR="007B3DB2" w:rsidRPr="0063248C" w:rsidRDefault="007B3DB2">
            <w:pPr>
              <w:spacing w:line="240" w:lineRule="exact"/>
              <w:rPr>
                <w:rFonts w:cs="宋体"/>
                <w:sz w:val="18"/>
                <w:szCs w:val="18"/>
              </w:rPr>
            </w:pPr>
          </w:p>
        </w:tc>
      </w:tr>
      <w:tr w:rsidR="007B3DB2" w:rsidRPr="0063248C" w14:paraId="4AFBF4C9" w14:textId="77777777" w:rsidTr="006709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73D980F0" w14:textId="77777777" w:rsidR="007B3DB2" w:rsidRPr="0063248C" w:rsidRDefault="00000000">
            <w:pPr>
              <w:spacing w:before="40" w:after="40" w:line="240" w:lineRule="exact"/>
              <w:rPr>
                <w:rFonts w:cs="宋体"/>
                <w:sz w:val="18"/>
                <w:szCs w:val="18"/>
              </w:rPr>
            </w:pPr>
            <w:r w:rsidRPr="0063248C">
              <w:rPr>
                <w:rFonts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14:paraId="7A345A04" w14:textId="77777777" w:rsidR="007B3DB2" w:rsidRPr="0063248C" w:rsidRDefault="00000000">
            <w:pPr>
              <w:spacing w:line="240" w:lineRule="exact"/>
              <w:jc w:val="right"/>
              <w:rPr>
                <w:rFonts w:cs="宋体"/>
                <w:sz w:val="18"/>
                <w:szCs w:val="18"/>
              </w:rPr>
            </w:pPr>
            <w:r w:rsidRPr="0063248C">
              <w:rPr>
                <w:rFonts w:cs="宋体"/>
                <w:sz w:val="18"/>
                <w:szCs w:val="18"/>
              </w:rPr>
              <w:t>113,862,139.49</w:t>
            </w:r>
          </w:p>
        </w:tc>
        <w:tc>
          <w:tcPr>
            <w:tcW w:w="1928" w:type="dxa"/>
            <w:tcBorders>
              <w:top w:val="single" w:sz="2" w:space="0" w:color="auto"/>
              <w:left w:val="single" w:sz="2" w:space="0" w:color="auto"/>
              <w:bottom w:val="single" w:sz="2" w:space="0" w:color="auto"/>
              <w:right w:val="single" w:sz="2" w:space="0" w:color="auto"/>
            </w:tcBorders>
            <w:vAlign w:val="center"/>
          </w:tcPr>
          <w:p w14:paraId="456E3BC5" w14:textId="77777777" w:rsidR="007B3DB2" w:rsidRPr="0063248C" w:rsidRDefault="00000000">
            <w:pPr>
              <w:spacing w:line="240" w:lineRule="exact"/>
              <w:jc w:val="right"/>
              <w:rPr>
                <w:rFonts w:cs="宋体"/>
                <w:sz w:val="18"/>
                <w:szCs w:val="18"/>
              </w:rPr>
            </w:pPr>
            <w:r w:rsidRPr="0063248C">
              <w:rPr>
                <w:rFonts w:cs="宋体"/>
                <w:sz w:val="18"/>
                <w:szCs w:val="18"/>
              </w:rPr>
              <w:t>133,840,139.68</w:t>
            </w:r>
          </w:p>
        </w:tc>
        <w:tc>
          <w:tcPr>
            <w:tcW w:w="1588" w:type="dxa"/>
            <w:tcBorders>
              <w:top w:val="single" w:sz="2" w:space="0" w:color="auto"/>
              <w:left w:val="single" w:sz="2" w:space="0" w:color="auto"/>
              <w:bottom w:val="single" w:sz="2" w:space="0" w:color="auto"/>
              <w:right w:val="single" w:sz="2" w:space="0" w:color="auto"/>
            </w:tcBorders>
            <w:vAlign w:val="center"/>
          </w:tcPr>
          <w:p w14:paraId="30F7D932" w14:textId="77777777" w:rsidR="007B3DB2" w:rsidRPr="0063248C" w:rsidRDefault="00000000">
            <w:pPr>
              <w:spacing w:line="240" w:lineRule="exact"/>
              <w:jc w:val="right"/>
              <w:rPr>
                <w:rFonts w:cs="宋体"/>
                <w:sz w:val="18"/>
                <w:szCs w:val="18"/>
              </w:rPr>
            </w:pPr>
            <w:r w:rsidRPr="0063248C">
              <w:rPr>
                <w:rFonts w:cs="宋体"/>
                <w:sz w:val="18"/>
                <w:szCs w:val="18"/>
              </w:rPr>
              <w:t>-14.93%</w:t>
            </w:r>
          </w:p>
        </w:tc>
        <w:tc>
          <w:tcPr>
            <w:tcW w:w="2268" w:type="dxa"/>
            <w:tcBorders>
              <w:top w:val="single" w:sz="2" w:space="0" w:color="auto"/>
              <w:left w:val="single" w:sz="2" w:space="0" w:color="auto"/>
              <w:bottom w:val="single" w:sz="2" w:space="0" w:color="auto"/>
              <w:right w:val="single" w:sz="2" w:space="0" w:color="auto"/>
            </w:tcBorders>
            <w:vAlign w:val="center"/>
          </w:tcPr>
          <w:p w14:paraId="2F542AD5" w14:textId="77777777" w:rsidR="007B3DB2" w:rsidRPr="0063248C" w:rsidRDefault="007B3DB2">
            <w:pPr>
              <w:spacing w:line="240" w:lineRule="exact"/>
              <w:rPr>
                <w:rFonts w:cs="宋体"/>
                <w:sz w:val="18"/>
                <w:szCs w:val="18"/>
              </w:rPr>
            </w:pPr>
          </w:p>
        </w:tc>
      </w:tr>
      <w:tr w:rsidR="007B3DB2" w:rsidRPr="0063248C" w14:paraId="5E7496B7" w14:textId="77777777" w:rsidTr="006709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3EEAA0D5" w14:textId="77777777" w:rsidR="007B3DB2" w:rsidRPr="0063248C" w:rsidRDefault="00000000">
            <w:pPr>
              <w:spacing w:before="40" w:after="40" w:line="240" w:lineRule="exact"/>
              <w:rPr>
                <w:rFonts w:cs="宋体"/>
                <w:sz w:val="18"/>
                <w:szCs w:val="18"/>
              </w:rPr>
            </w:pPr>
            <w:r w:rsidRPr="0063248C">
              <w:rPr>
                <w:rFonts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14:paraId="4A28CEBD" w14:textId="77777777" w:rsidR="007B3DB2" w:rsidRPr="0063248C" w:rsidRDefault="00000000">
            <w:pPr>
              <w:spacing w:line="240" w:lineRule="exact"/>
              <w:jc w:val="right"/>
              <w:rPr>
                <w:rFonts w:cs="宋体"/>
                <w:sz w:val="18"/>
                <w:szCs w:val="18"/>
              </w:rPr>
            </w:pPr>
            <w:r w:rsidRPr="0063248C">
              <w:rPr>
                <w:rFonts w:cs="宋体"/>
                <w:sz w:val="18"/>
                <w:szCs w:val="18"/>
              </w:rPr>
              <w:t>41,583,074.58</w:t>
            </w:r>
          </w:p>
        </w:tc>
        <w:tc>
          <w:tcPr>
            <w:tcW w:w="1928" w:type="dxa"/>
            <w:tcBorders>
              <w:top w:val="single" w:sz="2" w:space="0" w:color="auto"/>
              <w:left w:val="single" w:sz="2" w:space="0" w:color="auto"/>
              <w:bottom w:val="single" w:sz="2" w:space="0" w:color="auto"/>
              <w:right w:val="single" w:sz="2" w:space="0" w:color="auto"/>
            </w:tcBorders>
            <w:vAlign w:val="center"/>
          </w:tcPr>
          <w:p w14:paraId="1A900DD1" w14:textId="77777777" w:rsidR="007B3DB2" w:rsidRPr="0063248C" w:rsidRDefault="00000000">
            <w:pPr>
              <w:spacing w:line="240" w:lineRule="exact"/>
              <w:jc w:val="right"/>
              <w:rPr>
                <w:rFonts w:cs="宋体"/>
                <w:sz w:val="18"/>
                <w:szCs w:val="18"/>
              </w:rPr>
            </w:pPr>
            <w:r w:rsidRPr="0063248C">
              <w:rPr>
                <w:rFonts w:cs="宋体"/>
                <w:sz w:val="18"/>
                <w:szCs w:val="18"/>
              </w:rPr>
              <w:t>30,203,372.28</w:t>
            </w:r>
          </w:p>
        </w:tc>
        <w:tc>
          <w:tcPr>
            <w:tcW w:w="1588" w:type="dxa"/>
            <w:tcBorders>
              <w:top w:val="single" w:sz="2" w:space="0" w:color="auto"/>
              <w:left w:val="single" w:sz="2" w:space="0" w:color="auto"/>
              <w:bottom w:val="single" w:sz="2" w:space="0" w:color="auto"/>
              <w:right w:val="single" w:sz="2" w:space="0" w:color="auto"/>
            </w:tcBorders>
            <w:vAlign w:val="center"/>
          </w:tcPr>
          <w:p w14:paraId="236EC6A5" w14:textId="77777777" w:rsidR="007B3DB2" w:rsidRPr="0063248C" w:rsidRDefault="00000000">
            <w:pPr>
              <w:spacing w:line="240" w:lineRule="exact"/>
              <w:jc w:val="right"/>
              <w:rPr>
                <w:rFonts w:cs="宋体"/>
                <w:sz w:val="18"/>
                <w:szCs w:val="18"/>
              </w:rPr>
            </w:pPr>
            <w:r w:rsidRPr="0063248C">
              <w:rPr>
                <w:rFonts w:cs="宋体"/>
                <w:sz w:val="18"/>
                <w:szCs w:val="18"/>
              </w:rPr>
              <w:t>37.68%</w:t>
            </w:r>
          </w:p>
        </w:tc>
        <w:tc>
          <w:tcPr>
            <w:tcW w:w="2268" w:type="dxa"/>
            <w:tcBorders>
              <w:top w:val="single" w:sz="2" w:space="0" w:color="auto"/>
              <w:left w:val="single" w:sz="2" w:space="0" w:color="auto"/>
              <w:bottom w:val="single" w:sz="2" w:space="0" w:color="auto"/>
              <w:right w:val="single" w:sz="2" w:space="0" w:color="auto"/>
            </w:tcBorders>
            <w:vAlign w:val="center"/>
          </w:tcPr>
          <w:p w14:paraId="6BC778DD" w14:textId="09B85AF8" w:rsidR="007B3DB2" w:rsidRPr="0063248C" w:rsidRDefault="00000000">
            <w:pPr>
              <w:spacing w:line="240" w:lineRule="exact"/>
              <w:rPr>
                <w:rFonts w:cs="宋体"/>
                <w:sz w:val="18"/>
                <w:szCs w:val="18"/>
              </w:rPr>
            </w:pPr>
            <w:r w:rsidRPr="0063248C">
              <w:rPr>
                <w:rFonts w:cs="宋体"/>
                <w:sz w:val="18"/>
                <w:szCs w:val="18"/>
              </w:rPr>
              <w:t>本期利息支出增加，利息收入</w:t>
            </w:r>
            <w:r w:rsidR="00AD3795">
              <w:rPr>
                <w:rFonts w:cs="宋体" w:hint="eastAsia"/>
                <w:sz w:val="18"/>
                <w:szCs w:val="18"/>
              </w:rPr>
              <w:t>减少</w:t>
            </w:r>
            <w:r w:rsidRPr="0063248C">
              <w:rPr>
                <w:rFonts w:cs="宋体"/>
                <w:sz w:val="18"/>
                <w:szCs w:val="18"/>
              </w:rPr>
              <w:t>所致。</w:t>
            </w:r>
          </w:p>
        </w:tc>
      </w:tr>
      <w:tr w:rsidR="007B3DB2" w:rsidRPr="0063248C" w14:paraId="12776BE0" w14:textId="77777777" w:rsidTr="006709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39C6E1FE" w14:textId="77777777" w:rsidR="007B3DB2" w:rsidRPr="0063248C" w:rsidRDefault="00000000">
            <w:pPr>
              <w:spacing w:before="40" w:after="40" w:line="240" w:lineRule="exact"/>
              <w:rPr>
                <w:rFonts w:cs="宋体"/>
                <w:sz w:val="18"/>
                <w:szCs w:val="18"/>
              </w:rPr>
            </w:pPr>
            <w:r w:rsidRPr="0063248C">
              <w:rPr>
                <w:rFonts w:cs="宋体"/>
                <w:sz w:val="18"/>
                <w:szCs w:val="18"/>
              </w:rPr>
              <w:t>所得税费用</w:t>
            </w:r>
          </w:p>
        </w:tc>
        <w:tc>
          <w:tcPr>
            <w:tcW w:w="1928" w:type="dxa"/>
            <w:tcBorders>
              <w:top w:val="single" w:sz="2" w:space="0" w:color="auto"/>
              <w:left w:val="single" w:sz="2" w:space="0" w:color="auto"/>
              <w:bottom w:val="single" w:sz="2" w:space="0" w:color="auto"/>
              <w:right w:val="single" w:sz="2" w:space="0" w:color="auto"/>
            </w:tcBorders>
            <w:vAlign w:val="center"/>
          </w:tcPr>
          <w:p w14:paraId="1DD89C40" w14:textId="77777777" w:rsidR="007B3DB2" w:rsidRPr="0063248C" w:rsidRDefault="00000000">
            <w:pPr>
              <w:spacing w:line="240" w:lineRule="exact"/>
              <w:jc w:val="right"/>
              <w:rPr>
                <w:rFonts w:cs="宋体"/>
                <w:sz w:val="18"/>
                <w:szCs w:val="18"/>
              </w:rPr>
            </w:pPr>
            <w:r w:rsidRPr="0063248C">
              <w:rPr>
                <w:rFonts w:cs="宋体"/>
                <w:sz w:val="18"/>
                <w:szCs w:val="18"/>
              </w:rPr>
              <w:t>-6,145,655.16</w:t>
            </w:r>
          </w:p>
        </w:tc>
        <w:tc>
          <w:tcPr>
            <w:tcW w:w="1928" w:type="dxa"/>
            <w:tcBorders>
              <w:top w:val="single" w:sz="2" w:space="0" w:color="auto"/>
              <w:left w:val="single" w:sz="2" w:space="0" w:color="auto"/>
              <w:bottom w:val="single" w:sz="2" w:space="0" w:color="auto"/>
              <w:right w:val="single" w:sz="2" w:space="0" w:color="auto"/>
            </w:tcBorders>
            <w:vAlign w:val="center"/>
          </w:tcPr>
          <w:p w14:paraId="19EF07F6" w14:textId="77777777" w:rsidR="007B3DB2" w:rsidRPr="0063248C" w:rsidRDefault="00000000">
            <w:pPr>
              <w:spacing w:line="240" w:lineRule="exact"/>
              <w:jc w:val="right"/>
              <w:rPr>
                <w:rFonts w:cs="宋体"/>
                <w:sz w:val="18"/>
                <w:szCs w:val="18"/>
              </w:rPr>
            </w:pPr>
            <w:r w:rsidRPr="0063248C">
              <w:rPr>
                <w:rFonts w:cs="宋体"/>
                <w:sz w:val="18"/>
                <w:szCs w:val="18"/>
              </w:rPr>
              <w:t>-1,912,670.67</w:t>
            </w:r>
          </w:p>
        </w:tc>
        <w:tc>
          <w:tcPr>
            <w:tcW w:w="1588" w:type="dxa"/>
            <w:tcBorders>
              <w:top w:val="single" w:sz="2" w:space="0" w:color="auto"/>
              <w:left w:val="single" w:sz="2" w:space="0" w:color="auto"/>
              <w:bottom w:val="single" w:sz="2" w:space="0" w:color="auto"/>
              <w:right w:val="single" w:sz="2" w:space="0" w:color="auto"/>
            </w:tcBorders>
            <w:vAlign w:val="center"/>
          </w:tcPr>
          <w:p w14:paraId="02113180" w14:textId="77777777" w:rsidR="007B3DB2" w:rsidRPr="0063248C" w:rsidRDefault="00000000">
            <w:pPr>
              <w:spacing w:line="240" w:lineRule="exact"/>
              <w:jc w:val="right"/>
              <w:rPr>
                <w:rFonts w:cs="宋体"/>
                <w:sz w:val="18"/>
                <w:szCs w:val="18"/>
              </w:rPr>
            </w:pPr>
            <w:r w:rsidRPr="0063248C">
              <w:rPr>
                <w:rFonts w:cs="宋体"/>
                <w:sz w:val="18"/>
                <w:szCs w:val="18"/>
              </w:rPr>
              <w:t>-221.31%</w:t>
            </w:r>
          </w:p>
        </w:tc>
        <w:tc>
          <w:tcPr>
            <w:tcW w:w="2268" w:type="dxa"/>
            <w:tcBorders>
              <w:top w:val="single" w:sz="2" w:space="0" w:color="auto"/>
              <w:left w:val="single" w:sz="2" w:space="0" w:color="auto"/>
              <w:bottom w:val="single" w:sz="2" w:space="0" w:color="auto"/>
              <w:right w:val="single" w:sz="2" w:space="0" w:color="auto"/>
            </w:tcBorders>
            <w:vAlign w:val="center"/>
          </w:tcPr>
          <w:p w14:paraId="68A4B9C3" w14:textId="77777777" w:rsidR="007B3DB2" w:rsidRPr="0063248C" w:rsidRDefault="00000000">
            <w:pPr>
              <w:spacing w:line="240" w:lineRule="exact"/>
              <w:rPr>
                <w:rFonts w:cs="宋体"/>
                <w:sz w:val="18"/>
                <w:szCs w:val="18"/>
              </w:rPr>
            </w:pPr>
            <w:r w:rsidRPr="0063248C">
              <w:rPr>
                <w:rFonts w:cs="宋体"/>
                <w:sz w:val="18"/>
                <w:szCs w:val="18"/>
              </w:rPr>
              <w:t>递延所得税费用影响所致。</w:t>
            </w:r>
          </w:p>
        </w:tc>
      </w:tr>
      <w:tr w:rsidR="007B3DB2" w:rsidRPr="0063248C" w14:paraId="53E52F1E" w14:textId="77777777" w:rsidTr="006709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A72286D" w14:textId="77777777" w:rsidR="007B3DB2" w:rsidRPr="0063248C" w:rsidRDefault="00000000">
            <w:pPr>
              <w:spacing w:before="40" w:after="40" w:line="240" w:lineRule="exact"/>
              <w:rPr>
                <w:rFonts w:cs="宋体"/>
                <w:sz w:val="18"/>
                <w:szCs w:val="18"/>
              </w:rPr>
            </w:pPr>
            <w:r w:rsidRPr="0063248C">
              <w:rPr>
                <w:rFonts w:cs="宋体"/>
                <w:sz w:val="18"/>
                <w:szCs w:val="18"/>
              </w:rPr>
              <w:t>研发投入</w:t>
            </w:r>
          </w:p>
        </w:tc>
        <w:tc>
          <w:tcPr>
            <w:tcW w:w="1928" w:type="dxa"/>
            <w:tcBorders>
              <w:top w:val="single" w:sz="2" w:space="0" w:color="auto"/>
              <w:left w:val="single" w:sz="2" w:space="0" w:color="auto"/>
              <w:bottom w:val="single" w:sz="2" w:space="0" w:color="auto"/>
              <w:right w:val="single" w:sz="2" w:space="0" w:color="auto"/>
            </w:tcBorders>
            <w:vAlign w:val="center"/>
          </w:tcPr>
          <w:p w14:paraId="58858BFA" w14:textId="77777777" w:rsidR="007B3DB2" w:rsidRPr="0063248C" w:rsidRDefault="00000000">
            <w:pPr>
              <w:spacing w:line="240" w:lineRule="exact"/>
              <w:jc w:val="right"/>
              <w:rPr>
                <w:rFonts w:cs="宋体"/>
                <w:sz w:val="18"/>
                <w:szCs w:val="18"/>
              </w:rPr>
            </w:pPr>
            <w:r w:rsidRPr="0063248C">
              <w:rPr>
                <w:rFonts w:cs="宋体"/>
                <w:sz w:val="18"/>
                <w:szCs w:val="18"/>
              </w:rPr>
              <w:t>3,137,108.09</w:t>
            </w:r>
          </w:p>
        </w:tc>
        <w:tc>
          <w:tcPr>
            <w:tcW w:w="1928" w:type="dxa"/>
            <w:tcBorders>
              <w:top w:val="single" w:sz="2" w:space="0" w:color="auto"/>
              <w:left w:val="single" w:sz="2" w:space="0" w:color="auto"/>
              <w:bottom w:val="single" w:sz="2" w:space="0" w:color="auto"/>
              <w:right w:val="single" w:sz="2" w:space="0" w:color="auto"/>
            </w:tcBorders>
            <w:vAlign w:val="center"/>
          </w:tcPr>
          <w:p w14:paraId="1657E05F" w14:textId="77777777" w:rsidR="007B3DB2" w:rsidRPr="0063248C" w:rsidRDefault="00000000">
            <w:pPr>
              <w:spacing w:line="240" w:lineRule="exact"/>
              <w:jc w:val="right"/>
              <w:rPr>
                <w:rFonts w:cs="宋体"/>
                <w:sz w:val="18"/>
                <w:szCs w:val="18"/>
              </w:rPr>
            </w:pPr>
            <w:r w:rsidRPr="0063248C">
              <w:rPr>
                <w:rFonts w:cs="宋体"/>
                <w:sz w:val="18"/>
                <w:szCs w:val="18"/>
              </w:rPr>
              <w:t>5,047,399.43</w:t>
            </w:r>
          </w:p>
        </w:tc>
        <w:tc>
          <w:tcPr>
            <w:tcW w:w="1588" w:type="dxa"/>
            <w:tcBorders>
              <w:top w:val="single" w:sz="2" w:space="0" w:color="auto"/>
              <w:left w:val="single" w:sz="2" w:space="0" w:color="auto"/>
              <w:bottom w:val="single" w:sz="2" w:space="0" w:color="auto"/>
              <w:right w:val="single" w:sz="2" w:space="0" w:color="auto"/>
            </w:tcBorders>
            <w:vAlign w:val="center"/>
          </w:tcPr>
          <w:p w14:paraId="44475B3A" w14:textId="77777777" w:rsidR="007B3DB2" w:rsidRPr="0063248C" w:rsidRDefault="00000000">
            <w:pPr>
              <w:spacing w:line="240" w:lineRule="exact"/>
              <w:jc w:val="right"/>
              <w:rPr>
                <w:rFonts w:cs="宋体"/>
                <w:sz w:val="18"/>
                <w:szCs w:val="18"/>
              </w:rPr>
            </w:pPr>
            <w:r w:rsidRPr="0063248C">
              <w:rPr>
                <w:rFonts w:cs="宋体"/>
                <w:sz w:val="18"/>
                <w:szCs w:val="18"/>
              </w:rPr>
              <w:t>-37.85%</w:t>
            </w:r>
          </w:p>
        </w:tc>
        <w:tc>
          <w:tcPr>
            <w:tcW w:w="2268" w:type="dxa"/>
            <w:tcBorders>
              <w:top w:val="single" w:sz="2" w:space="0" w:color="auto"/>
              <w:left w:val="single" w:sz="2" w:space="0" w:color="auto"/>
              <w:bottom w:val="single" w:sz="2" w:space="0" w:color="auto"/>
              <w:right w:val="single" w:sz="2" w:space="0" w:color="auto"/>
            </w:tcBorders>
            <w:vAlign w:val="center"/>
          </w:tcPr>
          <w:p w14:paraId="00839B30" w14:textId="03FB5C6C" w:rsidR="007B3DB2" w:rsidRPr="0063248C" w:rsidRDefault="00000000">
            <w:pPr>
              <w:spacing w:line="240" w:lineRule="exact"/>
              <w:rPr>
                <w:rFonts w:cs="宋体"/>
                <w:sz w:val="18"/>
                <w:szCs w:val="18"/>
              </w:rPr>
            </w:pPr>
            <w:r w:rsidRPr="0063248C">
              <w:rPr>
                <w:rFonts w:cs="宋体"/>
                <w:sz w:val="18"/>
                <w:szCs w:val="18"/>
              </w:rPr>
              <w:t>本期研发投入</w:t>
            </w:r>
            <w:r w:rsidR="006F26C9">
              <w:rPr>
                <w:rFonts w:cs="宋体" w:hint="eastAsia"/>
                <w:sz w:val="18"/>
                <w:szCs w:val="18"/>
              </w:rPr>
              <w:t>减少</w:t>
            </w:r>
            <w:r w:rsidRPr="0063248C">
              <w:rPr>
                <w:rFonts w:cs="宋体"/>
                <w:sz w:val="18"/>
                <w:szCs w:val="18"/>
              </w:rPr>
              <w:t>所致。</w:t>
            </w:r>
          </w:p>
        </w:tc>
      </w:tr>
      <w:tr w:rsidR="007B3DB2" w:rsidRPr="0063248C" w14:paraId="38E5E7BE" w14:textId="77777777" w:rsidTr="006709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1A4D71F6" w14:textId="77777777" w:rsidR="007B3DB2" w:rsidRPr="0063248C" w:rsidRDefault="00000000">
            <w:pPr>
              <w:spacing w:before="40" w:after="40" w:line="240" w:lineRule="exact"/>
              <w:rPr>
                <w:rFonts w:cs="宋体"/>
                <w:sz w:val="18"/>
                <w:szCs w:val="18"/>
              </w:rPr>
            </w:pPr>
            <w:r w:rsidRPr="0063248C">
              <w:rPr>
                <w:rFonts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14:paraId="2819A410" w14:textId="77777777" w:rsidR="007B3DB2" w:rsidRPr="0063248C" w:rsidRDefault="00000000">
            <w:pPr>
              <w:spacing w:line="240" w:lineRule="exact"/>
              <w:jc w:val="right"/>
              <w:rPr>
                <w:rFonts w:cs="宋体"/>
                <w:sz w:val="18"/>
                <w:szCs w:val="18"/>
              </w:rPr>
            </w:pPr>
            <w:r w:rsidRPr="0063248C">
              <w:rPr>
                <w:rFonts w:cs="宋体"/>
                <w:sz w:val="18"/>
                <w:szCs w:val="18"/>
              </w:rPr>
              <w:t>221,525,233.05</w:t>
            </w:r>
          </w:p>
        </w:tc>
        <w:tc>
          <w:tcPr>
            <w:tcW w:w="1928" w:type="dxa"/>
            <w:tcBorders>
              <w:top w:val="single" w:sz="2" w:space="0" w:color="auto"/>
              <w:left w:val="single" w:sz="2" w:space="0" w:color="auto"/>
              <w:bottom w:val="single" w:sz="2" w:space="0" w:color="auto"/>
              <w:right w:val="single" w:sz="2" w:space="0" w:color="auto"/>
            </w:tcBorders>
            <w:vAlign w:val="center"/>
          </w:tcPr>
          <w:p w14:paraId="7AB7CE67" w14:textId="77777777" w:rsidR="007B3DB2" w:rsidRPr="0063248C" w:rsidRDefault="00000000">
            <w:pPr>
              <w:spacing w:line="240" w:lineRule="exact"/>
              <w:jc w:val="right"/>
              <w:rPr>
                <w:rFonts w:cs="宋体"/>
                <w:sz w:val="18"/>
                <w:szCs w:val="18"/>
              </w:rPr>
            </w:pPr>
            <w:r w:rsidRPr="0063248C">
              <w:rPr>
                <w:rFonts w:cs="宋体"/>
                <w:sz w:val="18"/>
                <w:szCs w:val="18"/>
              </w:rPr>
              <w:t>-366,555,444.44</w:t>
            </w:r>
          </w:p>
        </w:tc>
        <w:tc>
          <w:tcPr>
            <w:tcW w:w="1588" w:type="dxa"/>
            <w:tcBorders>
              <w:top w:val="single" w:sz="2" w:space="0" w:color="auto"/>
              <w:left w:val="single" w:sz="2" w:space="0" w:color="auto"/>
              <w:bottom w:val="single" w:sz="2" w:space="0" w:color="auto"/>
              <w:right w:val="single" w:sz="2" w:space="0" w:color="auto"/>
            </w:tcBorders>
            <w:vAlign w:val="center"/>
          </w:tcPr>
          <w:p w14:paraId="78764864" w14:textId="77777777" w:rsidR="007B3DB2" w:rsidRPr="0063248C" w:rsidRDefault="00000000">
            <w:pPr>
              <w:spacing w:line="240" w:lineRule="exact"/>
              <w:jc w:val="right"/>
              <w:rPr>
                <w:rFonts w:cs="宋体"/>
                <w:sz w:val="18"/>
                <w:szCs w:val="18"/>
              </w:rPr>
            </w:pPr>
            <w:r w:rsidRPr="0063248C">
              <w:rPr>
                <w:rFonts w:cs="宋体"/>
                <w:sz w:val="18"/>
                <w:szCs w:val="18"/>
              </w:rPr>
              <w:t>160.43%</w:t>
            </w:r>
          </w:p>
        </w:tc>
        <w:tc>
          <w:tcPr>
            <w:tcW w:w="2268" w:type="dxa"/>
            <w:tcBorders>
              <w:top w:val="single" w:sz="2" w:space="0" w:color="auto"/>
              <w:left w:val="single" w:sz="2" w:space="0" w:color="auto"/>
              <w:bottom w:val="single" w:sz="2" w:space="0" w:color="auto"/>
              <w:right w:val="single" w:sz="2" w:space="0" w:color="auto"/>
            </w:tcBorders>
            <w:vAlign w:val="center"/>
          </w:tcPr>
          <w:p w14:paraId="6CC411A5" w14:textId="77777777" w:rsidR="007B3DB2" w:rsidRPr="0063248C" w:rsidRDefault="00000000">
            <w:pPr>
              <w:spacing w:line="240" w:lineRule="exact"/>
              <w:rPr>
                <w:rFonts w:cs="宋体"/>
                <w:sz w:val="18"/>
                <w:szCs w:val="18"/>
              </w:rPr>
            </w:pPr>
            <w:r w:rsidRPr="0063248C">
              <w:rPr>
                <w:rFonts w:cs="宋体"/>
                <w:sz w:val="18"/>
                <w:szCs w:val="18"/>
              </w:rPr>
              <w:t>本期经营活动现金流入增加所致。</w:t>
            </w:r>
          </w:p>
        </w:tc>
      </w:tr>
      <w:tr w:rsidR="007B3DB2" w:rsidRPr="0063248C" w14:paraId="3959EF00" w14:textId="77777777" w:rsidTr="006709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66F84727" w14:textId="77777777" w:rsidR="007B3DB2" w:rsidRPr="0063248C" w:rsidRDefault="00000000">
            <w:pPr>
              <w:spacing w:before="40" w:after="40" w:line="240" w:lineRule="exact"/>
              <w:rPr>
                <w:rFonts w:cs="宋体"/>
                <w:sz w:val="18"/>
                <w:szCs w:val="18"/>
              </w:rPr>
            </w:pPr>
            <w:r w:rsidRPr="0063248C">
              <w:rPr>
                <w:rFonts w:cs="宋体"/>
                <w:sz w:val="18"/>
                <w:szCs w:val="18"/>
              </w:rPr>
              <w:t>投资活动产生的现金流量净额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14:paraId="5DCE88EB" w14:textId="77777777" w:rsidR="007B3DB2" w:rsidRPr="0063248C" w:rsidRDefault="00000000">
            <w:pPr>
              <w:spacing w:line="240" w:lineRule="exact"/>
              <w:jc w:val="right"/>
              <w:rPr>
                <w:rFonts w:cs="宋体"/>
                <w:sz w:val="18"/>
                <w:szCs w:val="18"/>
              </w:rPr>
            </w:pPr>
            <w:r w:rsidRPr="0063248C">
              <w:rPr>
                <w:rFonts w:cs="宋体"/>
                <w:sz w:val="18"/>
                <w:szCs w:val="18"/>
              </w:rPr>
              <w:t>-105,844,506.26</w:t>
            </w:r>
          </w:p>
        </w:tc>
        <w:tc>
          <w:tcPr>
            <w:tcW w:w="1928" w:type="dxa"/>
            <w:tcBorders>
              <w:top w:val="single" w:sz="2" w:space="0" w:color="auto"/>
              <w:left w:val="single" w:sz="2" w:space="0" w:color="auto"/>
              <w:bottom w:val="single" w:sz="2" w:space="0" w:color="auto"/>
              <w:right w:val="single" w:sz="2" w:space="0" w:color="auto"/>
            </w:tcBorders>
            <w:vAlign w:val="center"/>
          </w:tcPr>
          <w:p w14:paraId="576792D6" w14:textId="77777777" w:rsidR="007B3DB2" w:rsidRPr="0063248C" w:rsidRDefault="00000000">
            <w:pPr>
              <w:spacing w:line="240" w:lineRule="exact"/>
              <w:jc w:val="right"/>
              <w:rPr>
                <w:rFonts w:cs="宋体"/>
                <w:sz w:val="18"/>
                <w:szCs w:val="18"/>
              </w:rPr>
            </w:pPr>
            <w:r w:rsidRPr="0063248C">
              <w:rPr>
                <w:rFonts w:cs="宋体"/>
                <w:sz w:val="18"/>
                <w:szCs w:val="18"/>
              </w:rPr>
              <w:t>314,341,787.58</w:t>
            </w:r>
          </w:p>
        </w:tc>
        <w:tc>
          <w:tcPr>
            <w:tcW w:w="1588" w:type="dxa"/>
            <w:tcBorders>
              <w:top w:val="single" w:sz="2" w:space="0" w:color="auto"/>
              <w:left w:val="single" w:sz="2" w:space="0" w:color="auto"/>
              <w:bottom w:val="single" w:sz="2" w:space="0" w:color="auto"/>
              <w:right w:val="single" w:sz="2" w:space="0" w:color="auto"/>
            </w:tcBorders>
            <w:vAlign w:val="center"/>
          </w:tcPr>
          <w:p w14:paraId="3B78F20F" w14:textId="77777777" w:rsidR="007B3DB2" w:rsidRPr="0063248C" w:rsidRDefault="00000000">
            <w:pPr>
              <w:spacing w:line="240" w:lineRule="exact"/>
              <w:jc w:val="right"/>
              <w:rPr>
                <w:rFonts w:cs="宋体"/>
                <w:sz w:val="18"/>
                <w:szCs w:val="18"/>
              </w:rPr>
            </w:pPr>
            <w:r w:rsidRPr="0063248C">
              <w:rPr>
                <w:rFonts w:cs="宋体"/>
                <w:sz w:val="18"/>
                <w:szCs w:val="18"/>
              </w:rPr>
              <w:t>-133.67%</w:t>
            </w:r>
          </w:p>
        </w:tc>
        <w:tc>
          <w:tcPr>
            <w:tcW w:w="2268" w:type="dxa"/>
            <w:tcBorders>
              <w:top w:val="single" w:sz="2" w:space="0" w:color="auto"/>
              <w:left w:val="single" w:sz="2" w:space="0" w:color="auto"/>
              <w:bottom w:val="single" w:sz="2" w:space="0" w:color="auto"/>
              <w:right w:val="single" w:sz="2" w:space="0" w:color="auto"/>
            </w:tcBorders>
            <w:vAlign w:val="center"/>
          </w:tcPr>
          <w:p w14:paraId="29EB0CE1" w14:textId="77777777" w:rsidR="007B3DB2" w:rsidRPr="0063248C" w:rsidRDefault="00000000">
            <w:pPr>
              <w:spacing w:line="240" w:lineRule="exact"/>
              <w:rPr>
                <w:rFonts w:cs="宋体"/>
                <w:sz w:val="18"/>
                <w:szCs w:val="18"/>
              </w:rPr>
            </w:pPr>
            <w:r w:rsidRPr="0063248C">
              <w:rPr>
                <w:rFonts w:cs="宋体"/>
                <w:sz w:val="18"/>
                <w:szCs w:val="18"/>
              </w:rPr>
              <w:t>本期支付项目建设部分款项所致。</w:t>
            </w:r>
          </w:p>
        </w:tc>
      </w:tr>
      <w:tr w:rsidR="007B3DB2" w:rsidRPr="0063248C" w14:paraId="5711BEB5" w14:textId="77777777" w:rsidTr="006709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4A32B5FB" w14:textId="77777777" w:rsidR="007B3DB2" w:rsidRPr="0063248C" w:rsidRDefault="00000000">
            <w:pPr>
              <w:spacing w:before="40" w:after="40" w:line="240" w:lineRule="exact"/>
              <w:rPr>
                <w:rFonts w:cs="宋体"/>
                <w:sz w:val="18"/>
                <w:szCs w:val="18"/>
              </w:rPr>
            </w:pPr>
            <w:r w:rsidRPr="0063248C">
              <w:rPr>
                <w:rFonts w:cs="宋体"/>
                <w:sz w:val="18"/>
                <w:szCs w:val="18"/>
              </w:rPr>
              <w:t>筹资活动产生的现金流量净额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14:paraId="167C3601" w14:textId="77777777" w:rsidR="007B3DB2" w:rsidRPr="0063248C" w:rsidRDefault="00000000">
            <w:pPr>
              <w:spacing w:line="240" w:lineRule="exact"/>
              <w:jc w:val="right"/>
              <w:rPr>
                <w:rFonts w:cs="宋体"/>
                <w:sz w:val="18"/>
                <w:szCs w:val="18"/>
              </w:rPr>
            </w:pPr>
            <w:r w:rsidRPr="0063248C">
              <w:rPr>
                <w:rFonts w:cs="宋体"/>
                <w:sz w:val="18"/>
                <w:szCs w:val="18"/>
              </w:rPr>
              <w:t>-361,054,076.04</w:t>
            </w:r>
          </w:p>
        </w:tc>
        <w:tc>
          <w:tcPr>
            <w:tcW w:w="1928" w:type="dxa"/>
            <w:tcBorders>
              <w:top w:val="single" w:sz="2" w:space="0" w:color="auto"/>
              <w:left w:val="single" w:sz="2" w:space="0" w:color="auto"/>
              <w:bottom w:val="single" w:sz="2" w:space="0" w:color="auto"/>
              <w:right w:val="single" w:sz="2" w:space="0" w:color="auto"/>
            </w:tcBorders>
            <w:vAlign w:val="center"/>
          </w:tcPr>
          <w:p w14:paraId="36307358" w14:textId="77777777" w:rsidR="007B3DB2" w:rsidRPr="0063248C" w:rsidRDefault="00000000">
            <w:pPr>
              <w:spacing w:line="240" w:lineRule="exact"/>
              <w:jc w:val="right"/>
              <w:rPr>
                <w:rFonts w:cs="宋体"/>
                <w:sz w:val="18"/>
                <w:szCs w:val="18"/>
              </w:rPr>
            </w:pPr>
            <w:r w:rsidRPr="0063248C">
              <w:rPr>
                <w:rFonts w:cs="宋体"/>
                <w:sz w:val="18"/>
                <w:szCs w:val="18"/>
              </w:rPr>
              <w:t>149,231,656.62</w:t>
            </w:r>
          </w:p>
        </w:tc>
        <w:tc>
          <w:tcPr>
            <w:tcW w:w="1588" w:type="dxa"/>
            <w:tcBorders>
              <w:top w:val="single" w:sz="2" w:space="0" w:color="auto"/>
              <w:left w:val="single" w:sz="2" w:space="0" w:color="auto"/>
              <w:bottom w:val="single" w:sz="2" w:space="0" w:color="auto"/>
              <w:right w:val="single" w:sz="2" w:space="0" w:color="auto"/>
            </w:tcBorders>
            <w:vAlign w:val="center"/>
          </w:tcPr>
          <w:p w14:paraId="7BC5CC89" w14:textId="77777777" w:rsidR="007B3DB2" w:rsidRPr="0063248C" w:rsidRDefault="00000000">
            <w:pPr>
              <w:spacing w:line="240" w:lineRule="exact"/>
              <w:jc w:val="right"/>
              <w:rPr>
                <w:rFonts w:cs="宋体"/>
                <w:sz w:val="18"/>
                <w:szCs w:val="18"/>
              </w:rPr>
            </w:pPr>
            <w:r w:rsidRPr="0063248C">
              <w:rPr>
                <w:rFonts w:cs="宋体"/>
                <w:sz w:val="18"/>
                <w:szCs w:val="18"/>
              </w:rPr>
              <w:t>-341.94%</w:t>
            </w:r>
          </w:p>
        </w:tc>
        <w:tc>
          <w:tcPr>
            <w:tcW w:w="2268" w:type="dxa"/>
            <w:tcBorders>
              <w:top w:val="single" w:sz="2" w:space="0" w:color="auto"/>
              <w:left w:val="single" w:sz="2" w:space="0" w:color="auto"/>
              <w:bottom w:val="single" w:sz="2" w:space="0" w:color="auto"/>
              <w:right w:val="single" w:sz="2" w:space="0" w:color="auto"/>
            </w:tcBorders>
            <w:vAlign w:val="center"/>
          </w:tcPr>
          <w:p w14:paraId="6E448E3D" w14:textId="77777777" w:rsidR="007B3DB2" w:rsidRPr="0063248C" w:rsidRDefault="00000000">
            <w:pPr>
              <w:spacing w:line="240" w:lineRule="exact"/>
              <w:rPr>
                <w:rFonts w:cs="宋体"/>
                <w:sz w:val="18"/>
                <w:szCs w:val="18"/>
              </w:rPr>
            </w:pPr>
            <w:r w:rsidRPr="0063248C">
              <w:rPr>
                <w:rFonts w:cs="宋体"/>
                <w:sz w:val="18"/>
                <w:szCs w:val="18"/>
              </w:rPr>
              <w:t>本期融资规模调整，归还部分银行贷款及利息所致。</w:t>
            </w:r>
          </w:p>
        </w:tc>
      </w:tr>
      <w:tr w:rsidR="007B3DB2" w:rsidRPr="0063248C" w14:paraId="2D649732" w14:textId="77777777" w:rsidTr="006709E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ECE0C08" w14:textId="77777777" w:rsidR="007B3DB2" w:rsidRPr="0063248C" w:rsidRDefault="00000000">
            <w:pPr>
              <w:spacing w:before="40" w:after="40" w:line="240" w:lineRule="exact"/>
              <w:rPr>
                <w:rFonts w:cs="宋体"/>
                <w:sz w:val="18"/>
                <w:szCs w:val="18"/>
              </w:rPr>
            </w:pPr>
            <w:r w:rsidRPr="0063248C">
              <w:rPr>
                <w:rFonts w:cs="宋体"/>
                <w:sz w:val="18"/>
                <w:szCs w:val="18"/>
              </w:rPr>
              <w:t>现金及现金等价物净增加额</w:t>
            </w:r>
          </w:p>
        </w:tc>
        <w:tc>
          <w:tcPr>
            <w:tcW w:w="1928" w:type="dxa"/>
            <w:tcBorders>
              <w:top w:val="single" w:sz="2" w:space="0" w:color="auto"/>
              <w:left w:val="single" w:sz="2" w:space="0" w:color="auto"/>
              <w:bottom w:val="single" w:sz="2" w:space="0" w:color="auto"/>
              <w:right w:val="single" w:sz="2" w:space="0" w:color="auto"/>
            </w:tcBorders>
            <w:vAlign w:val="center"/>
          </w:tcPr>
          <w:p w14:paraId="21B0666D" w14:textId="77777777" w:rsidR="007B3DB2" w:rsidRPr="0063248C" w:rsidRDefault="00000000">
            <w:pPr>
              <w:spacing w:line="240" w:lineRule="exact"/>
              <w:jc w:val="right"/>
              <w:rPr>
                <w:rFonts w:cs="宋体"/>
                <w:sz w:val="18"/>
                <w:szCs w:val="18"/>
              </w:rPr>
            </w:pPr>
            <w:r w:rsidRPr="0063248C">
              <w:rPr>
                <w:rFonts w:cs="宋体"/>
                <w:sz w:val="18"/>
                <w:szCs w:val="18"/>
              </w:rPr>
              <w:t>-245,372,779.17</w:t>
            </w:r>
          </w:p>
        </w:tc>
        <w:tc>
          <w:tcPr>
            <w:tcW w:w="1928" w:type="dxa"/>
            <w:tcBorders>
              <w:top w:val="single" w:sz="2" w:space="0" w:color="auto"/>
              <w:left w:val="single" w:sz="2" w:space="0" w:color="auto"/>
              <w:bottom w:val="single" w:sz="2" w:space="0" w:color="auto"/>
              <w:right w:val="single" w:sz="2" w:space="0" w:color="auto"/>
            </w:tcBorders>
            <w:vAlign w:val="center"/>
          </w:tcPr>
          <w:p w14:paraId="07561D12" w14:textId="77777777" w:rsidR="007B3DB2" w:rsidRPr="0063248C" w:rsidRDefault="00000000">
            <w:pPr>
              <w:spacing w:line="240" w:lineRule="exact"/>
              <w:jc w:val="right"/>
              <w:rPr>
                <w:rFonts w:cs="宋体"/>
                <w:sz w:val="18"/>
                <w:szCs w:val="18"/>
              </w:rPr>
            </w:pPr>
            <w:r w:rsidRPr="0063248C">
              <w:rPr>
                <w:rFonts w:cs="宋体"/>
                <w:sz w:val="18"/>
                <w:szCs w:val="18"/>
              </w:rPr>
              <w:t>97,087,269.40</w:t>
            </w:r>
          </w:p>
        </w:tc>
        <w:tc>
          <w:tcPr>
            <w:tcW w:w="1588" w:type="dxa"/>
            <w:tcBorders>
              <w:top w:val="single" w:sz="2" w:space="0" w:color="auto"/>
              <w:left w:val="single" w:sz="2" w:space="0" w:color="auto"/>
              <w:bottom w:val="single" w:sz="2" w:space="0" w:color="auto"/>
              <w:right w:val="single" w:sz="2" w:space="0" w:color="auto"/>
            </w:tcBorders>
            <w:vAlign w:val="center"/>
          </w:tcPr>
          <w:p w14:paraId="0DA5FB3B" w14:textId="77777777" w:rsidR="007B3DB2" w:rsidRPr="0063248C" w:rsidRDefault="00000000">
            <w:pPr>
              <w:spacing w:line="240" w:lineRule="exact"/>
              <w:jc w:val="right"/>
              <w:rPr>
                <w:rFonts w:cs="宋体"/>
                <w:sz w:val="18"/>
                <w:szCs w:val="18"/>
              </w:rPr>
            </w:pPr>
            <w:r w:rsidRPr="0063248C">
              <w:rPr>
                <w:rFonts w:cs="宋体"/>
                <w:sz w:val="18"/>
                <w:szCs w:val="18"/>
              </w:rPr>
              <w:t>-352.73%</w:t>
            </w:r>
          </w:p>
        </w:tc>
        <w:tc>
          <w:tcPr>
            <w:tcW w:w="2268" w:type="dxa"/>
            <w:tcBorders>
              <w:top w:val="single" w:sz="2" w:space="0" w:color="auto"/>
              <w:left w:val="single" w:sz="2" w:space="0" w:color="auto"/>
              <w:bottom w:val="single" w:sz="2" w:space="0" w:color="auto"/>
              <w:right w:val="single" w:sz="2" w:space="0" w:color="auto"/>
            </w:tcBorders>
            <w:vAlign w:val="center"/>
          </w:tcPr>
          <w:p w14:paraId="33A3C90C" w14:textId="77777777" w:rsidR="007B3DB2" w:rsidRPr="0063248C" w:rsidRDefault="00000000">
            <w:pPr>
              <w:spacing w:line="240" w:lineRule="exact"/>
              <w:rPr>
                <w:rFonts w:cs="宋体"/>
                <w:sz w:val="18"/>
                <w:szCs w:val="18"/>
              </w:rPr>
            </w:pPr>
            <w:r w:rsidRPr="0063248C">
              <w:rPr>
                <w:rFonts w:cs="宋体"/>
                <w:sz w:val="18"/>
                <w:szCs w:val="18"/>
              </w:rPr>
              <w:t>本期投资活动现金流出和筹资活动现金流出大于经营性活动流入所致。</w:t>
            </w:r>
          </w:p>
        </w:tc>
      </w:tr>
    </w:tbl>
    <w:p w14:paraId="070917BC" w14:textId="77777777" w:rsidR="007B3DB2" w:rsidRPr="0063248C" w:rsidRDefault="00000000">
      <w:pPr>
        <w:spacing w:before="100" w:after="100" w:line="240" w:lineRule="exact"/>
        <w:rPr>
          <w:rFonts w:cs="宋体"/>
          <w:sz w:val="18"/>
          <w:szCs w:val="18"/>
        </w:rPr>
      </w:pPr>
      <w:r w:rsidRPr="0063248C">
        <w:rPr>
          <w:rFonts w:cs="宋体"/>
          <w:sz w:val="18"/>
          <w:szCs w:val="18"/>
        </w:rPr>
        <w:t>公司报告期利润构成或利润来源发生重大变动</w:t>
      </w:r>
    </w:p>
    <w:p w14:paraId="02E02E1D"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D55C575" w14:textId="77777777" w:rsidR="007B3DB2" w:rsidRPr="0063248C" w:rsidRDefault="00000000">
      <w:pPr>
        <w:spacing w:before="100" w:after="100" w:line="240" w:lineRule="exact"/>
        <w:rPr>
          <w:rFonts w:cs="宋体"/>
          <w:sz w:val="18"/>
          <w:szCs w:val="18"/>
        </w:rPr>
      </w:pPr>
      <w:r w:rsidRPr="0063248C">
        <w:rPr>
          <w:rFonts w:cs="宋体"/>
          <w:sz w:val="18"/>
          <w:szCs w:val="18"/>
        </w:rPr>
        <w:t>公司报告期利润构成或利润来源没有发生重大变动。</w:t>
      </w:r>
    </w:p>
    <w:p w14:paraId="0E84F8D2" w14:textId="77777777" w:rsidR="007B3DB2" w:rsidRPr="0063248C" w:rsidRDefault="00000000">
      <w:pPr>
        <w:spacing w:before="100" w:after="100" w:line="240" w:lineRule="exact"/>
        <w:rPr>
          <w:rFonts w:cs="宋体"/>
          <w:sz w:val="18"/>
          <w:szCs w:val="18"/>
        </w:rPr>
      </w:pPr>
      <w:r w:rsidRPr="0063248C">
        <w:rPr>
          <w:rFonts w:cs="宋体"/>
          <w:sz w:val="18"/>
          <w:szCs w:val="18"/>
        </w:rPr>
        <w:t>营业收入构成</w:t>
      </w:r>
    </w:p>
    <w:p w14:paraId="1E4A3648"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7"/>
        <w:gridCol w:w="1606"/>
        <w:gridCol w:w="1607"/>
        <w:gridCol w:w="1607"/>
      </w:tblGrid>
      <w:tr w:rsidR="007B3DB2" w:rsidRPr="0063248C" w14:paraId="5D31964C"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0111F28" w14:textId="77777777" w:rsidR="007B3DB2" w:rsidRPr="0063248C" w:rsidRDefault="007B3DB2"/>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BE50172"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本报告期</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B7549EF" w14:textId="77777777" w:rsidR="007B3DB2" w:rsidRPr="0063248C" w:rsidRDefault="00000000">
            <w:pPr>
              <w:spacing w:before="40" w:after="40" w:line="240" w:lineRule="exact"/>
              <w:jc w:val="center"/>
              <w:rPr>
                <w:rFonts w:cs="宋体"/>
                <w:sz w:val="18"/>
                <w:szCs w:val="18"/>
              </w:rPr>
            </w:pPr>
            <w:r w:rsidRPr="0063248C">
              <w:rPr>
                <w:rFonts w:cs="宋体"/>
                <w:sz w:val="18"/>
                <w:szCs w:val="18"/>
              </w:rPr>
              <w:t>上年同期</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DA20F4B" w14:textId="77777777" w:rsidR="007B3DB2" w:rsidRPr="0063248C" w:rsidRDefault="00000000">
            <w:pPr>
              <w:spacing w:before="40" w:after="40" w:line="240" w:lineRule="exact"/>
              <w:jc w:val="center"/>
              <w:rPr>
                <w:rFonts w:cs="宋体"/>
                <w:sz w:val="18"/>
                <w:szCs w:val="18"/>
              </w:rPr>
            </w:pPr>
            <w:r w:rsidRPr="0063248C">
              <w:rPr>
                <w:rFonts w:cs="宋体"/>
                <w:sz w:val="18"/>
                <w:szCs w:val="18"/>
              </w:rPr>
              <w:t>同比增减</w:t>
            </w:r>
          </w:p>
        </w:tc>
      </w:tr>
      <w:tr w:rsidR="007B3DB2" w:rsidRPr="0063248C" w14:paraId="249865AE" w14:textId="7777777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25FCA95" w14:textId="77777777" w:rsidR="007B3DB2" w:rsidRPr="0063248C" w:rsidRDefault="007B3DB2"/>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FEBA253"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DBF2F15" w14:textId="77777777" w:rsidR="007B3DB2" w:rsidRPr="0063248C" w:rsidRDefault="00000000">
            <w:pPr>
              <w:spacing w:before="40" w:after="40" w:line="240" w:lineRule="exact"/>
              <w:jc w:val="center"/>
              <w:rPr>
                <w:rFonts w:cs="宋体"/>
                <w:sz w:val="18"/>
                <w:szCs w:val="18"/>
              </w:rPr>
            </w:pPr>
            <w:r w:rsidRPr="0063248C">
              <w:rPr>
                <w:rFonts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A7E05CE"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FB18D20" w14:textId="77777777" w:rsidR="007B3DB2" w:rsidRPr="0063248C" w:rsidRDefault="00000000">
            <w:pPr>
              <w:spacing w:before="40" w:after="40" w:line="240" w:lineRule="exact"/>
              <w:jc w:val="center"/>
              <w:rPr>
                <w:rFonts w:cs="宋体"/>
                <w:sz w:val="18"/>
                <w:szCs w:val="18"/>
              </w:rPr>
            </w:pPr>
            <w:r w:rsidRPr="0063248C">
              <w:rPr>
                <w:rFonts w:cs="宋体"/>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7FBD92" w14:textId="77777777" w:rsidR="007B3DB2" w:rsidRPr="0063248C" w:rsidRDefault="007B3DB2"/>
        </w:tc>
      </w:tr>
      <w:tr w:rsidR="007B3DB2" w:rsidRPr="0063248C" w14:paraId="6440C3D5"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5817D4F" w14:textId="77777777" w:rsidR="007B3DB2" w:rsidRPr="0063248C" w:rsidRDefault="00000000">
            <w:pPr>
              <w:spacing w:before="40" w:after="40" w:line="240" w:lineRule="exact"/>
              <w:rPr>
                <w:rFonts w:cs="宋体"/>
                <w:sz w:val="18"/>
                <w:szCs w:val="18"/>
              </w:rPr>
            </w:pPr>
            <w:r w:rsidRPr="0063248C">
              <w:rPr>
                <w:rFonts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14:paraId="53B102E9" w14:textId="77777777" w:rsidR="007B3DB2" w:rsidRPr="0063248C" w:rsidRDefault="00000000">
            <w:pPr>
              <w:spacing w:line="240" w:lineRule="exact"/>
              <w:jc w:val="right"/>
              <w:rPr>
                <w:rFonts w:cs="宋体"/>
                <w:sz w:val="18"/>
                <w:szCs w:val="18"/>
              </w:rPr>
            </w:pPr>
            <w:r w:rsidRPr="0063248C">
              <w:rPr>
                <w:rFonts w:cs="宋体"/>
                <w:sz w:val="18"/>
                <w:szCs w:val="18"/>
              </w:rPr>
              <w:t>5,044,132,021.30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8C97BDC" w14:textId="77777777" w:rsidR="007B3DB2" w:rsidRPr="0063248C" w:rsidRDefault="00000000">
            <w:pPr>
              <w:spacing w:before="40" w:after="40" w:line="240" w:lineRule="exact"/>
              <w:jc w:val="right"/>
              <w:rPr>
                <w:rFonts w:cs="宋体"/>
                <w:sz w:val="18"/>
                <w:szCs w:val="18"/>
                <w:shd w:val="clear" w:color="auto" w:fill="D3D3D3"/>
              </w:rPr>
            </w:pPr>
            <w:r w:rsidRPr="0063248C">
              <w:rPr>
                <w:rFonts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14:paraId="74A1913E" w14:textId="77777777" w:rsidR="007B3DB2" w:rsidRPr="0063248C" w:rsidRDefault="00000000">
            <w:pPr>
              <w:spacing w:line="240" w:lineRule="exact"/>
              <w:jc w:val="right"/>
              <w:rPr>
                <w:rFonts w:cs="宋体"/>
                <w:sz w:val="18"/>
                <w:szCs w:val="18"/>
              </w:rPr>
            </w:pPr>
            <w:r w:rsidRPr="0063248C">
              <w:rPr>
                <w:rFonts w:cs="宋体"/>
                <w:sz w:val="18"/>
                <w:szCs w:val="18"/>
              </w:rPr>
              <w:t>6,726,422,093.49</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54DEE0F" w14:textId="77777777" w:rsidR="007B3DB2" w:rsidRPr="0063248C" w:rsidRDefault="00000000">
            <w:pPr>
              <w:spacing w:before="40" w:after="40" w:line="240" w:lineRule="exact"/>
              <w:jc w:val="right"/>
              <w:rPr>
                <w:rFonts w:cs="宋体"/>
                <w:sz w:val="18"/>
                <w:szCs w:val="18"/>
                <w:shd w:val="clear" w:color="auto" w:fill="D3D3D3"/>
              </w:rPr>
            </w:pPr>
            <w:r w:rsidRPr="0063248C">
              <w:rPr>
                <w:rFonts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14:paraId="49B29D13" w14:textId="77777777" w:rsidR="007B3DB2" w:rsidRPr="0063248C" w:rsidRDefault="00000000">
            <w:pPr>
              <w:spacing w:line="240" w:lineRule="exact"/>
              <w:jc w:val="right"/>
              <w:rPr>
                <w:rFonts w:cs="宋体"/>
                <w:sz w:val="18"/>
                <w:szCs w:val="18"/>
              </w:rPr>
            </w:pPr>
            <w:r w:rsidRPr="0063248C">
              <w:rPr>
                <w:rFonts w:cs="宋体"/>
                <w:sz w:val="18"/>
                <w:szCs w:val="18"/>
              </w:rPr>
              <w:t>-25.01%</w:t>
            </w:r>
          </w:p>
        </w:tc>
      </w:tr>
      <w:tr w:rsidR="007B3DB2" w:rsidRPr="0063248C" w14:paraId="25B9E73F"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23A5ABBB" w14:textId="77777777" w:rsidR="007B3DB2" w:rsidRPr="0063248C" w:rsidRDefault="00000000">
            <w:pPr>
              <w:spacing w:before="40" w:after="40" w:line="240" w:lineRule="exact"/>
              <w:rPr>
                <w:rFonts w:cs="宋体"/>
                <w:sz w:val="18"/>
                <w:szCs w:val="18"/>
              </w:rPr>
            </w:pPr>
            <w:r w:rsidRPr="0063248C">
              <w:rPr>
                <w:rFonts w:cs="宋体"/>
                <w:sz w:val="18"/>
                <w:szCs w:val="18"/>
              </w:rPr>
              <w:t>分行业</w:t>
            </w:r>
          </w:p>
        </w:tc>
      </w:tr>
      <w:tr w:rsidR="007B3DB2" w:rsidRPr="0063248C" w14:paraId="663573F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7E92C35" w14:textId="77777777" w:rsidR="007B3DB2" w:rsidRPr="0063248C" w:rsidRDefault="00000000">
            <w:pPr>
              <w:spacing w:line="240" w:lineRule="exact"/>
              <w:rPr>
                <w:rFonts w:cs="宋体"/>
                <w:sz w:val="18"/>
                <w:szCs w:val="18"/>
              </w:rPr>
            </w:pPr>
            <w:r w:rsidRPr="0063248C">
              <w:rPr>
                <w:rFonts w:cs="宋体"/>
                <w:sz w:val="18"/>
                <w:szCs w:val="18"/>
              </w:rPr>
              <w:t>屠宰行业</w:t>
            </w:r>
          </w:p>
        </w:tc>
        <w:tc>
          <w:tcPr>
            <w:tcW w:w="1606" w:type="dxa"/>
            <w:tcBorders>
              <w:top w:val="single" w:sz="2" w:space="0" w:color="auto"/>
              <w:left w:val="single" w:sz="2" w:space="0" w:color="auto"/>
              <w:bottom w:val="single" w:sz="2" w:space="0" w:color="auto"/>
              <w:right w:val="single" w:sz="2" w:space="0" w:color="auto"/>
            </w:tcBorders>
            <w:vAlign w:val="center"/>
          </w:tcPr>
          <w:p w14:paraId="7751E2AA" w14:textId="77777777" w:rsidR="007B3DB2" w:rsidRPr="0063248C" w:rsidRDefault="00000000">
            <w:pPr>
              <w:spacing w:line="240" w:lineRule="exact"/>
              <w:jc w:val="right"/>
              <w:rPr>
                <w:rFonts w:cs="宋体"/>
                <w:sz w:val="18"/>
                <w:szCs w:val="18"/>
              </w:rPr>
            </w:pPr>
            <w:r w:rsidRPr="0063248C">
              <w:rPr>
                <w:rFonts w:cs="宋体"/>
                <w:sz w:val="18"/>
                <w:szCs w:val="18"/>
              </w:rPr>
              <w:t>3,900,971,821.83</w:t>
            </w:r>
          </w:p>
        </w:tc>
        <w:tc>
          <w:tcPr>
            <w:tcW w:w="1606" w:type="dxa"/>
            <w:tcBorders>
              <w:top w:val="single" w:sz="2" w:space="0" w:color="auto"/>
              <w:left w:val="single" w:sz="2" w:space="0" w:color="auto"/>
              <w:bottom w:val="single" w:sz="2" w:space="0" w:color="auto"/>
              <w:right w:val="single" w:sz="2" w:space="0" w:color="auto"/>
            </w:tcBorders>
            <w:vAlign w:val="center"/>
          </w:tcPr>
          <w:p w14:paraId="1B7185CD" w14:textId="77777777" w:rsidR="007B3DB2" w:rsidRPr="0063248C" w:rsidRDefault="00000000">
            <w:pPr>
              <w:spacing w:line="240" w:lineRule="exact"/>
              <w:jc w:val="right"/>
              <w:rPr>
                <w:rFonts w:cs="宋体"/>
                <w:sz w:val="18"/>
                <w:szCs w:val="18"/>
              </w:rPr>
            </w:pPr>
            <w:r w:rsidRPr="0063248C">
              <w:rPr>
                <w:rFonts w:cs="宋体"/>
                <w:sz w:val="18"/>
                <w:szCs w:val="18"/>
              </w:rPr>
              <w:t>77.34%</w:t>
            </w:r>
          </w:p>
        </w:tc>
        <w:tc>
          <w:tcPr>
            <w:tcW w:w="1606" w:type="dxa"/>
            <w:tcBorders>
              <w:top w:val="single" w:sz="2" w:space="0" w:color="auto"/>
              <w:left w:val="single" w:sz="2" w:space="0" w:color="auto"/>
              <w:bottom w:val="single" w:sz="2" w:space="0" w:color="auto"/>
              <w:right w:val="single" w:sz="2" w:space="0" w:color="auto"/>
            </w:tcBorders>
            <w:vAlign w:val="center"/>
          </w:tcPr>
          <w:p w14:paraId="6D26CEA1" w14:textId="77777777" w:rsidR="007B3DB2" w:rsidRPr="0063248C" w:rsidRDefault="00000000">
            <w:pPr>
              <w:spacing w:line="240" w:lineRule="exact"/>
              <w:jc w:val="right"/>
              <w:rPr>
                <w:rFonts w:cs="宋体"/>
                <w:sz w:val="18"/>
                <w:szCs w:val="18"/>
              </w:rPr>
            </w:pPr>
            <w:r w:rsidRPr="0063248C">
              <w:rPr>
                <w:rFonts w:cs="宋体"/>
                <w:sz w:val="18"/>
                <w:szCs w:val="18"/>
              </w:rPr>
              <w:t>4,702,452,464.84</w:t>
            </w:r>
          </w:p>
        </w:tc>
        <w:tc>
          <w:tcPr>
            <w:tcW w:w="1606" w:type="dxa"/>
            <w:tcBorders>
              <w:top w:val="single" w:sz="2" w:space="0" w:color="auto"/>
              <w:left w:val="single" w:sz="2" w:space="0" w:color="auto"/>
              <w:bottom w:val="single" w:sz="2" w:space="0" w:color="auto"/>
              <w:right w:val="single" w:sz="2" w:space="0" w:color="auto"/>
            </w:tcBorders>
            <w:vAlign w:val="center"/>
          </w:tcPr>
          <w:p w14:paraId="04D1E96F" w14:textId="77777777" w:rsidR="007B3DB2" w:rsidRPr="0063248C" w:rsidRDefault="00000000">
            <w:pPr>
              <w:spacing w:line="240" w:lineRule="exact"/>
              <w:jc w:val="right"/>
              <w:rPr>
                <w:rFonts w:cs="宋体"/>
                <w:sz w:val="18"/>
                <w:szCs w:val="18"/>
              </w:rPr>
            </w:pPr>
            <w:r w:rsidRPr="0063248C">
              <w:rPr>
                <w:rFonts w:cs="宋体"/>
                <w:sz w:val="18"/>
                <w:szCs w:val="18"/>
              </w:rPr>
              <w:t>69.91%</w:t>
            </w:r>
          </w:p>
        </w:tc>
        <w:tc>
          <w:tcPr>
            <w:tcW w:w="1606" w:type="dxa"/>
            <w:tcBorders>
              <w:top w:val="single" w:sz="2" w:space="0" w:color="auto"/>
              <w:left w:val="single" w:sz="2" w:space="0" w:color="auto"/>
              <w:bottom w:val="single" w:sz="2" w:space="0" w:color="auto"/>
              <w:right w:val="single" w:sz="2" w:space="0" w:color="auto"/>
            </w:tcBorders>
            <w:vAlign w:val="center"/>
          </w:tcPr>
          <w:p w14:paraId="03F4ED04" w14:textId="77777777" w:rsidR="007B3DB2" w:rsidRPr="0063248C" w:rsidRDefault="00000000">
            <w:pPr>
              <w:spacing w:line="240" w:lineRule="exact"/>
              <w:jc w:val="right"/>
              <w:rPr>
                <w:rFonts w:cs="宋体"/>
                <w:sz w:val="18"/>
                <w:szCs w:val="18"/>
              </w:rPr>
            </w:pPr>
            <w:r w:rsidRPr="0063248C">
              <w:rPr>
                <w:rFonts w:cs="宋体"/>
                <w:sz w:val="18"/>
                <w:szCs w:val="18"/>
              </w:rPr>
              <w:t>-17.04%</w:t>
            </w:r>
          </w:p>
        </w:tc>
      </w:tr>
      <w:tr w:rsidR="007B3DB2" w:rsidRPr="0063248C" w14:paraId="20394C8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BADB4F3" w14:textId="77777777" w:rsidR="007B3DB2" w:rsidRPr="0063248C" w:rsidRDefault="00000000">
            <w:pPr>
              <w:spacing w:line="240" w:lineRule="exact"/>
              <w:rPr>
                <w:rFonts w:cs="宋体"/>
                <w:sz w:val="18"/>
                <w:szCs w:val="18"/>
              </w:rPr>
            </w:pPr>
            <w:r w:rsidRPr="0063248C">
              <w:rPr>
                <w:rFonts w:cs="宋体"/>
                <w:sz w:val="18"/>
                <w:szCs w:val="18"/>
              </w:rPr>
              <w:t>食品行业</w:t>
            </w:r>
          </w:p>
        </w:tc>
        <w:tc>
          <w:tcPr>
            <w:tcW w:w="1606" w:type="dxa"/>
            <w:tcBorders>
              <w:top w:val="single" w:sz="2" w:space="0" w:color="auto"/>
              <w:left w:val="single" w:sz="2" w:space="0" w:color="auto"/>
              <w:bottom w:val="single" w:sz="2" w:space="0" w:color="auto"/>
              <w:right w:val="single" w:sz="2" w:space="0" w:color="auto"/>
            </w:tcBorders>
            <w:vAlign w:val="center"/>
          </w:tcPr>
          <w:p w14:paraId="4203A44C" w14:textId="77777777" w:rsidR="007B3DB2" w:rsidRPr="0063248C" w:rsidRDefault="00000000">
            <w:pPr>
              <w:spacing w:line="240" w:lineRule="exact"/>
              <w:jc w:val="right"/>
              <w:rPr>
                <w:rFonts w:cs="宋体"/>
                <w:sz w:val="18"/>
                <w:szCs w:val="18"/>
              </w:rPr>
            </w:pPr>
            <w:r w:rsidRPr="0063248C">
              <w:rPr>
                <w:rFonts w:cs="宋体"/>
                <w:sz w:val="18"/>
                <w:szCs w:val="18"/>
              </w:rPr>
              <w:t>1,081,810,685.13</w:t>
            </w:r>
          </w:p>
        </w:tc>
        <w:tc>
          <w:tcPr>
            <w:tcW w:w="1606" w:type="dxa"/>
            <w:tcBorders>
              <w:top w:val="single" w:sz="2" w:space="0" w:color="auto"/>
              <w:left w:val="single" w:sz="2" w:space="0" w:color="auto"/>
              <w:bottom w:val="single" w:sz="2" w:space="0" w:color="auto"/>
              <w:right w:val="single" w:sz="2" w:space="0" w:color="auto"/>
            </w:tcBorders>
            <w:vAlign w:val="center"/>
          </w:tcPr>
          <w:p w14:paraId="20C2BF2B" w14:textId="77777777" w:rsidR="007B3DB2" w:rsidRPr="0063248C" w:rsidRDefault="00000000">
            <w:pPr>
              <w:spacing w:line="240" w:lineRule="exact"/>
              <w:jc w:val="right"/>
              <w:rPr>
                <w:rFonts w:cs="宋体"/>
                <w:sz w:val="18"/>
                <w:szCs w:val="18"/>
              </w:rPr>
            </w:pPr>
            <w:r w:rsidRPr="0063248C">
              <w:rPr>
                <w:rFonts w:cs="宋体"/>
                <w:sz w:val="18"/>
                <w:szCs w:val="18"/>
              </w:rPr>
              <w:t>21.45%</w:t>
            </w:r>
          </w:p>
        </w:tc>
        <w:tc>
          <w:tcPr>
            <w:tcW w:w="1606" w:type="dxa"/>
            <w:tcBorders>
              <w:top w:val="single" w:sz="2" w:space="0" w:color="auto"/>
              <w:left w:val="single" w:sz="2" w:space="0" w:color="auto"/>
              <w:bottom w:val="single" w:sz="2" w:space="0" w:color="auto"/>
              <w:right w:val="single" w:sz="2" w:space="0" w:color="auto"/>
            </w:tcBorders>
            <w:vAlign w:val="center"/>
          </w:tcPr>
          <w:p w14:paraId="6A2C9A01" w14:textId="77777777" w:rsidR="007B3DB2" w:rsidRPr="0063248C" w:rsidRDefault="00000000">
            <w:pPr>
              <w:spacing w:line="240" w:lineRule="exact"/>
              <w:jc w:val="right"/>
              <w:rPr>
                <w:rFonts w:cs="宋体"/>
                <w:sz w:val="18"/>
                <w:szCs w:val="18"/>
              </w:rPr>
            </w:pPr>
            <w:r w:rsidRPr="0063248C">
              <w:rPr>
                <w:rFonts w:cs="宋体"/>
                <w:sz w:val="18"/>
                <w:szCs w:val="18"/>
              </w:rPr>
              <w:t>1,077,615,503.95</w:t>
            </w:r>
          </w:p>
        </w:tc>
        <w:tc>
          <w:tcPr>
            <w:tcW w:w="1606" w:type="dxa"/>
            <w:tcBorders>
              <w:top w:val="single" w:sz="2" w:space="0" w:color="auto"/>
              <w:left w:val="single" w:sz="2" w:space="0" w:color="auto"/>
              <w:bottom w:val="single" w:sz="2" w:space="0" w:color="auto"/>
              <w:right w:val="single" w:sz="2" w:space="0" w:color="auto"/>
            </w:tcBorders>
            <w:vAlign w:val="center"/>
          </w:tcPr>
          <w:p w14:paraId="4C1CF9D8" w14:textId="77777777" w:rsidR="007B3DB2" w:rsidRPr="0063248C" w:rsidRDefault="00000000">
            <w:pPr>
              <w:spacing w:line="240" w:lineRule="exact"/>
              <w:jc w:val="right"/>
              <w:rPr>
                <w:rFonts w:cs="宋体"/>
                <w:sz w:val="18"/>
                <w:szCs w:val="18"/>
              </w:rPr>
            </w:pPr>
            <w:r w:rsidRPr="0063248C">
              <w:rPr>
                <w:rFonts w:cs="宋体"/>
                <w:sz w:val="18"/>
                <w:szCs w:val="18"/>
              </w:rPr>
              <w:t>16.02%</w:t>
            </w:r>
          </w:p>
        </w:tc>
        <w:tc>
          <w:tcPr>
            <w:tcW w:w="1606" w:type="dxa"/>
            <w:tcBorders>
              <w:top w:val="single" w:sz="2" w:space="0" w:color="auto"/>
              <w:left w:val="single" w:sz="2" w:space="0" w:color="auto"/>
              <w:bottom w:val="single" w:sz="2" w:space="0" w:color="auto"/>
              <w:right w:val="single" w:sz="2" w:space="0" w:color="auto"/>
            </w:tcBorders>
            <w:vAlign w:val="center"/>
          </w:tcPr>
          <w:p w14:paraId="0EA9B960" w14:textId="77777777" w:rsidR="007B3DB2" w:rsidRPr="0063248C" w:rsidRDefault="00000000">
            <w:pPr>
              <w:spacing w:line="240" w:lineRule="exact"/>
              <w:jc w:val="right"/>
              <w:rPr>
                <w:rFonts w:cs="宋体"/>
                <w:sz w:val="18"/>
                <w:szCs w:val="18"/>
              </w:rPr>
            </w:pPr>
            <w:r w:rsidRPr="0063248C">
              <w:rPr>
                <w:rFonts w:cs="宋体"/>
                <w:sz w:val="18"/>
                <w:szCs w:val="18"/>
              </w:rPr>
              <w:t>0.39%</w:t>
            </w:r>
          </w:p>
        </w:tc>
      </w:tr>
      <w:tr w:rsidR="007B3DB2" w:rsidRPr="0063248C" w14:paraId="74E4B04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13A8B4C" w14:textId="77777777" w:rsidR="007B3DB2" w:rsidRPr="0063248C" w:rsidRDefault="00000000">
            <w:pPr>
              <w:spacing w:line="240" w:lineRule="exact"/>
              <w:rPr>
                <w:rFonts w:cs="宋体"/>
                <w:sz w:val="18"/>
                <w:szCs w:val="18"/>
              </w:rPr>
            </w:pPr>
            <w:r w:rsidRPr="0063248C">
              <w:rPr>
                <w:rFonts w:cs="宋体"/>
                <w:sz w:val="18"/>
                <w:szCs w:val="18"/>
              </w:rPr>
              <w:t>进口贸易</w:t>
            </w:r>
          </w:p>
        </w:tc>
        <w:tc>
          <w:tcPr>
            <w:tcW w:w="1606" w:type="dxa"/>
            <w:tcBorders>
              <w:top w:val="single" w:sz="2" w:space="0" w:color="auto"/>
              <w:left w:val="single" w:sz="2" w:space="0" w:color="auto"/>
              <w:bottom w:val="single" w:sz="2" w:space="0" w:color="auto"/>
              <w:right w:val="single" w:sz="2" w:space="0" w:color="auto"/>
            </w:tcBorders>
            <w:vAlign w:val="center"/>
          </w:tcPr>
          <w:p w14:paraId="4DFEC6CA" w14:textId="77777777" w:rsidR="007B3DB2" w:rsidRPr="0063248C" w:rsidRDefault="00000000">
            <w:pPr>
              <w:spacing w:line="240" w:lineRule="exact"/>
              <w:jc w:val="right"/>
              <w:rPr>
                <w:rFonts w:cs="宋体"/>
                <w:sz w:val="18"/>
                <w:szCs w:val="18"/>
              </w:rPr>
            </w:pPr>
            <w:r w:rsidRPr="0063248C">
              <w:rPr>
                <w:rFonts w:cs="宋体"/>
                <w:sz w:val="18"/>
                <w:szCs w:val="18"/>
              </w:rPr>
              <w:t>17,694,799.22</w:t>
            </w:r>
          </w:p>
        </w:tc>
        <w:tc>
          <w:tcPr>
            <w:tcW w:w="1606" w:type="dxa"/>
            <w:tcBorders>
              <w:top w:val="single" w:sz="2" w:space="0" w:color="auto"/>
              <w:left w:val="single" w:sz="2" w:space="0" w:color="auto"/>
              <w:bottom w:val="single" w:sz="2" w:space="0" w:color="auto"/>
              <w:right w:val="single" w:sz="2" w:space="0" w:color="auto"/>
            </w:tcBorders>
            <w:vAlign w:val="center"/>
          </w:tcPr>
          <w:p w14:paraId="421D079A" w14:textId="77777777" w:rsidR="007B3DB2" w:rsidRPr="0063248C" w:rsidRDefault="00000000">
            <w:pPr>
              <w:spacing w:line="240" w:lineRule="exact"/>
              <w:jc w:val="right"/>
              <w:rPr>
                <w:rFonts w:cs="宋体"/>
                <w:sz w:val="18"/>
                <w:szCs w:val="18"/>
              </w:rPr>
            </w:pPr>
            <w:r w:rsidRPr="0063248C">
              <w:rPr>
                <w:rFonts w:cs="宋体"/>
                <w:sz w:val="18"/>
                <w:szCs w:val="18"/>
              </w:rPr>
              <w:t>0.35%</w:t>
            </w:r>
          </w:p>
        </w:tc>
        <w:tc>
          <w:tcPr>
            <w:tcW w:w="1606" w:type="dxa"/>
            <w:tcBorders>
              <w:top w:val="single" w:sz="2" w:space="0" w:color="auto"/>
              <w:left w:val="single" w:sz="2" w:space="0" w:color="auto"/>
              <w:bottom w:val="single" w:sz="2" w:space="0" w:color="auto"/>
              <w:right w:val="single" w:sz="2" w:space="0" w:color="auto"/>
            </w:tcBorders>
            <w:vAlign w:val="center"/>
          </w:tcPr>
          <w:p w14:paraId="6EB97F13" w14:textId="77777777" w:rsidR="007B3DB2" w:rsidRPr="0063248C" w:rsidRDefault="00000000">
            <w:pPr>
              <w:spacing w:line="240" w:lineRule="exact"/>
              <w:jc w:val="right"/>
              <w:rPr>
                <w:rFonts w:cs="宋体"/>
                <w:sz w:val="18"/>
                <w:szCs w:val="18"/>
              </w:rPr>
            </w:pPr>
            <w:r w:rsidRPr="0063248C">
              <w:rPr>
                <w:rFonts w:cs="宋体"/>
                <w:sz w:val="18"/>
                <w:szCs w:val="18"/>
              </w:rPr>
              <w:t>643,664,521.02</w:t>
            </w:r>
          </w:p>
        </w:tc>
        <w:tc>
          <w:tcPr>
            <w:tcW w:w="1606" w:type="dxa"/>
            <w:tcBorders>
              <w:top w:val="single" w:sz="2" w:space="0" w:color="auto"/>
              <w:left w:val="single" w:sz="2" w:space="0" w:color="auto"/>
              <w:bottom w:val="single" w:sz="2" w:space="0" w:color="auto"/>
              <w:right w:val="single" w:sz="2" w:space="0" w:color="auto"/>
            </w:tcBorders>
            <w:vAlign w:val="center"/>
          </w:tcPr>
          <w:p w14:paraId="5D4CFDD4" w14:textId="77777777" w:rsidR="007B3DB2" w:rsidRPr="0063248C" w:rsidRDefault="00000000">
            <w:pPr>
              <w:spacing w:line="240" w:lineRule="exact"/>
              <w:jc w:val="right"/>
              <w:rPr>
                <w:rFonts w:cs="宋体"/>
                <w:sz w:val="18"/>
                <w:szCs w:val="18"/>
              </w:rPr>
            </w:pPr>
            <w:r w:rsidRPr="0063248C">
              <w:rPr>
                <w:rFonts w:cs="宋体"/>
                <w:sz w:val="18"/>
                <w:szCs w:val="18"/>
              </w:rPr>
              <w:t>9.57%</w:t>
            </w:r>
          </w:p>
        </w:tc>
        <w:tc>
          <w:tcPr>
            <w:tcW w:w="1606" w:type="dxa"/>
            <w:tcBorders>
              <w:top w:val="single" w:sz="2" w:space="0" w:color="auto"/>
              <w:left w:val="single" w:sz="2" w:space="0" w:color="auto"/>
              <w:bottom w:val="single" w:sz="2" w:space="0" w:color="auto"/>
              <w:right w:val="single" w:sz="2" w:space="0" w:color="auto"/>
            </w:tcBorders>
            <w:vAlign w:val="center"/>
          </w:tcPr>
          <w:p w14:paraId="6DB286A7" w14:textId="77777777" w:rsidR="007B3DB2" w:rsidRPr="0063248C" w:rsidRDefault="00000000">
            <w:pPr>
              <w:spacing w:line="240" w:lineRule="exact"/>
              <w:jc w:val="right"/>
              <w:rPr>
                <w:rFonts w:cs="宋体"/>
                <w:sz w:val="18"/>
                <w:szCs w:val="18"/>
              </w:rPr>
            </w:pPr>
            <w:r w:rsidRPr="0063248C">
              <w:rPr>
                <w:rFonts w:cs="宋体"/>
                <w:sz w:val="18"/>
                <w:szCs w:val="18"/>
              </w:rPr>
              <w:t>-97.25%</w:t>
            </w:r>
          </w:p>
        </w:tc>
      </w:tr>
      <w:tr w:rsidR="007B3DB2" w:rsidRPr="0063248C" w14:paraId="0D70040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44C48BA" w14:textId="77777777" w:rsidR="007B3DB2" w:rsidRPr="0063248C" w:rsidRDefault="00000000">
            <w:pPr>
              <w:spacing w:line="240" w:lineRule="exact"/>
              <w:rPr>
                <w:rFonts w:cs="宋体"/>
                <w:sz w:val="18"/>
                <w:szCs w:val="18"/>
              </w:rPr>
            </w:pPr>
            <w:r w:rsidRPr="0063248C">
              <w:rPr>
                <w:rFonts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14:paraId="7D8EB772" w14:textId="77777777" w:rsidR="007B3DB2" w:rsidRPr="0063248C" w:rsidRDefault="00000000">
            <w:pPr>
              <w:spacing w:line="240" w:lineRule="exact"/>
              <w:jc w:val="right"/>
              <w:rPr>
                <w:rFonts w:cs="宋体"/>
                <w:sz w:val="18"/>
                <w:szCs w:val="18"/>
              </w:rPr>
            </w:pPr>
            <w:r w:rsidRPr="0063248C">
              <w:rPr>
                <w:rFonts w:cs="宋体"/>
                <w:sz w:val="18"/>
                <w:szCs w:val="18"/>
              </w:rPr>
              <w:t>43,654,715.12</w:t>
            </w:r>
          </w:p>
        </w:tc>
        <w:tc>
          <w:tcPr>
            <w:tcW w:w="1606" w:type="dxa"/>
            <w:tcBorders>
              <w:top w:val="single" w:sz="2" w:space="0" w:color="auto"/>
              <w:left w:val="single" w:sz="2" w:space="0" w:color="auto"/>
              <w:bottom w:val="single" w:sz="2" w:space="0" w:color="auto"/>
              <w:right w:val="single" w:sz="2" w:space="0" w:color="auto"/>
            </w:tcBorders>
            <w:vAlign w:val="center"/>
          </w:tcPr>
          <w:p w14:paraId="6720933D" w14:textId="77777777" w:rsidR="007B3DB2" w:rsidRPr="0063248C" w:rsidRDefault="00000000">
            <w:pPr>
              <w:spacing w:line="240" w:lineRule="exact"/>
              <w:jc w:val="right"/>
              <w:rPr>
                <w:rFonts w:cs="宋体"/>
                <w:sz w:val="18"/>
                <w:szCs w:val="18"/>
              </w:rPr>
            </w:pPr>
            <w:r w:rsidRPr="0063248C">
              <w:rPr>
                <w:rFonts w:cs="宋体"/>
                <w:sz w:val="18"/>
                <w:szCs w:val="18"/>
              </w:rPr>
              <w:t>0.87%</w:t>
            </w:r>
          </w:p>
        </w:tc>
        <w:tc>
          <w:tcPr>
            <w:tcW w:w="1606" w:type="dxa"/>
            <w:tcBorders>
              <w:top w:val="single" w:sz="2" w:space="0" w:color="auto"/>
              <w:left w:val="single" w:sz="2" w:space="0" w:color="auto"/>
              <w:bottom w:val="single" w:sz="2" w:space="0" w:color="auto"/>
              <w:right w:val="single" w:sz="2" w:space="0" w:color="auto"/>
            </w:tcBorders>
            <w:vAlign w:val="center"/>
          </w:tcPr>
          <w:p w14:paraId="67BD6AB1" w14:textId="77777777" w:rsidR="007B3DB2" w:rsidRPr="0063248C" w:rsidRDefault="00000000">
            <w:pPr>
              <w:spacing w:line="240" w:lineRule="exact"/>
              <w:jc w:val="right"/>
              <w:rPr>
                <w:rFonts w:cs="宋体"/>
                <w:sz w:val="18"/>
                <w:szCs w:val="18"/>
              </w:rPr>
            </w:pPr>
            <w:r w:rsidRPr="0063248C">
              <w:rPr>
                <w:rFonts w:cs="宋体"/>
                <w:sz w:val="18"/>
                <w:szCs w:val="18"/>
              </w:rPr>
              <w:t>302,689,603.68</w:t>
            </w:r>
          </w:p>
        </w:tc>
        <w:tc>
          <w:tcPr>
            <w:tcW w:w="1606" w:type="dxa"/>
            <w:tcBorders>
              <w:top w:val="single" w:sz="2" w:space="0" w:color="auto"/>
              <w:left w:val="single" w:sz="2" w:space="0" w:color="auto"/>
              <w:bottom w:val="single" w:sz="2" w:space="0" w:color="auto"/>
              <w:right w:val="single" w:sz="2" w:space="0" w:color="auto"/>
            </w:tcBorders>
            <w:vAlign w:val="center"/>
          </w:tcPr>
          <w:p w14:paraId="68B2F8D7" w14:textId="77777777" w:rsidR="007B3DB2" w:rsidRPr="0063248C" w:rsidRDefault="00000000">
            <w:pPr>
              <w:spacing w:line="240" w:lineRule="exact"/>
              <w:jc w:val="right"/>
              <w:rPr>
                <w:rFonts w:cs="宋体"/>
                <w:sz w:val="18"/>
                <w:szCs w:val="18"/>
              </w:rPr>
            </w:pPr>
            <w:r w:rsidRPr="0063248C">
              <w:rPr>
                <w:rFonts w:cs="宋体"/>
                <w:sz w:val="18"/>
                <w:szCs w:val="18"/>
              </w:rPr>
              <w:t>4.50%</w:t>
            </w:r>
          </w:p>
        </w:tc>
        <w:tc>
          <w:tcPr>
            <w:tcW w:w="1606" w:type="dxa"/>
            <w:tcBorders>
              <w:top w:val="single" w:sz="2" w:space="0" w:color="auto"/>
              <w:left w:val="single" w:sz="2" w:space="0" w:color="auto"/>
              <w:bottom w:val="single" w:sz="2" w:space="0" w:color="auto"/>
              <w:right w:val="single" w:sz="2" w:space="0" w:color="auto"/>
            </w:tcBorders>
            <w:vAlign w:val="center"/>
          </w:tcPr>
          <w:p w14:paraId="35014991" w14:textId="77777777" w:rsidR="007B3DB2" w:rsidRPr="0063248C" w:rsidRDefault="00000000">
            <w:pPr>
              <w:spacing w:line="240" w:lineRule="exact"/>
              <w:jc w:val="right"/>
              <w:rPr>
                <w:rFonts w:cs="宋体"/>
                <w:sz w:val="18"/>
                <w:szCs w:val="18"/>
              </w:rPr>
            </w:pPr>
            <w:r w:rsidRPr="0063248C">
              <w:rPr>
                <w:rFonts w:cs="宋体"/>
                <w:sz w:val="18"/>
                <w:szCs w:val="18"/>
              </w:rPr>
              <w:t>-85.58%</w:t>
            </w:r>
          </w:p>
        </w:tc>
      </w:tr>
      <w:tr w:rsidR="007B3DB2" w:rsidRPr="0063248C" w14:paraId="223A52E5"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1D56B3BE" w14:textId="77777777" w:rsidR="007B3DB2" w:rsidRPr="0063248C" w:rsidRDefault="00000000">
            <w:pPr>
              <w:spacing w:before="40" w:after="40" w:line="240" w:lineRule="exact"/>
              <w:rPr>
                <w:rFonts w:cs="宋体"/>
                <w:sz w:val="18"/>
                <w:szCs w:val="18"/>
              </w:rPr>
            </w:pPr>
            <w:r w:rsidRPr="0063248C">
              <w:rPr>
                <w:rFonts w:cs="宋体"/>
                <w:sz w:val="18"/>
                <w:szCs w:val="18"/>
              </w:rPr>
              <w:t>分产品</w:t>
            </w:r>
          </w:p>
        </w:tc>
      </w:tr>
      <w:tr w:rsidR="007B3DB2" w:rsidRPr="0063248C" w14:paraId="3942EDB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28AF0FC" w14:textId="77777777" w:rsidR="007B3DB2" w:rsidRPr="0063248C" w:rsidRDefault="00000000">
            <w:pPr>
              <w:spacing w:line="240" w:lineRule="exact"/>
              <w:rPr>
                <w:rFonts w:cs="宋体"/>
                <w:sz w:val="18"/>
                <w:szCs w:val="18"/>
              </w:rPr>
            </w:pPr>
            <w:r w:rsidRPr="0063248C">
              <w:rPr>
                <w:rFonts w:cs="宋体"/>
                <w:sz w:val="18"/>
                <w:szCs w:val="18"/>
              </w:rPr>
              <w:t>鲜冻肉</w:t>
            </w:r>
          </w:p>
        </w:tc>
        <w:tc>
          <w:tcPr>
            <w:tcW w:w="1606" w:type="dxa"/>
            <w:tcBorders>
              <w:top w:val="single" w:sz="2" w:space="0" w:color="auto"/>
              <w:left w:val="single" w:sz="2" w:space="0" w:color="auto"/>
              <w:bottom w:val="single" w:sz="2" w:space="0" w:color="auto"/>
              <w:right w:val="single" w:sz="2" w:space="0" w:color="auto"/>
            </w:tcBorders>
            <w:vAlign w:val="center"/>
          </w:tcPr>
          <w:p w14:paraId="174BCC91" w14:textId="77777777" w:rsidR="007B3DB2" w:rsidRPr="0063248C" w:rsidRDefault="00000000">
            <w:pPr>
              <w:spacing w:line="240" w:lineRule="exact"/>
              <w:jc w:val="right"/>
              <w:rPr>
                <w:rFonts w:cs="宋体"/>
                <w:sz w:val="18"/>
                <w:szCs w:val="18"/>
              </w:rPr>
            </w:pPr>
            <w:r w:rsidRPr="0063248C">
              <w:rPr>
                <w:rFonts w:cs="宋体"/>
                <w:sz w:val="18"/>
                <w:szCs w:val="18"/>
              </w:rPr>
              <w:t>3,900,971,821.83</w:t>
            </w:r>
          </w:p>
        </w:tc>
        <w:tc>
          <w:tcPr>
            <w:tcW w:w="1606" w:type="dxa"/>
            <w:tcBorders>
              <w:top w:val="single" w:sz="2" w:space="0" w:color="auto"/>
              <w:left w:val="single" w:sz="2" w:space="0" w:color="auto"/>
              <w:bottom w:val="single" w:sz="2" w:space="0" w:color="auto"/>
              <w:right w:val="single" w:sz="2" w:space="0" w:color="auto"/>
            </w:tcBorders>
            <w:vAlign w:val="center"/>
          </w:tcPr>
          <w:p w14:paraId="51F3820F" w14:textId="77777777" w:rsidR="007B3DB2" w:rsidRPr="0063248C" w:rsidRDefault="00000000">
            <w:pPr>
              <w:spacing w:line="240" w:lineRule="exact"/>
              <w:jc w:val="right"/>
              <w:rPr>
                <w:rFonts w:cs="宋体"/>
                <w:sz w:val="18"/>
                <w:szCs w:val="18"/>
              </w:rPr>
            </w:pPr>
            <w:r w:rsidRPr="0063248C">
              <w:rPr>
                <w:rFonts w:cs="宋体"/>
                <w:sz w:val="18"/>
                <w:szCs w:val="18"/>
              </w:rPr>
              <w:t>77.34%</w:t>
            </w:r>
          </w:p>
        </w:tc>
        <w:tc>
          <w:tcPr>
            <w:tcW w:w="1606" w:type="dxa"/>
            <w:tcBorders>
              <w:top w:val="single" w:sz="2" w:space="0" w:color="auto"/>
              <w:left w:val="single" w:sz="2" w:space="0" w:color="auto"/>
              <w:bottom w:val="single" w:sz="2" w:space="0" w:color="auto"/>
              <w:right w:val="single" w:sz="2" w:space="0" w:color="auto"/>
            </w:tcBorders>
            <w:vAlign w:val="center"/>
          </w:tcPr>
          <w:p w14:paraId="05D159D0" w14:textId="77777777" w:rsidR="007B3DB2" w:rsidRPr="0063248C" w:rsidRDefault="00000000">
            <w:pPr>
              <w:spacing w:line="240" w:lineRule="exact"/>
              <w:jc w:val="right"/>
              <w:rPr>
                <w:rFonts w:cs="宋体"/>
                <w:sz w:val="18"/>
                <w:szCs w:val="18"/>
              </w:rPr>
            </w:pPr>
            <w:r w:rsidRPr="0063248C">
              <w:rPr>
                <w:rFonts w:cs="宋体"/>
                <w:sz w:val="18"/>
                <w:szCs w:val="18"/>
              </w:rPr>
              <w:t>4,702,452,464.84</w:t>
            </w:r>
          </w:p>
        </w:tc>
        <w:tc>
          <w:tcPr>
            <w:tcW w:w="1606" w:type="dxa"/>
            <w:tcBorders>
              <w:top w:val="single" w:sz="2" w:space="0" w:color="auto"/>
              <w:left w:val="single" w:sz="2" w:space="0" w:color="auto"/>
              <w:bottom w:val="single" w:sz="2" w:space="0" w:color="auto"/>
              <w:right w:val="single" w:sz="2" w:space="0" w:color="auto"/>
            </w:tcBorders>
            <w:vAlign w:val="center"/>
          </w:tcPr>
          <w:p w14:paraId="4B6F244E" w14:textId="77777777" w:rsidR="007B3DB2" w:rsidRPr="0063248C" w:rsidRDefault="00000000">
            <w:pPr>
              <w:spacing w:line="240" w:lineRule="exact"/>
              <w:jc w:val="right"/>
              <w:rPr>
                <w:rFonts w:cs="宋体"/>
                <w:sz w:val="18"/>
                <w:szCs w:val="18"/>
              </w:rPr>
            </w:pPr>
            <w:r w:rsidRPr="0063248C">
              <w:rPr>
                <w:rFonts w:cs="宋体"/>
                <w:sz w:val="18"/>
                <w:szCs w:val="18"/>
              </w:rPr>
              <w:t>69.91%</w:t>
            </w:r>
          </w:p>
        </w:tc>
        <w:tc>
          <w:tcPr>
            <w:tcW w:w="1606" w:type="dxa"/>
            <w:tcBorders>
              <w:top w:val="single" w:sz="2" w:space="0" w:color="auto"/>
              <w:left w:val="single" w:sz="2" w:space="0" w:color="auto"/>
              <w:bottom w:val="single" w:sz="2" w:space="0" w:color="auto"/>
              <w:right w:val="single" w:sz="2" w:space="0" w:color="auto"/>
            </w:tcBorders>
            <w:vAlign w:val="center"/>
          </w:tcPr>
          <w:p w14:paraId="01D09078" w14:textId="77777777" w:rsidR="007B3DB2" w:rsidRPr="0063248C" w:rsidRDefault="00000000">
            <w:pPr>
              <w:spacing w:line="240" w:lineRule="exact"/>
              <w:jc w:val="right"/>
              <w:rPr>
                <w:rFonts w:cs="宋体"/>
                <w:sz w:val="18"/>
                <w:szCs w:val="18"/>
              </w:rPr>
            </w:pPr>
            <w:r w:rsidRPr="0063248C">
              <w:rPr>
                <w:rFonts w:cs="宋体"/>
                <w:sz w:val="18"/>
                <w:szCs w:val="18"/>
              </w:rPr>
              <w:t>-17.04%</w:t>
            </w:r>
          </w:p>
        </w:tc>
      </w:tr>
      <w:tr w:rsidR="007B3DB2" w:rsidRPr="0063248C" w14:paraId="73DF7E3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7A54537" w14:textId="77777777" w:rsidR="007B3DB2" w:rsidRPr="0063248C" w:rsidRDefault="00000000">
            <w:pPr>
              <w:spacing w:line="240" w:lineRule="exact"/>
              <w:rPr>
                <w:rFonts w:cs="宋体"/>
                <w:sz w:val="18"/>
                <w:szCs w:val="18"/>
              </w:rPr>
            </w:pPr>
            <w:r w:rsidRPr="0063248C">
              <w:rPr>
                <w:rFonts w:cs="宋体"/>
                <w:sz w:val="18"/>
                <w:szCs w:val="18"/>
              </w:rPr>
              <w:t>熟食制品</w:t>
            </w:r>
          </w:p>
        </w:tc>
        <w:tc>
          <w:tcPr>
            <w:tcW w:w="1606" w:type="dxa"/>
            <w:tcBorders>
              <w:top w:val="single" w:sz="2" w:space="0" w:color="auto"/>
              <w:left w:val="single" w:sz="2" w:space="0" w:color="auto"/>
              <w:bottom w:val="single" w:sz="2" w:space="0" w:color="auto"/>
              <w:right w:val="single" w:sz="2" w:space="0" w:color="auto"/>
            </w:tcBorders>
            <w:vAlign w:val="center"/>
          </w:tcPr>
          <w:p w14:paraId="7A5D3C5F" w14:textId="77777777" w:rsidR="007B3DB2" w:rsidRPr="0063248C" w:rsidRDefault="00000000">
            <w:pPr>
              <w:spacing w:line="240" w:lineRule="exact"/>
              <w:jc w:val="right"/>
              <w:rPr>
                <w:rFonts w:cs="宋体"/>
                <w:sz w:val="18"/>
                <w:szCs w:val="18"/>
              </w:rPr>
            </w:pPr>
            <w:r w:rsidRPr="0063248C">
              <w:rPr>
                <w:rFonts w:cs="宋体"/>
                <w:sz w:val="18"/>
                <w:szCs w:val="18"/>
              </w:rPr>
              <w:t>109,106,289.03</w:t>
            </w:r>
          </w:p>
        </w:tc>
        <w:tc>
          <w:tcPr>
            <w:tcW w:w="1606" w:type="dxa"/>
            <w:tcBorders>
              <w:top w:val="single" w:sz="2" w:space="0" w:color="auto"/>
              <w:left w:val="single" w:sz="2" w:space="0" w:color="auto"/>
              <w:bottom w:val="single" w:sz="2" w:space="0" w:color="auto"/>
              <w:right w:val="single" w:sz="2" w:space="0" w:color="auto"/>
            </w:tcBorders>
            <w:vAlign w:val="center"/>
          </w:tcPr>
          <w:p w14:paraId="65E21034" w14:textId="77777777" w:rsidR="007B3DB2" w:rsidRPr="0063248C" w:rsidRDefault="00000000">
            <w:pPr>
              <w:spacing w:line="240" w:lineRule="exact"/>
              <w:jc w:val="right"/>
              <w:rPr>
                <w:rFonts w:cs="宋体"/>
                <w:sz w:val="18"/>
                <w:szCs w:val="18"/>
              </w:rPr>
            </w:pPr>
            <w:r w:rsidRPr="0063248C">
              <w:rPr>
                <w:rFonts w:cs="宋体"/>
                <w:sz w:val="18"/>
                <w:szCs w:val="18"/>
              </w:rPr>
              <w:t>2.16%</w:t>
            </w:r>
          </w:p>
        </w:tc>
        <w:tc>
          <w:tcPr>
            <w:tcW w:w="1606" w:type="dxa"/>
            <w:tcBorders>
              <w:top w:val="single" w:sz="2" w:space="0" w:color="auto"/>
              <w:left w:val="single" w:sz="2" w:space="0" w:color="auto"/>
              <w:bottom w:val="single" w:sz="2" w:space="0" w:color="auto"/>
              <w:right w:val="single" w:sz="2" w:space="0" w:color="auto"/>
            </w:tcBorders>
            <w:vAlign w:val="center"/>
          </w:tcPr>
          <w:p w14:paraId="2C94994C" w14:textId="77777777" w:rsidR="007B3DB2" w:rsidRPr="0063248C" w:rsidRDefault="00000000">
            <w:pPr>
              <w:spacing w:line="240" w:lineRule="exact"/>
              <w:jc w:val="right"/>
              <w:rPr>
                <w:rFonts w:cs="宋体"/>
                <w:sz w:val="18"/>
                <w:szCs w:val="18"/>
              </w:rPr>
            </w:pPr>
            <w:r w:rsidRPr="0063248C">
              <w:rPr>
                <w:rFonts w:cs="宋体"/>
                <w:sz w:val="18"/>
                <w:szCs w:val="18"/>
              </w:rPr>
              <w:t>115,720,006.76</w:t>
            </w:r>
          </w:p>
        </w:tc>
        <w:tc>
          <w:tcPr>
            <w:tcW w:w="1606" w:type="dxa"/>
            <w:tcBorders>
              <w:top w:val="single" w:sz="2" w:space="0" w:color="auto"/>
              <w:left w:val="single" w:sz="2" w:space="0" w:color="auto"/>
              <w:bottom w:val="single" w:sz="2" w:space="0" w:color="auto"/>
              <w:right w:val="single" w:sz="2" w:space="0" w:color="auto"/>
            </w:tcBorders>
            <w:vAlign w:val="center"/>
          </w:tcPr>
          <w:p w14:paraId="5BC9BC7E" w14:textId="77777777" w:rsidR="007B3DB2" w:rsidRPr="0063248C" w:rsidRDefault="00000000">
            <w:pPr>
              <w:spacing w:line="240" w:lineRule="exact"/>
              <w:jc w:val="right"/>
              <w:rPr>
                <w:rFonts w:cs="宋体"/>
                <w:sz w:val="18"/>
                <w:szCs w:val="18"/>
              </w:rPr>
            </w:pPr>
            <w:r w:rsidRPr="0063248C">
              <w:rPr>
                <w:rFonts w:cs="宋体"/>
                <w:sz w:val="18"/>
                <w:szCs w:val="18"/>
              </w:rPr>
              <w:t>1.72%</w:t>
            </w:r>
          </w:p>
        </w:tc>
        <w:tc>
          <w:tcPr>
            <w:tcW w:w="1606" w:type="dxa"/>
            <w:tcBorders>
              <w:top w:val="single" w:sz="2" w:space="0" w:color="auto"/>
              <w:left w:val="single" w:sz="2" w:space="0" w:color="auto"/>
              <w:bottom w:val="single" w:sz="2" w:space="0" w:color="auto"/>
              <w:right w:val="single" w:sz="2" w:space="0" w:color="auto"/>
            </w:tcBorders>
            <w:vAlign w:val="center"/>
          </w:tcPr>
          <w:p w14:paraId="65511D57" w14:textId="77777777" w:rsidR="007B3DB2" w:rsidRPr="0063248C" w:rsidRDefault="00000000">
            <w:pPr>
              <w:spacing w:line="240" w:lineRule="exact"/>
              <w:jc w:val="right"/>
              <w:rPr>
                <w:rFonts w:cs="宋体"/>
                <w:sz w:val="18"/>
                <w:szCs w:val="18"/>
              </w:rPr>
            </w:pPr>
            <w:r w:rsidRPr="0063248C">
              <w:rPr>
                <w:rFonts w:cs="宋体"/>
                <w:sz w:val="18"/>
                <w:szCs w:val="18"/>
              </w:rPr>
              <w:t>-5.72%</w:t>
            </w:r>
          </w:p>
        </w:tc>
      </w:tr>
      <w:tr w:rsidR="007B3DB2" w:rsidRPr="0063248C" w14:paraId="0383A4B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FF9646F" w14:textId="77777777" w:rsidR="007B3DB2" w:rsidRPr="0063248C" w:rsidRDefault="00000000">
            <w:pPr>
              <w:spacing w:line="240" w:lineRule="exact"/>
              <w:rPr>
                <w:rFonts w:cs="宋体"/>
                <w:sz w:val="18"/>
                <w:szCs w:val="18"/>
              </w:rPr>
            </w:pPr>
            <w:r w:rsidRPr="0063248C">
              <w:rPr>
                <w:rFonts w:cs="宋体"/>
                <w:sz w:val="18"/>
                <w:szCs w:val="18"/>
              </w:rPr>
              <w:t>预制食品</w:t>
            </w:r>
          </w:p>
        </w:tc>
        <w:tc>
          <w:tcPr>
            <w:tcW w:w="1606" w:type="dxa"/>
            <w:tcBorders>
              <w:top w:val="single" w:sz="2" w:space="0" w:color="auto"/>
              <w:left w:val="single" w:sz="2" w:space="0" w:color="auto"/>
              <w:bottom w:val="single" w:sz="2" w:space="0" w:color="auto"/>
              <w:right w:val="single" w:sz="2" w:space="0" w:color="auto"/>
            </w:tcBorders>
            <w:vAlign w:val="center"/>
          </w:tcPr>
          <w:p w14:paraId="7D8EE48A" w14:textId="77777777" w:rsidR="007B3DB2" w:rsidRPr="0063248C" w:rsidRDefault="00000000">
            <w:pPr>
              <w:spacing w:line="240" w:lineRule="exact"/>
              <w:jc w:val="right"/>
              <w:rPr>
                <w:rFonts w:cs="宋体"/>
                <w:sz w:val="18"/>
                <w:szCs w:val="18"/>
              </w:rPr>
            </w:pPr>
            <w:r w:rsidRPr="0063248C">
              <w:rPr>
                <w:rFonts w:cs="宋体"/>
                <w:sz w:val="18"/>
                <w:szCs w:val="18"/>
              </w:rPr>
              <w:t>972,704,396.10</w:t>
            </w:r>
          </w:p>
        </w:tc>
        <w:tc>
          <w:tcPr>
            <w:tcW w:w="1606" w:type="dxa"/>
            <w:tcBorders>
              <w:top w:val="single" w:sz="2" w:space="0" w:color="auto"/>
              <w:left w:val="single" w:sz="2" w:space="0" w:color="auto"/>
              <w:bottom w:val="single" w:sz="2" w:space="0" w:color="auto"/>
              <w:right w:val="single" w:sz="2" w:space="0" w:color="auto"/>
            </w:tcBorders>
            <w:vAlign w:val="center"/>
          </w:tcPr>
          <w:p w14:paraId="6DE289C0" w14:textId="77777777" w:rsidR="007B3DB2" w:rsidRPr="0063248C" w:rsidRDefault="00000000">
            <w:pPr>
              <w:spacing w:line="240" w:lineRule="exact"/>
              <w:jc w:val="right"/>
              <w:rPr>
                <w:rFonts w:cs="宋体"/>
                <w:sz w:val="18"/>
                <w:szCs w:val="18"/>
              </w:rPr>
            </w:pPr>
            <w:r w:rsidRPr="0063248C">
              <w:rPr>
                <w:rFonts w:cs="宋体"/>
                <w:sz w:val="18"/>
                <w:szCs w:val="18"/>
              </w:rPr>
              <w:t>19.28%</w:t>
            </w:r>
          </w:p>
        </w:tc>
        <w:tc>
          <w:tcPr>
            <w:tcW w:w="1606" w:type="dxa"/>
            <w:tcBorders>
              <w:top w:val="single" w:sz="2" w:space="0" w:color="auto"/>
              <w:left w:val="single" w:sz="2" w:space="0" w:color="auto"/>
              <w:bottom w:val="single" w:sz="2" w:space="0" w:color="auto"/>
              <w:right w:val="single" w:sz="2" w:space="0" w:color="auto"/>
            </w:tcBorders>
            <w:vAlign w:val="center"/>
          </w:tcPr>
          <w:p w14:paraId="26CB8243" w14:textId="77777777" w:rsidR="007B3DB2" w:rsidRPr="0063248C" w:rsidRDefault="00000000">
            <w:pPr>
              <w:spacing w:line="240" w:lineRule="exact"/>
              <w:jc w:val="right"/>
              <w:rPr>
                <w:rFonts w:cs="宋体"/>
                <w:sz w:val="18"/>
                <w:szCs w:val="18"/>
              </w:rPr>
            </w:pPr>
            <w:r w:rsidRPr="0063248C">
              <w:rPr>
                <w:rFonts w:cs="宋体"/>
                <w:sz w:val="18"/>
                <w:szCs w:val="18"/>
              </w:rPr>
              <w:t>961,895,497.19</w:t>
            </w:r>
          </w:p>
        </w:tc>
        <w:tc>
          <w:tcPr>
            <w:tcW w:w="1606" w:type="dxa"/>
            <w:tcBorders>
              <w:top w:val="single" w:sz="2" w:space="0" w:color="auto"/>
              <w:left w:val="single" w:sz="2" w:space="0" w:color="auto"/>
              <w:bottom w:val="single" w:sz="2" w:space="0" w:color="auto"/>
              <w:right w:val="single" w:sz="2" w:space="0" w:color="auto"/>
            </w:tcBorders>
            <w:vAlign w:val="center"/>
          </w:tcPr>
          <w:p w14:paraId="68511363" w14:textId="77777777" w:rsidR="007B3DB2" w:rsidRPr="0063248C" w:rsidRDefault="00000000">
            <w:pPr>
              <w:spacing w:line="240" w:lineRule="exact"/>
              <w:jc w:val="right"/>
              <w:rPr>
                <w:rFonts w:cs="宋体"/>
                <w:sz w:val="18"/>
                <w:szCs w:val="18"/>
              </w:rPr>
            </w:pPr>
            <w:r w:rsidRPr="0063248C">
              <w:rPr>
                <w:rFonts w:cs="宋体"/>
                <w:sz w:val="18"/>
                <w:szCs w:val="18"/>
              </w:rPr>
              <w:t>14.30%</w:t>
            </w:r>
          </w:p>
        </w:tc>
        <w:tc>
          <w:tcPr>
            <w:tcW w:w="1606" w:type="dxa"/>
            <w:tcBorders>
              <w:top w:val="single" w:sz="2" w:space="0" w:color="auto"/>
              <w:left w:val="single" w:sz="2" w:space="0" w:color="auto"/>
              <w:bottom w:val="single" w:sz="2" w:space="0" w:color="auto"/>
              <w:right w:val="single" w:sz="2" w:space="0" w:color="auto"/>
            </w:tcBorders>
            <w:vAlign w:val="center"/>
          </w:tcPr>
          <w:p w14:paraId="0961AF02" w14:textId="77777777" w:rsidR="007B3DB2" w:rsidRPr="0063248C" w:rsidRDefault="00000000">
            <w:pPr>
              <w:spacing w:line="240" w:lineRule="exact"/>
              <w:jc w:val="right"/>
              <w:rPr>
                <w:rFonts w:cs="宋体"/>
                <w:sz w:val="18"/>
                <w:szCs w:val="18"/>
              </w:rPr>
            </w:pPr>
            <w:r w:rsidRPr="0063248C">
              <w:rPr>
                <w:rFonts w:cs="宋体"/>
                <w:sz w:val="18"/>
                <w:szCs w:val="18"/>
              </w:rPr>
              <w:t>1.12%</w:t>
            </w:r>
          </w:p>
        </w:tc>
      </w:tr>
      <w:tr w:rsidR="007B3DB2" w:rsidRPr="0063248C" w14:paraId="2BAA07D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C53A54C" w14:textId="77777777" w:rsidR="007B3DB2" w:rsidRPr="0063248C" w:rsidRDefault="00000000">
            <w:pPr>
              <w:spacing w:line="240" w:lineRule="exact"/>
              <w:rPr>
                <w:rFonts w:cs="宋体"/>
                <w:sz w:val="18"/>
                <w:szCs w:val="18"/>
              </w:rPr>
            </w:pPr>
            <w:r w:rsidRPr="0063248C">
              <w:rPr>
                <w:rFonts w:cs="宋体"/>
                <w:sz w:val="18"/>
                <w:szCs w:val="18"/>
              </w:rPr>
              <w:t>进口贸易</w:t>
            </w:r>
          </w:p>
        </w:tc>
        <w:tc>
          <w:tcPr>
            <w:tcW w:w="1606" w:type="dxa"/>
            <w:tcBorders>
              <w:top w:val="single" w:sz="2" w:space="0" w:color="auto"/>
              <w:left w:val="single" w:sz="2" w:space="0" w:color="auto"/>
              <w:bottom w:val="single" w:sz="2" w:space="0" w:color="auto"/>
              <w:right w:val="single" w:sz="2" w:space="0" w:color="auto"/>
            </w:tcBorders>
            <w:vAlign w:val="center"/>
          </w:tcPr>
          <w:p w14:paraId="5FF94F1E" w14:textId="77777777" w:rsidR="007B3DB2" w:rsidRPr="0063248C" w:rsidRDefault="00000000">
            <w:pPr>
              <w:spacing w:line="240" w:lineRule="exact"/>
              <w:jc w:val="right"/>
              <w:rPr>
                <w:rFonts w:cs="宋体"/>
                <w:sz w:val="18"/>
                <w:szCs w:val="18"/>
              </w:rPr>
            </w:pPr>
            <w:r w:rsidRPr="0063248C">
              <w:rPr>
                <w:rFonts w:cs="宋体"/>
                <w:sz w:val="18"/>
                <w:szCs w:val="18"/>
              </w:rPr>
              <w:t>17,694,799.22</w:t>
            </w:r>
          </w:p>
        </w:tc>
        <w:tc>
          <w:tcPr>
            <w:tcW w:w="1606" w:type="dxa"/>
            <w:tcBorders>
              <w:top w:val="single" w:sz="2" w:space="0" w:color="auto"/>
              <w:left w:val="single" w:sz="2" w:space="0" w:color="auto"/>
              <w:bottom w:val="single" w:sz="2" w:space="0" w:color="auto"/>
              <w:right w:val="single" w:sz="2" w:space="0" w:color="auto"/>
            </w:tcBorders>
            <w:vAlign w:val="center"/>
          </w:tcPr>
          <w:p w14:paraId="7A5D0B23" w14:textId="77777777" w:rsidR="007B3DB2" w:rsidRPr="0063248C" w:rsidRDefault="00000000">
            <w:pPr>
              <w:spacing w:line="240" w:lineRule="exact"/>
              <w:jc w:val="right"/>
              <w:rPr>
                <w:rFonts w:cs="宋体"/>
                <w:sz w:val="18"/>
                <w:szCs w:val="18"/>
              </w:rPr>
            </w:pPr>
            <w:r w:rsidRPr="0063248C">
              <w:rPr>
                <w:rFonts w:cs="宋体"/>
                <w:sz w:val="18"/>
                <w:szCs w:val="18"/>
              </w:rPr>
              <w:t>0.35%</w:t>
            </w:r>
          </w:p>
        </w:tc>
        <w:tc>
          <w:tcPr>
            <w:tcW w:w="1606" w:type="dxa"/>
            <w:tcBorders>
              <w:top w:val="single" w:sz="2" w:space="0" w:color="auto"/>
              <w:left w:val="single" w:sz="2" w:space="0" w:color="auto"/>
              <w:bottom w:val="single" w:sz="2" w:space="0" w:color="auto"/>
              <w:right w:val="single" w:sz="2" w:space="0" w:color="auto"/>
            </w:tcBorders>
            <w:vAlign w:val="center"/>
          </w:tcPr>
          <w:p w14:paraId="5E81245D" w14:textId="77777777" w:rsidR="007B3DB2" w:rsidRPr="0063248C" w:rsidRDefault="00000000">
            <w:pPr>
              <w:spacing w:line="240" w:lineRule="exact"/>
              <w:jc w:val="right"/>
              <w:rPr>
                <w:rFonts w:cs="宋体"/>
                <w:sz w:val="18"/>
                <w:szCs w:val="18"/>
              </w:rPr>
            </w:pPr>
            <w:r w:rsidRPr="0063248C">
              <w:rPr>
                <w:rFonts w:cs="宋体"/>
                <w:sz w:val="18"/>
                <w:szCs w:val="18"/>
              </w:rPr>
              <w:t>643,664,521.02</w:t>
            </w:r>
          </w:p>
        </w:tc>
        <w:tc>
          <w:tcPr>
            <w:tcW w:w="1606" w:type="dxa"/>
            <w:tcBorders>
              <w:top w:val="single" w:sz="2" w:space="0" w:color="auto"/>
              <w:left w:val="single" w:sz="2" w:space="0" w:color="auto"/>
              <w:bottom w:val="single" w:sz="2" w:space="0" w:color="auto"/>
              <w:right w:val="single" w:sz="2" w:space="0" w:color="auto"/>
            </w:tcBorders>
            <w:vAlign w:val="center"/>
          </w:tcPr>
          <w:p w14:paraId="1B5CFE4C" w14:textId="77777777" w:rsidR="007B3DB2" w:rsidRPr="0063248C" w:rsidRDefault="00000000">
            <w:pPr>
              <w:spacing w:line="240" w:lineRule="exact"/>
              <w:jc w:val="right"/>
              <w:rPr>
                <w:rFonts w:cs="宋体"/>
                <w:sz w:val="18"/>
                <w:szCs w:val="18"/>
              </w:rPr>
            </w:pPr>
            <w:r w:rsidRPr="0063248C">
              <w:rPr>
                <w:rFonts w:cs="宋体"/>
                <w:sz w:val="18"/>
                <w:szCs w:val="18"/>
              </w:rPr>
              <w:t>9.57%</w:t>
            </w:r>
          </w:p>
        </w:tc>
        <w:tc>
          <w:tcPr>
            <w:tcW w:w="1606" w:type="dxa"/>
            <w:tcBorders>
              <w:top w:val="single" w:sz="2" w:space="0" w:color="auto"/>
              <w:left w:val="single" w:sz="2" w:space="0" w:color="auto"/>
              <w:bottom w:val="single" w:sz="2" w:space="0" w:color="auto"/>
              <w:right w:val="single" w:sz="2" w:space="0" w:color="auto"/>
            </w:tcBorders>
            <w:vAlign w:val="center"/>
          </w:tcPr>
          <w:p w14:paraId="59945C69" w14:textId="77777777" w:rsidR="007B3DB2" w:rsidRPr="0063248C" w:rsidRDefault="00000000">
            <w:pPr>
              <w:spacing w:line="240" w:lineRule="exact"/>
              <w:jc w:val="right"/>
              <w:rPr>
                <w:rFonts w:cs="宋体"/>
                <w:sz w:val="18"/>
                <w:szCs w:val="18"/>
              </w:rPr>
            </w:pPr>
            <w:r w:rsidRPr="0063248C">
              <w:rPr>
                <w:rFonts w:cs="宋体"/>
                <w:sz w:val="18"/>
                <w:szCs w:val="18"/>
              </w:rPr>
              <w:t>-97.25%</w:t>
            </w:r>
          </w:p>
        </w:tc>
      </w:tr>
      <w:tr w:rsidR="007B3DB2" w:rsidRPr="0063248C" w14:paraId="0C8C34F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4FB2822" w14:textId="77777777" w:rsidR="007B3DB2" w:rsidRPr="0063248C" w:rsidRDefault="00000000">
            <w:pPr>
              <w:spacing w:line="240" w:lineRule="exact"/>
              <w:rPr>
                <w:rFonts w:cs="宋体"/>
                <w:sz w:val="18"/>
                <w:szCs w:val="18"/>
              </w:rPr>
            </w:pPr>
            <w:r w:rsidRPr="0063248C">
              <w:rPr>
                <w:rFonts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14:paraId="223F6B35" w14:textId="77777777" w:rsidR="007B3DB2" w:rsidRPr="0063248C" w:rsidRDefault="00000000">
            <w:pPr>
              <w:spacing w:line="240" w:lineRule="exact"/>
              <w:jc w:val="right"/>
              <w:rPr>
                <w:rFonts w:cs="宋体"/>
                <w:sz w:val="18"/>
                <w:szCs w:val="18"/>
              </w:rPr>
            </w:pPr>
            <w:r w:rsidRPr="0063248C">
              <w:rPr>
                <w:rFonts w:cs="宋体"/>
                <w:sz w:val="18"/>
                <w:szCs w:val="18"/>
              </w:rPr>
              <w:t>43,654,715.12</w:t>
            </w:r>
          </w:p>
        </w:tc>
        <w:tc>
          <w:tcPr>
            <w:tcW w:w="1606" w:type="dxa"/>
            <w:tcBorders>
              <w:top w:val="single" w:sz="2" w:space="0" w:color="auto"/>
              <w:left w:val="single" w:sz="2" w:space="0" w:color="auto"/>
              <w:bottom w:val="single" w:sz="2" w:space="0" w:color="auto"/>
              <w:right w:val="single" w:sz="2" w:space="0" w:color="auto"/>
            </w:tcBorders>
            <w:vAlign w:val="center"/>
          </w:tcPr>
          <w:p w14:paraId="76009556" w14:textId="77777777" w:rsidR="007B3DB2" w:rsidRPr="0063248C" w:rsidRDefault="00000000">
            <w:pPr>
              <w:spacing w:line="240" w:lineRule="exact"/>
              <w:jc w:val="right"/>
              <w:rPr>
                <w:rFonts w:cs="宋体"/>
                <w:sz w:val="18"/>
                <w:szCs w:val="18"/>
              </w:rPr>
            </w:pPr>
            <w:r w:rsidRPr="0063248C">
              <w:rPr>
                <w:rFonts w:cs="宋体"/>
                <w:sz w:val="18"/>
                <w:szCs w:val="18"/>
              </w:rPr>
              <w:t>0.87%</w:t>
            </w:r>
          </w:p>
        </w:tc>
        <w:tc>
          <w:tcPr>
            <w:tcW w:w="1606" w:type="dxa"/>
            <w:tcBorders>
              <w:top w:val="single" w:sz="2" w:space="0" w:color="auto"/>
              <w:left w:val="single" w:sz="2" w:space="0" w:color="auto"/>
              <w:bottom w:val="single" w:sz="2" w:space="0" w:color="auto"/>
              <w:right w:val="single" w:sz="2" w:space="0" w:color="auto"/>
            </w:tcBorders>
            <w:vAlign w:val="center"/>
          </w:tcPr>
          <w:p w14:paraId="0F6DF038" w14:textId="77777777" w:rsidR="007B3DB2" w:rsidRPr="0063248C" w:rsidRDefault="00000000">
            <w:pPr>
              <w:spacing w:line="240" w:lineRule="exact"/>
              <w:jc w:val="right"/>
              <w:rPr>
                <w:rFonts w:cs="宋体"/>
                <w:sz w:val="18"/>
                <w:szCs w:val="18"/>
              </w:rPr>
            </w:pPr>
            <w:r w:rsidRPr="0063248C">
              <w:rPr>
                <w:rFonts w:cs="宋体"/>
                <w:sz w:val="18"/>
                <w:szCs w:val="18"/>
              </w:rPr>
              <w:t>302,689,603.68</w:t>
            </w:r>
          </w:p>
        </w:tc>
        <w:tc>
          <w:tcPr>
            <w:tcW w:w="1606" w:type="dxa"/>
            <w:tcBorders>
              <w:top w:val="single" w:sz="2" w:space="0" w:color="auto"/>
              <w:left w:val="single" w:sz="2" w:space="0" w:color="auto"/>
              <w:bottom w:val="single" w:sz="2" w:space="0" w:color="auto"/>
              <w:right w:val="single" w:sz="2" w:space="0" w:color="auto"/>
            </w:tcBorders>
            <w:vAlign w:val="center"/>
          </w:tcPr>
          <w:p w14:paraId="07A53E15" w14:textId="77777777" w:rsidR="007B3DB2" w:rsidRPr="0063248C" w:rsidRDefault="00000000">
            <w:pPr>
              <w:spacing w:line="240" w:lineRule="exact"/>
              <w:jc w:val="right"/>
              <w:rPr>
                <w:rFonts w:cs="宋体"/>
                <w:sz w:val="18"/>
                <w:szCs w:val="18"/>
              </w:rPr>
            </w:pPr>
            <w:r w:rsidRPr="0063248C">
              <w:rPr>
                <w:rFonts w:cs="宋体"/>
                <w:sz w:val="18"/>
                <w:szCs w:val="18"/>
              </w:rPr>
              <w:t>4.50%</w:t>
            </w:r>
          </w:p>
        </w:tc>
        <w:tc>
          <w:tcPr>
            <w:tcW w:w="1606" w:type="dxa"/>
            <w:tcBorders>
              <w:top w:val="single" w:sz="2" w:space="0" w:color="auto"/>
              <w:left w:val="single" w:sz="2" w:space="0" w:color="auto"/>
              <w:bottom w:val="single" w:sz="2" w:space="0" w:color="auto"/>
              <w:right w:val="single" w:sz="2" w:space="0" w:color="auto"/>
            </w:tcBorders>
            <w:vAlign w:val="center"/>
          </w:tcPr>
          <w:p w14:paraId="694B65C5" w14:textId="77777777" w:rsidR="007B3DB2" w:rsidRPr="0063248C" w:rsidRDefault="00000000">
            <w:pPr>
              <w:spacing w:line="240" w:lineRule="exact"/>
              <w:jc w:val="right"/>
              <w:rPr>
                <w:rFonts w:cs="宋体"/>
                <w:sz w:val="18"/>
                <w:szCs w:val="18"/>
              </w:rPr>
            </w:pPr>
            <w:r w:rsidRPr="0063248C">
              <w:rPr>
                <w:rFonts w:cs="宋体"/>
                <w:sz w:val="18"/>
                <w:szCs w:val="18"/>
              </w:rPr>
              <w:t>-85.58%</w:t>
            </w:r>
          </w:p>
        </w:tc>
      </w:tr>
      <w:tr w:rsidR="007B3DB2" w:rsidRPr="0063248C" w14:paraId="13BC112D"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79D8F857" w14:textId="77777777" w:rsidR="007B3DB2" w:rsidRPr="0063248C" w:rsidRDefault="00000000">
            <w:pPr>
              <w:spacing w:before="40" w:after="40" w:line="240" w:lineRule="exact"/>
              <w:rPr>
                <w:rFonts w:cs="宋体"/>
                <w:sz w:val="18"/>
                <w:szCs w:val="18"/>
              </w:rPr>
            </w:pPr>
            <w:r w:rsidRPr="0063248C">
              <w:rPr>
                <w:rFonts w:cs="宋体"/>
                <w:sz w:val="18"/>
                <w:szCs w:val="18"/>
              </w:rPr>
              <w:t>分地区</w:t>
            </w:r>
          </w:p>
        </w:tc>
      </w:tr>
      <w:tr w:rsidR="007B3DB2" w:rsidRPr="0063248C" w14:paraId="78CA9F9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0EBB0A8" w14:textId="77777777" w:rsidR="007B3DB2" w:rsidRPr="0063248C" w:rsidRDefault="00000000">
            <w:pPr>
              <w:spacing w:line="240" w:lineRule="exact"/>
              <w:rPr>
                <w:rFonts w:cs="宋体"/>
                <w:sz w:val="18"/>
                <w:szCs w:val="18"/>
              </w:rPr>
            </w:pPr>
            <w:r w:rsidRPr="0063248C">
              <w:rPr>
                <w:rFonts w:cs="宋体"/>
                <w:sz w:val="18"/>
                <w:szCs w:val="18"/>
              </w:rPr>
              <w:t>山东省内</w:t>
            </w:r>
          </w:p>
        </w:tc>
        <w:tc>
          <w:tcPr>
            <w:tcW w:w="1606" w:type="dxa"/>
            <w:tcBorders>
              <w:top w:val="single" w:sz="2" w:space="0" w:color="auto"/>
              <w:left w:val="single" w:sz="2" w:space="0" w:color="auto"/>
              <w:bottom w:val="single" w:sz="2" w:space="0" w:color="auto"/>
              <w:right w:val="single" w:sz="2" w:space="0" w:color="auto"/>
            </w:tcBorders>
            <w:vAlign w:val="center"/>
          </w:tcPr>
          <w:p w14:paraId="5CE4F78B" w14:textId="77777777" w:rsidR="007B3DB2" w:rsidRPr="0063248C" w:rsidRDefault="00000000">
            <w:pPr>
              <w:spacing w:line="240" w:lineRule="exact"/>
              <w:jc w:val="right"/>
              <w:rPr>
                <w:rFonts w:cs="宋体"/>
                <w:sz w:val="18"/>
                <w:szCs w:val="18"/>
              </w:rPr>
            </w:pPr>
            <w:r w:rsidRPr="0063248C">
              <w:rPr>
                <w:rFonts w:cs="宋体"/>
                <w:sz w:val="18"/>
                <w:szCs w:val="18"/>
              </w:rPr>
              <w:t>1,923,714,400.53</w:t>
            </w:r>
          </w:p>
        </w:tc>
        <w:tc>
          <w:tcPr>
            <w:tcW w:w="1606" w:type="dxa"/>
            <w:tcBorders>
              <w:top w:val="single" w:sz="2" w:space="0" w:color="auto"/>
              <w:left w:val="single" w:sz="2" w:space="0" w:color="auto"/>
              <w:bottom w:val="single" w:sz="2" w:space="0" w:color="auto"/>
              <w:right w:val="single" w:sz="2" w:space="0" w:color="auto"/>
            </w:tcBorders>
            <w:vAlign w:val="center"/>
          </w:tcPr>
          <w:p w14:paraId="56F97985" w14:textId="77777777" w:rsidR="007B3DB2" w:rsidRPr="0063248C" w:rsidRDefault="00000000">
            <w:pPr>
              <w:spacing w:line="240" w:lineRule="exact"/>
              <w:jc w:val="right"/>
              <w:rPr>
                <w:rFonts w:cs="宋体"/>
                <w:sz w:val="18"/>
                <w:szCs w:val="18"/>
              </w:rPr>
            </w:pPr>
            <w:r w:rsidRPr="0063248C">
              <w:rPr>
                <w:rFonts w:cs="宋体"/>
                <w:sz w:val="18"/>
                <w:szCs w:val="18"/>
              </w:rPr>
              <w:t>38.14%</w:t>
            </w:r>
          </w:p>
        </w:tc>
        <w:tc>
          <w:tcPr>
            <w:tcW w:w="1606" w:type="dxa"/>
            <w:tcBorders>
              <w:top w:val="single" w:sz="2" w:space="0" w:color="auto"/>
              <w:left w:val="single" w:sz="2" w:space="0" w:color="auto"/>
              <w:bottom w:val="single" w:sz="2" w:space="0" w:color="auto"/>
              <w:right w:val="single" w:sz="2" w:space="0" w:color="auto"/>
            </w:tcBorders>
            <w:vAlign w:val="center"/>
          </w:tcPr>
          <w:p w14:paraId="3BB7BDFB" w14:textId="77777777" w:rsidR="007B3DB2" w:rsidRPr="0063248C" w:rsidRDefault="00000000">
            <w:pPr>
              <w:spacing w:line="240" w:lineRule="exact"/>
              <w:jc w:val="right"/>
              <w:rPr>
                <w:rFonts w:cs="宋体"/>
                <w:sz w:val="18"/>
                <w:szCs w:val="18"/>
              </w:rPr>
            </w:pPr>
            <w:r w:rsidRPr="0063248C">
              <w:rPr>
                <w:rFonts w:cs="宋体"/>
                <w:sz w:val="18"/>
                <w:szCs w:val="18"/>
              </w:rPr>
              <w:t>2,622,092,610.46</w:t>
            </w:r>
          </w:p>
        </w:tc>
        <w:tc>
          <w:tcPr>
            <w:tcW w:w="1606" w:type="dxa"/>
            <w:tcBorders>
              <w:top w:val="single" w:sz="2" w:space="0" w:color="auto"/>
              <w:left w:val="single" w:sz="2" w:space="0" w:color="auto"/>
              <w:bottom w:val="single" w:sz="2" w:space="0" w:color="auto"/>
              <w:right w:val="single" w:sz="2" w:space="0" w:color="auto"/>
            </w:tcBorders>
            <w:vAlign w:val="center"/>
          </w:tcPr>
          <w:p w14:paraId="130017C9" w14:textId="77777777" w:rsidR="007B3DB2" w:rsidRPr="0063248C" w:rsidRDefault="00000000">
            <w:pPr>
              <w:spacing w:line="240" w:lineRule="exact"/>
              <w:jc w:val="right"/>
              <w:rPr>
                <w:rFonts w:cs="宋体"/>
                <w:sz w:val="18"/>
                <w:szCs w:val="18"/>
              </w:rPr>
            </w:pPr>
            <w:r w:rsidRPr="0063248C">
              <w:rPr>
                <w:rFonts w:cs="宋体"/>
                <w:sz w:val="18"/>
                <w:szCs w:val="18"/>
              </w:rPr>
              <w:t>38.98%</w:t>
            </w:r>
          </w:p>
        </w:tc>
        <w:tc>
          <w:tcPr>
            <w:tcW w:w="1606" w:type="dxa"/>
            <w:tcBorders>
              <w:top w:val="single" w:sz="2" w:space="0" w:color="auto"/>
              <w:left w:val="single" w:sz="2" w:space="0" w:color="auto"/>
              <w:bottom w:val="single" w:sz="2" w:space="0" w:color="auto"/>
              <w:right w:val="single" w:sz="2" w:space="0" w:color="auto"/>
            </w:tcBorders>
            <w:vAlign w:val="center"/>
          </w:tcPr>
          <w:p w14:paraId="059D2615" w14:textId="77777777" w:rsidR="007B3DB2" w:rsidRPr="0063248C" w:rsidRDefault="00000000">
            <w:pPr>
              <w:spacing w:line="240" w:lineRule="exact"/>
              <w:jc w:val="right"/>
              <w:rPr>
                <w:rFonts w:cs="宋体"/>
                <w:sz w:val="18"/>
                <w:szCs w:val="18"/>
              </w:rPr>
            </w:pPr>
            <w:r w:rsidRPr="0063248C">
              <w:rPr>
                <w:rFonts w:cs="宋体"/>
                <w:sz w:val="18"/>
                <w:szCs w:val="18"/>
              </w:rPr>
              <w:t>-26.63%</w:t>
            </w:r>
          </w:p>
        </w:tc>
      </w:tr>
      <w:tr w:rsidR="007B3DB2" w:rsidRPr="0063248C" w14:paraId="71E6D18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05A156B" w14:textId="77777777" w:rsidR="007B3DB2" w:rsidRPr="0063248C" w:rsidRDefault="00000000">
            <w:pPr>
              <w:spacing w:line="240" w:lineRule="exact"/>
              <w:rPr>
                <w:rFonts w:cs="宋体"/>
                <w:sz w:val="18"/>
                <w:szCs w:val="18"/>
              </w:rPr>
            </w:pPr>
            <w:r w:rsidRPr="0063248C">
              <w:rPr>
                <w:rFonts w:cs="宋体"/>
                <w:sz w:val="18"/>
                <w:szCs w:val="18"/>
              </w:rPr>
              <w:t>华东其他地区</w:t>
            </w:r>
          </w:p>
        </w:tc>
        <w:tc>
          <w:tcPr>
            <w:tcW w:w="1606" w:type="dxa"/>
            <w:tcBorders>
              <w:top w:val="single" w:sz="2" w:space="0" w:color="auto"/>
              <w:left w:val="single" w:sz="2" w:space="0" w:color="auto"/>
              <w:bottom w:val="single" w:sz="2" w:space="0" w:color="auto"/>
              <w:right w:val="single" w:sz="2" w:space="0" w:color="auto"/>
            </w:tcBorders>
            <w:vAlign w:val="center"/>
          </w:tcPr>
          <w:p w14:paraId="6AF45327" w14:textId="77777777" w:rsidR="007B3DB2" w:rsidRPr="0063248C" w:rsidRDefault="00000000">
            <w:pPr>
              <w:spacing w:line="240" w:lineRule="exact"/>
              <w:jc w:val="right"/>
              <w:rPr>
                <w:rFonts w:cs="宋体"/>
                <w:sz w:val="18"/>
                <w:szCs w:val="18"/>
              </w:rPr>
            </w:pPr>
            <w:r w:rsidRPr="0063248C">
              <w:rPr>
                <w:rFonts w:cs="宋体"/>
                <w:sz w:val="18"/>
                <w:szCs w:val="18"/>
              </w:rPr>
              <w:t>1,335,385,848.75</w:t>
            </w:r>
          </w:p>
        </w:tc>
        <w:tc>
          <w:tcPr>
            <w:tcW w:w="1606" w:type="dxa"/>
            <w:tcBorders>
              <w:top w:val="single" w:sz="2" w:space="0" w:color="auto"/>
              <w:left w:val="single" w:sz="2" w:space="0" w:color="auto"/>
              <w:bottom w:val="single" w:sz="2" w:space="0" w:color="auto"/>
              <w:right w:val="single" w:sz="2" w:space="0" w:color="auto"/>
            </w:tcBorders>
            <w:vAlign w:val="center"/>
          </w:tcPr>
          <w:p w14:paraId="3A270298" w14:textId="77777777" w:rsidR="007B3DB2" w:rsidRPr="0063248C" w:rsidRDefault="00000000">
            <w:pPr>
              <w:spacing w:line="240" w:lineRule="exact"/>
              <w:jc w:val="right"/>
              <w:rPr>
                <w:rFonts w:cs="宋体"/>
                <w:sz w:val="18"/>
                <w:szCs w:val="18"/>
              </w:rPr>
            </w:pPr>
            <w:r w:rsidRPr="0063248C">
              <w:rPr>
                <w:rFonts w:cs="宋体"/>
                <w:sz w:val="18"/>
                <w:szCs w:val="18"/>
              </w:rPr>
              <w:t>26.47%</w:t>
            </w:r>
          </w:p>
        </w:tc>
        <w:tc>
          <w:tcPr>
            <w:tcW w:w="1606" w:type="dxa"/>
            <w:tcBorders>
              <w:top w:val="single" w:sz="2" w:space="0" w:color="auto"/>
              <w:left w:val="single" w:sz="2" w:space="0" w:color="auto"/>
              <w:bottom w:val="single" w:sz="2" w:space="0" w:color="auto"/>
              <w:right w:val="single" w:sz="2" w:space="0" w:color="auto"/>
            </w:tcBorders>
            <w:vAlign w:val="center"/>
          </w:tcPr>
          <w:p w14:paraId="059B4BC7" w14:textId="77777777" w:rsidR="007B3DB2" w:rsidRPr="0063248C" w:rsidRDefault="00000000">
            <w:pPr>
              <w:spacing w:line="240" w:lineRule="exact"/>
              <w:jc w:val="right"/>
              <w:rPr>
                <w:rFonts w:cs="宋体"/>
                <w:sz w:val="18"/>
                <w:szCs w:val="18"/>
              </w:rPr>
            </w:pPr>
            <w:r w:rsidRPr="0063248C">
              <w:rPr>
                <w:rFonts w:cs="宋体"/>
                <w:sz w:val="18"/>
                <w:szCs w:val="18"/>
              </w:rPr>
              <w:t>1,955,995,790.38</w:t>
            </w:r>
          </w:p>
        </w:tc>
        <w:tc>
          <w:tcPr>
            <w:tcW w:w="1606" w:type="dxa"/>
            <w:tcBorders>
              <w:top w:val="single" w:sz="2" w:space="0" w:color="auto"/>
              <w:left w:val="single" w:sz="2" w:space="0" w:color="auto"/>
              <w:bottom w:val="single" w:sz="2" w:space="0" w:color="auto"/>
              <w:right w:val="single" w:sz="2" w:space="0" w:color="auto"/>
            </w:tcBorders>
            <w:vAlign w:val="center"/>
          </w:tcPr>
          <w:p w14:paraId="31B6BA81" w14:textId="77777777" w:rsidR="007B3DB2" w:rsidRPr="0063248C" w:rsidRDefault="00000000">
            <w:pPr>
              <w:spacing w:line="240" w:lineRule="exact"/>
              <w:jc w:val="right"/>
              <w:rPr>
                <w:rFonts w:cs="宋体"/>
                <w:sz w:val="18"/>
                <w:szCs w:val="18"/>
              </w:rPr>
            </w:pPr>
            <w:r w:rsidRPr="0063248C">
              <w:rPr>
                <w:rFonts w:cs="宋体"/>
                <w:sz w:val="18"/>
                <w:szCs w:val="18"/>
              </w:rPr>
              <w:t>29.08%</w:t>
            </w:r>
          </w:p>
        </w:tc>
        <w:tc>
          <w:tcPr>
            <w:tcW w:w="1606" w:type="dxa"/>
            <w:tcBorders>
              <w:top w:val="single" w:sz="2" w:space="0" w:color="auto"/>
              <w:left w:val="single" w:sz="2" w:space="0" w:color="auto"/>
              <w:bottom w:val="single" w:sz="2" w:space="0" w:color="auto"/>
              <w:right w:val="single" w:sz="2" w:space="0" w:color="auto"/>
            </w:tcBorders>
            <w:vAlign w:val="center"/>
          </w:tcPr>
          <w:p w14:paraId="4A1DBCF5" w14:textId="77777777" w:rsidR="007B3DB2" w:rsidRPr="0063248C" w:rsidRDefault="00000000">
            <w:pPr>
              <w:spacing w:line="240" w:lineRule="exact"/>
              <w:jc w:val="right"/>
              <w:rPr>
                <w:rFonts w:cs="宋体"/>
                <w:sz w:val="18"/>
                <w:szCs w:val="18"/>
              </w:rPr>
            </w:pPr>
            <w:r w:rsidRPr="0063248C">
              <w:rPr>
                <w:rFonts w:cs="宋体"/>
                <w:sz w:val="18"/>
                <w:szCs w:val="18"/>
              </w:rPr>
              <w:t>-31.73%</w:t>
            </w:r>
          </w:p>
        </w:tc>
      </w:tr>
      <w:tr w:rsidR="007B3DB2" w:rsidRPr="0063248C" w14:paraId="762E36A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F010FAB" w14:textId="77777777" w:rsidR="007B3DB2" w:rsidRPr="0063248C" w:rsidRDefault="00000000">
            <w:pPr>
              <w:spacing w:line="240" w:lineRule="exact"/>
              <w:rPr>
                <w:rFonts w:cs="宋体"/>
                <w:sz w:val="18"/>
                <w:szCs w:val="18"/>
              </w:rPr>
            </w:pPr>
            <w:r w:rsidRPr="0063248C">
              <w:rPr>
                <w:rFonts w:cs="宋体"/>
                <w:sz w:val="18"/>
                <w:szCs w:val="18"/>
              </w:rPr>
              <w:lastRenderedPageBreak/>
              <w:t>华中地区</w:t>
            </w:r>
          </w:p>
        </w:tc>
        <w:tc>
          <w:tcPr>
            <w:tcW w:w="1606" w:type="dxa"/>
            <w:tcBorders>
              <w:top w:val="single" w:sz="2" w:space="0" w:color="auto"/>
              <w:left w:val="single" w:sz="2" w:space="0" w:color="auto"/>
              <w:bottom w:val="single" w:sz="2" w:space="0" w:color="auto"/>
              <w:right w:val="single" w:sz="2" w:space="0" w:color="auto"/>
            </w:tcBorders>
            <w:vAlign w:val="center"/>
          </w:tcPr>
          <w:p w14:paraId="26C2F50E" w14:textId="77777777" w:rsidR="007B3DB2" w:rsidRPr="0063248C" w:rsidRDefault="00000000">
            <w:pPr>
              <w:spacing w:line="240" w:lineRule="exact"/>
              <w:jc w:val="right"/>
              <w:rPr>
                <w:rFonts w:cs="宋体"/>
                <w:sz w:val="18"/>
                <w:szCs w:val="18"/>
              </w:rPr>
            </w:pPr>
            <w:r w:rsidRPr="0063248C">
              <w:rPr>
                <w:rFonts w:cs="宋体"/>
                <w:sz w:val="18"/>
                <w:szCs w:val="18"/>
              </w:rPr>
              <w:t>702,945,146.05</w:t>
            </w:r>
          </w:p>
        </w:tc>
        <w:tc>
          <w:tcPr>
            <w:tcW w:w="1606" w:type="dxa"/>
            <w:tcBorders>
              <w:top w:val="single" w:sz="2" w:space="0" w:color="auto"/>
              <w:left w:val="single" w:sz="2" w:space="0" w:color="auto"/>
              <w:bottom w:val="single" w:sz="2" w:space="0" w:color="auto"/>
              <w:right w:val="single" w:sz="2" w:space="0" w:color="auto"/>
            </w:tcBorders>
            <w:vAlign w:val="center"/>
          </w:tcPr>
          <w:p w14:paraId="203FDD13" w14:textId="77777777" w:rsidR="007B3DB2" w:rsidRPr="0063248C" w:rsidRDefault="00000000">
            <w:pPr>
              <w:spacing w:line="240" w:lineRule="exact"/>
              <w:jc w:val="right"/>
              <w:rPr>
                <w:rFonts w:cs="宋体"/>
                <w:sz w:val="18"/>
                <w:szCs w:val="18"/>
              </w:rPr>
            </w:pPr>
            <w:r w:rsidRPr="0063248C">
              <w:rPr>
                <w:rFonts w:cs="宋体"/>
                <w:sz w:val="18"/>
                <w:szCs w:val="18"/>
              </w:rPr>
              <w:t>13.94%</w:t>
            </w:r>
          </w:p>
        </w:tc>
        <w:tc>
          <w:tcPr>
            <w:tcW w:w="1606" w:type="dxa"/>
            <w:tcBorders>
              <w:top w:val="single" w:sz="2" w:space="0" w:color="auto"/>
              <w:left w:val="single" w:sz="2" w:space="0" w:color="auto"/>
              <w:bottom w:val="single" w:sz="2" w:space="0" w:color="auto"/>
              <w:right w:val="single" w:sz="2" w:space="0" w:color="auto"/>
            </w:tcBorders>
            <w:vAlign w:val="center"/>
          </w:tcPr>
          <w:p w14:paraId="4D10E437" w14:textId="77777777" w:rsidR="007B3DB2" w:rsidRPr="0063248C" w:rsidRDefault="00000000">
            <w:pPr>
              <w:spacing w:line="240" w:lineRule="exact"/>
              <w:jc w:val="right"/>
              <w:rPr>
                <w:rFonts w:cs="宋体"/>
                <w:sz w:val="18"/>
                <w:szCs w:val="18"/>
              </w:rPr>
            </w:pPr>
            <w:r w:rsidRPr="0063248C">
              <w:rPr>
                <w:rFonts w:cs="宋体"/>
                <w:sz w:val="18"/>
                <w:szCs w:val="18"/>
              </w:rPr>
              <w:t>933,056,308.83</w:t>
            </w:r>
          </w:p>
        </w:tc>
        <w:tc>
          <w:tcPr>
            <w:tcW w:w="1606" w:type="dxa"/>
            <w:tcBorders>
              <w:top w:val="single" w:sz="2" w:space="0" w:color="auto"/>
              <w:left w:val="single" w:sz="2" w:space="0" w:color="auto"/>
              <w:bottom w:val="single" w:sz="2" w:space="0" w:color="auto"/>
              <w:right w:val="single" w:sz="2" w:space="0" w:color="auto"/>
            </w:tcBorders>
            <w:vAlign w:val="center"/>
          </w:tcPr>
          <w:p w14:paraId="1C0FE24E" w14:textId="77777777" w:rsidR="007B3DB2" w:rsidRPr="0063248C" w:rsidRDefault="00000000">
            <w:pPr>
              <w:spacing w:line="240" w:lineRule="exact"/>
              <w:jc w:val="right"/>
              <w:rPr>
                <w:rFonts w:cs="宋体"/>
                <w:sz w:val="18"/>
                <w:szCs w:val="18"/>
              </w:rPr>
            </w:pPr>
            <w:r w:rsidRPr="0063248C">
              <w:rPr>
                <w:rFonts w:cs="宋体"/>
                <w:sz w:val="18"/>
                <w:szCs w:val="18"/>
              </w:rPr>
              <w:t>13.87%</w:t>
            </w:r>
          </w:p>
        </w:tc>
        <w:tc>
          <w:tcPr>
            <w:tcW w:w="1606" w:type="dxa"/>
            <w:tcBorders>
              <w:top w:val="single" w:sz="2" w:space="0" w:color="auto"/>
              <w:left w:val="single" w:sz="2" w:space="0" w:color="auto"/>
              <w:bottom w:val="single" w:sz="2" w:space="0" w:color="auto"/>
              <w:right w:val="single" w:sz="2" w:space="0" w:color="auto"/>
            </w:tcBorders>
            <w:vAlign w:val="center"/>
          </w:tcPr>
          <w:p w14:paraId="28699963" w14:textId="77777777" w:rsidR="007B3DB2" w:rsidRPr="0063248C" w:rsidRDefault="00000000">
            <w:pPr>
              <w:spacing w:line="240" w:lineRule="exact"/>
              <w:jc w:val="right"/>
              <w:rPr>
                <w:rFonts w:cs="宋体"/>
                <w:sz w:val="18"/>
                <w:szCs w:val="18"/>
              </w:rPr>
            </w:pPr>
            <w:r w:rsidRPr="0063248C">
              <w:rPr>
                <w:rFonts w:cs="宋体"/>
                <w:sz w:val="18"/>
                <w:szCs w:val="18"/>
              </w:rPr>
              <w:t>-24.66%</w:t>
            </w:r>
          </w:p>
        </w:tc>
      </w:tr>
      <w:tr w:rsidR="007B3DB2" w:rsidRPr="0063248C" w14:paraId="15CAFCB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5F31CF3" w14:textId="77777777" w:rsidR="007B3DB2" w:rsidRPr="0063248C" w:rsidRDefault="00000000">
            <w:pPr>
              <w:spacing w:line="240" w:lineRule="exact"/>
              <w:rPr>
                <w:rFonts w:cs="宋体"/>
                <w:sz w:val="18"/>
                <w:szCs w:val="18"/>
              </w:rPr>
            </w:pPr>
            <w:r w:rsidRPr="0063248C">
              <w:rPr>
                <w:rFonts w:cs="宋体"/>
                <w:sz w:val="18"/>
                <w:szCs w:val="18"/>
              </w:rPr>
              <w:t>华北地区</w:t>
            </w:r>
          </w:p>
        </w:tc>
        <w:tc>
          <w:tcPr>
            <w:tcW w:w="1606" w:type="dxa"/>
            <w:tcBorders>
              <w:top w:val="single" w:sz="2" w:space="0" w:color="auto"/>
              <w:left w:val="single" w:sz="2" w:space="0" w:color="auto"/>
              <w:bottom w:val="single" w:sz="2" w:space="0" w:color="auto"/>
              <w:right w:val="single" w:sz="2" w:space="0" w:color="auto"/>
            </w:tcBorders>
            <w:vAlign w:val="center"/>
          </w:tcPr>
          <w:p w14:paraId="3AAA7B5B" w14:textId="77777777" w:rsidR="007B3DB2" w:rsidRPr="0063248C" w:rsidRDefault="00000000">
            <w:pPr>
              <w:spacing w:line="240" w:lineRule="exact"/>
              <w:jc w:val="right"/>
              <w:rPr>
                <w:rFonts w:cs="宋体"/>
                <w:sz w:val="18"/>
                <w:szCs w:val="18"/>
              </w:rPr>
            </w:pPr>
            <w:r w:rsidRPr="0063248C">
              <w:rPr>
                <w:rFonts w:cs="宋体"/>
                <w:sz w:val="18"/>
                <w:szCs w:val="18"/>
              </w:rPr>
              <w:t>261,682,334.26</w:t>
            </w:r>
          </w:p>
        </w:tc>
        <w:tc>
          <w:tcPr>
            <w:tcW w:w="1606" w:type="dxa"/>
            <w:tcBorders>
              <w:top w:val="single" w:sz="2" w:space="0" w:color="auto"/>
              <w:left w:val="single" w:sz="2" w:space="0" w:color="auto"/>
              <w:bottom w:val="single" w:sz="2" w:space="0" w:color="auto"/>
              <w:right w:val="single" w:sz="2" w:space="0" w:color="auto"/>
            </w:tcBorders>
            <w:vAlign w:val="center"/>
          </w:tcPr>
          <w:p w14:paraId="394B2D2C" w14:textId="77777777" w:rsidR="007B3DB2" w:rsidRPr="0063248C" w:rsidRDefault="00000000">
            <w:pPr>
              <w:spacing w:line="240" w:lineRule="exact"/>
              <w:jc w:val="right"/>
              <w:rPr>
                <w:rFonts w:cs="宋体"/>
                <w:sz w:val="18"/>
                <w:szCs w:val="18"/>
              </w:rPr>
            </w:pPr>
            <w:r w:rsidRPr="0063248C">
              <w:rPr>
                <w:rFonts w:cs="宋体"/>
                <w:sz w:val="18"/>
                <w:szCs w:val="18"/>
              </w:rPr>
              <w:t>5.19%</w:t>
            </w:r>
          </w:p>
        </w:tc>
        <w:tc>
          <w:tcPr>
            <w:tcW w:w="1606" w:type="dxa"/>
            <w:tcBorders>
              <w:top w:val="single" w:sz="2" w:space="0" w:color="auto"/>
              <w:left w:val="single" w:sz="2" w:space="0" w:color="auto"/>
              <w:bottom w:val="single" w:sz="2" w:space="0" w:color="auto"/>
              <w:right w:val="single" w:sz="2" w:space="0" w:color="auto"/>
            </w:tcBorders>
            <w:vAlign w:val="center"/>
          </w:tcPr>
          <w:p w14:paraId="1410C608" w14:textId="77777777" w:rsidR="007B3DB2" w:rsidRPr="0063248C" w:rsidRDefault="00000000">
            <w:pPr>
              <w:spacing w:line="240" w:lineRule="exact"/>
              <w:jc w:val="right"/>
              <w:rPr>
                <w:rFonts w:cs="宋体"/>
                <w:sz w:val="18"/>
                <w:szCs w:val="18"/>
              </w:rPr>
            </w:pPr>
            <w:r w:rsidRPr="0063248C">
              <w:rPr>
                <w:rFonts w:cs="宋体"/>
                <w:sz w:val="18"/>
                <w:szCs w:val="18"/>
              </w:rPr>
              <w:t>325,354,266.08</w:t>
            </w:r>
          </w:p>
        </w:tc>
        <w:tc>
          <w:tcPr>
            <w:tcW w:w="1606" w:type="dxa"/>
            <w:tcBorders>
              <w:top w:val="single" w:sz="2" w:space="0" w:color="auto"/>
              <w:left w:val="single" w:sz="2" w:space="0" w:color="auto"/>
              <w:bottom w:val="single" w:sz="2" w:space="0" w:color="auto"/>
              <w:right w:val="single" w:sz="2" w:space="0" w:color="auto"/>
            </w:tcBorders>
            <w:vAlign w:val="center"/>
          </w:tcPr>
          <w:p w14:paraId="6289DA99" w14:textId="77777777" w:rsidR="007B3DB2" w:rsidRPr="0063248C" w:rsidRDefault="00000000">
            <w:pPr>
              <w:spacing w:line="240" w:lineRule="exact"/>
              <w:jc w:val="right"/>
              <w:rPr>
                <w:rFonts w:cs="宋体"/>
                <w:sz w:val="18"/>
                <w:szCs w:val="18"/>
              </w:rPr>
            </w:pPr>
            <w:r w:rsidRPr="0063248C">
              <w:rPr>
                <w:rFonts w:cs="宋体"/>
                <w:sz w:val="18"/>
                <w:szCs w:val="18"/>
              </w:rPr>
              <w:t>4.84%</w:t>
            </w:r>
          </w:p>
        </w:tc>
        <w:tc>
          <w:tcPr>
            <w:tcW w:w="1606" w:type="dxa"/>
            <w:tcBorders>
              <w:top w:val="single" w:sz="2" w:space="0" w:color="auto"/>
              <w:left w:val="single" w:sz="2" w:space="0" w:color="auto"/>
              <w:bottom w:val="single" w:sz="2" w:space="0" w:color="auto"/>
              <w:right w:val="single" w:sz="2" w:space="0" w:color="auto"/>
            </w:tcBorders>
            <w:vAlign w:val="center"/>
          </w:tcPr>
          <w:p w14:paraId="5D941A8A" w14:textId="77777777" w:rsidR="007B3DB2" w:rsidRPr="0063248C" w:rsidRDefault="00000000">
            <w:pPr>
              <w:spacing w:line="240" w:lineRule="exact"/>
              <w:jc w:val="right"/>
              <w:rPr>
                <w:rFonts w:cs="宋体"/>
                <w:sz w:val="18"/>
                <w:szCs w:val="18"/>
              </w:rPr>
            </w:pPr>
            <w:r w:rsidRPr="0063248C">
              <w:rPr>
                <w:rFonts w:cs="宋体"/>
                <w:sz w:val="18"/>
                <w:szCs w:val="18"/>
              </w:rPr>
              <w:t>-19.57%</w:t>
            </w:r>
          </w:p>
        </w:tc>
      </w:tr>
      <w:tr w:rsidR="007B3DB2" w:rsidRPr="0063248C" w14:paraId="7D7E83F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74EF258" w14:textId="77777777" w:rsidR="007B3DB2" w:rsidRPr="0063248C" w:rsidRDefault="00000000">
            <w:pPr>
              <w:spacing w:line="240" w:lineRule="exact"/>
              <w:rPr>
                <w:rFonts w:cs="宋体"/>
                <w:sz w:val="18"/>
                <w:szCs w:val="18"/>
              </w:rPr>
            </w:pPr>
            <w:r w:rsidRPr="0063248C">
              <w:rPr>
                <w:rFonts w:cs="宋体"/>
                <w:sz w:val="18"/>
                <w:szCs w:val="18"/>
              </w:rPr>
              <w:t>华南地区</w:t>
            </w:r>
          </w:p>
        </w:tc>
        <w:tc>
          <w:tcPr>
            <w:tcW w:w="1606" w:type="dxa"/>
            <w:tcBorders>
              <w:top w:val="single" w:sz="2" w:space="0" w:color="auto"/>
              <w:left w:val="single" w:sz="2" w:space="0" w:color="auto"/>
              <w:bottom w:val="single" w:sz="2" w:space="0" w:color="auto"/>
              <w:right w:val="single" w:sz="2" w:space="0" w:color="auto"/>
            </w:tcBorders>
            <w:vAlign w:val="center"/>
          </w:tcPr>
          <w:p w14:paraId="1AB3F456" w14:textId="77777777" w:rsidR="007B3DB2" w:rsidRPr="0063248C" w:rsidRDefault="00000000">
            <w:pPr>
              <w:spacing w:line="240" w:lineRule="exact"/>
              <w:jc w:val="right"/>
              <w:rPr>
                <w:rFonts w:cs="宋体"/>
                <w:sz w:val="18"/>
                <w:szCs w:val="18"/>
              </w:rPr>
            </w:pPr>
            <w:r w:rsidRPr="0063248C">
              <w:rPr>
                <w:rFonts w:cs="宋体"/>
                <w:sz w:val="18"/>
                <w:szCs w:val="18"/>
              </w:rPr>
              <w:t>103,608,239.11</w:t>
            </w:r>
          </w:p>
        </w:tc>
        <w:tc>
          <w:tcPr>
            <w:tcW w:w="1606" w:type="dxa"/>
            <w:tcBorders>
              <w:top w:val="single" w:sz="2" w:space="0" w:color="auto"/>
              <w:left w:val="single" w:sz="2" w:space="0" w:color="auto"/>
              <w:bottom w:val="single" w:sz="2" w:space="0" w:color="auto"/>
              <w:right w:val="single" w:sz="2" w:space="0" w:color="auto"/>
            </w:tcBorders>
            <w:vAlign w:val="center"/>
          </w:tcPr>
          <w:p w14:paraId="04B13CF8" w14:textId="77777777" w:rsidR="007B3DB2" w:rsidRPr="0063248C" w:rsidRDefault="00000000">
            <w:pPr>
              <w:spacing w:line="240" w:lineRule="exact"/>
              <w:jc w:val="right"/>
              <w:rPr>
                <w:rFonts w:cs="宋体"/>
                <w:sz w:val="18"/>
                <w:szCs w:val="18"/>
              </w:rPr>
            </w:pPr>
            <w:r w:rsidRPr="0063248C">
              <w:rPr>
                <w:rFonts w:cs="宋体"/>
                <w:sz w:val="18"/>
                <w:szCs w:val="18"/>
              </w:rPr>
              <w:t>2.05%</w:t>
            </w:r>
          </w:p>
        </w:tc>
        <w:tc>
          <w:tcPr>
            <w:tcW w:w="1606" w:type="dxa"/>
            <w:tcBorders>
              <w:top w:val="single" w:sz="2" w:space="0" w:color="auto"/>
              <w:left w:val="single" w:sz="2" w:space="0" w:color="auto"/>
              <w:bottom w:val="single" w:sz="2" w:space="0" w:color="auto"/>
              <w:right w:val="single" w:sz="2" w:space="0" w:color="auto"/>
            </w:tcBorders>
            <w:vAlign w:val="center"/>
          </w:tcPr>
          <w:p w14:paraId="1E7CB2A3" w14:textId="77777777" w:rsidR="007B3DB2" w:rsidRPr="0063248C" w:rsidRDefault="00000000">
            <w:pPr>
              <w:spacing w:line="240" w:lineRule="exact"/>
              <w:jc w:val="right"/>
              <w:rPr>
                <w:rFonts w:cs="宋体"/>
                <w:sz w:val="18"/>
                <w:szCs w:val="18"/>
              </w:rPr>
            </w:pPr>
            <w:r w:rsidRPr="0063248C">
              <w:rPr>
                <w:rFonts w:cs="宋体"/>
                <w:sz w:val="18"/>
                <w:szCs w:val="18"/>
              </w:rPr>
              <w:t>178,766,917.49</w:t>
            </w:r>
          </w:p>
        </w:tc>
        <w:tc>
          <w:tcPr>
            <w:tcW w:w="1606" w:type="dxa"/>
            <w:tcBorders>
              <w:top w:val="single" w:sz="2" w:space="0" w:color="auto"/>
              <w:left w:val="single" w:sz="2" w:space="0" w:color="auto"/>
              <w:bottom w:val="single" w:sz="2" w:space="0" w:color="auto"/>
              <w:right w:val="single" w:sz="2" w:space="0" w:color="auto"/>
            </w:tcBorders>
            <w:vAlign w:val="center"/>
          </w:tcPr>
          <w:p w14:paraId="30DDE810" w14:textId="77777777" w:rsidR="007B3DB2" w:rsidRPr="0063248C" w:rsidRDefault="00000000">
            <w:pPr>
              <w:spacing w:line="240" w:lineRule="exact"/>
              <w:jc w:val="right"/>
              <w:rPr>
                <w:rFonts w:cs="宋体"/>
                <w:sz w:val="18"/>
                <w:szCs w:val="18"/>
              </w:rPr>
            </w:pPr>
            <w:r w:rsidRPr="0063248C">
              <w:rPr>
                <w:rFonts w:cs="宋体"/>
                <w:sz w:val="18"/>
                <w:szCs w:val="18"/>
              </w:rPr>
              <w:t>2.66%</w:t>
            </w:r>
          </w:p>
        </w:tc>
        <w:tc>
          <w:tcPr>
            <w:tcW w:w="1606" w:type="dxa"/>
            <w:tcBorders>
              <w:top w:val="single" w:sz="2" w:space="0" w:color="auto"/>
              <w:left w:val="single" w:sz="2" w:space="0" w:color="auto"/>
              <w:bottom w:val="single" w:sz="2" w:space="0" w:color="auto"/>
              <w:right w:val="single" w:sz="2" w:space="0" w:color="auto"/>
            </w:tcBorders>
            <w:vAlign w:val="center"/>
          </w:tcPr>
          <w:p w14:paraId="4C1C8747" w14:textId="77777777" w:rsidR="007B3DB2" w:rsidRPr="0063248C" w:rsidRDefault="00000000">
            <w:pPr>
              <w:spacing w:line="240" w:lineRule="exact"/>
              <w:jc w:val="right"/>
              <w:rPr>
                <w:rFonts w:cs="宋体"/>
                <w:sz w:val="18"/>
                <w:szCs w:val="18"/>
              </w:rPr>
            </w:pPr>
            <w:r w:rsidRPr="0063248C">
              <w:rPr>
                <w:rFonts w:cs="宋体"/>
                <w:sz w:val="18"/>
                <w:szCs w:val="18"/>
              </w:rPr>
              <w:t>-42.04%</w:t>
            </w:r>
          </w:p>
        </w:tc>
      </w:tr>
      <w:tr w:rsidR="007B3DB2" w:rsidRPr="0063248C" w14:paraId="4D5336B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99A488A" w14:textId="77777777" w:rsidR="007B3DB2" w:rsidRPr="0063248C" w:rsidRDefault="00000000">
            <w:pPr>
              <w:spacing w:line="240" w:lineRule="exact"/>
              <w:rPr>
                <w:rFonts w:cs="宋体"/>
                <w:sz w:val="18"/>
                <w:szCs w:val="18"/>
              </w:rPr>
            </w:pPr>
            <w:r w:rsidRPr="0063248C">
              <w:rPr>
                <w:rFonts w:cs="宋体"/>
                <w:sz w:val="18"/>
                <w:szCs w:val="18"/>
              </w:rPr>
              <w:t>东北地区</w:t>
            </w:r>
          </w:p>
        </w:tc>
        <w:tc>
          <w:tcPr>
            <w:tcW w:w="1606" w:type="dxa"/>
            <w:tcBorders>
              <w:top w:val="single" w:sz="2" w:space="0" w:color="auto"/>
              <w:left w:val="single" w:sz="2" w:space="0" w:color="auto"/>
              <w:bottom w:val="single" w:sz="2" w:space="0" w:color="auto"/>
              <w:right w:val="single" w:sz="2" w:space="0" w:color="auto"/>
            </w:tcBorders>
            <w:vAlign w:val="center"/>
          </w:tcPr>
          <w:p w14:paraId="2EDDC8D9" w14:textId="77777777" w:rsidR="007B3DB2" w:rsidRPr="0063248C" w:rsidRDefault="00000000">
            <w:pPr>
              <w:spacing w:line="240" w:lineRule="exact"/>
              <w:jc w:val="right"/>
              <w:rPr>
                <w:rFonts w:cs="宋体"/>
                <w:sz w:val="18"/>
                <w:szCs w:val="18"/>
              </w:rPr>
            </w:pPr>
            <w:r w:rsidRPr="0063248C">
              <w:rPr>
                <w:rFonts w:cs="宋体"/>
                <w:sz w:val="18"/>
                <w:szCs w:val="18"/>
              </w:rPr>
              <w:t>393,493,451.20</w:t>
            </w:r>
          </w:p>
        </w:tc>
        <w:tc>
          <w:tcPr>
            <w:tcW w:w="1606" w:type="dxa"/>
            <w:tcBorders>
              <w:top w:val="single" w:sz="2" w:space="0" w:color="auto"/>
              <w:left w:val="single" w:sz="2" w:space="0" w:color="auto"/>
              <w:bottom w:val="single" w:sz="2" w:space="0" w:color="auto"/>
              <w:right w:val="single" w:sz="2" w:space="0" w:color="auto"/>
            </w:tcBorders>
            <w:vAlign w:val="center"/>
          </w:tcPr>
          <w:p w14:paraId="0D6F0A45" w14:textId="77777777" w:rsidR="007B3DB2" w:rsidRPr="0063248C" w:rsidRDefault="00000000">
            <w:pPr>
              <w:spacing w:line="240" w:lineRule="exact"/>
              <w:jc w:val="right"/>
              <w:rPr>
                <w:rFonts w:cs="宋体"/>
                <w:sz w:val="18"/>
                <w:szCs w:val="18"/>
              </w:rPr>
            </w:pPr>
            <w:r w:rsidRPr="0063248C">
              <w:rPr>
                <w:rFonts w:cs="宋体"/>
                <w:sz w:val="18"/>
                <w:szCs w:val="18"/>
              </w:rPr>
              <w:t>7.80%</w:t>
            </w:r>
          </w:p>
        </w:tc>
        <w:tc>
          <w:tcPr>
            <w:tcW w:w="1606" w:type="dxa"/>
            <w:tcBorders>
              <w:top w:val="single" w:sz="2" w:space="0" w:color="auto"/>
              <w:left w:val="single" w:sz="2" w:space="0" w:color="auto"/>
              <w:bottom w:val="single" w:sz="2" w:space="0" w:color="auto"/>
              <w:right w:val="single" w:sz="2" w:space="0" w:color="auto"/>
            </w:tcBorders>
            <w:vAlign w:val="center"/>
          </w:tcPr>
          <w:p w14:paraId="77E9BFF2" w14:textId="77777777" w:rsidR="007B3DB2" w:rsidRPr="0063248C" w:rsidRDefault="00000000">
            <w:pPr>
              <w:spacing w:line="240" w:lineRule="exact"/>
              <w:jc w:val="right"/>
              <w:rPr>
                <w:rFonts w:cs="宋体"/>
                <w:sz w:val="18"/>
                <w:szCs w:val="18"/>
              </w:rPr>
            </w:pPr>
            <w:r w:rsidRPr="0063248C">
              <w:rPr>
                <w:rFonts w:cs="宋体"/>
                <w:sz w:val="18"/>
                <w:szCs w:val="18"/>
              </w:rPr>
              <w:t>405,151,078.22</w:t>
            </w:r>
          </w:p>
        </w:tc>
        <w:tc>
          <w:tcPr>
            <w:tcW w:w="1606" w:type="dxa"/>
            <w:tcBorders>
              <w:top w:val="single" w:sz="2" w:space="0" w:color="auto"/>
              <w:left w:val="single" w:sz="2" w:space="0" w:color="auto"/>
              <w:bottom w:val="single" w:sz="2" w:space="0" w:color="auto"/>
              <w:right w:val="single" w:sz="2" w:space="0" w:color="auto"/>
            </w:tcBorders>
            <w:vAlign w:val="center"/>
          </w:tcPr>
          <w:p w14:paraId="5D75A0AC" w14:textId="77777777" w:rsidR="007B3DB2" w:rsidRPr="0063248C" w:rsidRDefault="00000000">
            <w:pPr>
              <w:spacing w:line="240" w:lineRule="exact"/>
              <w:jc w:val="right"/>
              <w:rPr>
                <w:rFonts w:cs="宋体"/>
                <w:sz w:val="18"/>
                <w:szCs w:val="18"/>
              </w:rPr>
            </w:pPr>
            <w:r w:rsidRPr="0063248C">
              <w:rPr>
                <w:rFonts w:cs="宋体"/>
                <w:sz w:val="18"/>
                <w:szCs w:val="18"/>
              </w:rPr>
              <w:t>6.02%</w:t>
            </w:r>
          </w:p>
        </w:tc>
        <w:tc>
          <w:tcPr>
            <w:tcW w:w="1606" w:type="dxa"/>
            <w:tcBorders>
              <w:top w:val="single" w:sz="2" w:space="0" w:color="auto"/>
              <w:left w:val="single" w:sz="2" w:space="0" w:color="auto"/>
              <w:bottom w:val="single" w:sz="2" w:space="0" w:color="auto"/>
              <w:right w:val="single" w:sz="2" w:space="0" w:color="auto"/>
            </w:tcBorders>
            <w:vAlign w:val="center"/>
          </w:tcPr>
          <w:p w14:paraId="04A1C6C5" w14:textId="77777777" w:rsidR="007B3DB2" w:rsidRPr="0063248C" w:rsidRDefault="00000000">
            <w:pPr>
              <w:spacing w:line="240" w:lineRule="exact"/>
              <w:jc w:val="right"/>
              <w:rPr>
                <w:rFonts w:cs="宋体"/>
                <w:sz w:val="18"/>
                <w:szCs w:val="18"/>
              </w:rPr>
            </w:pPr>
            <w:r w:rsidRPr="0063248C">
              <w:rPr>
                <w:rFonts w:cs="宋体"/>
                <w:sz w:val="18"/>
                <w:szCs w:val="18"/>
              </w:rPr>
              <w:t>-2.88%</w:t>
            </w:r>
          </w:p>
        </w:tc>
      </w:tr>
      <w:tr w:rsidR="007B3DB2" w:rsidRPr="0063248C" w14:paraId="6B1AF36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C6667A4" w14:textId="77777777" w:rsidR="007B3DB2" w:rsidRPr="0063248C" w:rsidRDefault="00000000">
            <w:pPr>
              <w:spacing w:line="240" w:lineRule="exact"/>
              <w:rPr>
                <w:rFonts w:cs="宋体"/>
                <w:sz w:val="18"/>
                <w:szCs w:val="18"/>
              </w:rPr>
            </w:pPr>
            <w:r w:rsidRPr="0063248C">
              <w:rPr>
                <w:rFonts w:cs="宋体"/>
                <w:sz w:val="18"/>
                <w:szCs w:val="18"/>
              </w:rPr>
              <w:t>西南地区</w:t>
            </w:r>
          </w:p>
        </w:tc>
        <w:tc>
          <w:tcPr>
            <w:tcW w:w="1606" w:type="dxa"/>
            <w:tcBorders>
              <w:top w:val="single" w:sz="2" w:space="0" w:color="auto"/>
              <w:left w:val="single" w:sz="2" w:space="0" w:color="auto"/>
              <w:bottom w:val="single" w:sz="2" w:space="0" w:color="auto"/>
              <w:right w:val="single" w:sz="2" w:space="0" w:color="auto"/>
            </w:tcBorders>
            <w:vAlign w:val="center"/>
          </w:tcPr>
          <w:p w14:paraId="4FA2C6A9" w14:textId="77777777" w:rsidR="007B3DB2" w:rsidRPr="0063248C" w:rsidRDefault="00000000">
            <w:pPr>
              <w:spacing w:line="240" w:lineRule="exact"/>
              <w:jc w:val="right"/>
              <w:rPr>
                <w:rFonts w:cs="宋体"/>
                <w:sz w:val="18"/>
                <w:szCs w:val="18"/>
              </w:rPr>
            </w:pPr>
            <w:r w:rsidRPr="0063248C">
              <w:rPr>
                <w:rFonts w:cs="宋体"/>
                <w:sz w:val="18"/>
                <w:szCs w:val="18"/>
              </w:rPr>
              <w:t>304,347,229.90</w:t>
            </w:r>
          </w:p>
        </w:tc>
        <w:tc>
          <w:tcPr>
            <w:tcW w:w="1606" w:type="dxa"/>
            <w:tcBorders>
              <w:top w:val="single" w:sz="2" w:space="0" w:color="auto"/>
              <w:left w:val="single" w:sz="2" w:space="0" w:color="auto"/>
              <w:bottom w:val="single" w:sz="2" w:space="0" w:color="auto"/>
              <w:right w:val="single" w:sz="2" w:space="0" w:color="auto"/>
            </w:tcBorders>
            <w:vAlign w:val="center"/>
          </w:tcPr>
          <w:p w14:paraId="32AC1132" w14:textId="77777777" w:rsidR="007B3DB2" w:rsidRPr="0063248C" w:rsidRDefault="00000000">
            <w:pPr>
              <w:spacing w:line="240" w:lineRule="exact"/>
              <w:jc w:val="right"/>
              <w:rPr>
                <w:rFonts w:cs="宋体"/>
                <w:sz w:val="18"/>
                <w:szCs w:val="18"/>
              </w:rPr>
            </w:pPr>
            <w:r w:rsidRPr="0063248C">
              <w:rPr>
                <w:rFonts w:cs="宋体"/>
                <w:sz w:val="18"/>
                <w:szCs w:val="18"/>
              </w:rPr>
              <w:t>6.03%</w:t>
            </w:r>
          </w:p>
        </w:tc>
        <w:tc>
          <w:tcPr>
            <w:tcW w:w="1606" w:type="dxa"/>
            <w:tcBorders>
              <w:top w:val="single" w:sz="2" w:space="0" w:color="auto"/>
              <w:left w:val="single" w:sz="2" w:space="0" w:color="auto"/>
              <w:bottom w:val="single" w:sz="2" w:space="0" w:color="auto"/>
              <w:right w:val="single" w:sz="2" w:space="0" w:color="auto"/>
            </w:tcBorders>
            <w:vAlign w:val="center"/>
          </w:tcPr>
          <w:p w14:paraId="0E1C6FCD" w14:textId="77777777" w:rsidR="007B3DB2" w:rsidRPr="0063248C" w:rsidRDefault="00000000">
            <w:pPr>
              <w:spacing w:line="240" w:lineRule="exact"/>
              <w:jc w:val="right"/>
              <w:rPr>
                <w:rFonts w:cs="宋体"/>
                <w:sz w:val="18"/>
                <w:szCs w:val="18"/>
              </w:rPr>
            </w:pPr>
            <w:r w:rsidRPr="0063248C">
              <w:rPr>
                <w:rFonts w:cs="宋体"/>
                <w:sz w:val="18"/>
                <w:szCs w:val="18"/>
              </w:rPr>
              <w:t>261,740,606.82</w:t>
            </w:r>
          </w:p>
        </w:tc>
        <w:tc>
          <w:tcPr>
            <w:tcW w:w="1606" w:type="dxa"/>
            <w:tcBorders>
              <w:top w:val="single" w:sz="2" w:space="0" w:color="auto"/>
              <w:left w:val="single" w:sz="2" w:space="0" w:color="auto"/>
              <w:bottom w:val="single" w:sz="2" w:space="0" w:color="auto"/>
              <w:right w:val="single" w:sz="2" w:space="0" w:color="auto"/>
            </w:tcBorders>
            <w:vAlign w:val="center"/>
          </w:tcPr>
          <w:p w14:paraId="73F9CDA2" w14:textId="77777777" w:rsidR="007B3DB2" w:rsidRPr="0063248C" w:rsidRDefault="00000000">
            <w:pPr>
              <w:spacing w:line="240" w:lineRule="exact"/>
              <w:jc w:val="right"/>
              <w:rPr>
                <w:rFonts w:cs="宋体"/>
                <w:sz w:val="18"/>
                <w:szCs w:val="18"/>
              </w:rPr>
            </w:pPr>
            <w:r w:rsidRPr="0063248C">
              <w:rPr>
                <w:rFonts w:cs="宋体"/>
                <w:sz w:val="18"/>
                <w:szCs w:val="18"/>
              </w:rPr>
              <w:t>3.89%</w:t>
            </w:r>
          </w:p>
        </w:tc>
        <w:tc>
          <w:tcPr>
            <w:tcW w:w="1606" w:type="dxa"/>
            <w:tcBorders>
              <w:top w:val="single" w:sz="2" w:space="0" w:color="auto"/>
              <w:left w:val="single" w:sz="2" w:space="0" w:color="auto"/>
              <w:bottom w:val="single" w:sz="2" w:space="0" w:color="auto"/>
              <w:right w:val="single" w:sz="2" w:space="0" w:color="auto"/>
            </w:tcBorders>
            <w:vAlign w:val="center"/>
          </w:tcPr>
          <w:p w14:paraId="5152A89A" w14:textId="77777777" w:rsidR="007B3DB2" w:rsidRPr="0063248C" w:rsidRDefault="00000000">
            <w:pPr>
              <w:spacing w:line="240" w:lineRule="exact"/>
              <w:jc w:val="right"/>
              <w:rPr>
                <w:rFonts w:cs="宋体"/>
                <w:sz w:val="18"/>
                <w:szCs w:val="18"/>
              </w:rPr>
            </w:pPr>
            <w:r w:rsidRPr="0063248C">
              <w:rPr>
                <w:rFonts w:cs="宋体"/>
                <w:sz w:val="18"/>
                <w:szCs w:val="18"/>
              </w:rPr>
              <w:t>16.28%</w:t>
            </w:r>
          </w:p>
        </w:tc>
      </w:tr>
      <w:tr w:rsidR="007B3DB2" w:rsidRPr="0063248C" w14:paraId="3956462B"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3F7F5D5" w14:textId="77777777" w:rsidR="007B3DB2" w:rsidRPr="0063248C" w:rsidRDefault="00000000">
            <w:pPr>
              <w:spacing w:line="240" w:lineRule="exact"/>
              <w:rPr>
                <w:rFonts w:cs="宋体"/>
                <w:sz w:val="18"/>
                <w:szCs w:val="18"/>
              </w:rPr>
            </w:pPr>
            <w:r w:rsidRPr="0063248C">
              <w:rPr>
                <w:rFonts w:cs="宋体"/>
                <w:sz w:val="18"/>
                <w:szCs w:val="18"/>
              </w:rPr>
              <w:t>西北地区及其他</w:t>
            </w:r>
          </w:p>
        </w:tc>
        <w:tc>
          <w:tcPr>
            <w:tcW w:w="1606" w:type="dxa"/>
            <w:tcBorders>
              <w:top w:val="single" w:sz="2" w:space="0" w:color="auto"/>
              <w:left w:val="single" w:sz="2" w:space="0" w:color="auto"/>
              <w:bottom w:val="single" w:sz="2" w:space="0" w:color="auto"/>
              <w:right w:val="single" w:sz="2" w:space="0" w:color="auto"/>
            </w:tcBorders>
            <w:vAlign w:val="center"/>
          </w:tcPr>
          <w:p w14:paraId="5A9EB056" w14:textId="77777777" w:rsidR="007B3DB2" w:rsidRPr="0063248C" w:rsidRDefault="00000000">
            <w:pPr>
              <w:spacing w:line="240" w:lineRule="exact"/>
              <w:jc w:val="right"/>
              <w:rPr>
                <w:rFonts w:cs="宋体"/>
                <w:sz w:val="18"/>
                <w:szCs w:val="18"/>
              </w:rPr>
            </w:pPr>
            <w:r w:rsidRPr="0063248C">
              <w:rPr>
                <w:rFonts w:cs="宋体"/>
                <w:sz w:val="18"/>
                <w:szCs w:val="18"/>
              </w:rPr>
              <w:t>18,955,371.50</w:t>
            </w:r>
          </w:p>
        </w:tc>
        <w:tc>
          <w:tcPr>
            <w:tcW w:w="1606" w:type="dxa"/>
            <w:tcBorders>
              <w:top w:val="single" w:sz="2" w:space="0" w:color="auto"/>
              <w:left w:val="single" w:sz="2" w:space="0" w:color="auto"/>
              <w:bottom w:val="single" w:sz="2" w:space="0" w:color="auto"/>
              <w:right w:val="single" w:sz="2" w:space="0" w:color="auto"/>
            </w:tcBorders>
            <w:vAlign w:val="center"/>
          </w:tcPr>
          <w:p w14:paraId="14DFC9C8" w14:textId="77777777" w:rsidR="007B3DB2" w:rsidRPr="0063248C" w:rsidRDefault="00000000">
            <w:pPr>
              <w:spacing w:line="240" w:lineRule="exact"/>
              <w:jc w:val="right"/>
              <w:rPr>
                <w:rFonts w:cs="宋体"/>
                <w:sz w:val="18"/>
                <w:szCs w:val="18"/>
              </w:rPr>
            </w:pPr>
            <w:r w:rsidRPr="0063248C">
              <w:rPr>
                <w:rFonts w:cs="宋体"/>
                <w:sz w:val="18"/>
                <w:szCs w:val="18"/>
              </w:rPr>
              <w:t>0.38%</w:t>
            </w:r>
          </w:p>
        </w:tc>
        <w:tc>
          <w:tcPr>
            <w:tcW w:w="1606" w:type="dxa"/>
            <w:tcBorders>
              <w:top w:val="single" w:sz="2" w:space="0" w:color="auto"/>
              <w:left w:val="single" w:sz="2" w:space="0" w:color="auto"/>
              <w:bottom w:val="single" w:sz="2" w:space="0" w:color="auto"/>
              <w:right w:val="single" w:sz="2" w:space="0" w:color="auto"/>
            </w:tcBorders>
            <w:vAlign w:val="center"/>
          </w:tcPr>
          <w:p w14:paraId="684CBEC4" w14:textId="77777777" w:rsidR="007B3DB2" w:rsidRPr="0063248C" w:rsidRDefault="00000000">
            <w:pPr>
              <w:spacing w:line="240" w:lineRule="exact"/>
              <w:jc w:val="right"/>
              <w:rPr>
                <w:rFonts w:cs="宋体"/>
                <w:sz w:val="18"/>
                <w:szCs w:val="18"/>
              </w:rPr>
            </w:pPr>
            <w:r w:rsidRPr="0063248C">
              <w:rPr>
                <w:rFonts w:cs="宋体"/>
                <w:sz w:val="18"/>
                <w:szCs w:val="18"/>
              </w:rPr>
              <w:t>44,264,515.21</w:t>
            </w:r>
          </w:p>
        </w:tc>
        <w:tc>
          <w:tcPr>
            <w:tcW w:w="1606" w:type="dxa"/>
            <w:tcBorders>
              <w:top w:val="single" w:sz="2" w:space="0" w:color="auto"/>
              <w:left w:val="single" w:sz="2" w:space="0" w:color="auto"/>
              <w:bottom w:val="single" w:sz="2" w:space="0" w:color="auto"/>
              <w:right w:val="single" w:sz="2" w:space="0" w:color="auto"/>
            </w:tcBorders>
            <w:vAlign w:val="center"/>
          </w:tcPr>
          <w:p w14:paraId="633F5F7C" w14:textId="77777777" w:rsidR="007B3DB2" w:rsidRPr="0063248C" w:rsidRDefault="00000000">
            <w:pPr>
              <w:spacing w:line="240" w:lineRule="exact"/>
              <w:jc w:val="right"/>
              <w:rPr>
                <w:rFonts w:cs="宋体"/>
                <w:sz w:val="18"/>
                <w:szCs w:val="18"/>
              </w:rPr>
            </w:pPr>
            <w:r w:rsidRPr="0063248C">
              <w:rPr>
                <w:rFonts w:cs="宋体"/>
                <w:sz w:val="18"/>
                <w:szCs w:val="18"/>
              </w:rPr>
              <w:t>0.66%</w:t>
            </w:r>
          </w:p>
        </w:tc>
        <w:tc>
          <w:tcPr>
            <w:tcW w:w="1606" w:type="dxa"/>
            <w:tcBorders>
              <w:top w:val="single" w:sz="2" w:space="0" w:color="auto"/>
              <w:left w:val="single" w:sz="2" w:space="0" w:color="auto"/>
              <w:bottom w:val="single" w:sz="2" w:space="0" w:color="auto"/>
              <w:right w:val="single" w:sz="2" w:space="0" w:color="auto"/>
            </w:tcBorders>
            <w:vAlign w:val="center"/>
          </w:tcPr>
          <w:p w14:paraId="113F02AC" w14:textId="77777777" w:rsidR="007B3DB2" w:rsidRPr="0063248C" w:rsidRDefault="00000000">
            <w:pPr>
              <w:spacing w:line="240" w:lineRule="exact"/>
              <w:jc w:val="right"/>
              <w:rPr>
                <w:rFonts w:cs="宋体"/>
                <w:sz w:val="18"/>
                <w:szCs w:val="18"/>
              </w:rPr>
            </w:pPr>
            <w:r w:rsidRPr="0063248C">
              <w:rPr>
                <w:rFonts w:cs="宋体"/>
                <w:sz w:val="18"/>
                <w:szCs w:val="18"/>
              </w:rPr>
              <w:t>-57.18%</w:t>
            </w:r>
          </w:p>
        </w:tc>
      </w:tr>
    </w:tbl>
    <w:p w14:paraId="3DCEB69D" w14:textId="77777777" w:rsidR="007B3DB2" w:rsidRPr="0063248C" w:rsidRDefault="00000000">
      <w:pPr>
        <w:spacing w:before="100" w:after="100" w:line="240" w:lineRule="exact"/>
        <w:rPr>
          <w:rFonts w:cs="宋体"/>
          <w:sz w:val="18"/>
          <w:szCs w:val="18"/>
        </w:rPr>
      </w:pPr>
      <w:r w:rsidRPr="0063248C">
        <w:rPr>
          <w:rFonts w:cs="宋体"/>
          <w:sz w:val="18"/>
          <w:szCs w:val="18"/>
        </w:rPr>
        <w:t>占公司营业收入或营业利润</w:t>
      </w:r>
      <w:r w:rsidRPr="0063248C">
        <w:rPr>
          <w:rFonts w:cs="宋体"/>
          <w:sz w:val="18"/>
          <w:szCs w:val="18"/>
        </w:rPr>
        <w:t>10%</w:t>
      </w:r>
      <w:r w:rsidRPr="0063248C">
        <w:rPr>
          <w:rFonts w:cs="宋体"/>
          <w:sz w:val="18"/>
          <w:szCs w:val="18"/>
        </w:rPr>
        <w:t>以上的行业、产品或地区情况</w:t>
      </w:r>
    </w:p>
    <w:p w14:paraId="3E407A74" w14:textId="77777777" w:rsidR="007B3DB2" w:rsidRPr="0063248C" w:rsidRDefault="00000000">
      <w:pPr>
        <w:spacing w:before="100" w:after="10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4AA690AD"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600"/>
        <w:gridCol w:w="1559"/>
        <w:gridCol w:w="972"/>
        <w:gridCol w:w="1377"/>
        <w:gridCol w:w="1377"/>
        <w:gridCol w:w="1377"/>
      </w:tblGrid>
      <w:tr w:rsidR="007B3DB2" w:rsidRPr="0063248C" w14:paraId="5F4F6AE8"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3092332" w14:textId="77777777" w:rsidR="007B3DB2" w:rsidRPr="0063248C" w:rsidRDefault="007B3DB2"/>
        </w:tc>
        <w:tc>
          <w:tcPr>
            <w:tcW w:w="1600" w:type="dxa"/>
            <w:tcBorders>
              <w:top w:val="single" w:sz="2" w:space="0" w:color="auto"/>
              <w:left w:val="single" w:sz="2" w:space="0" w:color="auto"/>
              <w:bottom w:val="single" w:sz="2" w:space="0" w:color="auto"/>
              <w:right w:val="single" w:sz="2" w:space="0" w:color="auto"/>
            </w:tcBorders>
            <w:shd w:val="clear" w:color="auto" w:fill="D3D3D3"/>
            <w:vAlign w:val="center"/>
          </w:tcPr>
          <w:p w14:paraId="40983A03" w14:textId="77777777" w:rsidR="007B3DB2" w:rsidRPr="0063248C" w:rsidRDefault="00000000">
            <w:pPr>
              <w:spacing w:before="40" w:after="40" w:line="240" w:lineRule="exact"/>
              <w:jc w:val="center"/>
              <w:rPr>
                <w:rFonts w:cs="宋体"/>
                <w:sz w:val="18"/>
                <w:szCs w:val="18"/>
              </w:rPr>
            </w:pPr>
            <w:r w:rsidRPr="0063248C">
              <w:rPr>
                <w:rFonts w:cs="宋体"/>
                <w:sz w:val="18"/>
                <w:szCs w:val="18"/>
              </w:rPr>
              <w:t>营业收入</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2AF660E1" w14:textId="77777777" w:rsidR="007B3DB2" w:rsidRPr="0063248C" w:rsidRDefault="00000000">
            <w:pPr>
              <w:spacing w:before="40" w:after="40" w:line="240" w:lineRule="exact"/>
              <w:jc w:val="center"/>
              <w:rPr>
                <w:rFonts w:cs="宋体"/>
                <w:sz w:val="18"/>
                <w:szCs w:val="18"/>
              </w:rPr>
            </w:pPr>
            <w:r w:rsidRPr="0063248C">
              <w:rPr>
                <w:rFonts w:cs="宋体"/>
                <w:sz w:val="18"/>
                <w:szCs w:val="18"/>
              </w:rPr>
              <w:t>营业成本</w:t>
            </w:r>
          </w:p>
        </w:tc>
        <w:tc>
          <w:tcPr>
            <w:tcW w:w="972" w:type="dxa"/>
            <w:tcBorders>
              <w:top w:val="single" w:sz="2" w:space="0" w:color="auto"/>
              <w:left w:val="single" w:sz="2" w:space="0" w:color="auto"/>
              <w:bottom w:val="single" w:sz="2" w:space="0" w:color="auto"/>
              <w:right w:val="single" w:sz="2" w:space="0" w:color="auto"/>
            </w:tcBorders>
            <w:shd w:val="clear" w:color="auto" w:fill="D3D3D3"/>
            <w:vAlign w:val="center"/>
          </w:tcPr>
          <w:p w14:paraId="48EF5EC5" w14:textId="77777777" w:rsidR="007B3DB2" w:rsidRPr="0063248C" w:rsidRDefault="00000000">
            <w:pPr>
              <w:spacing w:before="40" w:after="40" w:line="240" w:lineRule="exact"/>
              <w:jc w:val="center"/>
              <w:rPr>
                <w:rFonts w:cs="宋体"/>
                <w:sz w:val="18"/>
                <w:szCs w:val="18"/>
              </w:rPr>
            </w:pPr>
            <w:r w:rsidRPr="0063248C">
              <w:rPr>
                <w:rFonts w:cs="宋体"/>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138CE7" w14:textId="77777777" w:rsidR="007B3DB2" w:rsidRPr="0063248C" w:rsidRDefault="00000000">
            <w:pPr>
              <w:spacing w:before="40" w:after="40" w:line="240" w:lineRule="exact"/>
              <w:jc w:val="center"/>
              <w:rPr>
                <w:rFonts w:cs="宋体"/>
                <w:sz w:val="18"/>
                <w:szCs w:val="18"/>
              </w:rPr>
            </w:pPr>
            <w:r w:rsidRPr="0063248C">
              <w:rPr>
                <w:rFonts w:cs="宋体"/>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3112B85" w14:textId="77777777" w:rsidR="007B3DB2" w:rsidRPr="0063248C" w:rsidRDefault="00000000">
            <w:pPr>
              <w:spacing w:before="40" w:after="40" w:line="240" w:lineRule="exact"/>
              <w:jc w:val="center"/>
              <w:rPr>
                <w:rFonts w:cs="宋体"/>
                <w:sz w:val="18"/>
                <w:szCs w:val="18"/>
              </w:rPr>
            </w:pPr>
            <w:r w:rsidRPr="0063248C">
              <w:rPr>
                <w:rFonts w:cs="宋体"/>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4BF7099" w14:textId="77777777" w:rsidR="007B3DB2" w:rsidRPr="0063248C" w:rsidRDefault="00000000">
            <w:pPr>
              <w:spacing w:before="40" w:after="40" w:line="240" w:lineRule="exact"/>
              <w:jc w:val="center"/>
              <w:rPr>
                <w:rFonts w:cs="宋体"/>
                <w:sz w:val="18"/>
                <w:szCs w:val="18"/>
              </w:rPr>
            </w:pPr>
            <w:r w:rsidRPr="0063248C">
              <w:rPr>
                <w:rFonts w:cs="宋体"/>
                <w:sz w:val="18"/>
                <w:szCs w:val="18"/>
              </w:rPr>
              <w:t>毛利率比上年同期增减</w:t>
            </w:r>
          </w:p>
        </w:tc>
      </w:tr>
      <w:tr w:rsidR="007B3DB2" w:rsidRPr="0063248C" w14:paraId="1C08F8EF"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04C53182" w14:textId="77777777" w:rsidR="007B3DB2" w:rsidRPr="0063248C" w:rsidRDefault="00000000">
            <w:pPr>
              <w:spacing w:before="40" w:after="40" w:line="240" w:lineRule="exact"/>
              <w:rPr>
                <w:rFonts w:cs="宋体"/>
                <w:sz w:val="18"/>
                <w:szCs w:val="18"/>
              </w:rPr>
            </w:pPr>
            <w:r w:rsidRPr="0063248C">
              <w:rPr>
                <w:rFonts w:cs="宋体"/>
                <w:sz w:val="18"/>
                <w:szCs w:val="18"/>
              </w:rPr>
              <w:t>分行业</w:t>
            </w:r>
          </w:p>
        </w:tc>
      </w:tr>
      <w:tr w:rsidR="007B3DB2" w:rsidRPr="0063248C" w14:paraId="6C37BA1B"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F429EDA" w14:textId="77777777" w:rsidR="007B3DB2" w:rsidRPr="0063248C" w:rsidRDefault="00000000">
            <w:pPr>
              <w:spacing w:line="240" w:lineRule="exact"/>
              <w:rPr>
                <w:rFonts w:cs="宋体"/>
                <w:sz w:val="18"/>
                <w:szCs w:val="18"/>
              </w:rPr>
            </w:pPr>
            <w:r w:rsidRPr="0063248C">
              <w:rPr>
                <w:rFonts w:cs="宋体"/>
                <w:sz w:val="18"/>
                <w:szCs w:val="18"/>
              </w:rPr>
              <w:t>屠宰行业</w:t>
            </w:r>
          </w:p>
        </w:tc>
        <w:tc>
          <w:tcPr>
            <w:tcW w:w="1600" w:type="dxa"/>
            <w:tcBorders>
              <w:top w:val="single" w:sz="2" w:space="0" w:color="auto"/>
              <w:left w:val="single" w:sz="2" w:space="0" w:color="auto"/>
              <w:bottom w:val="single" w:sz="2" w:space="0" w:color="auto"/>
              <w:right w:val="single" w:sz="2" w:space="0" w:color="auto"/>
            </w:tcBorders>
            <w:vAlign w:val="center"/>
          </w:tcPr>
          <w:p w14:paraId="59D4C33F" w14:textId="77777777" w:rsidR="007B3DB2" w:rsidRPr="0063248C" w:rsidRDefault="00000000">
            <w:pPr>
              <w:spacing w:line="240" w:lineRule="exact"/>
              <w:jc w:val="right"/>
              <w:rPr>
                <w:rFonts w:cs="宋体"/>
                <w:sz w:val="18"/>
                <w:szCs w:val="18"/>
              </w:rPr>
            </w:pPr>
            <w:r w:rsidRPr="0063248C">
              <w:rPr>
                <w:rFonts w:cs="宋体"/>
                <w:sz w:val="18"/>
                <w:szCs w:val="18"/>
              </w:rPr>
              <w:t>3,900,971,821.83</w:t>
            </w:r>
          </w:p>
        </w:tc>
        <w:tc>
          <w:tcPr>
            <w:tcW w:w="1559" w:type="dxa"/>
            <w:tcBorders>
              <w:top w:val="single" w:sz="2" w:space="0" w:color="auto"/>
              <w:left w:val="single" w:sz="2" w:space="0" w:color="auto"/>
              <w:bottom w:val="single" w:sz="2" w:space="0" w:color="auto"/>
              <w:right w:val="single" w:sz="2" w:space="0" w:color="auto"/>
            </w:tcBorders>
            <w:vAlign w:val="center"/>
          </w:tcPr>
          <w:p w14:paraId="52532E9D" w14:textId="77777777" w:rsidR="007B3DB2" w:rsidRPr="0063248C" w:rsidRDefault="00000000">
            <w:pPr>
              <w:spacing w:line="240" w:lineRule="exact"/>
              <w:jc w:val="right"/>
              <w:rPr>
                <w:rFonts w:cs="宋体"/>
                <w:sz w:val="18"/>
                <w:szCs w:val="18"/>
              </w:rPr>
            </w:pPr>
            <w:r w:rsidRPr="0063248C">
              <w:rPr>
                <w:rFonts w:cs="宋体"/>
                <w:sz w:val="18"/>
                <w:szCs w:val="18"/>
              </w:rPr>
              <w:t>3,791,677,951.86</w:t>
            </w:r>
          </w:p>
        </w:tc>
        <w:tc>
          <w:tcPr>
            <w:tcW w:w="972" w:type="dxa"/>
            <w:tcBorders>
              <w:top w:val="single" w:sz="2" w:space="0" w:color="auto"/>
              <w:left w:val="single" w:sz="2" w:space="0" w:color="auto"/>
              <w:bottom w:val="single" w:sz="2" w:space="0" w:color="auto"/>
              <w:right w:val="single" w:sz="2" w:space="0" w:color="auto"/>
            </w:tcBorders>
            <w:vAlign w:val="center"/>
          </w:tcPr>
          <w:p w14:paraId="5C3017FF" w14:textId="77777777" w:rsidR="007B3DB2" w:rsidRPr="0063248C" w:rsidRDefault="00000000">
            <w:pPr>
              <w:spacing w:line="240" w:lineRule="exact"/>
              <w:jc w:val="right"/>
              <w:rPr>
                <w:rFonts w:cs="宋体"/>
                <w:sz w:val="18"/>
                <w:szCs w:val="18"/>
              </w:rPr>
            </w:pPr>
            <w:r w:rsidRPr="0063248C">
              <w:rPr>
                <w:rFonts w:cs="宋体"/>
                <w:sz w:val="18"/>
                <w:szCs w:val="18"/>
              </w:rPr>
              <w:t>2.80%</w:t>
            </w:r>
          </w:p>
        </w:tc>
        <w:tc>
          <w:tcPr>
            <w:tcW w:w="1377" w:type="dxa"/>
            <w:tcBorders>
              <w:top w:val="single" w:sz="2" w:space="0" w:color="auto"/>
              <w:left w:val="single" w:sz="2" w:space="0" w:color="auto"/>
              <w:bottom w:val="single" w:sz="2" w:space="0" w:color="auto"/>
              <w:right w:val="single" w:sz="2" w:space="0" w:color="auto"/>
            </w:tcBorders>
            <w:vAlign w:val="center"/>
          </w:tcPr>
          <w:p w14:paraId="3C157F1C" w14:textId="77777777" w:rsidR="007B3DB2" w:rsidRPr="0063248C" w:rsidRDefault="00000000">
            <w:pPr>
              <w:spacing w:line="240" w:lineRule="exact"/>
              <w:jc w:val="right"/>
              <w:rPr>
                <w:rFonts w:cs="宋体"/>
                <w:sz w:val="18"/>
                <w:szCs w:val="18"/>
              </w:rPr>
            </w:pPr>
            <w:r w:rsidRPr="0063248C">
              <w:rPr>
                <w:rFonts w:cs="宋体"/>
                <w:sz w:val="18"/>
                <w:szCs w:val="18"/>
              </w:rPr>
              <w:t>-17.04%</w:t>
            </w:r>
          </w:p>
        </w:tc>
        <w:tc>
          <w:tcPr>
            <w:tcW w:w="1377" w:type="dxa"/>
            <w:tcBorders>
              <w:top w:val="single" w:sz="2" w:space="0" w:color="auto"/>
              <w:left w:val="single" w:sz="2" w:space="0" w:color="auto"/>
              <w:bottom w:val="single" w:sz="2" w:space="0" w:color="auto"/>
              <w:right w:val="single" w:sz="2" w:space="0" w:color="auto"/>
            </w:tcBorders>
            <w:vAlign w:val="center"/>
          </w:tcPr>
          <w:p w14:paraId="1FBA171C" w14:textId="77777777" w:rsidR="007B3DB2" w:rsidRPr="0063248C" w:rsidRDefault="00000000">
            <w:pPr>
              <w:spacing w:line="240" w:lineRule="exact"/>
              <w:jc w:val="right"/>
              <w:rPr>
                <w:rFonts w:cs="宋体"/>
                <w:sz w:val="18"/>
                <w:szCs w:val="18"/>
              </w:rPr>
            </w:pPr>
            <w:r w:rsidRPr="0063248C">
              <w:rPr>
                <w:rFonts w:cs="宋体"/>
                <w:sz w:val="18"/>
                <w:szCs w:val="18"/>
              </w:rPr>
              <w:t>-19.18%</w:t>
            </w:r>
          </w:p>
        </w:tc>
        <w:tc>
          <w:tcPr>
            <w:tcW w:w="1377" w:type="dxa"/>
            <w:tcBorders>
              <w:top w:val="single" w:sz="2" w:space="0" w:color="auto"/>
              <w:left w:val="single" w:sz="2" w:space="0" w:color="auto"/>
              <w:bottom w:val="single" w:sz="2" w:space="0" w:color="auto"/>
              <w:right w:val="single" w:sz="2" w:space="0" w:color="auto"/>
            </w:tcBorders>
            <w:vAlign w:val="center"/>
          </w:tcPr>
          <w:p w14:paraId="41156104" w14:textId="77777777" w:rsidR="007B3DB2" w:rsidRPr="0063248C" w:rsidRDefault="00000000">
            <w:pPr>
              <w:spacing w:line="240" w:lineRule="exact"/>
              <w:jc w:val="right"/>
              <w:rPr>
                <w:rFonts w:cs="宋体"/>
                <w:sz w:val="18"/>
                <w:szCs w:val="18"/>
              </w:rPr>
            </w:pPr>
            <w:r w:rsidRPr="0063248C">
              <w:rPr>
                <w:rFonts w:cs="宋体"/>
                <w:sz w:val="18"/>
                <w:szCs w:val="18"/>
              </w:rPr>
              <w:t>2.56%</w:t>
            </w:r>
          </w:p>
        </w:tc>
      </w:tr>
      <w:tr w:rsidR="007B3DB2" w:rsidRPr="0063248C" w14:paraId="3D13FD5B"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0EB8DFA" w14:textId="77777777" w:rsidR="007B3DB2" w:rsidRPr="0063248C" w:rsidRDefault="00000000">
            <w:pPr>
              <w:spacing w:line="240" w:lineRule="exact"/>
              <w:rPr>
                <w:rFonts w:cs="宋体"/>
                <w:sz w:val="18"/>
                <w:szCs w:val="18"/>
              </w:rPr>
            </w:pPr>
            <w:r w:rsidRPr="0063248C">
              <w:rPr>
                <w:rFonts w:cs="宋体"/>
                <w:sz w:val="18"/>
                <w:szCs w:val="18"/>
              </w:rPr>
              <w:t>食品行业</w:t>
            </w:r>
          </w:p>
        </w:tc>
        <w:tc>
          <w:tcPr>
            <w:tcW w:w="1600" w:type="dxa"/>
            <w:tcBorders>
              <w:top w:val="single" w:sz="2" w:space="0" w:color="auto"/>
              <w:left w:val="single" w:sz="2" w:space="0" w:color="auto"/>
              <w:bottom w:val="single" w:sz="2" w:space="0" w:color="auto"/>
              <w:right w:val="single" w:sz="2" w:space="0" w:color="auto"/>
            </w:tcBorders>
            <w:vAlign w:val="center"/>
          </w:tcPr>
          <w:p w14:paraId="57B28683" w14:textId="77777777" w:rsidR="007B3DB2" w:rsidRPr="0063248C" w:rsidRDefault="00000000">
            <w:pPr>
              <w:spacing w:line="240" w:lineRule="exact"/>
              <w:jc w:val="right"/>
              <w:rPr>
                <w:rFonts w:cs="宋体"/>
                <w:sz w:val="18"/>
                <w:szCs w:val="18"/>
              </w:rPr>
            </w:pPr>
            <w:r w:rsidRPr="0063248C">
              <w:rPr>
                <w:rFonts w:cs="宋体"/>
                <w:sz w:val="18"/>
                <w:szCs w:val="18"/>
              </w:rPr>
              <w:t>1,081,810,685.13</w:t>
            </w:r>
          </w:p>
        </w:tc>
        <w:tc>
          <w:tcPr>
            <w:tcW w:w="1559" w:type="dxa"/>
            <w:tcBorders>
              <w:top w:val="single" w:sz="2" w:space="0" w:color="auto"/>
              <w:left w:val="single" w:sz="2" w:space="0" w:color="auto"/>
              <w:bottom w:val="single" w:sz="2" w:space="0" w:color="auto"/>
              <w:right w:val="single" w:sz="2" w:space="0" w:color="auto"/>
            </w:tcBorders>
            <w:vAlign w:val="center"/>
          </w:tcPr>
          <w:p w14:paraId="76DF2F7F" w14:textId="77777777" w:rsidR="007B3DB2" w:rsidRPr="0063248C" w:rsidRDefault="00000000">
            <w:pPr>
              <w:spacing w:line="240" w:lineRule="exact"/>
              <w:jc w:val="right"/>
              <w:rPr>
                <w:rFonts w:cs="宋体"/>
                <w:sz w:val="18"/>
                <w:szCs w:val="18"/>
              </w:rPr>
            </w:pPr>
            <w:r w:rsidRPr="0063248C">
              <w:rPr>
                <w:rFonts w:cs="宋体"/>
                <w:sz w:val="18"/>
                <w:szCs w:val="18"/>
              </w:rPr>
              <w:t>945,711,844.37</w:t>
            </w:r>
          </w:p>
        </w:tc>
        <w:tc>
          <w:tcPr>
            <w:tcW w:w="972" w:type="dxa"/>
            <w:tcBorders>
              <w:top w:val="single" w:sz="2" w:space="0" w:color="auto"/>
              <w:left w:val="single" w:sz="2" w:space="0" w:color="auto"/>
              <w:bottom w:val="single" w:sz="2" w:space="0" w:color="auto"/>
              <w:right w:val="single" w:sz="2" w:space="0" w:color="auto"/>
            </w:tcBorders>
            <w:vAlign w:val="center"/>
          </w:tcPr>
          <w:p w14:paraId="6B2E0828" w14:textId="77777777" w:rsidR="007B3DB2" w:rsidRPr="0063248C" w:rsidRDefault="00000000">
            <w:pPr>
              <w:spacing w:line="240" w:lineRule="exact"/>
              <w:jc w:val="right"/>
              <w:rPr>
                <w:rFonts w:cs="宋体"/>
                <w:sz w:val="18"/>
                <w:szCs w:val="18"/>
              </w:rPr>
            </w:pPr>
            <w:r w:rsidRPr="0063248C">
              <w:rPr>
                <w:rFonts w:cs="宋体"/>
                <w:sz w:val="18"/>
                <w:szCs w:val="18"/>
              </w:rPr>
              <w:t>12.58%</w:t>
            </w:r>
          </w:p>
        </w:tc>
        <w:tc>
          <w:tcPr>
            <w:tcW w:w="1377" w:type="dxa"/>
            <w:tcBorders>
              <w:top w:val="single" w:sz="2" w:space="0" w:color="auto"/>
              <w:left w:val="single" w:sz="2" w:space="0" w:color="auto"/>
              <w:bottom w:val="single" w:sz="2" w:space="0" w:color="auto"/>
              <w:right w:val="single" w:sz="2" w:space="0" w:color="auto"/>
            </w:tcBorders>
            <w:vAlign w:val="center"/>
          </w:tcPr>
          <w:p w14:paraId="5FFBCB75" w14:textId="77777777" w:rsidR="007B3DB2" w:rsidRPr="0063248C" w:rsidRDefault="00000000">
            <w:pPr>
              <w:spacing w:line="240" w:lineRule="exact"/>
              <w:jc w:val="right"/>
              <w:rPr>
                <w:rFonts w:cs="宋体"/>
                <w:sz w:val="18"/>
                <w:szCs w:val="18"/>
              </w:rPr>
            </w:pPr>
            <w:r w:rsidRPr="0063248C">
              <w:rPr>
                <w:rFonts w:cs="宋体"/>
                <w:sz w:val="18"/>
                <w:szCs w:val="18"/>
              </w:rPr>
              <w:t>0.39%</w:t>
            </w:r>
          </w:p>
        </w:tc>
        <w:tc>
          <w:tcPr>
            <w:tcW w:w="1377" w:type="dxa"/>
            <w:tcBorders>
              <w:top w:val="single" w:sz="2" w:space="0" w:color="auto"/>
              <w:left w:val="single" w:sz="2" w:space="0" w:color="auto"/>
              <w:bottom w:val="single" w:sz="2" w:space="0" w:color="auto"/>
              <w:right w:val="single" w:sz="2" w:space="0" w:color="auto"/>
            </w:tcBorders>
            <w:vAlign w:val="center"/>
          </w:tcPr>
          <w:p w14:paraId="59B93B1E" w14:textId="77777777" w:rsidR="007B3DB2" w:rsidRPr="0063248C" w:rsidRDefault="00000000">
            <w:pPr>
              <w:spacing w:line="240" w:lineRule="exact"/>
              <w:jc w:val="right"/>
              <w:rPr>
                <w:rFonts w:cs="宋体"/>
                <w:sz w:val="18"/>
                <w:szCs w:val="18"/>
              </w:rPr>
            </w:pPr>
            <w:r w:rsidRPr="0063248C">
              <w:rPr>
                <w:rFonts w:cs="宋体"/>
                <w:sz w:val="18"/>
                <w:szCs w:val="18"/>
              </w:rPr>
              <w:t>-3.40%</w:t>
            </w:r>
          </w:p>
        </w:tc>
        <w:tc>
          <w:tcPr>
            <w:tcW w:w="1377" w:type="dxa"/>
            <w:tcBorders>
              <w:top w:val="single" w:sz="2" w:space="0" w:color="auto"/>
              <w:left w:val="single" w:sz="2" w:space="0" w:color="auto"/>
              <w:bottom w:val="single" w:sz="2" w:space="0" w:color="auto"/>
              <w:right w:val="single" w:sz="2" w:space="0" w:color="auto"/>
            </w:tcBorders>
            <w:vAlign w:val="center"/>
          </w:tcPr>
          <w:p w14:paraId="321DD227" w14:textId="77777777" w:rsidR="007B3DB2" w:rsidRPr="0063248C" w:rsidRDefault="00000000">
            <w:pPr>
              <w:spacing w:line="240" w:lineRule="exact"/>
              <w:jc w:val="right"/>
              <w:rPr>
                <w:rFonts w:cs="宋体"/>
                <w:sz w:val="18"/>
                <w:szCs w:val="18"/>
              </w:rPr>
            </w:pPr>
            <w:r w:rsidRPr="0063248C">
              <w:rPr>
                <w:rFonts w:cs="宋体"/>
                <w:sz w:val="18"/>
                <w:szCs w:val="18"/>
              </w:rPr>
              <w:t>3.43%</w:t>
            </w:r>
          </w:p>
        </w:tc>
      </w:tr>
      <w:tr w:rsidR="007B3DB2" w:rsidRPr="0063248C" w14:paraId="5C04567A"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42EB6812" w14:textId="77777777" w:rsidR="007B3DB2" w:rsidRPr="0063248C" w:rsidRDefault="00000000">
            <w:pPr>
              <w:spacing w:before="40" w:after="40" w:line="240" w:lineRule="exact"/>
              <w:rPr>
                <w:rFonts w:cs="宋体"/>
                <w:sz w:val="18"/>
                <w:szCs w:val="18"/>
              </w:rPr>
            </w:pPr>
            <w:r w:rsidRPr="0063248C">
              <w:rPr>
                <w:rFonts w:cs="宋体"/>
                <w:sz w:val="18"/>
                <w:szCs w:val="18"/>
              </w:rPr>
              <w:t>分产品</w:t>
            </w:r>
          </w:p>
        </w:tc>
      </w:tr>
      <w:tr w:rsidR="007B3DB2" w:rsidRPr="0063248C" w14:paraId="36241FF9"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D765B4A" w14:textId="77777777" w:rsidR="007B3DB2" w:rsidRPr="0063248C" w:rsidRDefault="00000000">
            <w:pPr>
              <w:spacing w:line="240" w:lineRule="exact"/>
              <w:rPr>
                <w:rFonts w:cs="宋体"/>
                <w:sz w:val="18"/>
                <w:szCs w:val="18"/>
              </w:rPr>
            </w:pPr>
            <w:r w:rsidRPr="0063248C">
              <w:rPr>
                <w:rFonts w:cs="宋体"/>
                <w:sz w:val="18"/>
                <w:szCs w:val="18"/>
              </w:rPr>
              <w:t>鲜冻肉</w:t>
            </w:r>
          </w:p>
        </w:tc>
        <w:tc>
          <w:tcPr>
            <w:tcW w:w="1600" w:type="dxa"/>
            <w:tcBorders>
              <w:top w:val="single" w:sz="2" w:space="0" w:color="auto"/>
              <w:left w:val="single" w:sz="2" w:space="0" w:color="auto"/>
              <w:bottom w:val="single" w:sz="2" w:space="0" w:color="auto"/>
              <w:right w:val="single" w:sz="2" w:space="0" w:color="auto"/>
            </w:tcBorders>
            <w:vAlign w:val="center"/>
          </w:tcPr>
          <w:p w14:paraId="3098FEF9" w14:textId="77777777" w:rsidR="007B3DB2" w:rsidRPr="0063248C" w:rsidRDefault="00000000">
            <w:pPr>
              <w:spacing w:line="240" w:lineRule="exact"/>
              <w:jc w:val="right"/>
              <w:rPr>
                <w:rFonts w:cs="宋体"/>
                <w:sz w:val="18"/>
                <w:szCs w:val="18"/>
              </w:rPr>
            </w:pPr>
            <w:r w:rsidRPr="0063248C">
              <w:rPr>
                <w:rFonts w:cs="宋体"/>
                <w:sz w:val="18"/>
                <w:szCs w:val="18"/>
              </w:rPr>
              <w:t>3,900,971,821.83</w:t>
            </w:r>
          </w:p>
        </w:tc>
        <w:tc>
          <w:tcPr>
            <w:tcW w:w="1559" w:type="dxa"/>
            <w:tcBorders>
              <w:top w:val="single" w:sz="2" w:space="0" w:color="auto"/>
              <w:left w:val="single" w:sz="2" w:space="0" w:color="auto"/>
              <w:bottom w:val="single" w:sz="2" w:space="0" w:color="auto"/>
              <w:right w:val="single" w:sz="2" w:space="0" w:color="auto"/>
            </w:tcBorders>
            <w:vAlign w:val="center"/>
          </w:tcPr>
          <w:p w14:paraId="787A6F2B" w14:textId="77777777" w:rsidR="007B3DB2" w:rsidRPr="0063248C" w:rsidRDefault="00000000">
            <w:pPr>
              <w:spacing w:line="240" w:lineRule="exact"/>
              <w:jc w:val="right"/>
              <w:rPr>
                <w:rFonts w:cs="宋体"/>
                <w:sz w:val="18"/>
                <w:szCs w:val="18"/>
              </w:rPr>
            </w:pPr>
            <w:r w:rsidRPr="0063248C">
              <w:rPr>
                <w:rFonts w:cs="宋体"/>
                <w:sz w:val="18"/>
                <w:szCs w:val="18"/>
              </w:rPr>
              <w:t>3,791,677,951.86</w:t>
            </w:r>
          </w:p>
        </w:tc>
        <w:tc>
          <w:tcPr>
            <w:tcW w:w="972" w:type="dxa"/>
            <w:tcBorders>
              <w:top w:val="single" w:sz="2" w:space="0" w:color="auto"/>
              <w:left w:val="single" w:sz="2" w:space="0" w:color="auto"/>
              <w:bottom w:val="single" w:sz="2" w:space="0" w:color="auto"/>
              <w:right w:val="single" w:sz="2" w:space="0" w:color="auto"/>
            </w:tcBorders>
            <w:vAlign w:val="center"/>
          </w:tcPr>
          <w:p w14:paraId="0C07C739" w14:textId="77777777" w:rsidR="007B3DB2" w:rsidRPr="0063248C" w:rsidRDefault="00000000">
            <w:pPr>
              <w:spacing w:line="240" w:lineRule="exact"/>
              <w:jc w:val="right"/>
              <w:rPr>
                <w:rFonts w:cs="宋体"/>
                <w:sz w:val="18"/>
                <w:szCs w:val="18"/>
              </w:rPr>
            </w:pPr>
            <w:r w:rsidRPr="0063248C">
              <w:rPr>
                <w:rFonts w:cs="宋体"/>
                <w:sz w:val="18"/>
                <w:szCs w:val="18"/>
              </w:rPr>
              <w:t>2.80%</w:t>
            </w:r>
          </w:p>
        </w:tc>
        <w:tc>
          <w:tcPr>
            <w:tcW w:w="1377" w:type="dxa"/>
            <w:tcBorders>
              <w:top w:val="single" w:sz="2" w:space="0" w:color="auto"/>
              <w:left w:val="single" w:sz="2" w:space="0" w:color="auto"/>
              <w:bottom w:val="single" w:sz="2" w:space="0" w:color="auto"/>
              <w:right w:val="single" w:sz="2" w:space="0" w:color="auto"/>
            </w:tcBorders>
            <w:vAlign w:val="center"/>
          </w:tcPr>
          <w:p w14:paraId="2172A043" w14:textId="77777777" w:rsidR="007B3DB2" w:rsidRPr="0063248C" w:rsidRDefault="00000000">
            <w:pPr>
              <w:spacing w:line="240" w:lineRule="exact"/>
              <w:jc w:val="right"/>
              <w:rPr>
                <w:rFonts w:cs="宋体"/>
                <w:sz w:val="18"/>
                <w:szCs w:val="18"/>
              </w:rPr>
            </w:pPr>
            <w:r w:rsidRPr="0063248C">
              <w:rPr>
                <w:rFonts w:cs="宋体"/>
                <w:sz w:val="18"/>
                <w:szCs w:val="18"/>
              </w:rPr>
              <w:t>-17.04%</w:t>
            </w:r>
          </w:p>
        </w:tc>
        <w:tc>
          <w:tcPr>
            <w:tcW w:w="1377" w:type="dxa"/>
            <w:tcBorders>
              <w:top w:val="single" w:sz="2" w:space="0" w:color="auto"/>
              <w:left w:val="single" w:sz="2" w:space="0" w:color="auto"/>
              <w:bottom w:val="single" w:sz="2" w:space="0" w:color="auto"/>
              <w:right w:val="single" w:sz="2" w:space="0" w:color="auto"/>
            </w:tcBorders>
            <w:vAlign w:val="center"/>
          </w:tcPr>
          <w:p w14:paraId="457AF9EA" w14:textId="77777777" w:rsidR="007B3DB2" w:rsidRPr="0063248C" w:rsidRDefault="00000000">
            <w:pPr>
              <w:spacing w:line="240" w:lineRule="exact"/>
              <w:jc w:val="right"/>
              <w:rPr>
                <w:rFonts w:cs="宋体"/>
                <w:sz w:val="18"/>
                <w:szCs w:val="18"/>
              </w:rPr>
            </w:pPr>
            <w:r w:rsidRPr="0063248C">
              <w:rPr>
                <w:rFonts w:cs="宋体"/>
                <w:sz w:val="18"/>
                <w:szCs w:val="18"/>
              </w:rPr>
              <w:t>-19.18%</w:t>
            </w:r>
          </w:p>
        </w:tc>
        <w:tc>
          <w:tcPr>
            <w:tcW w:w="1377" w:type="dxa"/>
            <w:tcBorders>
              <w:top w:val="single" w:sz="2" w:space="0" w:color="auto"/>
              <w:left w:val="single" w:sz="2" w:space="0" w:color="auto"/>
              <w:bottom w:val="single" w:sz="2" w:space="0" w:color="auto"/>
              <w:right w:val="single" w:sz="2" w:space="0" w:color="auto"/>
            </w:tcBorders>
            <w:vAlign w:val="center"/>
          </w:tcPr>
          <w:p w14:paraId="19D25C1A" w14:textId="77777777" w:rsidR="007B3DB2" w:rsidRPr="0063248C" w:rsidRDefault="00000000">
            <w:pPr>
              <w:spacing w:line="240" w:lineRule="exact"/>
              <w:jc w:val="right"/>
              <w:rPr>
                <w:rFonts w:cs="宋体"/>
                <w:sz w:val="18"/>
                <w:szCs w:val="18"/>
              </w:rPr>
            </w:pPr>
            <w:r w:rsidRPr="0063248C">
              <w:rPr>
                <w:rFonts w:cs="宋体"/>
                <w:sz w:val="18"/>
                <w:szCs w:val="18"/>
              </w:rPr>
              <w:t>2.56%</w:t>
            </w:r>
          </w:p>
        </w:tc>
      </w:tr>
      <w:tr w:rsidR="007B3DB2" w:rsidRPr="0063248C" w14:paraId="03E509DE"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2EB54B9" w14:textId="77777777" w:rsidR="007B3DB2" w:rsidRPr="0063248C" w:rsidRDefault="00000000">
            <w:pPr>
              <w:spacing w:line="240" w:lineRule="exact"/>
              <w:rPr>
                <w:rFonts w:cs="宋体"/>
                <w:sz w:val="18"/>
                <w:szCs w:val="18"/>
              </w:rPr>
            </w:pPr>
            <w:r w:rsidRPr="0063248C">
              <w:rPr>
                <w:rFonts w:cs="宋体"/>
                <w:sz w:val="18"/>
                <w:szCs w:val="18"/>
              </w:rPr>
              <w:t>预制食品</w:t>
            </w:r>
          </w:p>
        </w:tc>
        <w:tc>
          <w:tcPr>
            <w:tcW w:w="1600" w:type="dxa"/>
            <w:tcBorders>
              <w:top w:val="single" w:sz="2" w:space="0" w:color="auto"/>
              <w:left w:val="single" w:sz="2" w:space="0" w:color="auto"/>
              <w:bottom w:val="single" w:sz="2" w:space="0" w:color="auto"/>
              <w:right w:val="single" w:sz="2" w:space="0" w:color="auto"/>
            </w:tcBorders>
            <w:vAlign w:val="center"/>
          </w:tcPr>
          <w:p w14:paraId="391DF8B3" w14:textId="77777777" w:rsidR="007B3DB2" w:rsidRPr="0063248C" w:rsidRDefault="00000000">
            <w:pPr>
              <w:spacing w:line="240" w:lineRule="exact"/>
              <w:jc w:val="right"/>
              <w:rPr>
                <w:rFonts w:cs="宋体"/>
                <w:sz w:val="18"/>
                <w:szCs w:val="18"/>
              </w:rPr>
            </w:pPr>
            <w:r w:rsidRPr="0063248C">
              <w:rPr>
                <w:rFonts w:cs="宋体"/>
                <w:sz w:val="18"/>
                <w:szCs w:val="18"/>
              </w:rPr>
              <w:t>972,704,396.10</w:t>
            </w:r>
          </w:p>
        </w:tc>
        <w:tc>
          <w:tcPr>
            <w:tcW w:w="1559" w:type="dxa"/>
            <w:tcBorders>
              <w:top w:val="single" w:sz="2" w:space="0" w:color="auto"/>
              <w:left w:val="single" w:sz="2" w:space="0" w:color="auto"/>
              <w:bottom w:val="single" w:sz="2" w:space="0" w:color="auto"/>
              <w:right w:val="single" w:sz="2" w:space="0" w:color="auto"/>
            </w:tcBorders>
            <w:vAlign w:val="center"/>
          </w:tcPr>
          <w:p w14:paraId="4DDACD68" w14:textId="77777777" w:rsidR="007B3DB2" w:rsidRPr="0063248C" w:rsidRDefault="00000000">
            <w:pPr>
              <w:spacing w:line="240" w:lineRule="exact"/>
              <w:jc w:val="right"/>
              <w:rPr>
                <w:rFonts w:cs="宋体"/>
                <w:sz w:val="18"/>
                <w:szCs w:val="18"/>
              </w:rPr>
            </w:pPr>
            <w:r w:rsidRPr="0063248C">
              <w:rPr>
                <w:rFonts w:cs="宋体"/>
                <w:sz w:val="18"/>
                <w:szCs w:val="18"/>
              </w:rPr>
              <w:t>863,813,315.47</w:t>
            </w:r>
          </w:p>
        </w:tc>
        <w:tc>
          <w:tcPr>
            <w:tcW w:w="972" w:type="dxa"/>
            <w:tcBorders>
              <w:top w:val="single" w:sz="2" w:space="0" w:color="auto"/>
              <w:left w:val="single" w:sz="2" w:space="0" w:color="auto"/>
              <w:bottom w:val="single" w:sz="2" w:space="0" w:color="auto"/>
              <w:right w:val="single" w:sz="2" w:space="0" w:color="auto"/>
            </w:tcBorders>
            <w:vAlign w:val="center"/>
          </w:tcPr>
          <w:p w14:paraId="5E06FB93" w14:textId="77777777" w:rsidR="007B3DB2" w:rsidRPr="0063248C" w:rsidRDefault="00000000">
            <w:pPr>
              <w:spacing w:line="240" w:lineRule="exact"/>
              <w:jc w:val="right"/>
              <w:rPr>
                <w:rFonts w:cs="宋体"/>
                <w:sz w:val="18"/>
                <w:szCs w:val="18"/>
              </w:rPr>
            </w:pPr>
            <w:r w:rsidRPr="0063248C">
              <w:rPr>
                <w:rFonts w:cs="宋体"/>
                <w:sz w:val="18"/>
                <w:szCs w:val="18"/>
              </w:rPr>
              <w:t>11.19%</w:t>
            </w:r>
          </w:p>
        </w:tc>
        <w:tc>
          <w:tcPr>
            <w:tcW w:w="1377" w:type="dxa"/>
            <w:tcBorders>
              <w:top w:val="single" w:sz="2" w:space="0" w:color="auto"/>
              <w:left w:val="single" w:sz="2" w:space="0" w:color="auto"/>
              <w:bottom w:val="single" w:sz="2" w:space="0" w:color="auto"/>
              <w:right w:val="single" w:sz="2" w:space="0" w:color="auto"/>
            </w:tcBorders>
            <w:vAlign w:val="center"/>
          </w:tcPr>
          <w:p w14:paraId="4CEE2CB7" w14:textId="77777777" w:rsidR="007B3DB2" w:rsidRPr="0063248C" w:rsidRDefault="00000000">
            <w:pPr>
              <w:spacing w:line="240" w:lineRule="exact"/>
              <w:jc w:val="right"/>
              <w:rPr>
                <w:rFonts w:cs="宋体"/>
                <w:sz w:val="18"/>
                <w:szCs w:val="18"/>
              </w:rPr>
            </w:pPr>
            <w:r w:rsidRPr="0063248C">
              <w:rPr>
                <w:rFonts w:cs="宋体"/>
                <w:sz w:val="18"/>
                <w:szCs w:val="18"/>
              </w:rPr>
              <w:t>1.12%</w:t>
            </w:r>
          </w:p>
        </w:tc>
        <w:tc>
          <w:tcPr>
            <w:tcW w:w="1377" w:type="dxa"/>
            <w:tcBorders>
              <w:top w:val="single" w:sz="2" w:space="0" w:color="auto"/>
              <w:left w:val="single" w:sz="2" w:space="0" w:color="auto"/>
              <w:bottom w:val="single" w:sz="2" w:space="0" w:color="auto"/>
              <w:right w:val="single" w:sz="2" w:space="0" w:color="auto"/>
            </w:tcBorders>
            <w:vAlign w:val="center"/>
          </w:tcPr>
          <w:p w14:paraId="68363B0D" w14:textId="77777777" w:rsidR="007B3DB2" w:rsidRPr="0063248C" w:rsidRDefault="00000000">
            <w:pPr>
              <w:spacing w:line="240" w:lineRule="exact"/>
              <w:jc w:val="right"/>
              <w:rPr>
                <w:rFonts w:cs="宋体"/>
                <w:sz w:val="18"/>
                <w:szCs w:val="18"/>
              </w:rPr>
            </w:pPr>
            <w:r w:rsidRPr="0063248C">
              <w:rPr>
                <w:rFonts w:cs="宋体"/>
                <w:sz w:val="18"/>
                <w:szCs w:val="18"/>
              </w:rPr>
              <w:t>-2.42%</w:t>
            </w:r>
          </w:p>
        </w:tc>
        <w:tc>
          <w:tcPr>
            <w:tcW w:w="1377" w:type="dxa"/>
            <w:tcBorders>
              <w:top w:val="single" w:sz="2" w:space="0" w:color="auto"/>
              <w:left w:val="single" w:sz="2" w:space="0" w:color="auto"/>
              <w:bottom w:val="single" w:sz="2" w:space="0" w:color="auto"/>
              <w:right w:val="single" w:sz="2" w:space="0" w:color="auto"/>
            </w:tcBorders>
            <w:vAlign w:val="center"/>
          </w:tcPr>
          <w:p w14:paraId="03844202" w14:textId="77777777" w:rsidR="007B3DB2" w:rsidRPr="0063248C" w:rsidRDefault="00000000">
            <w:pPr>
              <w:spacing w:line="240" w:lineRule="exact"/>
              <w:jc w:val="right"/>
              <w:rPr>
                <w:rFonts w:cs="宋体"/>
                <w:sz w:val="18"/>
                <w:szCs w:val="18"/>
              </w:rPr>
            </w:pPr>
            <w:r w:rsidRPr="0063248C">
              <w:rPr>
                <w:rFonts w:cs="宋体"/>
                <w:sz w:val="18"/>
                <w:szCs w:val="18"/>
              </w:rPr>
              <w:t>3.22%</w:t>
            </w:r>
          </w:p>
        </w:tc>
      </w:tr>
      <w:tr w:rsidR="007B3DB2" w:rsidRPr="0063248C" w14:paraId="299DD6DA"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04B8338A" w14:textId="77777777" w:rsidR="007B3DB2" w:rsidRPr="0063248C" w:rsidRDefault="00000000">
            <w:pPr>
              <w:spacing w:before="40" w:after="40" w:line="240" w:lineRule="exact"/>
              <w:rPr>
                <w:rFonts w:cs="宋体"/>
                <w:sz w:val="18"/>
                <w:szCs w:val="18"/>
              </w:rPr>
            </w:pPr>
            <w:r w:rsidRPr="0063248C">
              <w:rPr>
                <w:rFonts w:cs="宋体"/>
                <w:sz w:val="18"/>
                <w:szCs w:val="18"/>
              </w:rPr>
              <w:t>分地区</w:t>
            </w:r>
          </w:p>
        </w:tc>
      </w:tr>
      <w:tr w:rsidR="007B3DB2" w:rsidRPr="0063248C" w14:paraId="132ACD0B"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74838FF" w14:textId="77777777" w:rsidR="007B3DB2" w:rsidRPr="0063248C" w:rsidRDefault="00000000">
            <w:pPr>
              <w:spacing w:line="240" w:lineRule="exact"/>
              <w:rPr>
                <w:rFonts w:cs="宋体"/>
                <w:sz w:val="18"/>
                <w:szCs w:val="18"/>
              </w:rPr>
            </w:pPr>
            <w:r w:rsidRPr="0063248C">
              <w:rPr>
                <w:rFonts w:cs="宋体"/>
                <w:sz w:val="18"/>
                <w:szCs w:val="18"/>
              </w:rPr>
              <w:t>山东省内</w:t>
            </w:r>
          </w:p>
        </w:tc>
        <w:tc>
          <w:tcPr>
            <w:tcW w:w="1600" w:type="dxa"/>
            <w:tcBorders>
              <w:top w:val="single" w:sz="2" w:space="0" w:color="auto"/>
              <w:left w:val="single" w:sz="2" w:space="0" w:color="auto"/>
              <w:bottom w:val="single" w:sz="2" w:space="0" w:color="auto"/>
              <w:right w:val="single" w:sz="2" w:space="0" w:color="auto"/>
            </w:tcBorders>
            <w:vAlign w:val="center"/>
          </w:tcPr>
          <w:p w14:paraId="18BF5346" w14:textId="77777777" w:rsidR="007B3DB2" w:rsidRPr="0063248C" w:rsidRDefault="00000000">
            <w:pPr>
              <w:spacing w:line="240" w:lineRule="exact"/>
              <w:jc w:val="right"/>
              <w:rPr>
                <w:rFonts w:cs="宋体"/>
                <w:sz w:val="18"/>
                <w:szCs w:val="18"/>
              </w:rPr>
            </w:pPr>
            <w:r w:rsidRPr="0063248C">
              <w:rPr>
                <w:rFonts w:cs="宋体"/>
                <w:sz w:val="18"/>
                <w:szCs w:val="18"/>
              </w:rPr>
              <w:t>1,923,714,400.53</w:t>
            </w:r>
          </w:p>
        </w:tc>
        <w:tc>
          <w:tcPr>
            <w:tcW w:w="1559" w:type="dxa"/>
            <w:tcBorders>
              <w:top w:val="single" w:sz="2" w:space="0" w:color="auto"/>
              <w:left w:val="single" w:sz="2" w:space="0" w:color="auto"/>
              <w:bottom w:val="single" w:sz="2" w:space="0" w:color="auto"/>
              <w:right w:val="single" w:sz="2" w:space="0" w:color="auto"/>
            </w:tcBorders>
            <w:vAlign w:val="center"/>
          </w:tcPr>
          <w:p w14:paraId="7EEA6696" w14:textId="77777777" w:rsidR="007B3DB2" w:rsidRPr="0063248C" w:rsidRDefault="00000000">
            <w:pPr>
              <w:spacing w:line="240" w:lineRule="exact"/>
              <w:jc w:val="right"/>
              <w:rPr>
                <w:rFonts w:cs="宋体"/>
                <w:sz w:val="18"/>
                <w:szCs w:val="18"/>
              </w:rPr>
            </w:pPr>
            <w:r w:rsidRPr="0063248C">
              <w:rPr>
                <w:rFonts w:cs="宋体"/>
                <w:sz w:val="18"/>
                <w:szCs w:val="18"/>
              </w:rPr>
              <w:t>1,775,959,164.89</w:t>
            </w:r>
          </w:p>
        </w:tc>
        <w:tc>
          <w:tcPr>
            <w:tcW w:w="972" w:type="dxa"/>
            <w:tcBorders>
              <w:top w:val="single" w:sz="2" w:space="0" w:color="auto"/>
              <w:left w:val="single" w:sz="2" w:space="0" w:color="auto"/>
              <w:bottom w:val="single" w:sz="2" w:space="0" w:color="auto"/>
              <w:right w:val="single" w:sz="2" w:space="0" w:color="auto"/>
            </w:tcBorders>
            <w:vAlign w:val="center"/>
          </w:tcPr>
          <w:p w14:paraId="016E979C" w14:textId="77777777" w:rsidR="007B3DB2" w:rsidRPr="0063248C" w:rsidRDefault="00000000">
            <w:pPr>
              <w:spacing w:line="240" w:lineRule="exact"/>
              <w:jc w:val="right"/>
              <w:rPr>
                <w:rFonts w:cs="宋体"/>
                <w:sz w:val="18"/>
                <w:szCs w:val="18"/>
              </w:rPr>
            </w:pPr>
            <w:r w:rsidRPr="0063248C">
              <w:rPr>
                <w:rFonts w:cs="宋体"/>
                <w:sz w:val="18"/>
                <w:szCs w:val="18"/>
              </w:rPr>
              <w:t>7.68%</w:t>
            </w:r>
          </w:p>
        </w:tc>
        <w:tc>
          <w:tcPr>
            <w:tcW w:w="1377" w:type="dxa"/>
            <w:tcBorders>
              <w:top w:val="single" w:sz="2" w:space="0" w:color="auto"/>
              <w:left w:val="single" w:sz="2" w:space="0" w:color="auto"/>
              <w:bottom w:val="single" w:sz="2" w:space="0" w:color="auto"/>
              <w:right w:val="single" w:sz="2" w:space="0" w:color="auto"/>
            </w:tcBorders>
            <w:vAlign w:val="center"/>
          </w:tcPr>
          <w:p w14:paraId="0ABAECC1" w14:textId="77777777" w:rsidR="007B3DB2" w:rsidRPr="0063248C" w:rsidRDefault="00000000">
            <w:pPr>
              <w:spacing w:line="240" w:lineRule="exact"/>
              <w:jc w:val="right"/>
              <w:rPr>
                <w:rFonts w:cs="宋体"/>
                <w:sz w:val="18"/>
                <w:szCs w:val="18"/>
              </w:rPr>
            </w:pPr>
            <w:r w:rsidRPr="0063248C">
              <w:rPr>
                <w:rFonts w:cs="宋体"/>
                <w:sz w:val="18"/>
                <w:szCs w:val="18"/>
              </w:rPr>
              <w:t>-26.63%</w:t>
            </w:r>
          </w:p>
        </w:tc>
        <w:tc>
          <w:tcPr>
            <w:tcW w:w="1377" w:type="dxa"/>
            <w:tcBorders>
              <w:top w:val="single" w:sz="2" w:space="0" w:color="auto"/>
              <w:left w:val="single" w:sz="2" w:space="0" w:color="auto"/>
              <w:bottom w:val="single" w:sz="2" w:space="0" w:color="auto"/>
              <w:right w:val="single" w:sz="2" w:space="0" w:color="auto"/>
            </w:tcBorders>
            <w:vAlign w:val="center"/>
          </w:tcPr>
          <w:p w14:paraId="40195A9E" w14:textId="77777777" w:rsidR="007B3DB2" w:rsidRPr="0063248C" w:rsidRDefault="00000000">
            <w:pPr>
              <w:spacing w:line="240" w:lineRule="exact"/>
              <w:jc w:val="right"/>
              <w:rPr>
                <w:rFonts w:cs="宋体"/>
                <w:sz w:val="18"/>
                <w:szCs w:val="18"/>
              </w:rPr>
            </w:pPr>
            <w:r w:rsidRPr="0063248C">
              <w:rPr>
                <w:rFonts w:cs="宋体"/>
                <w:sz w:val="18"/>
                <w:szCs w:val="18"/>
              </w:rPr>
              <w:t>-35.50%</w:t>
            </w:r>
          </w:p>
        </w:tc>
        <w:tc>
          <w:tcPr>
            <w:tcW w:w="1377" w:type="dxa"/>
            <w:tcBorders>
              <w:top w:val="single" w:sz="2" w:space="0" w:color="auto"/>
              <w:left w:val="single" w:sz="2" w:space="0" w:color="auto"/>
              <w:bottom w:val="single" w:sz="2" w:space="0" w:color="auto"/>
              <w:right w:val="single" w:sz="2" w:space="0" w:color="auto"/>
            </w:tcBorders>
            <w:vAlign w:val="center"/>
          </w:tcPr>
          <w:p w14:paraId="27B62EB6" w14:textId="77777777" w:rsidR="007B3DB2" w:rsidRPr="0063248C" w:rsidRDefault="00000000">
            <w:pPr>
              <w:spacing w:line="240" w:lineRule="exact"/>
              <w:jc w:val="right"/>
              <w:rPr>
                <w:rFonts w:cs="宋体"/>
                <w:sz w:val="18"/>
                <w:szCs w:val="18"/>
              </w:rPr>
            </w:pPr>
            <w:r w:rsidRPr="0063248C">
              <w:rPr>
                <w:rFonts w:cs="宋体"/>
                <w:sz w:val="18"/>
                <w:szCs w:val="18"/>
              </w:rPr>
              <w:t>12.69%</w:t>
            </w:r>
          </w:p>
        </w:tc>
      </w:tr>
      <w:tr w:rsidR="007B3DB2" w:rsidRPr="0063248C" w14:paraId="71E55FC8"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C08D910" w14:textId="77777777" w:rsidR="007B3DB2" w:rsidRPr="0063248C" w:rsidRDefault="00000000">
            <w:pPr>
              <w:spacing w:line="240" w:lineRule="exact"/>
              <w:rPr>
                <w:rFonts w:cs="宋体"/>
                <w:sz w:val="18"/>
                <w:szCs w:val="18"/>
              </w:rPr>
            </w:pPr>
            <w:r w:rsidRPr="0063248C">
              <w:rPr>
                <w:rFonts w:cs="宋体"/>
                <w:sz w:val="18"/>
                <w:szCs w:val="18"/>
              </w:rPr>
              <w:t>华东其他地区</w:t>
            </w:r>
          </w:p>
        </w:tc>
        <w:tc>
          <w:tcPr>
            <w:tcW w:w="1600" w:type="dxa"/>
            <w:tcBorders>
              <w:top w:val="single" w:sz="2" w:space="0" w:color="auto"/>
              <w:left w:val="single" w:sz="2" w:space="0" w:color="auto"/>
              <w:bottom w:val="single" w:sz="2" w:space="0" w:color="auto"/>
              <w:right w:val="single" w:sz="2" w:space="0" w:color="auto"/>
            </w:tcBorders>
            <w:vAlign w:val="center"/>
          </w:tcPr>
          <w:p w14:paraId="2A7C3240" w14:textId="77777777" w:rsidR="007B3DB2" w:rsidRPr="0063248C" w:rsidRDefault="00000000">
            <w:pPr>
              <w:spacing w:line="240" w:lineRule="exact"/>
              <w:jc w:val="right"/>
              <w:rPr>
                <w:rFonts w:cs="宋体"/>
                <w:sz w:val="18"/>
                <w:szCs w:val="18"/>
              </w:rPr>
            </w:pPr>
            <w:r w:rsidRPr="0063248C">
              <w:rPr>
                <w:rFonts w:cs="宋体"/>
                <w:sz w:val="18"/>
                <w:szCs w:val="18"/>
              </w:rPr>
              <w:t>1,335,385,848.75</w:t>
            </w:r>
          </w:p>
        </w:tc>
        <w:tc>
          <w:tcPr>
            <w:tcW w:w="1559" w:type="dxa"/>
            <w:tcBorders>
              <w:top w:val="single" w:sz="2" w:space="0" w:color="auto"/>
              <w:left w:val="single" w:sz="2" w:space="0" w:color="auto"/>
              <w:bottom w:val="single" w:sz="2" w:space="0" w:color="auto"/>
              <w:right w:val="single" w:sz="2" w:space="0" w:color="auto"/>
            </w:tcBorders>
            <w:vAlign w:val="center"/>
          </w:tcPr>
          <w:p w14:paraId="79A08967" w14:textId="77777777" w:rsidR="007B3DB2" w:rsidRPr="0063248C" w:rsidRDefault="00000000">
            <w:pPr>
              <w:spacing w:line="240" w:lineRule="exact"/>
              <w:jc w:val="right"/>
              <w:rPr>
                <w:rFonts w:cs="宋体"/>
                <w:sz w:val="18"/>
                <w:szCs w:val="18"/>
              </w:rPr>
            </w:pPr>
            <w:r w:rsidRPr="0063248C">
              <w:rPr>
                <w:rFonts w:cs="宋体"/>
                <w:sz w:val="18"/>
                <w:szCs w:val="18"/>
              </w:rPr>
              <w:t>1,269,039,937.40</w:t>
            </w:r>
          </w:p>
        </w:tc>
        <w:tc>
          <w:tcPr>
            <w:tcW w:w="972" w:type="dxa"/>
            <w:tcBorders>
              <w:top w:val="single" w:sz="2" w:space="0" w:color="auto"/>
              <w:left w:val="single" w:sz="2" w:space="0" w:color="auto"/>
              <w:bottom w:val="single" w:sz="2" w:space="0" w:color="auto"/>
              <w:right w:val="single" w:sz="2" w:space="0" w:color="auto"/>
            </w:tcBorders>
            <w:vAlign w:val="center"/>
          </w:tcPr>
          <w:p w14:paraId="1EC4318D" w14:textId="77777777" w:rsidR="007B3DB2" w:rsidRPr="0063248C" w:rsidRDefault="00000000">
            <w:pPr>
              <w:spacing w:line="240" w:lineRule="exact"/>
              <w:jc w:val="right"/>
              <w:rPr>
                <w:rFonts w:cs="宋体"/>
                <w:sz w:val="18"/>
                <w:szCs w:val="18"/>
              </w:rPr>
            </w:pPr>
            <w:r w:rsidRPr="0063248C">
              <w:rPr>
                <w:rFonts w:cs="宋体"/>
                <w:sz w:val="18"/>
                <w:szCs w:val="18"/>
              </w:rPr>
              <w:t>4.97%</w:t>
            </w:r>
          </w:p>
        </w:tc>
        <w:tc>
          <w:tcPr>
            <w:tcW w:w="1377" w:type="dxa"/>
            <w:tcBorders>
              <w:top w:val="single" w:sz="2" w:space="0" w:color="auto"/>
              <w:left w:val="single" w:sz="2" w:space="0" w:color="auto"/>
              <w:bottom w:val="single" w:sz="2" w:space="0" w:color="auto"/>
              <w:right w:val="single" w:sz="2" w:space="0" w:color="auto"/>
            </w:tcBorders>
            <w:vAlign w:val="center"/>
          </w:tcPr>
          <w:p w14:paraId="67ADAEE2" w14:textId="77777777" w:rsidR="007B3DB2" w:rsidRPr="0063248C" w:rsidRDefault="00000000">
            <w:pPr>
              <w:spacing w:line="240" w:lineRule="exact"/>
              <w:jc w:val="right"/>
              <w:rPr>
                <w:rFonts w:cs="宋体"/>
                <w:sz w:val="18"/>
                <w:szCs w:val="18"/>
              </w:rPr>
            </w:pPr>
            <w:r w:rsidRPr="0063248C">
              <w:rPr>
                <w:rFonts w:cs="宋体"/>
                <w:sz w:val="18"/>
                <w:szCs w:val="18"/>
              </w:rPr>
              <w:t>-31.73%</w:t>
            </w:r>
          </w:p>
        </w:tc>
        <w:tc>
          <w:tcPr>
            <w:tcW w:w="1377" w:type="dxa"/>
            <w:tcBorders>
              <w:top w:val="single" w:sz="2" w:space="0" w:color="auto"/>
              <w:left w:val="single" w:sz="2" w:space="0" w:color="auto"/>
              <w:bottom w:val="single" w:sz="2" w:space="0" w:color="auto"/>
              <w:right w:val="single" w:sz="2" w:space="0" w:color="auto"/>
            </w:tcBorders>
            <w:vAlign w:val="center"/>
          </w:tcPr>
          <w:p w14:paraId="0D1B0AF1" w14:textId="77777777" w:rsidR="007B3DB2" w:rsidRPr="0063248C" w:rsidRDefault="00000000">
            <w:pPr>
              <w:spacing w:line="240" w:lineRule="exact"/>
              <w:jc w:val="right"/>
              <w:rPr>
                <w:rFonts w:cs="宋体"/>
                <w:sz w:val="18"/>
                <w:szCs w:val="18"/>
              </w:rPr>
            </w:pPr>
            <w:r w:rsidRPr="0063248C">
              <w:rPr>
                <w:rFonts w:cs="宋体"/>
                <w:sz w:val="18"/>
                <w:szCs w:val="18"/>
              </w:rPr>
              <w:t>-33.76%</w:t>
            </w:r>
          </w:p>
        </w:tc>
        <w:tc>
          <w:tcPr>
            <w:tcW w:w="1377" w:type="dxa"/>
            <w:tcBorders>
              <w:top w:val="single" w:sz="2" w:space="0" w:color="auto"/>
              <w:left w:val="single" w:sz="2" w:space="0" w:color="auto"/>
              <w:bottom w:val="single" w:sz="2" w:space="0" w:color="auto"/>
              <w:right w:val="single" w:sz="2" w:space="0" w:color="auto"/>
            </w:tcBorders>
            <w:vAlign w:val="center"/>
          </w:tcPr>
          <w:p w14:paraId="617F762C" w14:textId="77777777" w:rsidR="007B3DB2" w:rsidRPr="0063248C" w:rsidRDefault="00000000">
            <w:pPr>
              <w:spacing w:line="240" w:lineRule="exact"/>
              <w:jc w:val="right"/>
              <w:rPr>
                <w:rFonts w:cs="宋体"/>
                <w:sz w:val="18"/>
                <w:szCs w:val="18"/>
              </w:rPr>
            </w:pPr>
            <w:r w:rsidRPr="0063248C">
              <w:rPr>
                <w:rFonts w:cs="宋体"/>
                <w:sz w:val="18"/>
                <w:szCs w:val="18"/>
              </w:rPr>
              <w:t>2.91%</w:t>
            </w:r>
          </w:p>
        </w:tc>
      </w:tr>
      <w:tr w:rsidR="007B3DB2" w:rsidRPr="0063248C" w14:paraId="022575BD"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79867C8" w14:textId="77777777" w:rsidR="007B3DB2" w:rsidRPr="0063248C" w:rsidRDefault="00000000">
            <w:pPr>
              <w:spacing w:line="240" w:lineRule="exact"/>
              <w:rPr>
                <w:rFonts w:cs="宋体"/>
                <w:sz w:val="18"/>
                <w:szCs w:val="18"/>
              </w:rPr>
            </w:pPr>
            <w:r w:rsidRPr="0063248C">
              <w:rPr>
                <w:rFonts w:cs="宋体"/>
                <w:sz w:val="18"/>
                <w:szCs w:val="18"/>
              </w:rPr>
              <w:t>华中地区</w:t>
            </w:r>
          </w:p>
        </w:tc>
        <w:tc>
          <w:tcPr>
            <w:tcW w:w="1600" w:type="dxa"/>
            <w:tcBorders>
              <w:top w:val="single" w:sz="2" w:space="0" w:color="auto"/>
              <w:left w:val="single" w:sz="2" w:space="0" w:color="auto"/>
              <w:bottom w:val="single" w:sz="2" w:space="0" w:color="auto"/>
              <w:right w:val="single" w:sz="2" w:space="0" w:color="auto"/>
            </w:tcBorders>
            <w:vAlign w:val="center"/>
          </w:tcPr>
          <w:p w14:paraId="7CD21B53" w14:textId="77777777" w:rsidR="007B3DB2" w:rsidRPr="0063248C" w:rsidRDefault="00000000">
            <w:pPr>
              <w:spacing w:line="240" w:lineRule="exact"/>
              <w:jc w:val="right"/>
              <w:rPr>
                <w:rFonts w:cs="宋体"/>
                <w:sz w:val="18"/>
                <w:szCs w:val="18"/>
              </w:rPr>
            </w:pPr>
            <w:r w:rsidRPr="0063248C">
              <w:rPr>
                <w:rFonts w:cs="宋体"/>
                <w:sz w:val="18"/>
                <w:szCs w:val="18"/>
              </w:rPr>
              <w:t>702,945,146.05</w:t>
            </w:r>
          </w:p>
        </w:tc>
        <w:tc>
          <w:tcPr>
            <w:tcW w:w="1559" w:type="dxa"/>
            <w:tcBorders>
              <w:top w:val="single" w:sz="2" w:space="0" w:color="auto"/>
              <w:left w:val="single" w:sz="2" w:space="0" w:color="auto"/>
              <w:bottom w:val="single" w:sz="2" w:space="0" w:color="auto"/>
              <w:right w:val="single" w:sz="2" w:space="0" w:color="auto"/>
            </w:tcBorders>
            <w:vAlign w:val="center"/>
          </w:tcPr>
          <w:p w14:paraId="236F3DC9" w14:textId="77777777" w:rsidR="007B3DB2" w:rsidRPr="0063248C" w:rsidRDefault="00000000">
            <w:pPr>
              <w:spacing w:line="240" w:lineRule="exact"/>
              <w:jc w:val="right"/>
              <w:rPr>
                <w:rFonts w:cs="宋体"/>
                <w:sz w:val="18"/>
                <w:szCs w:val="18"/>
              </w:rPr>
            </w:pPr>
            <w:r w:rsidRPr="0063248C">
              <w:rPr>
                <w:rFonts w:cs="宋体"/>
                <w:sz w:val="18"/>
                <w:szCs w:val="18"/>
              </w:rPr>
              <w:t>685,659,548.00</w:t>
            </w:r>
          </w:p>
        </w:tc>
        <w:tc>
          <w:tcPr>
            <w:tcW w:w="972" w:type="dxa"/>
            <w:tcBorders>
              <w:top w:val="single" w:sz="2" w:space="0" w:color="auto"/>
              <w:left w:val="single" w:sz="2" w:space="0" w:color="auto"/>
              <w:bottom w:val="single" w:sz="2" w:space="0" w:color="auto"/>
              <w:right w:val="single" w:sz="2" w:space="0" w:color="auto"/>
            </w:tcBorders>
            <w:vAlign w:val="center"/>
          </w:tcPr>
          <w:p w14:paraId="7DA1FA98" w14:textId="77777777" w:rsidR="007B3DB2" w:rsidRPr="0063248C" w:rsidRDefault="00000000">
            <w:pPr>
              <w:spacing w:line="240" w:lineRule="exact"/>
              <w:jc w:val="right"/>
              <w:rPr>
                <w:rFonts w:cs="宋体"/>
                <w:sz w:val="18"/>
                <w:szCs w:val="18"/>
              </w:rPr>
            </w:pPr>
            <w:r w:rsidRPr="0063248C">
              <w:rPr>
                <w:rFonts w:cs="宋体"/>
                <w:sz w:val="18"/>
                <w:szCs w:val="18"/>
              </w:rPr>
              <w:t>2.46%</w:t>
            </w:r>
          </w:p>
        </w:tc>
        <w:tc>
          <w:tcPr>
            <w:tcW w:w="1377" w:type="dxa"/>
            <w:tcBorders>
              <w:top w:val="single" w:sz="2" w:space="0" w:color="auto"/>
              <w:left w:val="single" w:sz="2" w:space="0" w:color="auto"/>
              <w:bottom w:val="single" w:sz="2" w:space="0" w:color="auto"/>
              <w:right w:val="single" w:sz="2" w:space="0" w:color="auto"/>
            </w:tcBorders>
            <w:vAlign w:val="center"/>
          </w:tcPr>
          <w:p w14:paraId="4A178A5C" w14:textId="77777777" w:rsidR="007B3DB2" w:rsidRPr="0063248C" w:rsidRDefault="00000000">
            <w:pPr>
              <w:spacing w:line="240" w:lineRule="exact"/>
              <w:jc w:val="right"/>
              <w:rPr>
                <w:rFonts w:cs="宋体"/>
                <w:sz w:val="18"/>
                <w:szCs w:val="18"/>
              </w:rPr>
            </w:pPr>
            <w:r w:rsidRPr="0063248C">
              <w:rPr>
                <w:rFonts w:cs="宋体"/>
                <w:sz w:val="18"/>
                <w:szCs w:val="18"/>
              </w:rPr>
              <w:t>-24.66%</w:t>
            </w:r>
          </w:p>
        </w:tc>
        <w:tc>
          <w:tcPr>
            <w:tcW w:w="1377" w:type="dxa"/>
            <w:tcBorders>
              <w:top w:val="single" w:sz="2" w:space="0" w:color="auto"/>
              <w:left w:val="single" w:sz="2" w:space="0" w:color="auto"/>
              <w:bottom w:val="single" w:sz="2" w:space="0" w:color="auto"/>
              <w:right w:val="single" w:sz="2" w:space="0" w:color="auto"/>
            </w:tcBorders>
            <w:vAlign w:val="center"/>
          </w:tcPr>
          <w:p w14:paraId="0423D00E" w14:textId="77777777" w:rsidR="007B3DB2" w:rsidRPr="0063248C" w:rsidRDefault="00000000">
            <w:pPr>
              <w:spacing w:line="240" w:lineRule="exact"/>
              <w:jc w:val="right"/>
              <w:rPr>
                <w:rFonts w:cs="宋体"/>
                <w:sz w:val="18"/>
                <w:szCs w:val="18"/>
              </w:rPr>
            </w:pPr>
            <w:r w:rsidRPr="0063248C">
              <w:rPr>
                <w:rFonts w:cs="宋体"/>
                <w:sz w:val="18"/>
                <w:szCs w:val="18"/>
              </w:rPr>
              <w:t>-25.49%</w:t>
            </w:r>
          </w:p>
        </w:tc>
        <w:tc>
          <w:tcPr>
            <w:tcW w:w="1377" w:type="dxa"/>
            <w:tcBorders>
              <w:top w:val="single" w:sz="2" w:space="0" w:color="auto"/>
              <w:left w:val="single" w:sz="2" w:space="0" w:color="auto"/>
              <w:bottom w:val="single" w:sz="2" w:space="0" w:color="auto"/>
              <w:right w:val="single" w:sz="2" w:space="0" w:color="auto"/>
            </w:tcBorders>
            <w:vAlign w:val="center"/>
          </w:tcPr>
          <w:p w14:paraId="6CF15A63" w14:textId="77777777" w:rsidR="007B3DB2" w:rsidRPr="0063248C" w:rsidRDefault="00000000">
            <w:pPr>
              <w:spacing w:line="240" w:lineRule="exact"/>
              <w:jc w:val="right"/>
              <w:rPr>
                <w:rFonts w:cs="宋体"/>
                <w:sz w:val="18"/>
                <w:szCs w:val="18"/>
              </w:rPr>
            </w:pPr>
            <w:r w:rsidRPr="0063248C">
              <w:rPr>
                <w:rFonts w:cs="宋体"/>
                <w:sz w:val="18"/>
                <w:szCs w:val="18"/>
              </w:rPr>
              <w:t>1.08%</w:t>
            </w:r>
          </w:p>
        </w:tc>
      </w:tr>
    </w:tbl>
    <w:p w14:paraId="72228B2E" w14:textId="77777777" w:rsidR="007B3DB2" w:rsidRPr="0063248C" w:rsidRDefault="00000000">
      <w:pPr>
        <w:spacing w:before="100" w:after="100" w:line="240" w:lineRule="exact"/>
        <w:rPr>
          <w:rFonts w:cs="宋体"/>
          <w:sz w:val="18"/>
          <w:szCs w:val="18"/>
        </w:rPr>
      </w:pPr>
      <w:r w:rsidRPr="0063248C">
        <w:rPr>
          <w:rFonts w:cs="宋体"/>
          <w:sz w:val="18"/>
          <w:szCs w:val="18"/>
        </w:rPr>
        <w:t>公司主营业务数据统计口径在报告期发生调整的情况下，公司最近</w:t>
      </w:r>
      <w:r w:rsidRPr="0063248C">
        <w:rPr>
          <w:rFonts w:cs="宋体"/>
          <w:sz w:val="18"/>
          <w:szCs w:val="18"/>
        </w:rPr>
        <w:t>1</w:t>
      </w:r>
      <w:r w:rsidRPr="0063248C">
        <w:rPr>
          <w:rFonts w:cs="宋体"/>
          <w:sz w:val="18"/>
          <w:szCs w:val="18"/>
        </w:rPr>
        <w:t>期按报告期末口径调整后的主营业务数据</w:t>
      </w:r>
    </w:p>
    <w:p w14:paraId="32425468"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35ACEB87" w14:textId="77777777" w:rsidR="007B3DB2" w:rsidRPr="0063248C" w:rsidRDefault="00000000">
      <w:pPr>
        <w:spacing w:before="100" w:after="100" w:line="240" w:lineRule="exact"/>
        <w:rPr>
          <w:rFonts w:cs="宋体"/>
          <w:sz w:val="18"/>
          <w:szCs w:val="18"/>
        </w:rPr>
      </w:pPr>
      <w:r w:rsidRPr="0063248C">
        <w:rPr>
          <w:rFonts w:cs="宋体"/>
          <w:sz w:val="18"/>
          <w:szCs w:val="18"/>
        </w:rPr>
        <w:t>公司需遵守《深圳证券交易所上市公司自律监管指引第</w:t>
      </w:r>
      <w:r w:rsidRPr="0063248C">
        <w:rPr>
          <w:rFonts w:cs="宋体"/>
          <w:sz w:val="18"/>
          <w:szCs w:val="18"/>
        </w:rPr>
        <w:t>3</w:t>
      </w:r>
      <w:r w:rsidRPr="0063248C">
        <w:rPr>
          <w:rFonts w:cs="宋体"/>
          <w:sz w:val="18"/>
          <w:szCs w:val="18"/>
        </w:rPr>
        <w:t>号</w:t>
      </w:r>
      <w:r w:rsidRPr="0063248C">
        <w:rPr>
          <w:rFonts w:cs="宋体"/>
          <w:sz w:val="18"/>
          <w:szCs w:val="18"/>
        </w:rPr>
        <w:t>——</w:t>
      </w:r>
      <w:r w:rsidRPr="0063248C">
        <w:rPr>
          <w:rFonts w:cs="宋体"/>
          <w:sz w:val="18"/>
          <w:szCs w:val="18"/>
        </w:rPr>
        <w:t>行业信息披露》中的</w:t>
      </w:r>
      <w:r w:rsidRPr="0063248C">
        <w:rPr>
          <w:rFonts w:cs="宋体"/>
          <w:sz w:val="18"/>
          <w:szCs w:val="18"/>
        </w:rPr>
        <w:t>“</w:t>
      </w:r>
      <w:r w:rsidRPr="0063248C">
        <w:rPr>
          <w:rFonts w:cs="宋体"/>
          <w:sz w:val="18"/>
          <w:szCs w:val="18"/>
        </w:rPr>
        <w:t>食品及酒制造相关业务</w:t>
      </w:r>
      <w:r w:rsidRPr="0063248C">
        <w:rPr>
          <w:rFonts w:cs="宋体"/>
          <w:sz w:val="18"/>
          <w:szCs w:val="18"/>
        </w:rPr>
        <w:t>”</w:t>
      </w:r>
      <w:r w:rsidRPr="0063248C">
        <w:rPr>
          <w:rFonts w:cs="宋体"/>
          <w:sz w:val="18"/>
          <w:szCs w:val="18"/>
        </w:rPr>
        <w:t>的披露要求</w:t>
      </w:r>
    </w:p>
    <w:p w14:paraId="45D47A67" w14:textId="77777777" w:rsidR="007B3DB2" w:rsidRPr="0063248C" w:rsidRDefault="007B3DB2"/>
    <w:p w14:paraId="03688B87" w14:textId="77777777" w:rsidR="007B3DB2" w:rsidRPr="0063248C" w:rsidRDefault="00000000">
      <w:pPr>
        <w:pStyle w:val="2"/>
        <w:spacing w:before="300" w:after="300" w:line="320" w:lineRule="exact"/>
        <w:rPr>
          <w:rFonts w:cs="宋体"/>
          <w:b/>
          <w:bCs/>
          <w:sz w:val="24"/>
          <w:szCs w:val="24"/>
        </w:rPr>
      </w:pPr>
      <w:bookmarkStart w:id="17" w:name="_Toc988906"/>
      <w:r w:rsidRPr="0063248C">
        <w:rPr>
          <w:rFonts w:cs="宋体"/>
          <w:b/>
          <w:bCs/>
          <w:sz w:val="24"/>
          <w:szCs w:val="24"/>
        </w:rPr>
        <w:t>四、非主营业务分析</w:t>
      </w:r>
      <w:bookmarkEnd w:id="17"/>
    </w:p>
    <w:p w14:paraId="5CBD5FCE"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81150A7" w14:textId="77777777" w:rsidR="007B3DB2" w:rsidRPr="0063248C" w:rsidRDefault="00000000">
      <w:pPr>
        <w:pStyle w:val="2"/>
        <w:spacing w:before="300" w:after="300" w:line="320" w:lineRule="exact"/>
        <w:rPr>
          <w:rFonts w:cs="宋体"/>
          <w:b/>
          <w:bCs/>
          <w:sz w:val="24"/>
          <w:szCs w:val="24"/>
        </w:rPr>
      </w:pPr>
      <w:bookmarkStart w:id="18" w:name="_Toc988907"/>
      <w:r w:rsidRPr="0063248C">
        <w:rPr>
          <w:rFonts w:cs="宋体"/>
          <w:b/>
          <w:bCs/>
          <w:sz w:val="24"/>
          <w:szCs w:val="24"/>
        </w:rPr>
        <w:t>五、资产及负债状况分析</w:t>
      </w:r>
      <w:bookmarkEnd w:id="18"/>
    </w:p>
    <w:p w14:paraId="7B50094E" w14:textId="77777777" w:rsidR="007B3DB2" w:rsidRPr="0063248C" w:rsidRDefault="00000000">
      <w:pPr>
        <w:pStyle w:val="3"/>
        <w:spacing w:line="280" w:lineRule="exact"/>
        <w:jc w:val="left"/>
        <w:rPr>
          <w:rFonts w:cs="宋体"/>
          <w:b/>
          <w:bCs/>
        </w:rPr>
      </w:pPr>
      <w:bookmarkStart w:id="19" w:name="_Toc988908"/>
      <w:r w:rsidRPr="0063248C">
        <w:rPr>
          <w:rFonts w:cs="宋体"/>
          <w:b/>
          <w:bCs/>
        </w:rPr>
        <w:t>1</w:t>
      </w:r>
      <w:r w:rsidRPr="0063248C">
        <w:rPr>
          <w:rFonts w:cs="宋体"/>
          <w:b/>
          <w:bCs/>
        </w:rPr>
        <w:t>、资产构成重大变动情况</w:t>
      </w:r>
      <w:bookmarkEnd w:id="19"/>
    </w:p>
    <w:p w14:paraId="4881F217"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600"/>
        <w:gridCol w:w="1418"/>
        <w:gridCol w:w="1559"/>
        <w:gridCol w:w="1417"/>
        <w:gridCol w:w="993"/>
        <w:gridCol w:w="1275"/>
      </w:tblGrid>
      <w:tr w:rsidR="007B3DB2" w:rsidRPr="0063248C" w14:paraId="0B679E45" w14:textId="77777777" w:rsidTr="0063248C">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C3146D4" w14:textId="77777777" w:rsidR="007B3DB2" w:rsidRPr="0063248C" w:rsidRDefault="007B3DB2"/>
        </w:tc>
        <w:tc>
          <w:tcPr>
            <w:tcW w:w="301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9771120"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本报告期末</w:t>
            </w:r>
          </w:p>
        </w:tc>
        <w:tc>
          <w:tcPr>
            <w:tcW w:w="297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7D8D7DB" w14:textId="77777777" w:rsidR="007B3DB2" w:rsidRPr="0063248C" w:rsidRDefault="00000000">
            <w:pPr>
              <w:spacing w:before="40" w:after="40" w:line="240" w:lineRule="exact"/>
              <w:jc w:val="center"/>
              <w:rPr>
                <w:rFonts w:cs="宋体"/>
                <w:sz w:val="18"/>
                <w:szCs w:val="18"/>
              </w:rPr>
            </w:pPr>
            <w:r w:rsidRPr="0063248C">
              <w:rPr>
                <w:rFonts w:cs="宋体"/>
                <w:sz w:val="18"/>
                <w:szCs w:val="18"/>
              </w:rPr>
              <w:t>上年末</w:t>
            </w:r>
          </w:p>
        </w:tc>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DDE797" w14:textId="77777777" w:rsidR="007B3DB2" w:rsidRPr="0063248C" w:rsidRDefault="00000000">
            <w:pPr>
              <w:spacing w:before="40" w:after="40" w:line="240" w:lineRule="exact"/>
              <w:jc w:val="center"/>
              <w:rPr>
                <w:rFonts w:cs="宋体"/>
                <w:sz w:val="18"/>
                <w:szCs w:val="18"/>
              </w:rPr>
            </w:pPr>
            <w:r w:rsidRPr="0063248C">
              <w:rPr>
                <w:rFonts w:cs="宋体"/>
                <w:sz w:val="18"/>
                <w:szCs w:val="18"/>
              </w:rPr>
              <w:t>比重增减</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00A6F95" w14:textId="77777777" w:rsidR="007B3DB2" w:rsidRPr="0063248C" w:rsidRDefault="00000000">
            <w:pPr>
              <w:spacing w:before="40" w:after="40" w:line="240" w:lineRule="exact"/>
              <w:jc w:val="center"/>
              <w:rPr>
                <w:rFonts w:cs="宋体"/>
                <w:sz w:val="18"/>
                <w:szCs w:val="18"/>
              </w:rPr>
            </w:pPr>
            <w:r w:rsidRPr="0063248C">
              <w:rPr>
                <w:rFonts w:cs="宋体"/>
                <w:sz w:val="18"/>
                <w:szCs w:val="18"/>
              </w:rPr>
              <w:t>重大变动说明</w:t>
            </w:r>
          </w:p>
        </w:tc>
      </w:tr>
      <w:tr w:rsidR="007B3DB2" w:rsidRPr="0063248C" w14:paraId="030F1B6C" w14:textId="77777777" w:rsidTr="0063248C">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12F6934" w14:textId="77777777" w:rsidR="007B3DB2" w:rsidRPr="0063248C" w:rsidRDefault="007B3DB2"/>
        </w:tc>
        <w:tc>
          <w:tcPr>
            <w:tcW w:w="1600" w:type="dxa"/>
            <w:tcBorders>
              <w:top w:val="single" w:sz="2" w:space="0" w:color="auto"/>
              <w:left w:val="single" w:sz="2" w:space="0" w:color="auto"/>
              <w:bottom w:val="single" w:sz="2" w:space="0" w:color="auto"/>
              <w:right w:val="single" w:sz="2" w:space="0" w:color="auto"/>
            </w:tcBorders>
            <w:shd w:val="clear" w:color="auto" w:fill="D3D3D3"/>
            <w:vAlign w:val="center"/>
          </w:tcPr>
          <w:p w14:paraId="32E3A2D8"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61EAFFB9" w14:textId="77777777" w:rsidR="007B3DB2" w:rsidRPr="0063248C" w:rsidRDefault="00000000">
            <w:pPr>
              <w:spacing w:before="40" w:after="40" w:line="240" w:lineRule="exact"/>
              <w:jc w:val="center"/>
              <w:rPr>
                <w:rFonts w:cs="宋体"/>
                <w:sz w:val="18"/>
                <w:szCs w:val="18"/>
              </w:rPr>
            </w:pPr>
            <w:r w:rsidRPr="0063248C">
              <w:rPr>
                <w:rFonts w:cs="宋体"/>
                <w:sz w:val="18"/>
                <w:szCs w:val="18"/>
              </w:rPr>
              <w:t>占总资产比例</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0F615272"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23A4AB05" w14:textId="77777777" w:rsidR="007B3DB2" w:rsidRPr="0063248C" w:rsidRDefault="00000000">
            <w:pPr>
              <w:spacing w:before="40" w:after="40" w:line="240" w:lineRule="exact"/>
              <w:jc w:val="center"/>
              <w:rPr>
                <w:rFonts w:cs="宋体"/>
                <w:sz w:val="18"/>
                <w:szCs w:val="18"/>
              </w:rPr>
            </w:pPr>
            <w:r w:rsidRPr="0063248C">
              <w:rPr>
                <w:rFonts w:cs="宋体"/>
                <w:sz w:val="18"/>
                <w:szCs w:val="18"/>
              </w:rPr>
              <w:t>占总资产比例</w:t>
            </w:r>
          </w:p>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419CDA" w14:textId="77777777" w:rsidR="007B3DB2" w:rsidRPr="0063248C" w:rsidRDefault="007B3DB2"/>
        </w:tc>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2B66B0" w14:textId="77777777" w:rsidR="007B3DB2" w:rsidRPr="0063248C" w:rsidRDefault="007B3DB2"/>
        </w:tc>
      </w:tr>
      <w:tr w:rsidR="007B3DB2" w:rsidRPr="0063248C" w14:paraId="2B624FB1"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59BBB86" w14:textId="77777777" w:rsidR="007B3DB2" w:rsidRPr="0063248C" w:rsidRDefault="00000000">
            <w:pPr>
              <w:spacing w:before="40" w:after="40" w:line="240" w:lineRule="exact"/>
              <w:rPr>
                <w:rFonts w:cs="宋体"/>
                <w:sz w:val="18"/>
                <w:szCs w:val="18"/>
              </w:rPr>
            </w:pPr>
            <w:r w:rsidRPr="0063248C">
              <w:rPr>
                <w:rFonts w:cs="宋体"/>
                <w:sz w:val="18"/>
                <w:szCs w:val="18"/>
              </w:rPr>
              <w:t>货币资金</w:t>
            </w:r>
          </w:p>
        </w:tc>
        <w:tc>
          <w:tcPr>
            <w:tcW w:w="1600" w:type="dxa"/>
            <w:tcBorders>
              <w:top w:val="single" w:sz="2" w:space="0" w:color="auto"/>
              <w:left w:val="single" w:sz="2" w:space="0" w:color="auto"/>
              <w:bottom w:val="single" w:sz="2" w:space="0" w:color="auto"/>
              <w:right w:val="single" w:sz="2" w:space="0" w:color="auto"/>
            </w:tcBorders>
            <w:vAlign w:val="center"/>
          </w:tcPr>
          <w:p w14:paraId="7275F3D9" w14:textId="77777777" w:rsidR="007B3DB2" w:rsidRPr="0063248C" w:rsidRDefault="00000000">
            <w:pPr>
              <w:spacing w:line="240" w:lineRule="exact"/>
              <w:jc w:val="right"/>
              <w:rPr>
                <w:rFonts w:cs="宋体"/>
                <w:sz w:val="18"/>
                <w:szCs w:val="18"/>
              </w:rPr>
            </w:pPr>
            <w:r w:rsidRPr="0063248C">
              <w:rPr>
                <w:rFonts w:cs="宋体"/>
                <w:sz w:val="18"/>
                <w:szCs w:val="18"/>
              </w:rPr>
              <w:t>1,014,256,136.20</w:t>
            </w:r>
          </w:p>
        </w:tc>
        <w:tc>
          <w:tcPr>
            <w:tcW w:w="1418" w:type="dxa"/>
            <w:tcBorders>
              <w:top w:val="single" w:sz="2" w:space="0" w:color="auto"/>
              <w:left w:val="single" w:sz="2" w:space="0" w:color="auto"/>
              <w:bottom w:val="single" w:sz="2" w:space="0" w:color="auto"/>
              <w:right w:val="single" w:sz="2" w:space="0" w:color="auto"/>
            </w:tcBorders>
            <w:vAlign w:val="center"/>
          </w:tcPr>
          <w:p w14:paraId="3218B974" w14:textId="77777777" w:rsidR="007B3DB2" w:rsidRPr="0063248C" w:rsidRDefault="00000000">
            <w:pPr>
              <w:spacing w:line="240" w:lineRule="exact"/>
              <w:jc w:val="right"/>
              <w:rPr>
                <w:rFonts w:cs="宋体"/>
                <w:sz w:val="18"/>
                <w:szCs w:val="18"/>
              </w:rPr>
            </w:pPr>
            <w:r w:rsidRPr="0063248C">
              <w:rPr>
                <w:rFonts w:cs="宋体"/>
                <w:sz w:val="18"/>
                <w:szCs w:val="18"/>
              </w:rPr>
              <w:t>17.09%</w:t>
            </w:r>
          </w:p>
        </w:tc>
        <w:tc>
          <w:tcPr>
            <w:tcW w:w="1559" w:type="dxa"/>
            <w:tcBorders>
              <w:top w:val="single" w:sz="2" w:space="0" w:color="auto"/>
              <w:left w:val="single" w:sz="2" w:space="0" w:color="auto"/>
              <w:bottom w:val="single" w:sz="2" w:space="0" w:color="auto"/>
              <w:right w:val="single" w:sz="2" w:space="0" w:color="auto"/>
            </w:tcBorders>
            <w:vAlign w:val="center"/>
          </w:tcPr>
          <w:p w14:paraId="798F6716" w14:textId="77777777" w:rsidR="007B3DB2" w:rsidRPr="0063248C" w:rsidRDefault="00000000">
            <w:pPr>
              <w:spacing w:line="240" w:lineRule="exact"/>
              <w:jc w:val="right"/>
              <w:rPr>
                <w:rFonts w:cs="宋体"/>
                <w:sz w:val="18"/>
                <w:szCs w:val="18"/>
              </w:rPr>
            </w:pPr>
            <w:r w:rsidRPr="0063248C">
              <w:rPr>
                <w:rFonts w:cs="宋体"/>
                <w:sz w:val="18"/>
                <w:szCs w:val="18"/>
              </w:rPr>
              <w:t>1,392,572,096.51</w:t>
            </w:r>
          </w:p>
        </w:tc>
        <w:tc>
          <w:tcPr>
            <w:tcW w:w="1417" w:type="dxa"/>
            <w:tcBorders>
              <w:top w:val="single" w:sz="2" w:space="0" w:color="auto"/>
              <w:left w:val="single" w:sz="2" w:space="0" w:color="auto"/>
              <w:bottom w:val="single" w:sz="2" w:space="0" w:color="auto"/>
              <w:right w:val="single" w:sz="2" w:space="0" w:color="auto"/>
            </w:tcBorders>
            <w:vAlign w:val="center"/>
          </w:tcPr>
          <w:p w14:paraId="0D72AFEE" w14:textId="77777777" w:rsidR="007B3DB2" w:rsidRPr="0063248C" w:rsidRDefault="00000000">
            <w:pPr>
              <w:spacing w:line="240" w:lineRule="exact"/>
              <w:jc w:val="right"/>
              <w:rPr>
                <w:rFonts w:cs="宋体"/>
                <w:sz w:val="18"/>
                <w:szCs w:val="18"/>
              </w:rPr>
            </w:pPr>
            <w:r w:rsidRPr="0063248C">
              <w:rPr>
                <w:rFonts w:cs="宋体"/>
                <w:sz w:val="18"/>
                <w:szCs w:val="18"/>
              </w:rPr>
              <w:t>22.04%</w:t>
            </w:r>
          </w:p>
        </w:tc>
        <w:tc>
          <w:tcPr>
            <w:tcW w:w="993" w:type="dxa"/>
            <w:tcBorders>
              <w:top w:val="single" w:sz="2" w:space="0" w:color="auto"/>
              <w:left w:val="single" w:sz="2" w:space="0" w:color="auto"/>
              <w:bottom w:val="single" w:sz="2" w:space="0" w:color="auto"/>
              <w:right w:val="single" w:sz="2" w:space="0" w:color="auto"/>
            </w:tcBorders>
            <w:vAlign w:val="center"/>
          </w:tcPr>
          <w:p w14:paraId="03D3F789" w14:textId="77777777" w:rsidR="007B3DB2" w:rsidRPr="0063248C" w:rsidRDefault="00000000">
            <w:pPr>
              <w:spacing w:line="240" w:lineRule="exact"/>
              <w:jc w:val="right"/>
              <w:rPr>
                <w:rFonts w:cs="宋体"/>
                <w:sz w:val="18"/>
                <w:szCs w:val="18"/>
              </w:rPr>
            </w:pPr>
            <w:r w:rsidRPr="0063248C">
              <w:rPr>
                <w:rFonts w:cs="宋体"/>
                <w:sz w:val="18"/>
                <w:szCs w:val="18"/>
              </w:rPr>
              <w:t>-4.95%</w:t>
            </w:r>
          </w:p>
        </w:tc>
        <w:tc>
          <w:tcPr>
            <w:tcW w:w="1275" w:type="dxa"/>
            <w:tcBorders>
              <w:top w:val="single" w:sz="2" w:space="0" w:color="auto"/>
              <w:left w:val="single" w:sz="2" w:space="0" w:color="auto"/>
              <w:bottom w:val="single" w:sz="2" w:space="0" w:color="auto"/>
              <w:right w:val="single" w:sz="2" w:space="0" w:color="auto"/>
            </w:tcBorders>
            <w:vAlign w:val="center"/>
          </w:tcPr>
          <w:p w14:paraId="75CBED7A" w14:textId="77777777" w:rsidR="007B3DB2" w:rsidRPr="0063248C" w:rsidRDefault="007B3DB2">
            <w:pPr>
              <w:spacing w:line="240" w:lineRule="exact"/>
              <w:rPr>
                <w:rFonts w:cs="宋体"/>
                <w:sz w:val="18"/>
                <w:szCs w:val="18"/>
              </w:rPr>
            </w:pPr>
          </w:p>
        </w:tc>
      </w:tr>
      <w:tr w:rsidR="007B3DB2" w:rsidRPr="0063248C" w14:paraId="6DC19CA0"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5980234" w14:textId="77777777" w:rsidR="007B3DB2" w:rsidRPr="0063248C" w:rsidRDefault="00000000">
            <w:pPr>
              <w:spacing w:before="40" w:after="40" w:line="240" w:lineRule="exact"/>
              <w:rPr>
                <w:rFonts w:cs="宋体"/>
                <w:sz w:val="18"/>
                <w:szCs w:val="18"/>
              </w:rPr>
            </w:pPr>
            <w:r w:rsidRPr="0063248C">
              <w:rPr>
                <w:rFonts w:cs="宋体"/>
                <w:sz w:val="18"/>
                <w:szCs w:val="18"/>
              </w:rPr>
              <w:t>应收账款</w:t>
            </w:r>
          </w:p>
        </w:tc>
        <w:tc>
          <w:tcPr>
            <w:tcW w:w="1600" w:type="dxa"/>
            <w:tcBorders>
              <w:top w:val="single" w:sz="2" w:space="0" w:color="auto"/>
              <w:left w:val="single" w:sz="2" w:space="0" w:color="auto"/>
              <w:bottom w:val="single" w:sz="2" w:space="0" w:color="auto"/>
              <w:right w:val="single" w:sz="2" w:space="0" w:color="auto"/>
            </w:tcBorders>
            <w:vAlign w:val="center"/>
          </w:tcPr>
          <w:p w14:paraId="63997AFA" w14:textId="77777777" w:rsidR="007B3DB2" w:rsidRPr="0063248C" w:rsidRDefault="00000000">
            <w:pPr>
              <w:spacing w:line="240" w:lineRule="exact"/>
              <w:jc w:val="right"/>
              <w:rPr>
                <w:rFonts w:cs="宋体"/>
                <w:sz w:val="18"/>
                <w:szCs w:val="18"/>
              </w:rPr>
            </w:pPr>
            <w:r w:rsidRPr="0063248C">
              <w:rPr>
                <w:rFonts w:cs="宋体"/>
                <w:sz w:val="18"/>
                <w:szCs w:val="18"/>
              </w:rPr>
              <w:t>340,974,348.34</w:t>
            </w:r>
          </w:p>
        </w:tc>
        <w:tc>
          <w:tcPr>
            <w:tcW w:w="1418" w:type="dxa"/>
            <w:tcBorders>
              <w:top w:val="single" w:sz="2" w:space="0" w:color="auto"/>
              <w:left w:val="single" w:sz="2" w:space="0" w:color="auto"/>
              <w:bottom w:val="single" w:sz="2" w:space="0" w:color="auto"/>
              <w:right w:val="single" w:sz="2" w:space="0" w:color="auto"/>
            </w:tcBorders>
            <w:vAlign w:val="center"/>
          </w:tcPr>
          <w:p w14:paraId="120FACDA" w14:textId="77777777" w:rsidR="007B3DB2" w:rsidRPr="0063248C" w:rsidRDefault="00000000">
            <w:pPr>
              <w:spacing w:line="240" w:lineRule="exact"/>
              <w:jc w:val="right"/>
              <w:rPr>
                <w:rFonts w:cs="宋体"/>
                <w:sz w:val="18"/>
                <w:szCs w:val="18"/>
              </w:rPr>
            </w:pPr>
            <w:r w:rsidRPr="0063248C">
              <w:rPr>
                <w:rFonts w:cs="宋体"/>
                <w:sz w:val="18"/>
                <w:szCs w:val="18"/>
              </w:rPr>
              <w:t>5.75%</w:t>
            </w:r>
          </w:p>
        </w:tc>
        <w:tc>
          <w:tcPr>
            <w:tcW w:w="1559" w:type="dxa"/>
            <w:tcBorders>
              <w:top w:val="single" w:sz="2" w:space="0" w:color="auto"/>
              <w:left w:val="single" w:sz="2" w:space="0" w:color="auto"/>
              <w:bottom w:val="single" w:sz="2" w:space="0" w:color="auto"/>
              <w:right w:val="single" w:sz="2" w:space="0" w:color="auto"/>
            </w:tcBorders>
            <w:vAlign w:val="center"/>
          </w:tcPr>
          <w:p w14:paraId="7E66ED79" w14:textId="77777777" w:rsidR="007B3DB2" w:rsidRPr="0063248C" w:rsidRDefault="00000000">
            <w:pPr>
              <w:spacing w:line="240" w:lineRule="exact"/>
              <w:jc w:val="right"/>
              <w:rPr>
                <w:rFonts w:cs="宋体"/>
                <w:sz w:val="18"/>
                <w:szCs w:val="18"/>
              </w:rPr>
            </w:pPr>
            <w:r w:rsidRPr="0063248C">
              <w:rPr>
                <w:rFonts w:cs="宋体"/>
                <w:sz w:val="18"/>
                <w:szCs w:val="18"/>
              </w:rPr>
              <w:t>444,427,112.07</w:t>
            </w:r>
          </w:p>
        </w:tc>
        <w:tc>
          <w:tcPr>
            <w:tcW w:w="1417" w:type="dxa"/>
            <w:tcBorders>
              <w:top w:val="single" w:sz="2" w:space="0" w:color="auto"/>
              <w:left w:val="single" w:sz="2" w:space="0" w:color="auto"/>
              <w:bottom w:val="single" w:sz="2" w:space="0" w:color="auto"/>
              <w:right w:val="single" w:sz="2" w:space="0" w:color="auto"/>
            </w:tcBorders>
            <w:vAlign w:val="center"/>
          </w:tcPr>
          <w:p w14:paraId="4DB149B2" w14:textId="77777777" w:rsidR="007B3DB2" w:rsidRPr="0063248C" w:rsidRDefault="00000000">
            <w:pPr>
              <w:spacing w:line="240" w:lineRule="exact"/>
              <w:jc w:val="right"/>
              <w:rPr>
                <w:rFonts w:cs="宋体"/>
                <w:sz w:val="18"/>
                <w:szCs w:val="18"/>
              </w:rPr>
            </w:pPr>
            <w:r w:rsidRPr="0063248C">
              <w:rPr>
                <w:rFonts w:cs="宋体"/>
                <w:sz w:val="18"/>
                <w:szCs w:val="18"/>
              </w:rPr>
              <w:t>7.03%</w:t>
            </w:r>
          </w:p>
        </w:tc>
        <w:tc>
          <w:tcPr>
            <w:tcW w:w="993" w:type="dxa"/>
            <w:tcBorders>
              <w:top w:val="single" w:sz="2" w:space="0" w:color="auto"/>
              <w:left w:val="single" w:sz="2" w:space="0" w:color="auto"/>
              <w:bottom w:val="single" w:sz="2" w:space="0" w:color="auto"/>
              <w:right w:val="single" w:sz="2" w:space="0" w:color="auto"/>
            </w:tcBorders>
            <w:vAlign w:val="center"/>
          </w:tcPr>
          <w:p w14:paraId="25650C8E" w14:textId="77777777" w:rsidR="007B3DB2" w:rsidRPr="0063248C" w:rsidRDefault="00000000">
            <w:pPr>
              <w:spacing w:line="240" w:lineRule="exact"/>
              <w:jc w:val="right"/>
              <w:rPr>
                <w:rFonts w:cs="宋体"/>
                <w:sz w:val="18"/>
                <w:szCs w:val="18"/>
              </w:rPr>
            </w:pPr>
            <w:r w:rsidRPr="0063248C">
              <w:rPr>
                <w:rFonts w:cs="宋体"/>
                <w:sz w:val="18"/>
                <w:szCs w:val="18"/>
              </w:rPr>
              <w:t>-1.28%</w:t>
            </w:r>
          </w:p>
        </w:tc>
        <w:tc>
          <w:tcPr>
            <w:tcW w:w="1275" w:type="dxa"/>
            <w:tcBorders>
              <w:top w:val="single" w:sz="2" w:space="0" w:color="auto"/>
              <w:left w:val="single" w:sz="2" w:space="0" w:color="auto"/>
              <w:bottom w:val="single" w:sz="2" w:space="0" w:color="auto"/>
              <w:right w:val="single" w:sz="2" w:space="0" w:color="auto"/>
            </w:tcBorders>
            <w:vAlign w:val="center"/>
          </w:tcPr>
          <w:p w14:paraId="309F63BA" w14:textId="77777777" w:rsidR="007B3DB2" w:rsidRPr="0063248C" w:rsidRDefault="007B3DB2">
            <w:pPr>
              <w:spacing w:line="240" w:lineRule="exact"/>
              <w:rPr>
                <w:rFonts w:cs="宋体"/>
                <w:sz w:val="18"/>
                <w:szCs w:val="18"/>
              </w:rPr>
            </w:pPr>
          </w:p>
        </w:tc>
      </w:tr>
      <w:tr w:rsidR="007B3DB2" w:rsidRPr="0063248C" w14:paraId="50D282E1"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7A29FF6" w14:textId="77777777" w:rsidR="007B3DB2" w:rsidRPr="0063248C" w:rsidRDefault="00000000">
            <w:pPr>
              <w:spacing w:before="40" w:after="40" w:line="240" w:lineRule="exact"/>
              <w:rPr>
                <w:rFonts w:cs="宋体"/>
                <w:sz w:val="18"/>
                <w:szCs w:val="18"/>
              </w:rPr>
            </w:pPr>
            <w:r w:rsidRPr="0063248C">
              <w:rPr>
                <w:rFonts w:cs="宋体"/>
                <w:sz w:val="18"/>
                <w:szCs w:val="18"/>
              </w:rPr>
              <w:t>存货</w:t>
            </w:r>
          </w:p>
        </w:tc>
        <w:tc>
          <w:tcPr>
            <w:tcW w:w="1600" w:type="dxa"/>
            <w:tcBorders>
              <w:top w:val="single" w:sz="2" w:space="0" w:color="auto"/>
              <w:left w:val="single" w:sz="2" w:space="0" w:color="auto"/>
              <w:bottom w:val="single" w:sz="2" w:space="0" w:color="auto"/>
              <w:right w:val="single" w:sz="2" w:space="0" w:color="auto"/>
            </w:tcBorders>
            <w:vAlign w:val="center"/>
          </w:tcPr>
          <w:p w14:paraId="74DF6154" w14:textId="77777777" w:rsidR="007B3DB2" w:rsidRPr="0063248C" w:rsidRDefault="00000000">
            <w:pPr>
              <w:spacing w:line="240" w:lineRule="exact"/>
              <w:jc w:val="right"/>
              <w:rPr>
                <w:rFonts w:cs="宋体"/>
                <w:sz w:val="18"/>
                <w:szCs w:val="18"/>
              </w:rPr>
            </w:pPr>
            <w:r w:rsidRPr="0063248C">
              <w:rPr>
                <w:rFonts w:cs="宋体"/>
                <w:sz w:val="18"/>
                <w:szCs w:val="18"/>
              </w:rPr>
              <w:t>1,116,048,932.67</w:t>
            </w:r>
          </w:p>
        </w:tc>
        <w:tc>
          <w:tcPr>
            <w:tcW w:w="1418" w:type="dxa"/>
            <w:tcBorders>
              <w:top w:val="single" w:sz="2" w:space="0" w:color="auto"/>
              <w:left w:val="single" w:sz="2" w:space="0" w:color="auto"/>
              <w:bottom w:val="single" w:sz="2" w:space="0" w:color="auto"/>
              <w:right w:val="single" w:sz="2" w:space="0" w:color="auto"/>
            </w:tcBorders>
            <w:vAlign w:val="center"/>
          </w:tcPr>
          <w:p w14:paraId="38A5BFDD" w14:textId="77777777" w:rsidR="007B3DB2" w:rsidRPr="0063248C" w:rsidRDefault="00000000">
            <w:pPr>
              <w:spacing w:line="240" w:lineRule="exact"/>
              <w:jc w:val="right"/>
              <w:rPr>
                <w:rFonts w:cs="宋体"/>
                <w:sz w:val="18"/>
                <w:szCs w:val="18"/>
              </w:rPr>
            </w:pPr>
            <w:r w:rsidRPr="0063248C">
              <w:rPr>
                <w:rFonts w:cs="宋体"/>
                <w:sz w:val="18"/>
                <w:szCs w:val="18"/>
              </w:rPr>
              <w:t>18.81%</w:t>
            </w:r>
          </w:p>
        </w:tc>
        <w:tc>
          <w:tcPr>
            <w:tcW w:w="1559" w:type="dxa"/>
            <w:tcBorders>
              <w:top w:val="single" w:sz="2" w:space="0" w:color="auto"/>
              <w:left w:val="single" w:sz="2" w:space="0" w:color="auto"/>
              <w:bottom w:val="single" w:sz="2" w:space="0" w:color="auto"/>
              <w:right w:val="single" w:sz="2" w:space="0" w:color="auto"/>
            </w:tcBorders>
            <w:vAlign w:val="center"/>
          </w:tcPr>
          <w:p w14:paraId="49BE4DF0" w14:textId="77777777" w:rsidR="007B3DB2" w:rsidRPr="0063248C" w:rsidRDefault="00000000">
            <w:pPr>
              <w:spacing w:line="240" w:lineRule="exact"/>
              <w:jc w:val="right"/>
              <w:rPr>
                <w:rFonts w:cs="宋体"/>
                <w:sz w:val="18"/>
                <w:szCs w:val="18"/>
              </w:rPr>
            </w:pPr>
            <w:r w:rsidRPr="0063248C">
              <w:rPr>
                <w:rFonts w:cs="宋体"/>
                <w:sz w:val="18"/>
                <w:szCs w:val="18"/>
              </w:rPr>
              <w:t>991,835,506.20</w:t>
            </w:r>
          </w:p>
        </w:tc>
        <w:tc>
          <w:tcPr>
            <w:tcW w:w="1417" w:type="dxa"/>
            <w:tcBorders>
              <w:top w:val="single" w:sz="2" w:space="0" w:color="auto"/>
              <w:left w:val="single" w:sz="2" w:space="0" w:color="auto"/>
              <w:bottom w:val="single" w:sz="2" w:space="0" w:color="auto"/>
              <w:right w:val="single" w:sz="2" w:space="0" w:color="auto"/>
            </w:tcBorders>
            <w:vAlign w:val="center"/>
          </w:tcPr>
          <w:p w14:paraId="24C0C30F" w14:textId="77777777" w:rsidR="007B3DB2" w:rsidRPr="0063248C" w:rsidRDefault="00000000">
            <w:pPr>
              <w:spacing w:line="240" w:lineRule="exact"/>
              <w:jc w:val="right"/>
              <w:rPr>
                <w:rFonts w:cs="宋体"/>
                <w:sz w:val="18"/>
                <w:szCs w:val="18"/>
              </w:rPr>
            </w:pPr>
            <w:r w:rsidRPr="0063248C">
              <w:rPr>
                <w:rFonts w:cs="宋体"/>
                <w:sz w:val="18"/>
                <w:szCs w:val="18"/>
              </w:rPr>
              <w:t>15.70%</w:t>
            </w:r>
          </w:p>
        </w:tc>
        <w:tc>
          <w:tcPr>
            <w:tcW w:w="993" w:type="dxa"/>
            <w:tcBorders>
              <w:top w:val="single" w:sz="2" w:space="0" w:color="auto"/>
              <w:left w:val="single" w:sz="2" w:space="0" w:color="auto"/>
              <w:bottom w:val="single" w:sz="2" w:space="0" w:color="auto"/>
              <w:right w:val="single" w:sz="2" w:space="0" w:color="auto"/>
            </w:tcBorders>
            <w:vAlign w:val="center"/>
          </w:tcPr>
          <w:p w14:paraId="1207EC3F" w14:textId="77777777" w:rsidR="007B3DB2" w:rsidRPr="0063248C" w:rsidRDefault="00000000">
            <w:pPr>
              <w:spacing w:line="240" w:lineRule="exact"/>
              <w:jc w:val="right"/>
              <w:rPr>
                <w:rFonts w:cs="宋体"/>
                <w:sz w:val="18"/>
                <w:szCs w:val="18"/>
              </w:rPr>
            </w:pPr>
            <w:r w:rsidRPr="0063248C">
              <w:rPr>
                <w:rFonts w:cs="宋体"/>
                <w:sz w:val="18"/>
                <w:szCs w:val="18"/>
              </w:rPr>
              <w:t>3.11%</w:t>
            </w:r>
          </w:p>
        </w:tc>
        <w:tc>
          <w:tcPr>
            <w:tcW w:w="1275" w:type="dxa"/>
            <w:tcBorders>
              <w:top w:val="single" w:sz="2" w:space="0" w:color="auto"/>
              <w:left w:val="single" w:sz="2" w:space="0" w:color="auto"/>
              <w:bottom w:val="single" w:sz="2" w:space="0" w:color="auto"/>
              <w:right w:val="single" w:sz="2" w:space="0" w:color="auto"/>
            </w:tcBorders>
            <w:vAlign w:val="center"/>
          </w:tcPr>
          <w:p w14:paraId="54FEDF8A" w14:textId="77777777" w:rsidR="007B3DB2" w:rsidRPr="0063248C" w:rsidRDefault="007B3DB2">
            <w:pPr>
              <w:spacing w:line="240" w:lineRule="exact"/>
              <w:rPr>
                <w:rFonts w:cs="宋体"/>
                <w:sz w:val="18"/>
                <w:szCs w:val="18"/>
              </w:rPr>
            </w:pPr>
          </w:p>
        </w:tc>
      </w:tr>
      <w:tr w:rsidR="007B3DB2" w:rsidRPr="0063248C" w14:paraId="181930BB"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F3D219" w14:textId="77777777" w:rsidR="007B3DB2" w:rsidRPr="0063248C" w:rsidRDefault="00000000">
            <w:pPr>
              <w:spacing w:before="40" w:after="40" w:line="240" w:lineRule="exact"/>
              <w:rPr>
                <w:rFonts w:cs="宋体"/>
                <w:sz w:val="18"/>
                <w:szCs w:val="18"/>
              </w:rPr>
            </w:pPr>
            <w:r w:rsidRPr="0063248C">
              <w:rPr>
                <w:rFonts w:cs="宋体"/>
                <w:sz w:val="18"/>
                <w:szCs w:val="18"/>
              </w:rPr>
              <w:t>固定资产</w:t>
            </w:r>
          </w:p>
        </w:tc>
        <w:tc>
          <w:tcPr>
            <w:tcW w:w="1600" w:type="dxa"/>
            <w:tcBorders>
              <w:top w:val="single" w:sz="2" w:space="0" w:color="auto"/>
              <w:left w:val="single" w:sz="2" w:space="0" w:color="auto"/>
              <w:bottom w:val="single" w:sz="2" w:space="0" w:color="auto"/>
              <w:right w:val="single" w:sz="2" w:space="0" w:color="auto"/>
            </w:tcBorders>
            <w:vAlign w:val="center"/>
          </w:tcPr>
          <w:p w14:paraId="42CFD330" w14:textId="77777777" w:rsidR="007B3DB2" w:rsidRPr="0063248C" w:rsidRDefault="00000000">
            <w:pPr>
              <w:spacing w:line="240" w:lineRule="exact"/>
              <w:jc w:val="right"/>
              <w:rPr>
                <w:rFonts w:cs="宋体"/>
                <w:sz w:val="18"/>
                <w:szCs w:val="18"/>
              </w:rPr>
            </w:pPr>
            <w:r w:rsidRPr="0063248C">
              <w:rPr>
                <w:rFonts w:cs="宋体"/>
                <w:sz w:val="18"/>
                <w:szCs w:val="18"/>
              </w:rPr>
              <w:t>1,705,318,171.73</w:t>
            </w:r>
          </w:p>
        </w:tc>
        <w:tc>
          <w:tcPr>
            <w:tcW w:w="1418" w:type="dxa"/>
            <w:tcBorders>
              <w:top w:val="single" w:sz="2" w:space="0" w:color="auto"/>
              <w:left w:val="single" w:sz="2" w:space="0" w:color="auto"/>
              <w:bottom w:val="single" w:sz="2" w:space="0" w:color="auto"/>
              <w:right w:val="single" w:sz="2" w:space="0" w:color="auto"/>
            </w:tcBorders>
            <w:vAlign w:val="center"/>
          </w:tcPr>
          <w:p w14:paraId="39E5A491" w14:textId="77777777" w:rsidR="007B3DB2" w:rsidRPr="0063248C" w:rsidRDefault="00000000">
            <w:pPr>
              <w:spacing w:line="240" w:lineRule="exact"/>
              <w:jc w:val="right"/>
              <w:rPr>
                <w:rFonts w:cs="宋体"/>
                <w:sz w:val="18"/>
                <w:szCs w:val="18"/>
              </w:rPr>
            </w:pPr>
            <w:r w:rsidRPr="0063248C">
              <w:rPr>
                <w:rFonts w:cs="宋体"/>
                <w:sz w:val="18"/>
                <w:szCs w:val="18"/>
              </w:rPr>
              <w:t>28.74%</w:t>
            </w:r>
          </w:p>
        </w:tc>
        <w:tc>
          <w:tcPr>
            <w:tcW w:w="1559" w:type="dxa"/>
            <w:tcBorders>
              <w:top w:val="single" w:sz="2" w:space="0" w:color="auto"/>
              <w:left w:val="single" w:sz="2" w:space="0" w:color="auto"/>
              <w:bottom w:val="single" w:sz="2" w:space="0" w:color="auto"/>
              <w:right w:val="single" w:sz="2" w:space="0" w:color="auto"/>
            </w:tcBorders>
            <w:vAlign w:val="center"/>
          </w:tcPr>
          <w:p w14:paraId="39E71722" w14:textId="77777777" w:rsidR="007B3DB2" w:rsidRPr="0063248C" w:rsidRDefault="00000000">
            <w:pPr>
              <w:spacing w:line="240" w:lineRule="exact"/>
              <w:jc w:val="right"/>
              <w:rPr>
                <w:rFonts w:cs="宋体"/>
                <w:sz w:val="18"/>
                <w:szCs w:val="18"/>
              </w:rPr>
            </w:pPr>
            <w:r w:rsidRPr="0063248C">
              <w:rPr>
                <w:rFonts w:cs="宋体"/>
                <w:sz w:val="18"/>
                <w:szCs w:val="18"/>
              </w:rPr>
              <w:t>1,692,939,156.89</w:t>
            </w:r>
          </w:p>
        </w:tc>
        <w:tc>
          <w:tcPr>
            <w:tcW w:w="1417" w:type="dxa"/>
            <w:tcBorders>
              <w:top w:val="single" w:sz="2" w:space="0" w:color="auto"/>
              <w:left w:val="single" w:sz="2" w:space="0" w:color="auto"/>
              <w:bottom w:val="single" w:sz="2" w:space="0" w:color="auto"/>
              <w:right w:val="single" w:sz="2" w:space="0" w:color="auto"/>
            </w:tcBorders>
            <w:vAlign w:val="center"/>
          </w:tcPr>
          <w:p w14:paraId="716F3FA0" w14:textId="77777777" w:rsidR="007B3DB2" w:rsidRPr="0063248C" w:rsidRDefault="00000000">
            <w:pPr>
              <w:spacing w:line="240" w:lineRule="exact"/>
              <w:jc w:val="right"/>
              <w:rPr>
                <w:rFonts w:cs="宋体"/>
                <w:sz w:val="18"/>
                <w:szCs w:val="18"/>
              </w:rPr>
            </w:pPr>
            <w:r w:rsidRPr="0063248C">
              <w:rPr>
                <w:rFonts w:cs="宋体"/>
                <w:sz w:val="18"/>
                <w:szCs w:val="18"/>
              </w:rPr>
              <w:t>26.80%</w:t>
            </w:r>
          </w:p>
        </w:tc>
        <w:tc>
          <w:tcPr>
            <w:tcW w:w="993" w:type="dxa"/>
            <w:tcBorders>
              <w:top w:val="single" w:sz="2" w:space="0" w:color="auto"/>
              <w:left w:val="single" w:sz="2" w:space="0" w:color="auto"/>
              <w:bottom w:val="single" w:sz="2" w:space="0" w:color="auto"/>
              <w:right w:val="single" w:sz="2" w:space="0" w:color="auto"/>
            </w:tcBorders>
            <w:vAlign w:val="center"/>
          </w:tcPr>
          <w:p w14:paraId="53E8D9E1" w14:textId="77777777" w:rsidR="007B3DB2" w:rsidRPr="0063248C" w:rsidRDefault="00000000">
            <w:pPr>
              <w:spacing w:line="240" w:lineRule="exact"/>
              <w:jc w:val="right"/>
              <w:rPr>
                <w:rFonts w:cs="宋体"/>
                <w:sz w:val="18"/>
                <w:szCs w:val="18"/>
              </w:rPr>
            </w:pPr>
            <w:r w:rsidRPr="0063248C">
              <w:rPr>
                <w:rFonts w:cs="宋体"/>
                <w:sz w:val="18"/>
                <w:szCs w:val="18"/>
              </w:rPr>
              <w:t>1.94%</w:t>
            </w:r>
          </w:p>
        </w:tc>
        <w:tc>
          <w:tcPr>
            <w:tcW w:w="1275" w:type="dxa"/>
            <w:tcBorders>
              <w:top w:val="single" w:sz="2" w:space="0" w:color="auto"/>
              <w:left w:val="single" w:sz="2" w:space="0" w:color="auto"/>
              <w:bottom w:val="single" w:sz="2" w:space="0" w:color="auto"/>
              <w:right w:val="single" w:sz="2" w:space="0" w:color="auto"/>
            </w:tcBorders>
            <w:vAlign w:val="center"/>
          </w:tcPr>
          <w:p w14:paraId="26FB7737" w14:textId="77777777" w:rsidR="007B3DB2" w:rsidRPr="0063248C" w:rsidRDefault="007B3DB2">
            <w:pPr>
              <w:spacing w:line="240" w:lineRule="exact"/>
              <w:rPr>
                <w:rFonts w:cs="宋体"/>
                <w:sz w:val="18"/>
                <w:szCs w:val="18"/>
              </w:rPr>
            </w:pPr>
          </w:p>
        </w:tc>
      </w:tr>
      <w:tr w:rsidR="007B3DB2" w:rsidRPr="0063248C" w14:paraId="5FBE9C7B"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96F2ECF" w14:textId="77777777" w:rsidR="007B3DB2" w:rsidRPr="0063248C" w:rsidRDefault="00000000">
            <w:pPr>
              <w:spacing w:before="40" w:after="40" w:line="240" w:lineRule="exact"/>
              <w:rPr>
                <w:rFonts w:cs="宋体"/>
                <w:sz w:val="18"/>
                <w:szCs w:val="18"/>
              </w:rPr>
            </w:pPr>
            <w:r w:rsidRPr="0063248C">
              <w:rPr>
                <w:rFonts w:cs="宋体"/>
                <w:sz w:val="18"/>
                <w:szCs w:val="18"/>
              </w:rPr>
              <w:t>在建工程</w:t>
            </w:r>
          </w:p>
        </w:tc>
        <w:tc>
          <w:tcPr>
            <w:tcW w:w="1600" w:type="dxa"/>
            <w:tcBorders>
              <w:top w:val="single" w:sz="2" w:space="0" w:color="auto"/>
              <w:left w:val="single" w:sz="2" w:space="0" w:color="auto"/>
              <w:bottom w:val="single" w:sz="2" w:space="0" w:color="auto"/>
              <w:right w:val="single" w:sz="2" w:space="0" w:color="auto"/>
            </w:tcBorders>
            <w:vAlign w:val="center"/>
          </w:tcPr>
          <w:p w14:paraId="59636981" w14:textId="77777777" w:rsidR="007B3DB2" w:rsidRPr="0063248C" w:rsidRDefault="00000000">
            <w:pPr>
              <w:spacing w:line="240" w:lineRule="exact"/>
              <w:jc w:val="right"/>
              <w:rPr>
                <w:rFonts w:cs="宋体"/>
                <w:sz w:val="18"/>
                <w:szCs w:val="18"/>
              </w:rPr>
            </w:pPr>
            <w:r w:rsidRPr="0063248C">
              <w:rPr>
                <w:rFonts w:cs="宋体"/>
                <w:sz w:val="18"/>
                <w:szCs w:val="18"/>
              </w:rPr>
              <w:t>903,628,173.02</w:t>
            </w:r>
          </w:p>
        </w:tc>
        <w:tc>
          <w:tcPr>
            <w:tcW w:w="1418" w:type="dxa"/>
            <w:tcBorders>
              <w:top w:val="single" w:sz="2" w:space="0" w:color="auto"/>
              <w:left w:val="single" w:sz="2" w:space="0" w:color="auto"/>
              <w:bottom w:val="single" w:sz="2" w:space="0" w:color="auto"/>
              <w:right w:val="single" w:sz="2" w:space="0" w:color="auto"/>
            </w:tcBorders>
            <w:vAlign w:val="center"/>
          </w:tcPr>
          <w:p w14:paraId="55D35D71" w14:textId="77777777" w:rsidR="007B3DB2" w:rsidRPr="0063248C" w:rsidRDefault="00000000">
            <w:pPr>
              <w:spacing w:line="240" w:lineRule="exact"/>
              <w:jc w:val="right"/>
              <w:rPr>
                <w:rFonts w:cs="宋体"/>
                <w:sz w:val="18"/>
                <w:szCs w:val="18"/>
              </w:rPr>
            </w:pPr>
            <w:r w:rsidRPr="0063248C">
              <w:rPr>
                <w:rFonts w:cs="宋体"/>
                <w:sz w:val="18"/>
                <w:szCs w:val="18"/>
              </w:rPr>
              <w:t>15.23%</w:t>
            </w:r>
          </w:p>
        </w:tc>
        <w:tc>
          <w:tcPr>
            <w:tcW w:w="1559" w:type="dxa"/>
            <w:tcBorders>
              <w:top w:val="single" w:sz="2" w:space="0" w:color="auto"/>
              <w:left w:val="single" w:sz="2" w:space="0" w:color="auto"/>
              <w:bottom w:val="single" w:sz="2" w:space="0" w:color="auto"/>
              <w:right w:val="single" w:sz="2" w:space="0" w:color="auto"/>
            </w:tcBorders>
            <w:vAlign w:val="center"/>
          </w:tcPr>
          <w:p w14:paraId="28B4A140" w14:textId="77777777" w:rsidR="007B3DB2" w:rsidRPr="0063248C" w:rsidRDefault="00000000">
            <w:pPr>
              <w:spacing w:line="240" w:lineRule="exact"/>
              <w:jc w:val="right"/>
              <w:rPr>
                <w:rFonts w:cs="宋体"/>
                <w:sz w:val="18"/>
                <w:szCs w:val="18"/>
              </w:rPr>
            </w:pPr>
            <w:r w:rsidRPr="0063248C">
              <w:rPr>
                <w:rFonts w:cs="宋体"/>
                <w:sz w:val="18"/>
                <w:szCs w:val="18"/>
              </w:rPr>
              <w:t>919,386,014.19</w:t>
            </w:r>
          </w:p>
        </w:tc>
        <w:tc>
          <w:tcPr>
            <w:tcW w:w="1417" w:type="dxa"/>
            <w:tcBorders>
              <w:top w:val="single" w:sz="2" w:space="0" w:color="auto"/>
              <w:left w:val="single" w:sz="2" w:space="0" w:color="auto"/>
              <w:bottom w:val="single" w:sz="2" w:space="0" w:color="auto"/>
              <w:right w:val="single" w:sz="2" w:space="0" w:color="auto"/>
            </w:tcBorders>
            <w:vAlign w:val="center"/>
          </w:tcPr>
          <w:p w14:paraId="349AEEFD" w14:textId="77777777" w:rsidR="007B3DB2" w:rsidRPr="0063248C" w:rsidRDefault="00000000">
            <w:pPr>
              <w:spacing w:line="240" w:lineRule="exact"/>
              <w:jc w:val="right"/>
              <w:rPr>
                <w:rFonts w:cs="宋体"/>
                <w:sz w:val="18"/>
                <w:szCs w:val="18"/>
              </w:rPr>
            </w:pPr>
            <w:r w:rsidRPr="0063248C">
              <w:rPr>
                <w:rFonts w:cs="宋体"/>
                <w:sz w:val="18"/>
                <w:szCs w:val="18"/>
              </w:rPr>
              <w:t>14.55%</w:t>
            </w:r>
          </w:p>
        </w:tc>
        <w:tc>
          <w:tcPr>
            <w:tcW w:w="993" w:type="dxa"/>
            <w:tcBorders>
              <w:top w:val="single" w:sz="2" w:space="0" w:color="auto"/>
              <w:left w:val="single" w:sz="2" w:space="0" w:color="auto"/>
              <w:bottom w:val="single" w:sz="2" w:space="0" w:color="auto"/>
              <w:right w:val="single" w:sz="2" w:space="0" w:color="auto"/>
            </w:tcBorders>
            <w:vAlign w:val="center"/>
          </w:tcPr>
          <w:p w14:paraId="36CF387A" w14:textId="77777777" w:rsidR="007B3DB2" w:rsidRPr="0063248C" w:rsidRDefault="00000000">
            <w:pPr>
              <w:spacing w:line="240" w:lineRule="exact"/>
              <w:jc w:val="right"/>
              <w:rPr>
                <w:rFonts w:cs="宋体"/>
                <w:sz w:val="18"/>
                <w:szCs w:val="18"/>
              </w:rPr>
            </w:pPr>
            <w:r w:rsidRPr="0063248C">
              <w:rPr>
                <w:rFonts w:cs="宋体"/>
                <w:sz w:val="18"/>
                <w:szCs w:val="18"/>
              </w:rPr>
              <w:t>0.68%</w:t>
            </w:r>
          </w:p>
        </w:tc>
        <w:tc>
          <w:tcPr>
            <w:tcW w:w="1275" w:type="dxa"/>
            <w:tcBorders>
              <w:top w:val="single" w:sz="2" w:space="0" w:color="auto"/>
              <w:left w:val="single" w:sz="2" w:space="0" w:color="auto"/>
              <w:bottom w:val="single" w:sz="2" w:space="0" w:color="auto"/>
              <w:right w:val="single" w:sz="2" w:space="0" w:color="auto"/>
            </w:tcBorders>
            <w:vAlign w:val="center"/>
          </w:tcPr>
          <w:p w14:paraId="46B66E9F" w14:textId="77777777" w:rsidR="007B3DB2" w:rsidRPr="0063248C" w:rsidRDefault="007B3DB2">
            <w:pPr>
              <w:spacing w:line="240" w:lineRule="exact"/>
              <w:rPr>
                <w:rFonts w:cs="宋体"/>
                <w:sz w:val="18"/>
                <w:szCs w:val="18"/>
              </w:rPr>
            </w:pPr>
          </w:p>
        </w:tc>
      </w:tr>
      <w:tr w:rsidR="007B3DB2" w:rsidRPr="0063248C" w14:paraId="7B10114C"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E8608E8" w14:textId="77777777" w:rsidR="007B3DB2" w:rsidRPr="0063248C" w:rsidRDefault="00000000">
            <w:pPr>
              <w:spacing w:before="40" w:after="40" w:line="240" w:lineRule="exact"/>
              <w:rPr>
                <w:rFonts w:cs="宋体"/>
                <w:sz w:val="18"/>
                <w:szCs w:val="18"/>
              </w:rPr>
            </w:pPr>
            <w:r w:rsidRPr="0063248C">
              <w:rPr>
                <w:rFonts w:cs="宋体"/>
                <w:sz w:val="18"/>
                <w:szCs w:val="18"/>
              </w:rPr>
              <w:t>使用权资产</w:t>
            </w:r>
          </w:p>
        </w:tc>
        <w:tc>
          <w:tcPr>
            <w:tcW w:w="1600" w:type="dxa"/>
            <w:tcBorders>
              <w:top w:val="single" w:sz="2" w:space="0" w:color="auto"/>
              <w:left w:val="single" w:sz="2" w:space="0" w:color="auto"/>
              <w:bottom w:val="single" w:sz="2" w:space="0" w:color="auto"/>
              <w:right w:val="single" w:sz="2" w:space="0" w:color="auto"/>
            </w:tcBorders>
            <w:vAlign w:val="center"/>
          </w:tcPr>
          <w:p w14:paraId="6710672C" w14:textId="77777777" w:rsidR="007B3DB2" w:rsidRPr="0063248C" w:rsidRDefault="00000000">
            <w:pPr>
              <w:spacing w:line="240" w:lineRule="exact"/>
              <w:jc w:val="right"/>
              <w:rPr>
                <w:rFonts w:cs="宋体"/>
                <w:sz w:val="18"/>
                <w:szCs w:val="18"/>
              </w:rPr>
            </w:pPr>
            <w:r w:rsidRPr="0063248C">
              <w:rPr>
                <w:rFonts w:cs="宋体"/>
                <w:sz w:val="18"/>
                <w:szCs w:val="18"/>
              </w:rPr>
              <w:t>53,206,359.48</w:t>
            </w:r>
          </w:p>
        </w:tc>
        <w:tc>
          <w:tcPr>
            <w:tcW w:w="1418" w:type="dxa"/>
            <w:tcBorders>
              <w:top w:val="single" w:sz="2" w:space="0" w:color="auto"/>
              <w:left w:val="single" w:sz="2" w:space="0" w:color="auto"/>
              <w:bottom w:val="single" w:sz="2" w:space="0" w:color="auto"/>
              <w:right w:val="single" w:sz="2" w:space="0" w:color="auto"/>
            </w:tcBorders>
            <w:vAlign w:val="center"/>
          </w:tcPr>
          <w:p w14:paraId="7B52FA58" w14:textId="77777777" w:rsidR="007B3DB2" w:rsidRPr="0063248C" w:rsidRDefault="00000000">
            <w:pPr>
              <w:spacing w:line="240" w:lineRule="exact"/>
              <w:jc w:val="right"/>
              <w:rPr>
                <w:rFonts w:cs="宋体"/>
                <w:sz w:val="18"/>
                <w:szCs w:val="18"/>
              </w:rPr>
            </w:pPr>
            <w:r w:rsidRPr="0063248C">
              <w:rPr>
                <w:rFonts w:cs="宋体"/>
                <w:sz w:val="18"/>
                <w:szCs w:val="18"/>
              </w:rPr>
              <w:t>0.90%</w:t>
            </w:r>
          </w:p>
        </w:tc>
        <w:tc>
          <w:tcPr>
            <w:tcW w:w="1559" w:type="dxa"/>
            <w:tcBorders>
              <w:top w:val="single" w:sz="2" w:space="0" w:color="auto"/>
              <w:left w:val="single" w:sz="2" w:space="0" w:color="auto"/>
              <w:bottom w:val="single" w:sz="2" w:space="0" w:color="auto"/>
              <w:right w:val="single" w:sz="2" w:space="0" w:color="auto"/>
            </w:tcBorders>
            <w:vAlign w:val="center"/>
          </w:tcPr>
          <w:p w14:paraId="395AE95F" w14:textId="77777777" w:rsidR="007B3DB2" w:rsidRPr="0063248C" w:rsidRDefault="00000000">
            <w:pPr>
              <w:spacing w:line="240" w:lineRule="exact"/>
              <w:jc w:val="right"/>
              <w:rPr>
                <w:rFonts w:cs="宋体"/>
                <w:sz w:val="18"/>
                <w:szCs w:val="18"/>
              </w:rPr>
            </w:pPr>
            <w:r w:rsidRPr="0063248C">
              <w:rPr>
                <w:rFonts w:cs="宋体"/>
                <w:sz w:val="18"/>
                <w:szCs w:val="18"/>
              </w:rPr>
              <w:t>56,681,295.48</w:t>
            </w:r>
          </w:p>
        </w:tc>
        <w:tc>
          <w:tcPr>
            <w:tcW w:w="1417" w:type="dxa"/>
            <w:tcBorders>
              <w:top w:val="single" w:sz="2" w:space="0" w:color="auto"/>
              <w:left w:val="single" w:sz="2" w:space="0" w:color="auto"/>
              <w:bottom w:val="single" w:sz="2" w:space="0" w:color="auto"/>
              <w:right w:val="single" w:sz="2" w:space="0" w:color="auto"/>
            </w:tcBorders>
            <w:vAlign w:val="center"/>
          </w:tcPr>
          <w:p w14:paraId="6FB7AE76" w14:textId="77777777" w:rsidR="007B3DB2" w:rsidRPr="0063248C" w:rsidRDefault="00000000">
            <w:pPr>
              <w:spacing w:line="240" w:lineRule="exact"/>
              <w:jc w:val="right"/>
              <w:rPr>
                <w:rFonts w:cs="宋体"/>
                <w:sz w:val="18"/>
                <w:szCs w:val="18"/>
              </w:rPr>
            </w:pPr>
            <w:r w:rsidRPr="0063248C">
              <w:rPr>
                <w:rFonts w:cs="宋体"/>
                <w:sz w:val="18"/>
                <w:szCs w:val="18"/>
              </w:rPr>
              <w:t>0.90%</w:t>
            </w:r>
          </w:p>
        </w:tc>
        <w:tc>
          <w:tcPr>
            <w:tcW w:w="993" w:type="dxa"/>
            <w:tcBorders>
              <w:top w:val="single" w:sz="2" w:space="0" w:color="auto"/>
              <w:left w:val="single" w:sz="2" w:space="0" w:color="auto"/>
              <w:bottom w:val="single" w:sz="2" w:space="0" w:color="auto"/>
              <w:right w:val="single" w:sz="2" w:space="0" w:color="auto"/>
            </w:tcBorders>
            <w:vAlign w:val="center"/>
          </w:tcPr>
          <w:p w14:paraId="74ACD39C"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275" w:type="dxa"/>
            <w:tcBorders>
              <w:top w:val="single" w:sz="2" w:space="0" w:color="auto"/>
              <w:left w:val="single" w:sz="2" w:space="0" w:color="auto"/>
              <w:bottom w:val="single" w:sz="2" w:space="0" w:color="auto"/>
              <w:right w:val="single" w:sz="2" w:space="0" w:color="auto"/>
            </w:tcBorders>
            <w:vAlign w:val="center"/>
          </w:tcPr>
          <w:p w14:paraId="253EF37F" w14:textId="77777777" w:rsidR="007B3DB2" w:rsidRPr="0063248C" w:rsidRDefault="007B3DB2">
            <w:pPr>
              <w:spacing w:line="240" w:lineRule="exact"/>
              <w:rPr>
                <w:rFonts w:cs="宋体"/>
                <w:sz w:val="18"/>
                <w:szCs w:val="18"/>
              </w:rPr>
            </w:pPr>
          </w:p>
        </w:tc>
      </w:tr>
      <w:tr w:rsidR="007B3DB2" w:rsidRPr="0063248C" w14:paraId="5E2F51FF"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274795C" w14:textId="77777777" w:rsidR="007B3DB2" w:rsidRPr="0063248C" w:rsidRDefault="00000000">
            <w:pPr>
              <w:spacing w:before="40" w:after="40" w:line="240" w:lineRule="exact"/>
              <w:rPr>
                <w:rFonts w:cs="宋体"/>
                <w:sz w:val="18"/>
                <w:szCs w:val="18"/>
              </w:rPr>
            </w:pPr>
            <w:r w:rsidRPr="0063248C">
              <w:rPr>
                <w:rFonts w:cs="宋体"/>
                <w:sz w:val="18"/>
                <w:szCs w:val="18"/>
              </w:rPr>
              <w:t>短期借款</w:t>
            </w:r>
          </w:p>
        </w:tc>
        <w:tc>
          <w:tcPr>
            <w:tcW w:w="1600" w:type="dxa"/>
            <w:tcBorders>
              <w:top w:val="single" w:sz="2" w:space="0" w:color="auto"/>
              <w:left w:val="single" w:sz="2" w:space="0" w:color="auto"/>
              <w:bottom w:val="single" w:sz="2" w:space="0" w:color="auto"/>
              <w:right w:val="single" w:sz="2" w:space="0" w:color="auto"/>
            </w:tcBorders>
            <w:vAlign w:val="center"/>
          </w:tcPr>
          <w:p w14:paraId="396095DD" w14:textId="77777777" w:rsidR="007B3DB2" w:rsidRPr="0063248C" w:rsidRDefault="00000000">
            <w:pPr>
              <w:spacing w:line="240" w:lineRule="exact"/>
              <w:jc w:val="right"/>
              <w:rPr>
                <w:rFonts w:cs="宋体"/>
                <w:sz w:val="18"/>
                <w:szCs w:val="18"/>
              </w:rPr>
            </w:pPr>
            <w:r w:rsidRPr="0063248C">
              <w:rPr>
                <w:rFonts w:cs="宋体"/>
                <w:sz w:val="18"/>
                <w:szCs w:val="18"/>
              </w:rPr>
              <w:t>1,636,790,878.96</w:t>
            </w:r>
          </w:p>
        </w:tc>
        <w:tc>
          <w:tcPr>
            <w:tcW w:w="1418" w:type="dxa"/>
            <w:tcBorders>
              <w:top w:val="single" w:sz="2" w:space="0" w:color="auto"/>
              <w:left w:val="single" w:sz="2" w:space="0" w:color="auto"/>
              <w:bottom w:val="single" w:sz="2" w:space="0" w:color="auto"/>
              <w:right w:val="single" w:sz="2" w:space="0" w:color="auto"/>
            </w:tcBorders>
            <w:vAlign w:val="center"/>
          </w:tcPr>
          <w:p w14:paraId="49621826" w14:textId="77777777" w:rsidR="007B3DB2" w:rsidRPr="0063248C" w:rsidRDefault="00000000">
            <w:pPr>
              <w:spacing w:line="240" w:lineRule="exact"/>
              <w:jc w:val="right"/>
              <w:rPr>
                <w:rFonts w:cs="宋体"/>
                <w:sz w:val="18"/>
                <w:szCs w:val="18"/>
              </w:rPr>
            </w:pPr>
            <w:r w:rsidRPr="0063248C">
              <w:rPr>
                <w:rFonts w:cs="宋体"/>
                <w:sz w:val="18"/>
                <w:szCs w:val="18"/>
              </w:rPr>
              <w:t>27.58%</w:t>
            </w:r>
          </w:p>
        </w:tc>
        <w:tc>
          <w:tcPr>
            <w:tcW w:w="1559" w:type="dxa"/>
            <w:tcBorders>
              <w:top w:val="single" w:sz="2" w:space="0" w:color="auto"/>
              <w:left w:val="single" w:sz="2" w:space="0" w:color="auto"/>
              <w:bottom w:val="single" w:sz="2" w:space="0" w:color="auto"/>
              <w:right w:val="single" w:sz="2" w:space="0" w:color="auto"/>
            </w:tcBorders>
            <w:vAlign w:val="center"/>
          </w:tcPr>
          <w:p w14:paraId="534553FA" w14:textId="77777777" w:rsidR="007B3DB2" w:rsidRPr="0063248C" w:rsidRDefault="00000000">
            <w:pPr>
              <w:spacing w:line="240" w:lineRule="exact"/>
              <w:jc w:val="right"/>
              <w:rPr>
                <w:rFonts w:cs="宋体"/>
                <w:sz w:val="18"/>
                <w:szCs w:val="18"/>
              </w:rPr>
            </w:pPr>
            <w:r w:rsidRPr="0063248C">
              <w:rPr>
                <w:rFonts w:cs="宋体"/>
                <w:sz w:val="18"/>
                <w:szCs w:val="18"/>
              </w:rPr>
              <w:t>1,854,767,478.71</w:t>
            </w:r>
          </w:p>
        </w:tc>
        <w:tc>
          <w:tcPr>
            <w:tcW w:w="1417" w:type="dxa"/>
            <w:tcBorders>
              <w:top w:val="single" w:sz="2" w:space="0" w:color="auto"/>
              <w:left w:val="single" w:sz="2" w:space="0" w:color="auto"/>
              <w:bottom w:val="single" w:sz="2" w:space="0" w:color="auto"/>
              <w:right w:val="single" w:sz="2" w:space="0" w:color="auto"/>
            </w:tcBorders>
            <w:vAlign w:val="center"/>
          </w:tcPr>
          <w:p w14:paraId="25B3866C" w14:textId="77777777" w:rsidR="007B3DB2" w:rsidRPr="0063248C" w:rsidRDefault="00000000">
            <w:pPr>
              <w:spacing w:line="240" w:lineRule="exact"/>
              <w:jc w:val="right"/>
              <w:rPr>
                <w:rFonts w:cs="宋体"/>
                <w:sz w:val="18"/>
                <w:szCs w:val="18"/>
              </w:rPr>
            </w:pPr>
            <w:r w:rsidRPr="0063248C">
              <w:rPr>
                <w:rFonts w:cs="宋体"/>
                <w:sz w:val="18"/>
                <w:szCs w:val="18"/>
              </w:rPr>
              <w:t>29.36%</w:t>
            </w:r>
          </w:p>
        </w:tc>
        <w:tc>
          <w:tcPr>
            <w:tcW w:w="993" w:type="dxa"/>
            <w:tcBorders>
              <w:top w:val="single" w:sz="2" w:space="0" w:color="auto"/>
              <w:left w:val="single" w:sz="2" w:space="0" w:color="auto"/>
              <w:bottom w:val="single" w:sz="2" w:space="0" w:color="auto"/>
              <w:right w:val="single" w:sz="2" w:space="0" w:color="auto"/>
            </w:tcBorders>
            <w:vAlign w:val="center"/>
          </w:tcPr>
          <w:p w14:paraId="7338A696" w14:textId="77777777" w:rsidR="007B3DB2" w:rsidRPr="0063248C" w:rsidRDefault="00000000">
            <w:pPr>
              <w:spacing w:line="240" w:lineRule="exact"/>
              <w:jc w:val="right"/>
              <w:rPr>
                <w:rFonts w:cs="宋体"/>
                <w:sz w:val="18"/>
                <w:szCs w:val="18"/>
              </w:rPr>
            </w:pPr>
            <w:r w:rsidRPr="0063248C">
              <w:rPr>
                <w:rFonts w:cs="宋体"/>
                <w:sz w:val="18"/>
                <w:szCs w:val="18"/>
              </w:rPr>
              <w:t>-1.78%</w:t>
            </w:r>
          </w:p>
        </w:tc>
        <w:tc>
          <w:tcPr>
            <w:tcW w:w="1275" w:type="dxa"/>
            <w:tcBorders>
              <w:top w:val="single" w:sz="2" w:space="0" w:color="auto"/>
              <w:left w:val="single" w:sz="2" w:space="0" w:color="auto"/>
              <w:bottom w:val="single" w:sz="2" w:space="0" w:color="auto"/>
              <w:right w:val="single" w:sz="2" w:space="0" w:color="auto"/>
            </w:tcBorders>
            <w:vAlign w:val="center"/>
          </w:tcPr>
          <w:p w14:paraId="5F5BC206" w14:textId="77777777" w:rsidR="007B3DB2" w:rsidRPr="0063248C" w:rsidRDefault="007B3DB2">
            <w:pPr>
              <w:spacing w:line="240" w:lineRule="exact"/>
              <w:rPr>
                <w:rFonts w:cs="宋体"/>
                <w:sz w:val="18"/>
                <w:szCs w:val="18"/>
              </w:rPr>
            </w:pPr>
          </w:p>
        </w:tc>
      </w:tr>
      <w:tr w:rsidR="007B3DB2" w:rsidRPr="0063248C" w14:paraId="3D9198BF"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8697A1A" w14:textId="77777777" w:rsidR="007B3DB2" w:rsidRPr="0063248C" w:rsidRDefault="00000000">
            <w:pPr>
              <w:spacing w:before="40" w:after="40" w:line="240" w:lineRule="exact"/>
              <w:rPr>
                <w:rFonts w:cs="宋体"/>
                <w:sz w:val="18"/>
                <w:szCs w:val="18"/>
              </w:rPr>
            </w:pPr>
            <w:r w:rsidRPr="0063248C">
              <w:rPr>
                <w:rFonts w:cs="宋体"/>
                <w:sz w:val="18"/>
                <w:szCs w:val="18"/>
              </w:rPr>
              <w:t>合同负债</w:t>
            </w:r>
          </w:p>
        </w:tc>
        <w:tc>
          <w:tcPr>
            <w:tcW w:w="1600" w:type="dxa"/>
            <w:tcBorders>
              <w:top w:val="single" w:sz="2" w:space="0" w:color="auto"/>
              <w:left w:val="single" w:sz="2" w:space="0" w:color="auto"/>
              <w:bottom w:val="single" w:sz="2" w:space="0" w:color="auto"/>
              <w:right w:val="single" w:sz="2" w:space="0" w:color="auto"/>
            </w:tcBorders>
            <w:vAlign w:val="center"/>
          </w:tcPr>
          <w:p w14:paraId="617E28CF" w14:textId="77777777" w:rsidR="007B3DB2" w:rsidRPr="0063248C" w:rsidRDefault="00000000">
            <w:pPr>
              <w:spacing w:line="240" w:lineRule="exact"/>
              <w:jc w:val="right"/>
              <w:rPr>
                <w:rFonts w:cs="宋体"/>
                <w:sz w:val="18"/>
                <w:szCs w:val="18"/>
              </w:rPr>
            </w:pPr>
            <w:r w:rsidRPr="0063248C">
              <w:rPr>
                <w:rFonts w:cs="宋体"/>
                <w:sz w:val="18"/>
                <w:szCs w:val="18"/>
              </w:rPr>
              <w:t>105,448,913.00</w:t>
            </w:r>
          </w:p>
        </w:tc>
        <w:tc>
          <w:tcPr>
            <w:tcW w:w="1418" w:type="dxa"/>
            <w:tcBorders>
              <w:top w:val="single" w:sz="2" w:space="0" w:color="auto"/>
              <w:left w:val="single" w:sz="2" w:space="0" w:color="auto"/>
              <w:bottom w:val="single" w:sz="2" w:space="0" w:color="auto"/>
              <w:right w:val="single" w:sz="2" w:space="0" w:color="auto"/>
            </w:tcBorders>
            <w:vAlign w:val="center"/>
          </w:tcPr>
          <w:p w14:paraId="3FF08695" w14:textId="77777777" w:rsidR="007B3DB2" w:rsidRPr="0063248C" w:rsidRDefault="00000000">
            <w:pPr>
              <w:spacing w:line="240" w:lineRule="exact"/>
              <w:jc w:val="right"/>
              <w:rPr>
                <w:rFonts w:cs="宋体"/>
                <w:sz w:val="18"/>
                <w:szCs w:val="18"/>
              </w:rPr>
            </w:pPr>
            <w:r w:rsidRPr="0063248C">
              <w:rPr>
                <w:rFonts w:cs="宋体"/>
                <w:sz w:val="18"/>
                <w:szCs w:val="18"/>
              </w:rPr>
              <w:t>1.78%</w:t>
            </w:r>
          </w:p>
        </w:tc>
        <w:tc>
          <w:tcPr>
            <w:tcW w:w="1559" w:type="dxa"/>
            <w:tcBorders>
              <w:top w:val="single" w:sz="2" w:space="0" w:color="auto"/>
              <w:left w:val="single" w:sz="2" w:space="0" w:color="auto"/>
              <w:bottom w:val="single" w:sz="2" w:space="0" w:color="auto"/>
              <w:right w:val="single" w:sz="2" w:space="0" w:color="auto"/>
            </w:tcBorders>
            <w:vAlign w:val="center"/>
          </w:tcPr>
          <w:p w14:paraId="0967E5DD" w14:textId="77777777" w:rsidR="007B3DB2" w:rsidRPr="0063248C" w:rsidRDefault="00000000">
            <w:pPr>
              <w:spacing w:line="240" w:lineRule="exact"/>
              <w:jc w:val="right"/>
              <w:rPr>
                <w:rFonts w:cs="宋体"/>
                <w:sz w:val="18"/>
                <w:szCs w:val="18"/>
              </w:rPr>
            </w:pPr>
            <w:r w:rsidRPr="0063248C">
              <w:rPr>
                <w:rFonts w:cs="宋体"/>
                <w:sz w:val="18"/>
                <w:szCs w:val="18"/>
              </w:rPr>
              <w:t>134,486,391.06</w:t>
            </w:r>
          </w:p>
        </w:tc>
        <w:tc>
          <w:tcPr>
            <w:tcW w:w="1417" w:type="dxa"/>
            <w:tcBorders>
              <w:top w:val="single" w:sz="2" w:space="0" w:color="auto"/>
              <w:left w:val="single" w:sz="2" w:space="0" w:color="auto"/>
              <w:bottom w:val="single" w:sz="2" w:space="0" w:color="auto"/>
              <w:right w:val="single" w:sz="2" w:space="0" w:color="auto"/>
            </w:tcBorders>
            <w:vAlign w:val="center"/>
          </w:tcPr>
          <w:p w14:paraId="71E9F9B1" w14:textId="77777777" w:rsidR="007B3DB2" w:rsidRPr="0063248C" w:rsidRDefault="00000000">
            <w:pPr>
              <w:spacing w:line="240" w:lineRule="exact"/>
              <w:jc w:val="right"/>
              <w:rPr>
                <w:rFonts w:cs="宋体"/>
                <w:sz w:val="18"/>
                <w:szCs w:val="18"/>
              </w:rPr>
            </w:pPr>
            <w:r w:rsidRPr="0063248C">
              <w:rPr>
                <w:rFonts w:cs="宋体"/>
                <w:sz w:val="18"/>
                <w:szCs w:val="18"/>
              </w:rPr>
              <w:t>2.13%</w:t>
            </w:r>
          </w:p>
        </w:tc>
        <w:tc>
          <w:tcPr>
            <w:tcW w:w="993" w:type="dxa"/>
            <w:tcBorders>
              <w:top w:val="single" w:sz="2" w:space="0" w:color="auto"/>
              <w:left w:val="single" w:sz="2" w:space="0" w:color="auto"/>
              <w:bottom w:val="single" w:sz="2" w:space="0" w:color="auto"/>
              <w:right w:val="single" w:sz="2" w:space="0" w:color="auto"/>
            </w:tcBorders>
            <w:vAlign w:val="center"/>
          </w:tcPr>
          <w:p w14:paraId="381CF429" w14:textId="77777777" w:rsidR="007B3DB2" w:rsidRPr="0063248C" w:rsidRDefault="00000000">
            <w:pPr>
              <w:spacing w:line="240" w:lineRule="exact"/>
              <w:jc w:val="right"/>
              <w:rPr>
                <w:rFonts w:cs="宋体"/>
                <w:sz w:val="18"/>
                <w:szCs w:val="18"/>
              </w:rPr>
            </w:pPr>
            <w:r w:rsidRPr="0063248C">
              <w:rPr>
                <w:rFonts w:cs="宋体"/>
                <w:sz w:val="18"/>
                <w:szCs w:val="18"/>
              </w:rPr>
              <w:t>-0.35%</w:t>
            </w:r>
          </w:p>
        </w:tc>
        <w:tc>
          <w:tcPr>
            <w:tcW w:w="1275" w:type="dxa"/>
            <w:tcBorders>
              <w:top w:val="single" w:sz="2" w:space="0" w:color="auto"/>
              <w:left w:val="single" w:sz="2" w:space="0" w:color="auto"/>
              <w:bottom w:val="single" w:sz="2" w:space="0" w:color="auto"/>
              <w:right w:val="single" w:sz="2" w:space="0" w:color="auto"/>
            </w:tcBorders>
            <w:vAlign w:val="center"/>
          </w:tcPr>
          <w:p w14:paraId="49CFA249" w14:textId="77777777" w:rsidR="007B3DB2" w:rsidRPr="0063248C" w:rsidRDefault="007B3DB2">
            <w:pPr>
              <w:spacing w:line="240" w:lineRule="exact"/>
              <w:rPr>
                <w:rFonts w:cs="宋体"/>
                <w:sz w:val="18"/>
                <w:szCs w:val="18"/>
              </w:rPr>
            </w:pPr>
          </w:p>
        </w:tc>
      </w:tr>
      <w:tr w:rsidR="007B3DB2" w:rsidRPr="0063248C" w14:paraId="110D9FA0"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59DA324"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长期借款</w:t>
            </w:r>
          </w:p>
        </w:tc>
        <w:tc>
          <w:tcPr>
            <w:tcW w:w="1600" w:type="dxa"/>
            <w:tcBorders>
              <w:top w:val="single" w:sz="2" w:space="0" w:color="auto"/>
              <w:left w:val="single" w:sz="2" w:space="0" w:color="auto"/>
              <w:bottom w:val="single" w:sz="2" w:space="0" w:color="auto"/>
              <w:right w:val="single" w:sz="2" w:space="0" w:color="auto"/>
            </w:tcBorders>
            <w:vAlign w:val="center"/>
          </w:tcPr>
          <w:p w14:paraId="5B88680E" w14:textId="77777777" w:rsidR="007B3DB2" w:rsidRPr="0063248C" w:rsidRDefault="00000000">
            <w:pPr>
              <w:spacing w:line="240" w:lineRule="exact"/>
              <w:jc w:val="right"/>
              <w:rPr>
                <w:rFonts w:cs="宋体"/>
                <w:sz w:val="18"/>
                <w:szCs w:val="18"/>
              </w:rPr>
            </w:pPr>
            <w:r w:rsidRPr="0063248C">
              <w:rPr>
                <w:rFonts w:cs="宋体"/>
                <w:sz w:val="18"/>
                <w:szCs w:val="18"/>
              </w:rPr>
              <w:t>318,244,541.91</w:t>
            </w:r>
          </w:p>
        </w:tc>
        <w:tc>
          <w:tcPr>
            <w:tcW w:w="1418" w:type="dxa"/>
            <w:tcBorders>
              <w:top w:val="single" w:sz="2" w:space="0" w:color="auto"/>
              <w:left w:val="single" w:sz="2" w:space="0" w:color="auto"/>
              <w:bottom w:val="single" w:sz="2" w:space="0" w:color="auto"/>
              <w:right w:val="single" w:sz="2" w:space="0" w:color="auto"/>
            </w:tcBorders>
            <w:vAlign w:val="center"/>
          </w:tcPr>
          <w:p w14:paraId="1B0CC1F9" w14:textId="77777777" w:rsidR="007B3DB2" w:rsidRPr="0063248C" w:rsidRDefault="00000000">
            <w:pPr>
              <w:spacing w:line="240" w:lineRule="exact"/>
              <w:jc w:val="right"/>
              <w:rPr>
                <w:rFonts w:cs="宋体"/>
                <w:sz w:val="18"/>
                <w:szCs w:val="18"/>
              </w:rPr>
            </w:pPr>
            <w:r w:rsidRPr="0063248C">
              <w:rPr>
                <w:rFonts w:cs="宋体"/>
                <w:sz w:val="18"/>
                <w:szCs w:val="18"/>
              </w:rPr>
              <w:t>5.36%</w:t>
            </w:r>
          </w:p>
        </w:tc>
        <w:tc>
          <w:tcPr>
            <w:tcW w:w="1559" w:type="dxa"/>
            <w:tcBorders>
              <w:top w:val="single" w:sz="2" w:space="0" w:color="auto"/>
              <w:left w:val="single" w:sz="2" w:space="0" w:color="auto"/>
              <w:bottom w:val="single" w:sz="2" w:space="0" w:color="auto"/>
              <w:right w:val="single" w:sz="2" w:space="0" w:color="auto"/>
            </w:tcBorders>
            <w:vAlign w:val="center"/>
          </w:tcPr>
          <w:p w14:paraId="537A1B9D" w14:textId="77777777" w:rsidR="007B3DB2" w:rsidRPr="0063248C" w:rsidRDefault="00000000">
            <w:pPr>
              <w:spacing w:line="240" w:lineRule="exact"/>
              <w:jc w:val="right"/>
              <w:rPr>
                <w:rFonts w:cs="宋体"/>
                <w:sz w:val="18"/>
                <w:szCs w:val="18"/>
              </w:rPr>
            </w:pPr>
            <w:r w:rsidRPr="0063248C">
              <w:rPr>
                <w:rFonts w:cs="宋体"/>
                <w:sz w:val="18"/>
                <w:szCs w:val="18"/>
              </w:rPr>
              <w:t>326,202,925.48</w:t>
            </w:r>
          </w:p>
        </w:tc>
        <w:tc>
          <w:tcPr>
            <w:tcW w:w="1417" w:type="dxa"/>
            <w:tcBorders>
              <w:top w:val="single" w:sz="2" w:space="0" w:color="auto"/>
              <w:left w:val="single" w:sz="2" w:space="0" w:color="auto"/>
              <w:bottom w:val="single" w:sz="2" w:space="0" w:color="auto"/>
              <w:right w:val="single" w:sz="2" w:space="0" w:color="auto"/>
            </w:tcBorders>
            <w:vAlign w:val="center"/>
          </w:tcPr>
          <w:p w14:paraId="0E822BAE" w14:textId="77777777" w:rsidR="007B3DB2" w:rsidRPr="0063248C" w:rsidRDefault="00000000">
            <w:pPr>
              <w:spacing w:line="240" w:lineRule="exact"/>
              <w:jc w:val="right"/>
              <w:rPr>
                <w:rFonts w:cs="宋体"/>
                <w:sz w:val="18"/>
                <w:szCs w:val="18"/>
              </w:rPr>
            </w:pPr>
            <w:r w:rsidRPr="0063248C">
              <w:rPr>
                <w:rFonts w:cs="宋体"/>
                <w:sz w:val="18"/>
                <w:szCs w:val="18"/>
              </w:rPr>
              <w:t>5.16%</w:t>
            </w:r>
          </w:p>
        </w:tc>
        <w:tc>
          <w:tcPr>
            <w:tcW w:w="993" w:type="dxa"/>
            <w:tcBorders>
              <w:top w:val="single" w:sz="2" w:space="0" w:color="auto"/>
              <w:left w:val="single" w:sz="2" w:space="0" w:color="auto"/>
              <w:bottom w:val="single" w:sz="2" w:space="0" w:color="auto"/>
              <w:right w:val="single" w:sz="2" w:space="0" w:color="auto"/>
            </w:tcBorders>
            <w:vAlign w:val="center"/>
          </w:tcPr>
          <w:p w14:paraId="32D27D4A" w14:textId="77777777" w:rsidR="007B3DB2" w:rsidRPr="0063248C" w:rsidRDefault="00000000">
            <w:pPr>
              <w:spacing w:line="240" w:lineRule="exact"/>
              <w:jc w:val="right"/>
              <w:rPr>
                <w:rFonts w:cs="宋体"/>
                <w:sz w:val="18"/>
                <w:szCs w:val="18"/>
              </w:rPr>
            </w:pPr>
            <w:r w:rsidRPr="0063248C">
              <w:rPr>
                <w:rFonts w:cs="宋体"/>
                <w:sz w:val="18"/>
                <w:szCs w:val="18"/>
              </w:rPr>
              <w:t>0.20%</w:t>
            </w:r>
          </w:p>
        </w:tc>
        <w:tc>
          <w:tcPr>
            <w:tcW w:w="1275" w:type="dxa"/>
            <w:tcBorders>
              <w:top w:val="single" w:sz="2" w:space="0" w:color="auto"/>
              <w:left w:val="single" w:sz="2" w:space="0" w:color="auto"/>
              <w:bottom w:val="single" w:sz="2" w:space="0" w:color="auto"/>
              <w:right w:val="single" w:sz="2" w:space="0" w:color="auto"/>
            </w:tcBorders>
            <w:vAlign w:val="center"/>
          </w:tcPr>
          <w:p w14:paraId="501D59DF" w14:textId="77777777" w:rsidR="007B3DB2" w:rsidRPr="0063248C" w:rsidRDefault="007B3DB2">
            <w:pPr>
              <w:spacing w:line="240" w:lineRule="exact"/>
              <w:rPr>
                <w:rFonts w:cs="宋体"/>
                <w:sz w:val="18"/>
                <w:szCs w:val="18"/>
              </w:rPr>
            </w:pPr>
          </w:p>
        </w:tc>
      </w:tr>
      <w:tr w:rsidR="007B3DB2" w:rsidRPr="0063248C" w14:paraId="5EC46C7A" w14:textId="77777777" w:rsidTr="0063248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2B167E9" w14:textId="77777777" w:rsidR="007B3DB2" w:rsidRPr="0063248C" w:rsidRDefault="00000000">
            <w:pPr>
              <w:spacing w:before="40" w:after="40" w:line="240" w:lineRule="exact"/>
              <w:rPr>
                <w:rFonts w:cs="宋体"/>
                <w:sz w:val="18"/>
                <w:szCs w:val="18"/>
              </w:rPr>
            </w:pPr>
            <w:r w:rsidRPr="0063248C">
              <w:rPr>
                <w:rFonts w:cs="宋体"/>
                <w:sz w:val="18"/>
                <w:szCs w:val="18"/>
              </w:rPr>
              <w:t>租赁负债</w:t>
            </w:r>
          </w:p>
        </w:tc>
        <w:tc>
          <w:tcPr>
            <w:tcW w:w="1600" w:type="dxa"/>
            <w:tcBorders>
              <w:top w:val="single" w:sz="2" w:space="0" w:color="auto"/>
              <w:left w:val="single" w:sz="2" w:space="0" w:color="auto"/>
              <w:bottom w:val="single" w:sz="2" w:space="0" w:color="auto"/>
              <w:right w:val="single" w:sz="2" w:space="0" w:color="auto"/>
            </w:tcBorders>
            <w:vAlign w:val="center"/>
          </w:tcPr>
          <w:p w14:paraId="7AEC249E" w14:textId="77777777" w:rsidR="007B3DB2" w:rsidRPr="0063248C" w:rsidRDefault="00000000">
            <w:pPr>
              <w:spacing w:line="240" w:lineRule="exact"/>
              <w:jc w:val="right"/>
              <w:rPr>
                <w:rFonts w:cs="宋体"/>
                <w:sz w:val="18"/>
                <w:szCs w:val="18"/>
              </w:rPr>
            </w:pPr>
            <w:r w:rsidRPr="0063248C">
              <w:rPr>
                <w:rFonts w:cs="宋体"/>
                <w:sz w:val="18"/>
                <w:szCs w:val="18"/>
              </w:rPr>
              <w:t>42,901,415.61</w:t>
            </w:r>
          </w:p>
        </w:tc>
        <w:tc>
          <w:tcPr>
            <w:tcW w:w="1418" w:type="dxa"/>
            <w:tcBorders>
              <w:top w:val="single" w:sz="2" w:space="0" w:color="auto"/>
              <w:left w:val="single" w:sz="2" w:space="0" w:color="auto"/>
              <w:bottom w:val="single" w:sz="2" w:space="0" w:color="auto"/>
              <w:right w:val="single" w:sz="2" w:space="0" w:color="auto"/>
            </w:tcBorders>
            <w:vAlign w:val="center"/>
          </w:tcPr>
          <w:p w14:paraId="5045AC78" w14:textId="77777777" w:rsidR="007B3DB2" w:rsidRPr="0063248C" w:rsidRDefault="00000000">
            <w:pPr>
              <w:spacing w:line="240" w:lineRule="exact"/>
              <w:jc w:val="right"/>
              <w:rPr>
                <w:rFonts w:cs="宋体"/>
                <w:sz w:val="18"/>
                <w:szCs w:val="18"/>
              </w:rPr>
            </w:pPr>
            <w:r w:rsidRPr="0063248C">
              <w:rPr>
                <w:rFonts w:cs="宋体"/>
                <w:sz w:val="18"/>
                <w:szCs w:val="18"/>
              </w:rPr>
              <w:t>0.72%</w:t>
            </w:r>
          </w:p>
        </w:tc>
        <w:tc>
          <w:tcPr>
            <w:tcW w:w="1559" w:type="dxa"/>
            <w:tcBorders>
              <w:top w:val="single" w:sz="2" w:space="0" w:color="auto"/>
              <w:left w:val="single" w:sz="2" w:space="0" w:color="auto"/>
              <w:bottom w:val="single" w:sz="2" w:space="0" w:color="auto"/>
              <w:right w:val="single" w:sz="2" w:space="0" w:color="auto"/>
            </w:tcBorders>
            <w:vAlign w:val="center"/>
          </w:tcPr>
          <w:p w14:paraId="1BF6672A" w14:textId="77777777" w:rsidR="007B3DB2" w:rsidRPr="0063248C" w:rsidRDefault="00000000">
            <w:pPr>
              <w:spacing w:line="240" w:lineRule="exact"/>
              <w:jc w:val="right"/>
              <w:rPr>
                <w:rFonts w:cs="宋体"/>
                <w:sz w:val="18"/>
                <w:szCs w:val="18"/>
              </w:rPr>
            </w:pPr>
            <w:r w:rsidRPr="0063248C">
              <w:rPr>
                <w:rFonts w:cs="宋体"/>
                <w:sz w:val="18"/>
                <w:szCs w:val="18"/>
              </w:rPr>
              <w:t>45,196,076.45</w:t>
            </w:r>
          </w:p>
        </w:tc>
        <w:tc>
          <w:tcPr>
            <w:tcW w:w="1417" w:type="dxa"/>
            <w:tcBorders>
              <w:top w:val="single" w:sz="2" w:space="0" w:color="auto"/>
              <w:left w:val="single" w:sz="2" w:space="0" w:color="auto"/>
              <w:bottom w:val="single" w:sz="2" w:space="0" w:color="auto"/>
              <w:right w:val="single" w:sz="2" w:space="0" w:color="auto"/>
            </w:tcBorders>
            <w:vAlign w:val="center"/>
          </w:tcPr>
          <w:p w14:paraId="56E07B7E" w14:textId="77777777" w:rsidR="007B3DB2" w:rsidRPr="0063248C" w:rsidRDefault="00000000">
            <w:pPr>
              <w:spacing w:line="240" w:lineRule="exact"/>
              <w:jc w:val="right"/>
              <w:rPr>
                <w:rFonts w:cs="宋体"/>
                <w:sz w:val="18"/>
                <w:szCs w:val="18"/>
              </w:rPr>
            </w:pPr>
            <w:r w:rsidRPr="0063248C">
              <w:rPr>
                <w:rFonts w:cs="宋体"/>
                <w:sz w:val="18"/>
                <w:szCs w:val="18"/>
              </w:rPr>
              <w:t>0.72%</w:t>
            </w:r>
          </w:p>
        </w:tc>
        <w:tc>
          <w:tcPr>
            <w:tcW w:w="993" w:type="dxa"/>
            <w:tcBorders>
              <w:top w:val="single" w:sz="2" w:space="0" w:color="auto"/>
              <w:left w:val="single" w:sz="2" w:space="0" w:color="auto"/>
              <w:bottom w:val="single" w:sz="2" w:space="0" w:color="auto"/>
              <w:right w:val="single" w:sz="2" w:space="0" w:color="auto"/>
            </w:tcBorders>
            <w:vAlign w:val="center"/>
          </w:tcPr>
          <w:p w14:paraId="7CEE6451"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275" w:type="dxa"/>
            <w:tcBorders>
              <w:top w:val="single" w:sz="2" w:space="0" w:color="auto"/>
              <w:left w:val="single" w:sz="2" w:space="0" w:color="auto"/>
              <w:bottom w:val="single" w:sz="2" w:space="0" w:color="auto"/>
              <w:right w:val="single" w:sz="2" w:space="0" w:color="auto"/>
            </w:tcBorders>
            <w:vAlign w:val="center"/>
          </w:tcPr>
          <w:p w14:paraId="608B6592" w14:textId="77777777" w:rsidR="007B3DB2" w:rsidRPr="0063248C" w:rsidRDefault="007B3DB2">
            <w:pPr>
              <w:spacing w:line="240" w:lineRule="exact"/>
              <w:rPr>
                <w:rFonts w:cs="宋体"/>
                <w:sz w:val="18"/>
                <w:szCs w:val="18"/>
              </w:rPr>
            </w:pPr>
          </w:p>
        </w:tc>
      </w:tr>
    </w:tbl>
    <w:p w14:paraId="30826760" w14:textId="77777777" w:rsidR="007B3DB2" w:rsidRPr="0063248C" w:rsidRDefault="00000000">
      <w:pPr>
        <w:pStyle w:val="3"/>
        <w:spacing w:line="280" w:lineRule="exact"/>
        <w:jc w:val="left"/>
        <w:rPr>
          <w:rFonts w:cs="宋体"/>
          <w:b/>
          <w:bCs/>
        </w:rPr>
      </w:pPr>
      <w:bookmarkStart w:id="20" w:name="_Toc988909"/>
      <w:r w:rsidRPr="0063248C">
        <w:rPr>
          <w:rFonts w:cs="宋体"/>
          <w:b/>
          <w:bCs/>
        </w:rPr>
        <w:t>2</w:t>
      </w:r>
      <w:r w:rsidRPr="0063248C">
        <w:rPr>
          <w:rFonts w:cs="宋体"/>
          <w:b/>
          <w:bCs/>
        </w:rPr>
        <w:t>、主要境外资产情况</w:t>
      </w:r>
      <w:bookmarkEnd w:id="20"/>
    </w:p>
    <w:p w14:paraId="15C4ACAA"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3520A09E" w14:textId="77777777" w:rsidR="007B3DB2" w:rsidRPr="0063248C" w:rsidRDefault="00000000">
      <w:pPr>
        <w:pStyle w:val="3"/>
        <w:spacing w:line="280" w:lineRule="exact"/>
        <w:jc w:val="left"/>
        <w:rPr>
          <w:rFonts w:cs="宋体"/>
          <w:b/>
          <w:bCs/>
        </w:rPr>
      </w:pPr>
      <w:bookmarkStart w:id="21" w:name="_Toc988910"/>
      <w:r w:rsidRPr="0063248C">
        <w:rPr>
          <w:rFonts w:cs="宋体"/>
          <w:b/>
          <w:bCs/>
        </w:rPr>
        <w:t>3</w:t>
      </w:r>
      <w:r w:rsidRPr="0063248C">
        <w:rPr>
          <w:rFonts w:cs="宋体"/>
          <w:b/>
          <w:bCs/>
        </w:rPr>
        <w:t>、以公允价值计量的资产和负债</w:t>
      </w:r>
      <w:bookmarkEnd w:id="21"/>
    </w:p>
    <w:p w14:paraId="3FBEA357"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F8D278F" w14:textId="77777777" w:rsidR="007B3DB2" w:rsidRPr="0063248C" w:rsidRDefault="00000000">
      <w:pPr>
        <w:pStyle w:val="3"/>
        <w:spacing w:line="280" w:lineRule="exact"/>
        <w:jc w:val="left"/>
        <w:rPr>
          <w:rFonts w:cs="宋体"/>
          <w:b/>
          <w:bCs/>
        </w:rPr>
      </w:pPr>
      <w:bookmarkStart w:id="22" w:name="_Toc988911"/>
      <w:r w:rsidRPr="0063248C">
        <w:rPr>
          <w:rFonts w:cs="宋体"/>
          <w:b/>
          <w:bCs/>
        </w:rPr>
        <w:t>4</w:t>
      </w:r>
      <w:r w:rsidRPr="0063248C">
        <w:rPr>
          <w:rFonts w:cs="宋体"/>
          <w:b/>
          <w:bCs/>
        </w:rPr>
        <w:t>、截至报告期末的资产权利受限情况</w:t>
      </w:r>
      <w:bookmarkEnd w:id="22"/>
    </w:p>
    <w:p w14:paraId="35336274" w14:textId="77777777" w:rsidR="00517D34" w:rsidRPr="0063248C" w:rsidRDefault="00000000">
      <w:pPr>
        <w:pStyle w:val="a3"/>
        <w:spacing w:before="0" w:beforeAutospacing="0" w:after="0" w:afterAutospacing="0" w:line="276" w:lineRule="auto"/>
        <w:ind w:firstLine="360"/>
        <w:jc w:val="both"/>
        <w:divId w:val="740835877"/>
        <w:rPr>
          <w:rFonts w:ascii="Times New Roman" w:hAnsi="Times New Roman"/>
          <w:sz w:val="21"/>
          <w:szCs w:val="21"/>
        </w:rPr>
      </w:pPr>
      <w:r w:rsidRPr="0063248C">
        <w:rPr>
          <w:rFonts w:ascii="Times New Roman" w:hAnsi="Times New Roman" w:hint="eastAsia"/>
          <w:sz w:val="18"/>
          <w:szCs w:val="18"/>
        </w:rPr>
        <w:t>货币资金承兑汇票保证定金</w:t>
      </w:r>
      <w:r w:rsidRPr="0063248C">
        <w:rPr>
          <w:rFonts w:ascii="Times New Roman" w:hAnsi="Times New Roman" w:hint="eastAsia"/>
          <w:sz w:val="18"/>
          <w:szCs w:val="18"/>
        </w:rPr>
        <w:t>35,503.02</w:t>
      </w:r>
      <w:r w:rsidRPr="0063248C">
        <w:rPr>
          <w:rFonts w:ascii="Times New Roman" w:hAnsi="Times New Roman" w:hint="eastAsia"/>
          <w:sz w:val="18"/>
          <w:szCs w:val="18"/>
        </w:rPr>
        <w:t>万元，因使用受限，不作为现金及现金等价物。</w:t>
      </w:r>
    </w:p>
    <w:p w14:paraId="0F54DD40" w14:textId="77777777" w:rsidR="00517D34" w:rsidRPr="0063248C" w:rsidRDefault="00000000">
      <w:pPr>
        <w:pStyle w:val="a3"/>
        <w:spacing w:before="0" w:beforeAutospacing="0" w:after="0" w:afterAutospacing="0" w:line="276" w:lineRule="auto"/>
        <w:ind w:firstLine="360"/>
        <w:jc w:val="both"/>
        <w:divId w:val="740835877"/>
        <w:rPr>
          <w:rFonts w:ascii="Times New Roman" w:hAnsi="Times New Roman"/>
          <w:sz w:val="21"/>
          <w:szCs w:val="21"/>
        </w:rPr>
      </w:pPr>
      <w:r w:rsidRPr="0063248C">
        <w:rPr>
          <w:rFonts w:ascii="Times New Roman" w:hAnsi="Times New Roman" w:hint="eastAsia"/>
          <w:sz w:val="18"/>
          <w:szCs w:val="18"/>
        </w:rPr>
        <w:t>固定资产</w:t>
      </w:r>
      <w:r w:rsidRPr="0063248C">
        <w:rPr>
          <w:rFonts w:ascii="Times New Roman" w:hAnsi="Times New Roman" w:hint="eastAsia"/>
          <w:sz w:val="18"/>
          <w:szCs w:val="18"/>
        </w:rPr>
        <w:t>38,670.54</w:t>
      </w:r>
      <w:r w:rsidRPr="0063248C">
        <w:rPr>
          <w:rFonts w:ascii="Times New Roman" w:hAnsi="Times New Roman" w:hint="eastAsia"/>
          <w:sz w:val="18"/>
          <w:szCs w:val="18"/>
        </w:rPr>
        <w:t>万元，借款抵押，使用受限。</w:t>
      </w:r>
    </w:p>
    <w:p w14:paraId="45B8A350" w14:textId="77777777" w:rsidR="00517D34" w:rsidRPr="0063248C" w:rsidRDefault="00000000">
      <w:pPr>
        <w:pStyle w:val="a3"/>
        <w:spacing w:before="0" w:beforeAutospacing="0" w:after="0" w:afterAutospacing="0" w:line="276" w:lineRule="auto"/>
        <w:ind w:firstLine="360"/>
        <w:jc w:val="both"/>
        <w:divId w:val="740835877"/>
        <w:rPr>
          <w:rFonts w:ascii="Times New Roman" w:hAnsi="Times New Roman"/>
          <w:sz w:val="21"/>
          <w:szCs w:val="21"/>
        </w:rPr>
      </w:pPr>
      <w:r w:rsidRPr="0063248C">
        <w:rPr>
          <w:rFonts w:ascii="Times New Roman" w:hAnsi="Times New Roman" w:hint="eastAsia"/>
          <w:sz w:val="18"/>
          <w:szCs w:val="18"/>
        </w:rPr>
        <w:t>无形资产</w:t>
      </w:r>
      <w:r w:rsidRPr="0063248C">
        <w:rPr>
          <w:rFonts w:ascii="Times New Roman" w:hAnsi="Times New Roman" w:hint="eastAsia"/>
          <w:sz w:val="18"/>
          <w:szCs w:val="18"/>
        </w:rPr>
        <w:t>4,440.48</w:t>
      </w:r>
      <w:r w:rsidRPr="0063248C">
        <w:rPr>
          <w:rFonts w:ascii="Times New Roman" w:hAnsi="Times New Roman" w:hint="eastAsia"/>
          <w:sz w:val="18"/>
          <w:szCs w:val="18"/>
        </w:rPr>
        <w:t>万元，借款抵押，使用受限。</w:t>
      </w:r>
    </w:p>
    <w:p w14:paraId="575DFD57" w14:textId="77777777" w:rsidR="00517D34" w:rsidRPr="0063248C" w:rsidRDefault="00000000">
      <w:pPr>
        <w:pStyle w:val="a3"/>
        <w:spacing w:before="0" w:beforeAutospacing="0" w:after="0" w:afterAutospacing="0" w:line="276" w:lineRule="auto"/>
        <w:ind w:firstLine="360"/>
        <w:jc w:val="both"/>
        <w:divId w:val="740835877"/>
        <w:rPr>
          <w:rFonts w:ascii="Times New Roman" w:hAnsi="Times New Roman"/>
          <w:sz w:val="21"/>
          <w:szCs w:val="21"/>
        </w:rPr>
      </w:pPr>
      <w:r w:rsidRPr="0063248C">
        <w:rPr>
          <w:rFonts w:ascii="Times New Roman" w:hAnsi="Times New Roman" w:hint="eastAsia"/>
          <w:sz w:val="18"/>
          <w:szCs w:val="18"/>
        </w:rPr>
        <w:t>在建工程</w:t>
      </w:r>
      <w:r w:rsidRPr="0063248C">
        <w:rPr>
          <w:rFonts w:ascii="Times New Roman" w:hAnsi="Times New Roman" w:hint="eastAsia"/>
          <w:sz w:val="18"/>
          <w:szCs w:val="18"/>
        </w:rPr>
        <w:t>14,944.45</w:t>
      </w:r>
      <w:r w:rsidRPr="0063248C">
        <w:rPr>
          <w:rFonts w:ascii="Times New Roman" w:hAnsi="Times New Roman" w:hint="eastAsia"/>
          <w:sz w:val="18"/>
          <w:szCs w:val="18"/>
        </w:rPr>
        <w:t>万元，借款抵押，使用受限。</w:t>
      </w:r>
    </w:p>
    <w:p w14:paraId="4BCCE52C" w14:textId="77777777" w:rsidR="007B3DB2" w:rsidRPr="0063248C" w:rsidRDefault="00000000">
      <w:pPr>
        <w:pStyle w:val="2"/>
        <w:spacing w:before="300" w:after="300" w:line="320" w:lineRule="exact"/>
        <w:rPr>
          <w:rFonts w:cs="宋体"/>
          <w:b/>
          <w:bCs/>
          <w:sz w:val="24"/>
          <w:szCs w:val="24"/>
        </w:rPr>
      </w:pPr>
      <w:bookmarkStart w:id="23" w:name="_Toc988912"/>
      <w:r w:rsidRPr="0063248C">
        <w:rPr>
          <w:rFonts w:cs="宋体"/>
          <w:b/>
          <w:bCs/>
          <w:sz w:val="24"/>
          <w:szCs w:val="24"/>
        </w:rPr>
        <w:t>六、投资状况分析</w:t>
      </w:r>
      <w:bookmarkEnd w:id="23"/>
    </w:p>
    <w:p w14:paraId="0E809869" w14:textId="77777777" w:rsidR="007B3DB2" w:rsidRPr="0063248C" w:rsidRDefault="00000000">
      <w:pPr>
        <w:pStyle w:val="3"/>
        <w:spacing w:line="280" w:lineRule="exact"/>
        <w:jc w:val="left"/>
        <w:rPr>
          <w:rFonts w:cs="宋体"/>
          <w:b/>
          <w:bCs/>
        </w:rPr>
      </w:pPr>
      <w:bookmarkStart w:id="24" w:name="_Toc988913"/>
      <w:r w:rsidRPr="0063248C">
        <w:rPr>
          <w:rFonts w:cs="宋体"/>
          <w:b/>
          <w:bCs/>
        </w:rPr>
        <w:t>1</w:t>
      </w:r>
      <w:r w:rsidRPr="0063248C">
        <w:rPr>
          <w:rFonts w:cs="宋体"/>
          <w:b/>
          <w:bCs/>
        </w:rPr>
        <w:t>、总体情况</w:t>
      </w:r>
      <w:bookmarkEnd w:id="24"/>
    </w:p>
    <w:p w14:paraId="7663BC4C"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B3BACBD" w14:textId="77777777" w:rsidR="007B3DB2" w:rsidRPr="0063248C" w:rsidRDefault="00000000">
      <w:pPr>
        <w:pStyle w:val="3"/>
        <w:spacing w:line="280" w:lineRule="exact"/>
        <w:jc w:val="left"/>
        <w:rPr>
          <w:rFonts w:cs="宋体"/>
          <w:b/>
          <w:bCs/>
        </w:rPr>
      </w:pPr>
      <w:bookmarkStart w:id="25" w:name="_Toc988914"/>
      <w:r w:rsidRPr="0063248C">
        <w:rPr>
          <w:rFonts w:cs="宋体"/>
          <w:b/>
          <w:bCs/>
        </w:rPr>
        <w:t>2</w:t>
      </w:r>
      <w:r w:rsidRPr="0063248C">
        <w:rPr>
          <w:rFonts w:cs="宋体"/>
          <w:b/>
          <w:bCs/>
        </w:rPr>
        <w:t>、报告期内获取的重大的股权投资情况</w:t>
      </w:r>
      <w:bookmarkEnd w:id="25"/>
    </w:p>
    <w:p w14:paraId="6B5EB5AF"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B6CF17D" w14:textId="77777777" w:rsidR="007B3DB2" w:rsidRPr="0063248C" w:rsidRDefault="00000000">
      <w:pPr>
        <w:pStyle w:val="3"/>
        <w:spacing w:line="280" w:lineRule="exact"/>
        <w:jc w:val="left"/>
        <w:rPr>
          <w:rFonts w:cs="宋体"/>
          <w:b/>
          <w:bCs/>
        </w:rPr>
      </w:pPr>
      <w:bookmarkStart w:id="26" w:name="_Toc988915"/>
      <w:r w:rsidRPr="0063248C">
        <w:rPr>
          <w:rFonts w:cs="宋体"/>
          <w:b/>
          <w:bCs/>
        </w:rPr>
        <w:t>3</w:t>
      </w:r>
      <w:r w:rsidRPr="0063248C">
        <w:rPr>
          <w:rFonts w:cs="宋体"/>
          <w:b/>
          <w:bCs/>
        </w:rPr>
        <w:t>、报告期内正在进行的重大的非股权投资情况</w:t>
      </w:r>
      <w:bookmarkEnd w:id="26"/>
    </w:p>
    <w:p w14:paraId="0D790614"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6EAF38C" w14:textId="77777777" w:rsidR="007B3DB2" w:rsidRPr="0063248C" w:rsidRDefault="00000000">
      <w:pPr>
        <w:pStyle w:val="3"/>
        <w:spacing w:line="280" w:lineRule="exact"/>
        <w:jc w:val="left"/>
        <w:rPr>
          <w:rFonts w:cs="宋体"/>
          <w:b/>
          <w:bCs/>
        </w:rPr>
      </w:pPr>
      <w:bookmarkStart w:id="27" w:name="_Toc988916"/>
      <w:r w:rsidRPr="0063248C">
        <w:rPr>
          <w:rFonts w:cs="宋体"/>
          <w:b/>
          <w:bCs/>
        </w:rPr>
        <w:t>4</w:t>
      </w:r>
      <w:r w:rsidRPr="0063248C">
        <w:rPr>
          <w:rFonts w:cs="宋体"/>
          <w:b/>
          <w:bCs/>
        </w:rPr>
        <w:t>、金融资产投资</w:t>
      </w:r>
      <w:bookmarkEnd w:id="27"/>
    </w:p>
    <w:p w14:paraId="2E8E2A3C" w14:textId="77777777" w:rsidR="007B3DB2" w:rsidRPr="0063248C" w:rsidRDefault="00000000">
      <w:pPr>
        <w:keepNext/>
        <w:keepLines/>
        <w:spacing w:before="300" w:after="300" w:line="280" w:lineRule="exact"/>
        <w:outlineLvl w:val="3"/>
        <w:rPr>
          <w:rFonts w:cs="宋体"/>
          <w:b/>
          <w:bCs/>
          <w:sz w:val="18"/>
          <w:szCs w:val="18"/>
        </w:rPr>
      </w:pPr>
      <w:bookmarkStart w:id="28" w:name="_Toc988917"/>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证券投资情况</w:t>
      </w:r>
      <w:bookmarkEnd w:id="28"/>
    </w:p>
    <w:p w14:paraId="1EF71AB0"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8C79214" w14:textId="77777777" w:rsidR="007B3DB2" w:rsidRPr="0063248C" w:rsidRDefault="00000000">
      <w:pPr>
        <w:spacing w:before="40" w:after="40" w:line="240" w:lineRule="exact"/>
        <w:rPr>
          <w:rFonts w:cs="宋体"/>
          <w:sz w:val="18"/>
          <w:szCs w:val="18"/>
        </w:rPr>
      </w:pPr>
      <w:r w:rsidRPr="0063248C">
        <w:rPr>
          <w:rFonts w:cs="宋体"/>
          <w:sz w:val="18"/>
          <w:szCs w:val="18"/>
        </w:rPr>
        <w:t>公司报告期不存在证券投资。</w:t>
      </w:r>
    </w:p>
    <w:p w14:paraId="6B3BCF52" w14:textId="77777777" w:rsidR="007B3DB2" w:rsidRPr="0063248C" w:rsidRDefault="00000000">
      <w:pPr>
        <w:keepNext/>
        <w:keepLines/>
        <w:spacing w:before="300" w:after="300" w:line="280" w:lineRule="exact"/>
        <w:outlineLvl w:val="3"/>
        <w:rPr>
          <w:rFonts w:cs="宋体"/>
          <w:b/>
          <w:bCs/>
          <w:sz w:val="18"/>
          <w:szCs w:val="18"/>
        </w:rPr>
      </w:pPr>
      <w:bookmarkStart w:id="29" w:name="_Toc988918"/>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衍生</w:t>
      </w:r>
      <w:proofErr w:type="gramStart"/>
      <w:r w:rsidRPr="0063248C">
        <w:rPr>
          <w:rFonts w:cs="宋体"/>
          <w:b/>
          <w:bCs/>
          <w:sz w:val="18"/>
          <w:szCs w:val="18"/>
        </w:rPr>
        <w:t>品投资</w:t>
      </w:r>
      <w:proofErr w:type="gramEnd"/>
      <w:r w:rsidRPr="0063248C">
        <w:rPr>
          <w:rFonts w:cs="宋体"/>
          <w:b/>
          <w:bCs/>
          <w:sz w:val="18"/>
          <w:szCs w:val="18"/>
        </w:rPr>
        <w:t>情况</w:t>
      </w:r>
      <w:bookmarkEnd w:id="29"/>
    </w:p>
    <w:p w14:paraId="708D769F"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E0C9916" w14:textId="77777777" w:rsidR="007B3DB2" w:rsidRPr="0063248C" w:rsidRDefault="00000000">
      <w:pPr>
        <w:spacing w:before="40" w:after="40" w:line="240" w:lineRule="exact"/>
        <w:rPr>
          <w:rFonts w:cs="宋体"/>
          <w:sz w:val="18"/>
          <w:szCs w:val="18"/>
        </w:rPr>
      </w:pPr>
      <w:r w:rsidRPr="0063248C">
        <w:rPr>
          <w:rFonts w:cs="宋体"/>
          <w:sz w:val="18"/>
          <w:szCs w:val="18"/>
        </w:rPr>
        <w:t>公司报告期不存在衍生品投资。</w:t>
      </w:r>
    </w:p>
    <w:p w14:paraId="4459CD6A" w14:textId="77777777" w:rsidR="007B3DB2" w:rsidRPr="0063248C" w:rsidRDefault="00000000">
      <w:pPr>
        <w:pStyle w:val="3"/>
        <w:spacing w:line="280" w:lineRule="exact"/>
        <w:jc w:val="left"/>
        <w:rPr>
          <w:rFonts w:cs="宋体"/>
          <w:b/>
          <w:bCs/>
        </w:rPr>
      </w:pPr>
      <w:bookmarkStart w:id="30" w:name="_Toc988919"/>
      <w:r w:rsidRPr="0063248C">
        <w:rPr>
          <w:rFonts w:cs="宋体"/>
          <w:b/>
          <w:bCs/>
        </w:rPr>
        <w:t>5</w:t>
      </w:r>
      <w:r w:rsidRPr="0063248C">
        <w:rPr>
          <w:rFonts w:cs="宋体"/>
          <w:b/>
          <w:bCs/>
        </w:rPr>
        <w:t>、募集资金使用情况</w:t>
      </w:r>
      <w:bookmarkEnd w:id="30"/>
    </w:p>
    <w:p w14:paraId="442A2F0E"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215BF3DF" w14:textId="77777777" w:rsidR="007B3DB2" w:rsidRPr="0063248C" w:rsidRDefault="00000000">
      <w:pPr>
        <w:keepNext/>
        <w:keepLines/>
        <w:spacing w:before="300" w:after="300" w:line="280" w:lineRule="exact"/>
        <w:outlineLvl w:val="3"/>
        <w:rPr>
          <w:rFonts w:cs="宋体"/>
          <w:b/>
          <w:bCs/>
          <w:sz w:val="18"/>
          <w:szCs w:val="18"/>
        </w:rPr>
      </w:pPr>
      <w:bookmarkStart w:id="31" w:name="_Toc988920"/>
      <w:r w:rsidRPr="0063248C">
        <w:rPr>
          <w:rFonts w:cs="宋体"/>
          <w:b/>
          <w:bCs/>
          <w:sz w:val="18"/>
          <w:szCs w:val="18"/>
        </w:rPr>
        <w:lastRenderedPageBreak/>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募集资金总体使用情况</w:t>
      </w:r>
      <w:bookmarkEnd w:id="31"/>
    </w:p>
    <w:p w14:paraId="5FA765EF"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33FE7D4F"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单位：万元</w:t>
      </w:r>
    </w:p>
    <w:tbl>
      <w:tblPr>
        <w:tblW w:w="5234"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firstRow="0" w:lastRow="0" w:firstColumn="0" w:lastColumn="0" w:noHBand="0" w:noVBand="0"/>
      </w:tblPr>
      <w:tblGrid>
        <w:gridCol w:w="742"/>
        <w:gridCol w:w="742"/>
        <w:gridCol w:w="801"/>
        <w:gridCol w:w="1026"/>
        <w:gridCol w:w="711"/>
        <w:gridCol w:w="1026"/>
        <w:gridCol w:w="713"/>
        <w:gridCol w:w="742"/>
        <w:gridCol w:w="743"/>
        <w:gridCol w:w="937"/>
        <w:gridCol w:w="1423"/>
        <w:gridCol w:w="708"/>
      </w:tblGrid>
      <w:tr w:rsidR="007B3DB2" w:rsidRPr="0063248C" w14:paraId="4B8D3305" w14:textId="77777777" w:rsidTr="00C117DA">
        <w:trPr>
          <w:trHeight w:val="240"/>
          <w:jc w:val="center"/>
        </w:trPr>
        <w:tc>
          <w:tcPr>
            <w:tcW w:w="360" w:type="pct"/>
            <w:tcBorders>
              <w:top w:val="single" w:sz="2" w:space="0" w:color="auto"/>
              <w:left w:val="single" w:sz="2" w:space="0" w:color="auto"/>
              <w:bottom w:val="single" w:sz="2" w:space="0" w:color="auto"/>
              <w:right w:val="single" w:sz="2" w:space="0" w:color="auto"/>
            </w:tcBorders>
            <w:shd w:val="clear" w:color="auto" w:fill="D3D3D3"/>
            <w:vAlign w:val="center"/>
          </w:tcPr>
          <w:p w14:paraId="451A005D" w14:textId="77777777" w:rsidR="007B3DB2" w:rsidRPr="0063248C" w:rsidRDefault="00000000">
            <w:pPr>
              <w:spacing w:before="40" w:after="40" w:line="240" w:lineRule="exact"/>
              <w:jc w:val="center"/>
              <w:rPr>
                <w:rFonts w:cs="宋体"/>
                <w:sz w:val="18"/>
                <w:szCs w:val="18"/>
              </w:rPr>
            </w:pPr>
            <w:r w:rsidRPr="0063248C">
              <w:rPr>
                <w:rFonts w:cs="宋体"/>
                <w:sz w:val="18"/>
                <w:szCs w:val="18"/>
              </w:rPr>
              <w:t>募集年份</w:t>
            </w:r>
          </w:p>
        </w:tc>
        <w:tc>
          <w:tcPr>
            <w:tcW w:w="360" w:type="pct"/>
            <w:tcBorders>
              <w:top w:val="single" w:sz="2" w:space="0" w:color="auto"/>
              <w:left w:val="single" w:sz="2" w:space="0" w:color="auto"/>
              <w:bottom w:val="single" w:sz="2" w:space="0" w:color="auto"/>
              <w:right w:val="single" w:sz="2" w:space="0" w:color="auto"/>
            </w:tcBorders>
            <w:shd w:val="clear" w:color="auto" w:fill="D3D3D3"/>
            <w:vAlign w:val="center"/>
          </w:tcPr>
          <w:p w14:paraId="118CC043" w14:textId="77777777" w:rsidR="007B3DB2" w:rsidRPr="0063248C" w:rsidRDefault="00000000">
            <w:pPr>
              <w:spacing w:before="40" w:after="40" w:line="240" w:lineRule="exact"/>
              <w:jc w:val="center"/>
              <w:rPr>
                <w:rFonts w:cs="宋体"/>
                <w:sz w:val="18"/>
                <w:szCs w:val="18"/>
              </w:rPr>
            </w:pPr>
            <w:r w:rsidRPr="0063248C">
              <w:rPr>
                <w:rFonts w:cs="宋体"/>
                <w:sz w:val="18"/>
                <w:szCs w:val="18"/>
              </w:rPr>
              <w:t>募集方式</w:t>
            </w:r>
          </w:p>
        </w:tc>
        <w:tc>
          <w:tcPr>
            <w:tcW w:w="388" w:type="pct"/>
            <w:tcBorders>
              <w:top w:val="single" w:sz="2" w:space="0" w:color="auto"/>
              <w:left w:val="single" w:sz="2" w:space="0" w:color="auto"/>
              <w:bottom w:val="single" w:sz="2" w:space="0" w:color="auto"/>
              <w:right w:val="single" w:sz="2" w:space="0" w:color="auto"/>
            </w:tcBorders>
            <w:shd w:val="clear" w:color="auto" w:fill="D3D3D3"/>
            <w:vAlign w:val="center"/>
          </w:tcPr>
          <w:p w14:paraId="5FB880F6" w14:textId="77777777" w:rsidR="007B3DB2" w:rsidRPr="0063248C" w:rsidRDefault="00000000">
            <w:pPr>
              <w:spacing w:before="40" w:after="40" w:line="240" w:lineRule="exact"/>
              <w:jc w:val="center"/>
              <w:rPr>
                <w:rFonts w:cs="宋体"/>
                <w:sz w:val="18"/>
                <w:szCs w:val="18"/>
              </w:rPr>
            </w:pPr>
            <w:r w:rsidRPr="0063248C">
              <w:rPr>
                <w:rFonts w:cs="宋体"/>
                <w:sz w:val="18"/>
                <w:szCs w:val="18"/>
              </w:rPr>
              <w:t>募集资金总额</w:t>
            </w:r>
          </w:p>
        </w:tc>
        <w:tc>
          <w:tcPr>
            <w:tcW w:w="497" w:type="pct"/>
            <w:tcBorders>
              <w:top w:val="single" w:sz="2" w:space="0" w:color="auto"/>
              <w:left w:val="single" w:sz="2" w:space="0" w:color="auto"/>
              <w:bottom w:val="single" w:sz="2" w:space="0" w:color="auto"/>
              <w:right w:val="single" w:sz="2" w:space="0" w:color="auto"/>
            </w:tcBorders>
            <w:shd w:val="clear" w:color="auto" w:fill="D3D3D3"/>
            <w:vAlign w:val="center"/>
          </w:tcPr>
          <w:p w14:paraId="4438472A" w14:textId="77777777" w:rsidR="007B3DB2" w:rsidRPr="0063248C" w:rsidRDefault="00000000">
            <w:pPr>
              <w:spacing w:before="40" w:after="40" w:line="240" w:lineRule="exact"/>
              <w:jc w:val="center"/>
              <w:rPr>
                <w:rFonts w:cs="宋体"/>
                <w:sz w:val="18"/>
                <w:szCs w:val="18"/>
              </w:rPr>
            </w:pPr>
            <w:r w:rsidRPr="0063248C">
              <w:rPr>
                <w:rFonts w:cs="宋体"/>
                <w:sz w:val="18"/>
                <w:szCs w:val="18"/>
              </w:rPr>
              <w:t>募集资金净额</w:t>
            </w:r>
          </w:p>
        </w:tc>
        <w:tc>
          <w:tcPr>
            <w:tcW w:w="345" w:type="pct"/>
            <w:tcBorders>
              <w:top w:val="single" w:sz="2" w:space="0" w:color="auto"/>
              <w:left w:val="single" w:sz="2" w:space="0" w:color="auto"/>
              <w:bottom w:val="single" w:sz="2" w:space="0" w:color="auto"/>
              <w:right w:val="single" w:sz="2" w:space="0" w:color="auto"/>
            </w:tcBorders>
            <w:shd w:val="clear" w:color="auto" w:fill="D3D3D3"/>
            <w:vAlign w:val="center"/>
          </w:tcPr>
          <w:p w14:paraId="3E0F0261"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本期已使用募集资金总额</w:t>
            </w:r>
          </w:p>
        </w:tc>
        <w:tc>
          <w:tcPr>
            <w:tcW w:w="497" w:type="pct"/>
            <w:tcBorders>
              <w:top w:val="single" w:sz="2" w:space="0" w:color="auto"/>
              <w:left w:val="single" w:sz="2" w:space="0" w:color="auto"/>
              <w:bottom w:val="single" w:sz="2" w:space="0" w:color="auto"/>
              <w:right w:val="single" w:sz="2" w:space="0" w:color="auto"/>
            </w:tcBorders>
            <w:shd w:val="clear" w:color="auto" w:fill="D3D3D3"/>
            <w:vAlign w:val="center"/>
          </w:tcPr>
          <w:p w14:paraId="60DB2132" w14:textId="77777777" w:rsidR="007B3DB2" w:rsidRPr="0063248C" w:rsidRDefault="00000000">
            <w:pPr>
              <w:spacing w:before="40" w:after="40" w:line="240" w:lineRule="exact"/>
              <w:jc w:val="center"/>
              <w:rPr>
                <w:rFonts w:cs="宋体"/>
                <w:sz w:val="18"/>
                <w:szCs w:val="18"/>
              </w:rPr>
            </w:pPr>
            <w:r w:rsidRPr="0063248C">
              <w:rPr>
                <w:rFonts w:cs="宋体"/>
                <w:sz w:val="18"/>
                <w:szCs w:val="18"/>
              </w:rPr>
              <w:t>已累计使用募集资金总额</w:t>
            </w:r>
          </w:p>
        </w:tc>
        <w:tc>
          <w:tcPr>
            <w:tcW w:w="346" w:type="pct"/>
            <w:tcBorders>
              <w:top w:val="single" w:sz="2" w:space="0" w:color="auto"/>
              <w:left w:val="single" w:sz="2" w:space="0" w:color="auto"/>
              <w:bottom w:val="single" w:sz="2" w:space="0" w:color="auto"/>
              <w:right w:val="single" w:sz="2" w:space="0" w:color="auto"/>
            </w:tcBorders>
            <w:shd w:val="clear" w:color="auto" w:fill="D3D3D3"/>
            <w:vAlign w:val="center"/>
          </w:tcPr>
          <w:p w14:paraId="519572D3" w14:textId="77777777" w:rsidR="007B3DB2" w:rsidRPr="0063248C" w:rsidRDefault="00000000">
            <w:pPr>
              <w:spacing w:before="40" w:after="40" w:line="240" w:lineRule="exact"/>
              <w:jc w:val="center"/>
              <w:rPr>
                <w:rFonts w:cs="宋体"/>
                <w:sz w:val="18"/>
                <w:szCs w:val="18"/>
              </w:rPr>
            </w:pPr>
            <w:r w:rsidRPr="0063248C">
              <w:rPr>
                <w:rFonts w:cs="宋体"/>
                <w:sz w:val="18"/>
                <w:szCs w:val="18"/>
              </w:rPr>
              <w:t>报告期内变更用途的募集资金总额</w:t>
            </w:r>
          </w:p>
        </w:tc>
        <w:tc>
          <w:tcPr>
            <w:tcW w:w="360" w:type="pct"/>
            <w:tcBorders>
              <w:top w:val="single" w:sz="2" w:space="0" w:color="auto"/>
              <w:left w:val="single" w:sz="2" w:space="0" w:color="auto"/>
              <w:bottom w:val="single" w:sz="2" w:space="0" w:color="auto"/>
              <w:right w:val="single" w:sz="2" w:space="0" w:color="auto"/>
            </w:tcBorders>
            <w:shd w:val="clear" w:color="auto" w:fill="D3D3D3"/>
            <w:vAlign w:val="center"/>
          </w:tcPr>
          <w:p w14:paraId="6D62E590" w14:textId="77777777" w:rsidR="007B3DB2" w:rsidRPr="0063248C" w:rsidRDefault="00000000">
            <w:pPr>
              <w:spacing w:before="40" w:after="40" w:line="240" w:lineRule="exact"/>
              <w:jc w:val="center"/>
              <w:rPr>
                <w:rFonts w:cs="宋体"/>
                <w:sz w:val="18"/>
                <w:szCs w:val="18"/>
              </w:rPr>
            </w:pPr>
            <w:r w:rsidRPr="0063248C">
              <w:rPr>
                <w:rFonts w:cs="宋体"/>
                <w:sz w:val="18"/>
                <w:szCs w:val="18"/>
              </w:rPr>
              <w:t>累计变更用途的募集资金总额</w:t>
            </w:r>
          </w:p>
        </w:tc>
        <w:tc>
          <w:tcPr>
            <w:tcW w:w="360" w:type="pct"/>
            <w:tcBorders>
              <w:top w:val="single" w:sz="2" w:space="0" w:color="auto"/>
              <w:left w:val="single" w:sz="2" w:space="0" w:color="auto"/>
              <w:bottom w:val="single" w:sz="2" w:space="0" w:color="auto"/>
              <w:right w:val="single" w:sz="2" w:space="0" w:color="auto"/>
            </w:tcBorders>
            <w:shd w:val="clear" w:color="auto" w:fill="D3D3D3"/>
            <w:vAlign w:val="center"/>
          </w:tcPr>
          <w:p w14:paraId="060DA826" w14:textId="77777777" w:rsidR="007B3DB2" w:rsidRPr="0063248C" w:rsidRDefault="00000000">
            <w:pPr>
              <w:spacing w:before="40" w:after="40" w:line="240" w:lineRule="exact"/>
              <w:jc w:val="center"/>
              <w:rPr>
                <w:rFonts w:cs="宋体"/>
                <w:sz w:val="18"/>
                <w:szCs w:val="18"/>
              </w:rPr>
            </w:pPr>
            <w:r w:rsidRPr="0063248C">
              <w:rPr>
                <w:rFonts w:cs="宋体"/>
                <w:sz w:val="18"/>
                <w:szCs w:val="18"/>
              </w:rPr>
              <w:t>累计变更用途的募集资金总额比例</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54F85D65" w14:textId="77777777" w:rsidR="007B3DB2" w:rsidRPr="0063248C" w:rsidRDefault="00000000">
            <w:pPr>
              <w:spacing w:before="40" w:after="40" w:line="240" w:lineRule="exact"/>
              <w:jc w:val="center"/>
              <w:rPr>
                <w:rFonts w:cs="宋体"/>
                <w:sz w:val="18"/>
                <w:szCs w:val="18"/>
              </w:rPr>
            </w:pPr>
            <w:r w:rsidRPr="0063248C">
              <w:rPr>
                <w:rFonts w:cs="宋体"/>
                <w:sz w:val="18"/>
                <w:szCs w:val="18"/>
              </w:rPr>
              <w:t>尚未使用募集资金总额</w:t>
            </w:r>
          </w:p>
        </w:tc>
        <w:tc>
          <w:tcPr>
            <w:tcW w:w="690" w:type="pct"/>
            <w:tcBorders>
              <w:top w:val="single" w:sz="2" w:space="0" w:color="auto"/>
              <w:left w:val="single" w:sz="2" w:space="0" w:color="auto"/>
              <w:bottom w:val="single" w:sz="2" w:space="0" w:color="auto"/>
              <w:right w:val="single" w:sz="2" w:space="0" w:color="auto"/>
            </w:tcBorders>
            <w:shd w:val="clear" w:color="auto" w:fill="D3D3D3"/>
            <w:vAlign w:val="center"/>
          </w:tcPr>
          <w:p w14:paraId="5723D03E" w14:textId="77777777" w:rsidR="007B3DB2" w:rsidRPr="0063248C" w:rsidRDefault="00000000">
            <w:pPr>
              <w:spacing w:before="40" w:after="40" w:line="240" w:lineRule="exact"/>
              <w:jc w:val="center"/>
              <w:rPr>
                <w:rFonts w:cs="宋体"/>
                <w:sz w:val="18"/>
                <w:szCs w:val="18"/>
              </w:rPr>
            </w:pPr>
            <w:r w:rsidRPr="0063248C">
              <w:rPr>
                <w:rFonts w:cs="宋体"/>
                <w:sz w:val="18"/>
                <w:szCs w:val="18"/>
              </w:rPr>
              <w:t>尚未使用募集资金用途及去向</w:t>
            </w:r>
          </w:p>
        </w:tc>
        <w:tc>
          <w:tcPr>
            <w:tcW w:w="343" w:type="pct"/>
            <w:tcBorders>
              <w:top w:val="single" w:sz="2" w:space="0" w:color="auto"/>
              <w:left w:val="single" w:sz="2" w:space="0" w:color="auto"/>
              <w:bottom w:val="single" w:sz="2" w:space="0" w:color="auto"/>
              <w:right w:val="single" w:sz="2" w:space="0" w:color="auto"/>
            </w:tcBorders>
            <w:shd w:val="clear" w:color="auto" w:fill="D3D3D3"/>
            <w:vAlign w:val="center"/>
          </w:tcPr>
          <w:p w14:paraId="13F8D196" w14:textId="77777777" w:rsidR="007B3DB2" w:rsidRPr="0063248C" w:rsidRDefault="00000000">
            <w:pPr>
              <w:spacing w:before="40" w:after="40" w:line="240" w:lineRule="exact"/>
              <w:jc w:val="center"/>
              <w:rPr>
                <w:rFonts w:cs="宋体"/>
                <w:sz w:val="18"/>
                <w:szCs w:val="18"/>
              </w:rPr>
            </w:pPr>
            <w:r w:rsidRPr="0063248C">
              <w:rPr>
                <w:rFonts w:cs="宋体"/>
                <w:sz w:val="18"/>
                <w:szCs w:val="18"/>
              </w:rPr>
              <w:t>闲置两年以上募集资金金额</w:t>
            </w:r>
          </w:p>
        </w:tc>
      </w:tr>
      <w:tr w:rsidR="007B3DB2" w:rsidRPr="0063248C" w14:paraId="6D1C39AD" w14:textId="77777777" w:rsidTr="00C117DA">
        <w:trPr>
          <w:trHeight w:val="240"/>
          <w:jc w:val="center"/>
        </w:trPr>
        <w:tc>
          <w:tcPr>
            <w:tcW w:w="360" w:type="pct"/>
            <w:tcBorders>
              <w:top w:val="single" w:sz="2" w:space="0" w:color="auto"/>
              <w:left w:val="single" w:sz="2" w:space="0" w:color="auto"/>
              <w:bottom w:val="single" w:sz="2" w:space="0" w:color="auto"/>
              <w:right w:val="single" w:sz="2" w:space="0" w:color="auto"/>
            </w:tcBorders>
            <w:vAlign w:val="center"/>
          </w:tcPr>
          <w:p w14:paraId="02EB2442" w14:textId="77777777" w:rsidR="007B3DB2" w:rsidRPr="0063248C" w:rsidRDefault="00000000">
            <w:pPr>
              <w:spacing w:line="240" w:lineRule="exact"/>
              <w:rPr>
                <w:rFonts w:cs="宋体"/>
                <w:sz w:val="18"/>
                <w:szCs w:val="18"/>
              </w:rPr>
            </w:pPr>
            <w:r w:rsidRPr="0063248C">
              <w:rPr>
                <w:rFonts w:cs="宋体"/>
                <w:sz w:val="18"/>
                <w:szCs w:val="18"/>
              </w:rPr>
              <w:t>2020</w:t>
            </w:r>
            <w:r w:rsidRPr="0063248C">
              <w:rPr>
                <w:rFonts w:cs="宋体"/>
                <w:sz w:val="18"/>
                <w:szCs w:val="18"/>
              </w:rPr>
              <w:t>年</w:t>
            </w:r>
          </w:p>
        </w:tc>
        <w:tc>
          <w:tcPr>
            <w:tcW w:w="360" w:type="pct"/>
            <w:tcBorders>
              <w:top w:val="single" w:sz="2" w:space="0" w:color="auto"/>
              <w:left w:val="single" w:sz="2" w:space="0" w:color="auto"/>
              <w:bottom w:val="single" w:sz="2" w:space="0" w:color="auto"/>
              <w:right w:val="single" w:sz="2" w:space="0" w:color="auto"/>
            </w:tcBorders>
            <w:vAlign w:val="center"/>
          </w:tcPr>
          <w:p w14:paraId="11DA9880" w14:textId="77777777" w:rsidR="007B3DB2" w:rsidRPr="0063248C" w:rsidRDefault="00000000">
            <w:pPr>
              <w:spacing w:line="240" w:lineRule="exact"/>
              <w:rPr>
                <w:rFonts w:cs="宋体"/>
                <w:sz w:val="18"/>
                <w:szCs w:val="18"/>
              </w:rPr>
            </w:pPr>
            <w:r w:rsidRPr="0063248C">
              <w:rPr>
                <w:rFonts w:cs="宋体"/>
                <w:sz w:val="18"/>
                <w:szCs w:val="18"/>
              </w:rPr>
              <w:t>公开发行可转换公司债</w:t>
            </w:r>
            <w:proofErr w:type="gramStart"/>
            <w:r w:rsidRPr="0063248C">
              <w:rPr>
                <w:rFonts w:cs="宋体"/>
                <w:sz w:val="18"/>
                <w:szCs w:val="18"/>
              </w:rPr>
              <w:t>券</w:t>
            </w:r>
            <w:proofErr w:type="gramEnd"/>
          </w:p>
        </w:tc>
        <w:tc>
          <w:tcPr>
            <w:tcW w:w="388" w:type="pct"/>
            <w:tcBorders>
              <w:top w:val="single" w:sz="2" w:space="0" w:color="auto"/>
              <w:left w:val="single" w:sz="2" w:space="0" w:color="auto"/>
              <w:bottom w:val="single" w:sz="2" w:space="0" w:color="auto"/>
              <w:right w:val="single" w:sz="2" w:space="0" w:color="auto"/>
            </w:tcBorders>
            <w:vAlign w:val="center"/>
          </w:tcPr>
          <w:p w14:paraId="0A19138A" w14:textId="77777777" w:rsidR="007B3DB2" w:rsidRPr="0063248C" w:rsidRDefault="00000000">
            <w:pPr>
              <w:spacing w:line="240" w:lineRule="exact"/>
              <w:jc w:val="right"/>
              <w:rPr>
                <w:rFonts w:cs="宋体"/>
                <w:sz w:val="18"/>
                <w:szCs w:val="18"/>
              </w:rPr>
            </w:pPr>
            <w:r w:rsidRPr="0063248C">
              <w:rPr>
                <w:rFonts w:cs="宋体"/>
                <w:sz w:val="18"/>
                <w:szCs w:val="18"/>
              </w:rPr>
              <w:t>95,000</w:t>
            </w:r>
          </w:p>
        </w:tc>
        <w:tc>
          <w:tcPr>
            <w:tcW w:w="497" w:type="pct"/>
            <w:tcBorders>
              <w:top w:val="single" w:sz="2" w:space="0" w:color="auto"/>
              <w:left w:val="single" w:sz="2" w:space="0" w:color="auto"/>
              <w:bottom w:val="single" w:sz="2" w:space="0" w:color="auto"/>
              <w:right w:val="single" w:sz="2" w:space="0" w:color="auto"/>
            </w:tcBorders>
            <w:vAlign w:val="center"/>
          </w:tcPr>
          <w:p w14:paraId="7F0F3F9D" w14:textId="77777777" w:rsidR="007B3DB2" w:rsidRPr="0063248C" w:rsidRDefault="00000000">
            <w:pPr>
              <w:spacing w:line="240" w:lineRule="exact"/>
              <w:jc w:val="right"/>
              <w:rPr>
                <w:rFonts w:cs="宋体"/>
                <w:sz w:val="18"/>
                <w:szCs w:val="18"/>
              </w:rPr>
            </w:pPr>
            <w:r w:rsidRPr="0063248C">
              <w:rPr>
                <w:rFonts w:cs="宋体"/>
                <w:sz w:val="18"/>
                <w:szCs w:val="18"/>
              </w:rPr>
              <w:t>93,494.3</w:t>
            </w:r>
          </w:p>
        </w:tc>
        <w:tc>
          <w:tcPr>
            <w:tcW w:w="345" w:type="pct"/>
            <w:tcBorders>
              <w:top w:val="single" w:sz="2" w:space="0" w:color="auto"/>
              <w:left w:val="single" w:sz="2" w:space="0" w:color="auto"/>
              <w:bottom w:val="single" w:sz="2" w:space="0" w:color="auto"/>
              <w:right w:val="single" w:sz="2" w:space="0" w:color="auto"/>
            </w:tcBorders>
            <w:vAlign w:val="center"/>
          </w:tcPr>
          <w:p w14:paraId="070869DE" w14:textId="77777777" w:rsidR="007B3DB2" w:rsidRPr="0063248C" w:rsidRDefault="00000000">
            <w:pPr>
              <w:spacing w:line="240" w:lineRule="exact"/>
              <w:jc w:val="right"/>
              <w:rPr>
                <w:rFonts w:cs="宋体"/>
                <w:sz w:val="18"/>
                <w:szCs w:val="18"/>
              </w:rPr>
            </w:pPr>
            <w:r w:rsidRPr="0063248C">
              <w:rPr>
                <w:rFonts w:cs="宋体"/>
                <w:sz w:val="18"/>
                <w:szCs w:val="18"/>
              </w:rPr>
              <w:t>466.16</w:t>
            </w:r>
          </w:p>
        </w:tc>
        <w:tc>
          <w:tcPr>
            <w:tcW w:w="497" w:type="pct"/>
            <w:tcBorders>
              <w:top w:val="single" w:sz="2" w:space="0" w:color="auto"/>
              <w:left w:val="single" w:sz="2" w:space="0" w:color="auto"/>
              <w:bottom w:val="single" w:sz="2" w:space="0" w:color="auto"/>
              <w:right w:val="single" w:sz="2" w:space="0" w:color="auto"/>
            </w:tcBorders>
            <w:vAlign w:val="center"/>
          </w:tcPr>
          <w:p w14:paraId="68D218A0" w14:textId="77777777" w:rsidR="007B3DB2" w:rsidRPr="0063248C" w:rsidRDefault="00000000">
            <w:pPr>
              <w:spacing w:line="240" w:lineRule="exact"/>
              <w:jc w:val="right"/>
              <w:rPr>
                <w:rFonts w:cs="宋体"/>
                <w:sz w:val="18"/>
                <w:szCs w:val="18"/>
              </w:rPr>
            </w:pPr>
            <w:r w:rsidRPr="0063248C">
              <w:rPr>
                <w:rFonts w:cs="宋体"/>
                <w:sz w:val="18"/>
                <w:szCs w:val="18"/>
              </w:rPr>
              <w:t>56,518.53</w:t>
            </w:r>
          </w:p>
        </w:tc>
        <w:tc>
          <w:tcPr>
            <w:tcW w:w="346" w:type="pct"/>
            <w:tcBorders>
              <w:top w:val="single" w:sz="2" w:space="0" w:color="auto"/>
              <w:left w:val="single" w:sz="2" w:space="0" w:color="auto"/>
              <w:bottom w:val="single" w:sz="2" w:space="0" w:color="auto"/>
              <w:right w:val="single" w:sz="2" w:space="0" w:color="auto"/>
            </w:tcBorders>
            <w:vAlign w:val="center"/>
          </w:tcPr>
          <w:p w14:paraId="5F07AE0E"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360" w:type="pct"/>
            <w:tcBorders>
              <w:top w:val="single" w:sz="2" w:space="0" w:color="auto"/>
              <w:left w:val="single" w:sz="2" w:space="0" w:color="auto"/>
              <w:bottom w:val="single" w:sz="2" w:space="0" w:color="auto"/>
              <w:right w:val="single" w:sz="2" w:space="0" w:color="auto"/>
            </w:tcBorders>
            <w:vAlign w:val="center"/>
          </w:tcPr>
          <w:p w14:paraId="44AD398F"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360" w:type="pct"/>
            <w:tcBorders>
              <w:top w:val="single" w:sz="2" w:space="0" w:color="auto"/>
              <w:left w:val="single" w:sz="2" w:space="0" w:color="auto"/>
              <w:bottom w:val="single" w:sz="2" w:space="0" w:color="auto"/>
              <w:right w:val="single" w:sz="2" w:space="0" w:color="auto"/>
            </w:tcBorders>
            <w:vAlign w:val="center"/>
          </w:tcPr>
          <w:p w14:paraId="4486010F"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454" w:type="pct"/>
            <w:tcBorders>
              <w:top w:val="single" w:sz="2" w:space="0" w:color="auto"/>
              <w:left w:val="single" w:sz="2" w:space="0" w:color="auto"/>
              <w:bottom w:val="single" w:sz="2" w:space="0" w:color="auto"/>
              <w:right w:val="single" w:sz="2" w:space="0" w:color="auto"/>
            </w:tcBorders>
            <w:vAlign w:val="center"/>
          </w:tcPr>
          <w:p w14:paraId="63E37BAE" w14:textId="77777777" w:rsidR="007B3DB2" w:rsidRPr="0063248C" w:rsidRDefault="00000000">
            <w:pPr>
              <w:spacing w:line="240" w:lineRule="exact"/>
              <w:jc w:val="right"/>
              <w:rPr>
                <w:rFonts w:cs="宋体"/>
                <w:sz w:val="18"/>
                <w:szCs w:val="18"/>
              </w:rPr>
            </w:pPr>
            <w:r w:rsidRPr="0063248C">
              <w:rPr>
                <w:rFonts w:cs="宋体"/>
                <w:sz w:val="18"/>
                <w:szCs w:val="18"/>
              </w:rPr>
              <w:t>39,731.24</w:t>
            </w:r>
          </w:p>
        </w:tc>
        <w:tc>
          <w:tcPr>
            <w:tcW w:w="690" w:type="pct"/>
            <w:tcBorders>
              <w:top w:val="single" w:sz="2" w:space="0" w:color="auto"/>
              <w:left w:val="single" w:sz="2" w:space="0" w:color="auto"/>
              <w:bottom w:val="single" w:sz="2" w:space="0" w:color="auto"/>
              <w:right w:val="single" w:sz="2" w:space="0" w:color="auto"/>
            </w:tcBorders>
            <w:vAlign w:val="center"/>
          </w:tcPr>
          <w:p w14:paraId="290CBD3F"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）暂时补充流动资金</w:t>
            </w:r>
            <w:r w:rsidRPr="0063248C">
              <w:rPr>
                <w:rFonts w:cs="宋体"/>
                <w:sz w:val="18"/>
                <w:szCs w:val="18"/>
              </w:rPr>
              <w:t>39,730.00</w:t>
            </w:r>
            <w:r w:rsidRPr="0063248C">
              <w:rPr>
                <w:rFonts w:cs="宋体"/>
                <w:sz w:val="18"/>
                <w:szCs w:val="18"/>
              </w:rPr>
              <w:t>万元；</w:t>
            </w:r>
          </w:p>
          <w:p w14:paraId="68C4D71A"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）其余未使用的募集资金人民币</w:t>
            </w:r>
            <w:r w:rsidRPr="0063248C">
              <w:rPr>
                <w:rFonts w:cs="宋体"/>
                <w:sz w:val="18"/>
                <w:szCs w:val="18"/>
              </w:rPr>
              <w:t>1.24</w:t>
            </w:r>
            <w:r w:rsidRPr="0063248C">
              <w:rPr>
                <w:rFonts w:cs="宋体"/>
                <w:sz w:val="18"/>
                <w:szCs w:val="18"/>
              </w:rPr>
              <w:t>万元存放于募集资金专用账户。</w:t>
            </w:r>
          </w:p>
        </w:tc>
        <w:tc>
          <w:tcPr>
            <w:tcW w:w="343" w:type="pct"/>
            <w:tcBorders>
              <w:top w:val="single" w:sz="2" w:space="0" w:color="auto"/>
              <w:left w:val="single" w:sz="2" w:space="0" w:color="auto"/>
              <w:bottom w:val="single" w:sz="2" w:space="0" w:color="auto"/>
              <w:right w:val="single" w:sz="2" w:space="0" w:color="auto"/>
            </w:tcBorders>
            <w:vAlign w:val="center"/>
          </w:tcPr>
          <w:p w14:paraId="627CE9A5"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07054348" w14:textId="77777777" w:rsidTr="00C117DA">
        <w:trPr>
          <w:trHeight w:val="240"/>
          <w:jc w:val="center"/>
        </w:trPr>
        <w:tc>
          <w:tcPr>
            <w:tcW w:w="360" w:type="pct"/>
            <w:tcBorders>
              <w:top w:val="single" w:sz="2" w:space="0" w:color="auto"/>
              <w:left w:val="single" w:sz="2" w:space="0" w:color="auto"/>
              <w:bottom w:val="single" w:sz="2" w:space="0" w:color="auto"/>
              <w:right w:val="single" w:sz="2" w:space="0" w:color="auto"/>
            </w:tcBorders>
            <w:vAlign w:val="center"/>
          </w:tcPr>
          <w:p w14:paraId="6EDDA0C6" w14:textId="77777777" w:rsidR="007B3DB2" w:rsidRPr="0063248C" w:rsidRDefault="00000000">
            <w:pPr>
              <w:spacing w:line="240" w:lineRule="exact"/>
              <w:rPr>
                <w:rFonts w:cs="宋体"/>
                <w:sz w:val="18"/>
                <w:szCs w:val="18"/>
              </w:rPr>
            </w:pPr>
            <w:r w:rsidRPr="0063248C">
              <w:rPr>
                <w:rFonts w:cs="宋体"/>
                <w:sz w:val="18"/>
                <w:szCs w:val="18"/>
              </w:rPr>
              <w:t>2021</w:t>
            </w:r>
            <w:r w:rsidRPr="0063248C">
              <w:rPr>
                <w:rFonts w:cs="宋体"/>
                <w:sz w:val="18"/>
                <w:szCs w:val="18"/>
              </w:rPr>
              <w:t>年</w:t>
            </w:r>
          </w:p>
        </w:tc>
        <w:tc>
          <w:tcPr>
            <w:tcW w:w="360" w:type="pct"/>
            <w:tcBorders>
              <w:top w:val="single" w:sz="2" w:space="0" w:color="auto"/>
              <w:left w:val="single" w:sz="2" w:space="0" w:color="auto"/>
              <w:bottom w:val="single" w:sz="2" w:space="0" w:color="auto"/>
              <w:right w:val="single" w:sz="2" w:space="0" w:color="auto"/>
            </w:tcBorders>
            <w:vAlign w:val="center"/>
          </w:tcPr>
          <w:p w14:paraId="476DC0BE" w14:textId="77777777" w:rsidR="007B3DB2" w:rsidRPr="0063248C" w:rsidRDefault="00000000">
            <w:pPr>
              <w:spacing w:line="240" w:lineRule="exact"/>
              <w:rPr>
                <w:rFonts w:cs="宋体"/>
                <w:sz w:val="18"/>
                <w:szCs w:val="18"/>
              </w:rPr>
            </w:pPr>
            <w:r w:rsidRPr="0063248C">
              <w:rPr>
                <w:rFonts w:cs="宋体"/>
                <w:sz w:val="18"/>
                <w:szCs w:val="18"/>
              </w:rPr>
              <w:t>非公开发行股票</w:t>
            </w:r>
          </w:p>
        </w:tc>
        <w:tc>
          <w:tcPr>
            <w:tcW w:w="388" w:type="pct"/>
            <w:tcBorders>
              <w:top w:val="single" w:sz="2" w:space="0" w:color="auto"/>
              <w:left w:val="single" w:sz="2" w:space="0" w:color="auto"/>
              <w:bottom w:val="single" w:sz="2" w:space="0" w:color="auto"/>
              <w:right w:val="single" w:sz="2" w:space="0" w:color="auto"/>
            </w:tcBorders>
            <w:vAlign w:val="center"/>
          </w:tcPr>
          <w:p w14:paraId="588819C1" w14:textId="77777777" w:rsidR="007B3DB2" w:rsidRPr="0063248C" w:rsidRDefault="00000000">
            <w:pPr>
              <w:spacing w:line="240" w:lineRule="exact"/>
              <w:jc w:val="right"/>
              <w:rPr>
                <w:rFonts w:cs="宋体"/>
                <w:sz w:val="18"/>
                <w:szCs w:val="18"/>
              </w:rPr>
            </w:pPr>
            <w:r w:rsidRPr="0063248C">
              <w:rPr>
                <w:rFonts w:cs="宋体"/>
                <w:sz w:val="18"/>
                <w:szCs w:val="18"/>
              </w:rPr>
              <w:t>62,040</w:t>
            </w:r>
          </w:p>
        </w:tc>
        <w:tc>
          <w:tcPr>
            <w:tcW w:w="497" w:type="pct"/>
            <w:tcBorders>
              <w:top w:val="single" w:sz="2" w:space="0" w:color="auto"/>
              <w:left w:val="single" w:sz="2" w:space="0" w:color="auto"/>
              <w:bottom w:val="single" w:sz="2" w:space="0" w:color="auto"/>
              <w:right w:val="single" w:sz="2" w:space="0" w:color="auto"/>
            </w:tcBorders>
            <w:vAlign w:val="center"/>
          </w:tcPr>
          <w:p w14:paraId="7850EE0E" w14:textId="77777777" w:rsidR="007B3DB2" w:rsidRPr="0063248C" w:rsidRDefault="00000000">
            <w:pPr>
              <w:spacing w:line="240" w:lineRule="exact"/>
              <w:jc w:val="right"/>
              <w:rPr>
                <w:rFonts w:cs="宋体"/>
                <w:sz w:val="18"/>
                <w:szCs w:val="18"/>
              </w:rPr>
            </w:pPr>
            <w:r w:rsidRPr="0063248C">
              <w:rPr>
                <w:rFonts w:cs="宋体"/>
                <w:sz w:val="18"/>
                <w:szCs w:val="18"/>
              </w:rPr>
              <w:t>61,020.96</w:t>
            </w:r>
          </w:p>
        </w:tc>
        <w:tc>
          <w:tcPr>
            <w:tcW w:w="345" w:type="pct"/>
            <w:tcBorders>
              <w:top w:val="single" w:sz="2" w:space="0" w:color="auto"/>
              <w:left w:val="single" w:sz="2" w:space="0" w:color="auto"/>
              <w:bottom w:val="single" w:sz="2" w:space="0" w:color="auto"/>
              <w:right w:val="single" w:sz="2" w:space="0" w:color="auto"/>
            </w:tcBorders>
            <w:vAlign w:val="center"/>
          </w:tcPr>
          <w:p w14:paraId="53C99355" w14:textId="77777777" w:rsidR="007B3DB2" w:rsidRPr="0063248C" w:rsidRDefault="00000000">
            <w:pPr>
              <w:spacing w:line="240" w:lineRule="exact"/>
              <w:jc w:val="right"/>
              <w:rPr>
                <w:rFonts w:cs="宋体"/>
                <w:sz w:val="18"/>
                <w:szCs w:val="18"/>
              </w:rPr>
            </w:pPr>
            <w:r w:rsidRPr="0063248C">
              <w:rPr>
                <w:rFonts w:cs="宋体"/>
                <w:sz w:val="18"/>
                <w:szCs w:val="18"/>
              </w:rPr>
              <w:t>390.01</w:t>
            </w:r>
          </w:p>
        </w:tc>
        <w:tc>
          <w:tcPr>
            <w:tcW w:w="497" w:type="pct"/>
            <w:tcBorders>
              <w:top w:val="single" w:sz="2" w:space="0" w:color="auto"/>
              <w:left w:val="single" w:sz="2" w:space="0" w:color="auto"/>
              <w:bottom w:val="single" w:sz="2" w:space="0" w:color="auto"/>
              <w:right w:val="single" w:sz="2" w:space="0" w:color="auto"/>
            </w:tcBorders>
            <w:vAlign w:val="center"/>
          </w:tcPr>
          <w:p w14:paraId="772614A5" w14:textId="77777777" w:rsidR="007B3DB2" w:rsidRPr="0063248C" w:rsidRDefault="00000000">
            <w:pPr>
              <w:spacing w:line="240" w:lineRule="exact"/>
              <w:jc w:val="right"/>
              <w:rPr>
                <w:rFonts w:cs="宋体"/>
                <w:sz w:val="18"/>
                <w:szCs w:val="18"/>
              </w:rPr>
            </w:pPr>
            <w:r w:rsidRPr="0063248C">
              <w:rPr>
                <w:rFonts w:cs="宋体"/>
                <w:sz w:val="18"/>
                <w:szCs w:val="18"/>
              </w:rPr>
              <w:t>50,718.8</w:t>
            </w:r>
          </w:p>
        </w:tc>
        <w:tc>
          <w:tcPr>
            <w:tcW w:w="346" w:type="pct"/>
            <w:tcBorders>
              <w:top w:val="single" w:sz="2" w:space="0" w:color="auto"/>
              <w:left w:val="single" w:sz="2" w:space="0" w:color="auto"/>
              <w:bottom w:val="single" w:sz="2" w:space="0" w:color="auto"/>
              <w:right w:val="single" w:sz="2" w:space="0" w:color="auto"/>
            </w:tcBorders>
            <w:vAlign w:val="center"/>
          </w:tcPr>
          <w:p w14:paraId="0AF2E5F2"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360" w:type="pct"/>
            <w:tcBorders>
              <w:top w:val="single" w:sz="2" w:space="0" w:color="auto"/>
              <w:left w:val="single" w:sz="2" w:space="0" w:color="auto"/>
              <w:bottom w:val="single" w:sz="2" w:space="0" w:color="auto"/>
              <w:right w:val="single" w:sz="2" w:space="0" w:color="auto"/>
            </w:tcBorders>
            <w:vAlign w:val="center"/>
          </w:tcPr>
          <w:p w14:paraId="236C2CE3"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360" w:type="pct"/>
            <w:tcBorders>
              <w:top w:val="single" w:sz="2" w:space="0" w:color="auto"/>
              <w:left w:val="single" w:sz="2" w:space="0" w:color="auto"/>
              <w:bottom w:val="single" w:sz="2" w:space="0" w:color="auto"/>
              <w:right w:val="single" w:sz="2" w:space="0" w:color="auto"/>
            </w:tcBorders>
            <w:vAlign w:val="center"/>
          </w:tcPr>
          <w:p w14:paraId="0802CE3F"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454" w:type="pct"/>
            <w:tcBorders>
              <w:top w:val="single" w:sz="2" w:space="0" w:color="auto"/>
              <w:left w:val="single" w:sz="2" w:space="0" w:color="auto"/>
              <w:bottom w:val="single" w:sz="2" w:space="0" w:color="auto"/>
              <w:right w:val="single" w:sz="2" w:space="0" w:color="auto"/>
            </w:tcBorders>
            <w:vAlign w:val="center"/>
          </w:tcPr>
          <w:p w14:paraId="6EAEE8D4" w14:textId="77777777" w:rsidR="007B3DB2" w:rsidRPr="0063248C" w:rsidRDefault="00000000">
            <w:pPr>
              <w:spacing w:line="240" w:lineRule="exact"/>
              <w:jc w:val="right"/>
              <w:rPr>
                <w:rFonts w:cs="宋体"/>
                <w:sz w:val="18"/>
                <w:szCs w:val="18"/>
              </w:rPr>
            </w:pPr>
            <w:r w:rsidRPr="0063248C">
              <w:rPr>
                <w:rFonts w:cs="宋体"/>
                <w:sz w:val="18"/>
                <w:szCs w:val="18"/>
              </w:rPr>
              <w:t>10,374.48</w:t>
            </w:r>
          </w:p>
        </w:tc>
        <w:tc>
          <w:tcPr>
            <w:tcW w:w="690" w:type="pct"/>
            <w:tcBorders>
              <w:top w:val="single" w:sz="2" w:space="0" w:color="auto"/>
              <w:left w:val="single" w:sz="2" w:space="0" w:color="auto"/>
              <w:bottom w:val="single" w:sz="2" w:space="0" w:color="auto"/>
              <w:right w:val="single" w:sz="2" w:space="0" w:color="auto"/>
            </w:tcBorders>
            <w:vAlign w:val="center"/>
          </w:tcPr>
          <w:p w14:paraId="4726F1B8"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）暂时补充流动资金</w:t>
            </w:r>
            <w:r w:rsidRPr="0063248C">
              <w:rPr>
                <w:rFonts w:cs="宋体"/>
                <w:sz w:val="18"/>
                <w:szCs w:val="18"/>
              </w:rPr>
              <w:t>9,889.68</w:t>
            </w:r>
            <w:r w:rsidRPr="0063248C">
              <w:rPr>
                <w:rFonts w:cs="宋体"/>
                <w:sz w:val="18"/>
                <w:szCs w:val="18"/>
              </w:rPr>
              <w:t>万元；</w:t>
            </w:r>
          </w:p>
          <w:p w14:paraId="3C13FE7B"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）其余未使用的募集资金人民币</w:t>
            </w:r>
            <w:r w:rsidRPr="0063248C">
              <w:rPr>
                <w:rFonts w:cs="宋体"/>
                <w:sz w:val="18"/>
                <w:szCs w:val="18"/>
              </w:rPr>
              <w:t>484.8</w:t>
            </w:r>
            <w:r w:rsidRPr="0063248C">
              <w:rPr>
                <w:rFonts w:cs="宋体"/>
                <w:sz w:val="18"/>
                <w:szCs w:val="18"/>
              </w:rPr>
              <w:t>万元存放于募集资金专用账户。</w:t>
            </w:r>
          </w:p>
        </w:tc>
        <w:tc>
          <w:tcPr>
            <w:tcW w:w="343" w:type="pct"/>
            <w:tcBorders>
              <w:top w:val="single" w:sz="2" w:space="0" w:color="auto"/>
              <w:left w:val="single" w:sz="2" w:space="0" w:color="auto"/>
              <w:bottom w:val="single" w:sz="2" w:space="0" w:color="auto"/>
              <w:right w:val="single" w:sz="2" w:space="0" w:color="auto"/>
            </w:tcBorders>
            <w:vAlign w:val="center"/>
          </w:tcPr>
          <w:p w14:paraId="661677F8"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60A01ED1" w14:textId="77777777" w:rsidTr="00C117DA">
        <w:trPr>
          <w:trHeight w:val="240"/>
          <w:jc w:val="center"/>
        </w:trPr>
        <w:tc>
          <w:tcPr>
            <w:tcW w:w="360" w:type="pct"/>
            <w:tcBorders>
              <w:top w:val="single" w:sz="2" w:space="0" w:color="auto"/>
              <w:left w:val="single" w:sz="2" w:space="0" w:color="auto"/>
              <w:bottom w:val="single" w:sz="2" w:space="0" w:color="auto"/>
              <w:right w:val="single" w:sz="2" w:space="0" w:color="auto"/>
            </w:tcBorders>
            <w:shd w:val="clear" w:color="auto" w:fill="D3D3D3"/>
            <w:vAlign w:val="center"/>
          </w:tcPr>
          <w:p w14:paraId="6FF2E0FE" w14:textId="77777777" w:rsidR="007B3DB2" w:rsidRPr="0063248C" w:rsidRDefault="00000000">
            <w:pPr>
              <w:spacing w:before="40" w:after="40" w:line="240" w:lineRule="exact"/>
              <w:jc w:val="center"/>
              <w:rPr>
                <w:rFonts w:cs="宋体"/>
                <w:sz w:val="18"/>
                <w:szCs w:val="18"/>
              </w:rPr>
            </w:pPr>
            <w:r w:rsidRPr="0063248C">
              <w:rPr>
                <w:rFonts w:cs="宋体"/>
                <w:sz w:val="18"/>
                <w:szCs w:val="18"/>
              </w:rPr>
              <w:t>合计</w:t>
            </w:r>
          </w:p>
        </w:tc>
        <w:tc>
          <w:tcPr>
            <w:tcW w:w="360" w:type="pct"/>
            <w:tcBorders>
              <w:top w:val="single" w:sz="2" w:space="0" w:color="auto"/>
              <w:left w:val="single" w:sz="2" w:space="0" w:color="auto"/>
              <w:bottom w:val="single" w:sz="2" w:space="0" w:color="auto"/>
              <w:right w:val="single" w:sz="2" w:space="0" w:color="auto"/>
            </w:tcBorders>
            <w:shd w:val="clear" w:color="auto" w:fill="D3D3D3"/>
            <w:vAlign w:val="center"/>
          </w:tcPr>
          <w:p w14:paraId="53AE672F"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c>
          <w:tcPr>
            <w:tcW w:w="388" w:type="pct"/>
            <w:tcBorders>
              <w:top w:val="single" w:sz="2" w:space="0" w:color="auto"/>
              <w:left w:val="single" w:sz="2" w:space="0" w:color="auto"/>
              <w:bottom w:val="single" w:sz="2" w:space="0" w:color="auto"/>
              <w:right w:val="single" w:sz="2" w:space="0" w:color="auto"/>
            </w:tcBorders>
            <w:vAlign w:val="center"/>
          </w:tcPr>
          <w:p w14:paraId="64B95A1A" w14:textId="77777777" w:rsidR="007B3DB2" w:rsidRPr="0063248C" w:rsidRDefault="00000000">
            <w:pPr>
              <w:spacing w:line="240" w:lineRule="exact"/>
              <w:jc w:val="right"/>
              <w:rPr>
                <w:rFonts w:cs="宋体"/>
                <w:sz w:val="18"/>
                <w:szCs w:val="18"/>
              </w:rPr>
            </w:pPr>
            <w:r w:rsidRPr="0063248C">
              <w:rPr>
                <w:rFonts w:cs="宋体"/>
                <w:sz w:val="18"/>
                <w:szCs w:val="18"/>
              </w:rPr>
              <w:t>157,040</w:t>
            </w:r>
          </w:p>
        </w:tc>
        <w:tc>
          <w:tcPr>
            <w:tcW w:w="497" w:type="pct"/>
            <w:tcBorders>
              <w:top w:val="single" w:sz="2" w:space="0" w:color="auto"/>
              <w:left w:val="single" w:sz="2" w:space="0" w:color="auto"/>
              <w:bottom w:val="single" w:sz="2" w:space="0" w:color="auto"/>
              <w:right w:val="single" w:sz="2" w:space="0" w:color="auto"/>
            </w:tcBorders>
            <w:vAlign w:val="center"/>
          </w:tcPr>
          <w:p w14:paraId="35C28418" w14:textId="77777777" w:rsidR="007B3DB2" w:rsidRPr="0063248C" w:rsidRDefault="00000000">
            <w:pPr>
              <w:spacing w:line="240" w:lineRule="exact"/>
              <w:jc w:val="right"/>
              <w:rPr>
                <w:rFonts w:cs="宋体"/>
                <w:sz w:val="18"/>
                <w:szCs w:val="18"/>
              </w:rPr>
            </w:pPr>
            <w:r w:rsidRPr="0063248C">
              <w:rPr>
                <w:rFonts w:cs="宋体"/>
                <w:sz w:val="18"/>
                <w:szCs w:val="18"/>
              </w:rPr>
              <w:t>154,515.26</w:t>
            </w:r>
          </w:p>
        </w:tc>
        <w:tc>
          <w:tcPr>
            <w:tcW w:w="345" w:type="pct"/>
            <w:tcBorders>
              <w:top w:val="single" w:sz="2" w:space="0" w:color="auto"/>
              <w:left w:val="single" w:sz="2" w:space="0" w:color="auto"/>
              <w:bottom w:val="single" w:sz="2" w:space="0" w:color="auto"/>
              <w:right w:val="single" w:sz="2" w:space="0" w:color="auto"/>
            </w:tcBorders>
            <w:vAlign w:val="center"/>
          </w:tcPr>
          <w:p w14:paraId="02524EBC" w14:textId="77777777" w:rsidR="007B3DB2" w:rsidRPr="0063248C" w:rsidRDefault="00000000">
            <w:pPr>
              <w:spacing w:line="240" w:lineRule="exact"/>
              <w:jc w:val="right"/>
              <w:rPr>
                <w:rFonts w:cs="宋体"/>
                <w:sz w:val="18"/>
                <w:szCs w:val="18"/>
              </w:rPr>
            </w:pPr>
            <w:r w:rsidRPr="0063248C">
              <w:rPr>
                <w:rFonts w:cs="宋体"/>
                <w:sz w:val="18"/>
                <w:szCs w:val="18"/>
              </w:rPr>
              <w:t>856.17</w:t>
            </w:r>
          </w:p>
        </w:tc>
        <w:tc>
          <w:tcPr>
            <w:tcW w:w="497" w:type="pct"/>
            <w:tcBorders>
              <w:top w:val="single" w:sz="2" w:space="0" w:color="auto"/>
              <w:left w:val="single" w:sz="2" w:space="0" w:color="auto"/>
              <w:bottom w:val="single" w:sz="2" w:space="0" w:color="auto"/>
              <w:right w:val="single" w:sz="2" w:space="0" w:color="auto"/>
            </w:tcBorders>
            <w:vAlign w:val="center"/>
          </w:tcPr>
          <w:p w14:paraId="2AA336C0" w14:textId="77777777" w:rsidR="007B3DB2" w:rsidRPr="0063248C" w:rsidRDefault="00000000">
            <w:pPr>
              <w:spacing w:line="240" w:lineRule="exact"/>
              <w:jc w:val="right"/>
              <w:rPr>
                <w:rFonts w:cs="宋体"/>
                <w:sz w:val="18"/>
                <w:szCs w:val="18"/>
              </w:rPr>
            </w:pPr>
            <w:r w:rsidRPr="0063248C">
              <w:rPr>
                <w:rFonts w:cs="宋体"/>
                <w:sz w:val="18"/>
                <w:szCs w:val="18"/>
              </w:rPr>
              <w:t>107,237.33</w:t>
            </w:r>
          </w:p>
        </w:tc>
        <w:tc>
          <w:tcPr>
            <w:tcW w:w="346" w:type="pct"/>
            <w:tcBorders>
              <w:top w:val="single" w:sz="2" w:space="0" w:color="auto"/>
              <w:left w:val="single" w:sz="2" w:space="0" w:color="auto"/>
              <w:bottom w:val="single" w:sz="2" w:space="0" w:color="auto"/>
              <w:right w:val="single" w:sz="2" w:space="0" w:color="auto"/>
            </w:tcBorders>
            <w:vAlign w:val="center"/>
          </w:tcPr>
          <w:p w14:paraId="52781CEC"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360" w:type="pct"/>
            <w:tcBorders>
              <w:top w:val="single" w:sz="2" w:space="0" w:color="auto"/>
              <w:left w:val="single" w:sz="2" w:space="0" w:color="auto"/>
              <w:bottom w:val="single" w:sz="2" w:space="0" w:color="auto"/>
              <w:right w:val="single" w:sz="2" w:space="0" w:color="auto"/>
            </w:tcBorders>
            <w:vAlign w:val="center"/>
          </w:tcPr>
          <w:p w14:paraId="64FA6AEA"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360" w:type="pct"/>
            <w:tcBorders>
              <w:top w:val="single" w:sz="2" w:space="0" w:color="auto"/>
              <w:left w:val="single" w:sz="2" w:space="0" w:color="auto"/>
              <w:bottom w:val="single" w:sz="2" w:space="0" w:color="auto"/>
              <w:right w:val="single" w:sz="2" w:space="0" w:color="auto"/>
            </w:tcBorders>
            <w:vAlign w:val="center"/>
          </w:tcPr>
          <w:p w14:paraId="75E48366"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454" w:type="pct"/>
            <w:tcBorders>
              <w:top w:val="single" w:sz="2" w:space="0" w:color="auto"/>
              <w:left w:val="single" w:sz="2" w:space="0" w:color="auto"/>
              <w:bottom w:val="single" w:sz="2" w:space="0" w:color="auto"/>
              <w:right w:val="single" w:sz="2" w:space="0" w:color="auto"/>
            </w:tcBorders>
            <w:vAlign w:val="center"/>
          </w:tcPr>
          <w:p w14:paraId="5A91CB93" w14:textId="77777777" w:rsidR="007B3DB2" w:rsidRPr="0063248C" w:rsidRDefault="00000000">
            <w:pPr>
              <w:spacing w:line="240" w:lineRule="exact"/>
              <w:jc w:val="right"/>
              <w:rPr>
                <w:rFonts w:cs="宋体"/>
                <w:sz w:val="18"/>
                <w:szCs w:val="18"/>
              </w:rPr>
            </w:pPr>
            <w:r w:rsidRPr="0063248C">
              <w:rPr>
                <w:rFonts w:cs="宋体"/>
                <w:sz w:val="18"/>
                <w:szCs w:val="18"/>
              </w:rPr>
              <w:t>50,105.72</w:t>
            </w:r>
          </w:p>
        </w:tc>
        <w:tc>
          <w:tcPr>
            <w:tcW w:w="690" w:type="pct"/>
            <w:tcBorders>
              <w:top w:val="single" w:sz="2" w:space="0" w:color="auto"/>
              <w:left w:val="single" w:sz="2" w:space="0" w:color="auto"/>
              <w:bottom w:val="single" w:sz="2" w:space="0" w:color="auto"/>
              <w:right w:val="single" w:sz="2" w:space="0" w:color="auto"/>
            </w:tcBorders>
            <w:shd w:val="clear" w:color="auto" w:fill="D3D3D3"/>
            <w:vAlign w:val="center"/>
          </w:tcPr>
          <w:p w14:paraId="263BB96B"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c>
          <w:tcPr>
            <w:tcW w:w="343" w:type="pct"/>
            <w:tcBorders>
              <w:top w:val="single" w:sz="2" w:space="0" w:color="auto"/>
              <w:left w:val="single" w:sz="2" w:space="0" w:color="auto"/>
              <w:bottom w:val="single" w:sz="2" w:space="0" w:color="auto"/>
              <w:right w:val="single" w:sz="2" w:space="0" w:color="auto"/>
            </w:tcBorders>
            <w:vAlign w:val="center"/>
          </w:tcPr>
          <w:p w14:paraId="5C4510BE"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7E55BF4B" w14:textId="77777777" w:rsidTr="00C117DA">
        <w:trPr>
          <w:trHeight w:val="240"/>
          <w:jc w:val="center"/>
        </w:trPr>
        <w:tc>
          <w:tcPr>
            <w:tcW w:w="5000" w:type="pct"/>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79CB10F0" w14:textId="77777777" w:rsidR="007B3DB2" w:rsidRPr="0063248C" w:rsidRDefault="00000000">
            <w:pPr>
              <w:spacing w:before="40" w:after="40" w:line="240" w:lineRule="exact"/>
              <w:jc w:val="center"/>
              <w:rPr>
                <w:rFonts w:cs="宋体"/>
                <w:sz w:val="18"/>
                <w:szCs w:val="18"/>
              </w:rPr>
            </w:pPr>
            <w:r w:rsidRPr="0063248C">
              <w:rPr>
                <w:rFonts w:cs="宋体"/>
                <w:sz w:val="18"/>
                <w:szCs w:val="18"/>
              </w:rPr>
              <w:t>募集资金总体使用情况说明</w:t>
            </w:r>
          </w:p>
        </w:tc>
      </w:tr>
      <w:tr w:rsidR="007B3DB2" w:rsidRPr="0063248C" w14:paraId="0D4D2226" w14:textId="77777777" w:rsidTr="00C117DA">
        <w:trPr>
          <w:trHeight w:val="240"/>
          <w:jc w:val="center"/>
        </w:trPr>
        <w:tc>
          <w:tcPr>
            <w:tcW w:w="5000" w:type="pct"/>
            <w:gridSpan w:val="12"/>
            <w:tcBorders>
              <w:top w:val="single" w:sz="2" w:space="0" w:color="auto"/>
              <w:left w:val="single" w:sz="2" w:space="0" w:color="auto"/>
              <w:bottom w:val="single" w:sz="2" w:space="0" w:color="auto"/>
              <w:right w:val="single" w:sz="2" w:space="0" w:color="auto"/>
            </w:tcBorders>
            <w:vAlign w:val="center"/>
          </w:tcPr>
          <w:p w14:paraId="3A98A70B" w14:textId="77777777" w:rsidR="007B3DB2" w:rsidRPr="0063248C" w:rsidRDefault="00000000">
            <w:pPr>
              <w:spacing w:line="240" w:lineRule="exact"/>
              <w:rPr>
                <w:rFonts w:cs="宋体"/>
                <w:sz w:val="18"/>
                <w:szCs w:val="18"/>
              </w:rPr>
            </w:pPr>
            <w:r w:rsidRPr="0063248C">
              <w:rPr>
                <w:rFonts w:cs="宋体"/>
                <w:sz w:val="18"/>
                <w:szCs w:val="18"/>
              </w:rPr>
              <w:t>详见</w:t>
            </w:r>
            <w:r w:rsidRPr="0063248C">
              <w:rPr>
                <w:rFonts w:cs="宋体"/>
                <w:sz w:val="18"/>
                <w:szCs w:val="18"/>
              </w:rPr>
              <w:t>“</w:t>
            </w:r>
            <w:r w:rsidRPr="0063248C">
              <w:rPr>
                <w:rFonts w:cs="宋体"/>
                <w:sz w:val="18"/>
                <w:szCs w:val="18"/>
              </w:rPr>
              <w:t>第三节，六、</w:t>
            </w:r>
            <w:r w:rsidRPr="0063248C">
              <w:rPr>
                <w:rFonts w:cs="宋体"/>
                <w:sz w:val="18"/>
                <w:szCs w:val="18"/>
              </w:rPr>
              <w:t>5</w:t>
            </w:r>
            <w:r w:rsidRPr="0063248C">
              <w:rPr>
                <w:rFonts w:cs="宋体"/>
                <w:sz w:val="18"/>
                <w:szCs w:val="18"/>
              </w:rPr>
              <w:t>，募集资金承诺项目情况</w:t>
            </w:r>
            <w:r w:rsidRPr="0063248C">
              <w:rPr>
                <w:rFonts w:cs="宋体"/>
                <w:sz w:val="18"/>
                <w:szCs w:val="18"/>
              </w:rPr>
              <w:t>”</w:t>
            </w:r>
            <w:r w:rsidRPr="0063248C">
              <w:rPr>
                <w:rFonts w:cs="宋体"/>
                <w:sz w:val="18"/>
                <w:szCs w:val="18"/>
              </w:rPr>
              <w:t>以及公司同日披露于指定信息披露媒体巨潮资讯网（</w:t>
            </w:r>
            <w:r w:rsidRPr="0063248C">
              <w:rPr>
                <w:rFonts w:cs="宋体"/>
                <w:sz w:val="18"/>
                <w:szCs w:val="18"/>
              </w:rPr>
              <w:t>http://www.cninfo.com.cn</w:t>
            </w:r>
            <w:r w:rsidRPr="0063248C">
              <w:rPr>
                <w:rFonts w:cs="宋体"/>
                <w:sz w:val="18"/>
                <w:szCs w:val="18"/>
              </w:rPr>
              <w:t>）的《山东龙大美食股份有限公司关于</w:t>
            </w:r>
            <w:r w:rsidRPr="0063248C">
              <w:rPr>
                <w:rFonts w:cs="宋体"/>
                <w:sz w:val="18"/>
                <w:szCs w:val="18"/>
              </w:rPr>
              <w:t>2024</w:t>
            </w:r>
            <w:r w:rsidRPr="0063248C">
              <w:rPr>
                <w:rFonts w:cs="宋体"/>
                <w:sz w:val="18"/>
                <w:szCs w:val="18"/>
              </w:rPr>
              <w:t>年半年度募集资金存放与实际使用情况的专项报告》。</w:t>
            </w:r>
          </w:p>
        </w:tc>
      </w:tr>
    </w:tbl>
    <w:p w14:paraId="6323B46A" w14:textId="77777777" w:rsidR="007B3DB2" w:rsidRPr="0063248C" w:rsidRDefault="00000000">
      <w:pPr>
        <w:keepNext/>
        <w:keepLines/>
        <w:spacing w:before="300" w:after="300" w:line="280" w:lineRule="exact"/>
        <w:outlineLvl w:val="3"/>
        <w:rPr>
          <w:rFonts w:cs="宋体"/>
          <w:b/>
          <w:bCs/>
          <w:sz w:val="18"/>
          <w:szCs w:val="18"/>
        </w:rPr>
      </w:pPr>
      <w:bookmarkStart w:id="32" w:name="_Toc988921"/>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募集资金承诺项目情况</w:t>
      </w:r>
      <w:bookmarkEnd w:id="32"/>
    </w:p>
    <w:p w14:paraId="6BCD3194"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39F3EA42"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单位：万元</w:t>
      </w:r>
    </w:p>
    <w:tbl>
      <w:tblPr>
        <w:tblW w:w="5305"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firstRow="0" w:lastRow="0" w:firstColumn="0" w:lastColumn="0" w:noHBand="0" w:noVBand="0"/>
      </w:tblPr>
      <w:tblGrid>
        <w:gridCol w:w="1465"/>
        <w:gridCol w:w="865"/>
        <w:gridCol w:w="865"/>
        <w:gridCol w:w="1026"/>
        <w:gridCol w:w="866"/>
        <w:gridCol w:w="1027"/>
        <w:gridCol w:w="866"/>
        <w:gridCol w:w="866"/>
        <w:gridCol w:w="866"/>
        <w:gridCol w:w="866"/>
        <w:gridCol w:w="876"/>
      </w:tblGrid>
      <w:tr w:rsidR="007B3DB2" w:rsidRPr="0063248C" w14:paraId="470CA30B"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shd w:val="clear" w:color="auto" w:fill="D3D3D3"/>
            <w:vAlign w:val="center"/>
          </w:tcPr>
          <w:p w14:paraId="5D6ECA9B" w14:textId="77777777" w:rsidR="007B3DB2" w:rsidRPr="0063248C" w:rsidRDefault="00000000">
            <w:pPr>
              <w:spacing w:before="40" w:after="40" w:line="240" w:lineRule="exact"/>
              <w:jc w:val="center"/>
              <w:rPr>
                <w:rFonts w:cs="宋体"/>
                <w:sz w:val="18"/>
                <w:szCs w:val="18"/>
              </w:rPr>
            </w:pPr>
            <w:r w:rsidRPr="0063248C">
              <w:rPr>
                <w:rFonts w:cs="宋体"/>
                <w:sz w:val="18"/>
                <w:szCs w:val="18"/>
              </w:rPr>
              <w:t>承诺投资项目和超募资金投向</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7E5F73F9" w14:textId="77777777" w:rsidR="007B3DB2" w:rsidRPr="0063248C" w:rsidRDefault="00000000">
            <w:pPr>
              <w:spacing w:before="40" w:after="40" w:line="240" w:lineRule="exact"/>
              <w:jc w:val="center"/>
              <w:rPr>
                <w:rFonts w:cs="宋体"/>
                <w:sz w:val="18"/>
                <w:szCs w:val="18"/>
              </w:rPr>
            </w:pPr>
            <w:r w:rsidRPr="0063248C">
              <w:rPr>
                <w:rFonts w:cs="宋体"/>
                <w:sz w:val="18"/>
                <w:szCs w:val="18"/>
              </w:rPr>
              <w:t>是否已变更项目</w:t>
            </w:r>
            <w:r w:rsidRPr="0063248C">
              <w:rPr>
                <w:rFonts w:cs="宋体"/>
                <w:sz w:val="18"/>
                <w:szCs w:val="18"/>
              </w:rPr>
              <w:t>(</w:t>
            </w:r>
            <w:r w:rsidRPr="0063248C">
              <w:rPr>
                <w:rFonts w:cs="宋体"/>
                <w:sz w:val="18"/>
                <w:szCs w:val="18"/>
              </w:rPr>
              <w:t>含部分变更</w:t>
            </w:r>
            <w:r w:rsidRPr="0063248C">
              <w:rPr>
                <w:rFonts w:cs="宋体"/>
                <w:sz w:val="18"/>
                <w:szCs w:val="18"/>
              </w:rPr>
              <w:t>)</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2EF1053A" w14:textId="77777777" w:rsidR="007B3DB2" w:rsidRPr="0063248C" w:rsidRDefault="00000000">
            <w:pPr>
              <w:spacing w:before="40" w:after="40" w:line="240" w:lineRule="exact"/>
              <w:jc w:val="center"/>
              <w:rPr>
                <w:rFonts w:cs="宋体"/>
                <w:sz w:val="18"/>
                <w:szCs w:val="18"/>
              </w:rPr>
            </w:pPr>
            <w:r w:rsidRPr="0063248C">
              <w:rPr>
                <w:rFonts w:cs="宋体"/>
                <w:sz w:val="18"/>
                <w:szCs w:val="18"/>
              </w:rPr>
              <w:t>募集资金承诺投资总额</w:t>
            </w:r>
          </w:p>
        </w:tc>
        <w:tc>
          <w:tcPr>
            <w:tcW w:w="491" w:type="pct"/>
            <w:tcBorders>
              <w:top w:val="single" w:sz="2" w:space="0" w:color="auto"/>
              <w:left w:val="single" w:sz="2" w:space="0" w:color="auto"/>
              <w:bottom w:val="single" w:sz="2" w:space="0" w:color="auto"/>
              <w:right w:val="single" w:sz="2" w:space="0" w:color="auto"/>
            </w:tcBorders>
            <w:shd w:val="clear" w:color="auto" w:fill="D3D3D3"/>
            <w:vAlign w:val="center"/>
          </w:tcPr>
          <w:p w14:paraId="6F625FF4" w14:textId="77777777" w:rsidR="007B3DB2" w:rsidRPr="0063248C" w:rsidRDefault="00000000">
            <w:pPr>
              <w:spacing w:before="40" w:after="40" w:line="240" w:lineRule="exact"/>
              <w:jc w:val="center"/>
              <w:rPr>
                <w:rFonts w:cs="宋体"/>
                <w:sz w:val="18"/>
                <w:szCs w:val="18"/>
              </w:rPr>
            </w:pPr>
            <w:r w:rsidRPr="0063248C">
              <w:rPr>
                <w:rFonts w:cs="宋体"/>
                <w:sz w:val="18"/>
                <w:szCs w:val="18"/>
              </w:rPr>
              <w:t>调整后投资总额</w:t>
            </w:r>
            <w:r w:rsidRPr="0063248C">
              <w:rPr>
                <w:rFonts w:cs="宋体"/>
                <w:sz w:val="18"/>
                <w:szCs w:val="18"/>
              </w:rPr>
              <w:t>(1)</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2C080456"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本报告期投入金额</w:t>
            </w:r>
          </w:p>
        </w:tc>
        <w:tc>
          <w:tcPr>
            <w:tcW w:w="491" w:type="pct"/>
            <w:tcBorders>
              <w:top w:val="single" w:sz="2" w:space="0" w:color="auto"/>
              <w:left w:val="single" w:sz="2" w:space="0" w:color="auto"/>
              <w:bottom w:val="single" w:sz="2" w:space="0" w:color="auto"/>
              <w:right w:val="single" w:sz="2" w:space="0" w:color="auto"/>
            </w:tcBorders>
            <w:shd w:val="clear" w:color="auto" w:fill="D3D3D3"/>
            <w:vAlign w:val="center"/>
          </w:tcPr>
          <w:p w14:paraId="4A9B11E9" w14:textId="77777777" w:rsidR="007B3DB2" w:rsidRPr="0063248C" w:rsidRDefault="00000000">
            <w:pPr>
              <w:spacing w:before="40" w:after="40" w:line="240" w:lineRule="exact"/>
              <w:jc w:val="center"/>
              <w:rPr>
                <w:rFonts w:cs="宋体"/>
                <w:sz w:val="18"/>
                <w:szCs w:val="18"/>
              </w:rPr>
            </w:pPr>
            <w:r w:rsidRPr="0063248C">
              <w:rPr>
                <w:rFonts w:cs="宋体"/>
                <w:sz w:val="18"/>
                <w:szCs w:val="18"/>
              </w:rPr>
              <w:t>截至期末累计投入金额</w:t>
            </w:r>
            <w:r w:rsidRPr="0063248C">
              <w:rPr>
                <w:rFonts w:cs="宋体"/>
                <w:sz w:val="18"/>
                <w:szCs w:val="18"/>
              </w:rPr>
              <w:t>(2)</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3A0AFA1A" w14:textId="77777777" w:rsidR="007B3DB2" w:rsidRPr="0063248C" w:rsidRDefault="00000000">
            <w:pPr>
              <w:spacing w:before="40" w:after="40" w:line="240" w:lineRule="exact"/>
              <w:jc w:val="center"/>
              <w:rPr>
                <w:rFonts w:cs="宋体"/>
                <w:sz w:val="18"/>
                <w:szCs w:val="18"/>
              </w:rPr>
            </w:pPr>
            <w:r w:rsidRPr="0063248C">
              <w:rPr>
                <w:rFonts w:cs="宋体"/>
                <w:sz w:val="18"/>
                <w:szCs w:val="18"/>
              </w:rPr>
              <w:t>截至期末投资进度</w:t>
            </w:r>
            <w:r w:rsidRPr="0063248C">
              <w:rPr>
                <w:rFonts w:cs="宋体"/>
                <w:sz w:val="18"/>
                <w:szCs w:val="18"/>
              </w:rPr>
              <w:t>(3)</w:t>
            </w:r>
            <w:r w:rsidRPr="0063248C">
              <w:rPr>
                <w:rFonts w:cs="宋体"/>
                <w:sz w:val="18"/>
                <w:szCs w:val="18"/>
              </w:rPr>
              <w:t>＝</w:t>
            </w:r>
            <w:r w:rsidRPr="0063248C">
              <w:rPr>
                <w:rFonts w:cs="宋体"/>
                <w:sz w:val="18"/>
                <w:szCs w:val="18"/>
              </w:rPr>
              <w:t>(2)/(1)</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522984D8"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项目达到预定可使用状态日期</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1DDA44A9"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w:t>
            </w:r>
            <w:proofErr w:type="gramStart"/>
            <w:r w:rsidRPr="0063248C">
              <w:rPr>
                <w:rFonts w:cs="宋体"/>
                <w:sz w:val="18"/>
                <w:szCs w:val="18"/>
              </w:rPr>
              <w:t>期实现</w:t>
            </w:r>
            <w:proofErr w:type="gramEnd"/>
            <w:r w:rsidRPr="0063248C">
              <w:rPr>
                <w:rFonts w:cs="宋体"/>
                <w:sz w:val="18"/>
                <w:szCs w:val="18"/>
              </w:rPr>
              <w:t>的效益</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5988DA57" w14:textId="77777777" w:rsidR="007B3DB2" w:rsidRPr="0063248C" w:rsidRDefault="00000000">
            <w:pPr>
              <w:spacing w:before="40" w:after="40" w:line="240" w:lineRule="exact"/>
              <w:jc w:val="center"/>
              <w:rPr>
                <w:rFonts w:cs="宋体"/>
                <w:sz w:val="18"/>
                <w:szCs w:val="18"/>
              </w:rPr>
            </w:pPr>
            <w:r w:rsidRPr="0063248C">
              <w:rPr>
                <w:rFonts w:cs="宋体"/>
                <w:sz w:val="18"/>
                <w:szCs w:val="18"/>
              </w:rPr>
              <w:t>是否达到预计效益</w:t>
            </w:r>
          </w:p>
        </w:tc>
        <w:tc>
          <w:tcPr>
            <w:tcW w:w="419" w:type="pct"/>
            <w:tcBorders>
              <w:top w:val="single" w:sz="2" w:space="0" w:color="auto"/>
              <w:left w:val="single" w:sz="2" w:space="0" w:color="auto"/>
              <w:bottom w:val="single" w:sz="2" w:space="0" w:color="auto"/>
              <w:right w:val="single" w:sz="2" w:space="0" w:color="auto"/>
            </w:tcBorders>
            <w:shd w:val="clear" w:color="auto" w:fill="D3D3D3"/>
            <w:vAlign w:val="center"/>
          </w:tcPr>
          <w:p w14:paraId="722D185D"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项目可行性是否发生重大变化</w:t>
            </w:r>
          </w:p>
        </w:tc>
      </w:tr>
      <w:tr w:rsidR="007B3DB2" w:rsidRPr="0063248C" w14:paraId="4F68CE9B" w14:textId="77777777" w:rsidTr="00C117DA">
        <w:trPr>
          <w:trHeight w:val="240"/>
          <w:jc w:val="center"/>
        </w:trPr>
        <w:tc>
          <w:tcPr>
            <w:tcW w:w="5000" w:type="pct"/>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4AD7AF31" w14:textId="77777777" w:rsidR="007B3DB2" w:rsidRPr="0063248C" w:rsidRDefault="00000000">
            <w:pPr>
              <w:spacing w:before="40" w:after="40" w:line="240" w:lineRule="exact"/>
              <w:rPr>
                <w:rFonts w:cs="宋体"/>
                <w:sz w:val="18"/>
                <w:szCs w:val="18"/>
              </w:rPr>
            </w:pPr>
            <w:r w:rsidRPr="0063248C">
              <w:rPr>
                <w:rFonts w:cs="宋体"/>
                <w:sz w:val="18"/>
                <w:szCs w:val="18"/>
              </w:rPr>
              <w:t>承诺投资项目</w:t>
            </w:r>
          </w:p>
        </w:tc>
      </w:tr>
      <w:tr w:rsidR="007B3DB2" w:rsidRPr="0063248C" w14:paraId="4924CBE4"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vAlign w:val="center"/>
          </w:tcPr>
          <w:p w14:paraId="02CAE80E" w14:textId="77777777" w:rsidR="007B3DB2" w:rsidRPr="0063248C" w:rsidRDefault="00000000">
            <w:pPr>
              <w:spacing w:line="240" w:lineRule="exact"/>
              <w:rPr>
                <w:rFonts w:cs="宋体"/>
                <w:sz w:val="18"/>
                <w:szCs w:val="18"/>
              </w:rPr>
            </w:pPr>
            <w:r w:rsidRPr="0063248C">
              <w:rPr>
                <w:rFonts w:cs="宋体"/>
                <w:sz w:val="18"/>
                <w:szCs w:val="18"/>
              </w:rPr>
              <w:t>1</w:t>
            </w:r>
            <w:r w:rsidRPr="0063248C">
              <w:rPr>
                <w:rFonts w:cs="宋体"/>
                <w:sz w:val="18"/>
                <w:szCs w:val="18"/>
              </w:rPr>
              <w:t>、补充流动资金</w:t>
            </w:r>
          </w:p>
        </w:tc>
        <w:tc>
          <w:tcPr>
            <w:tcW w:w="414" w:type="pct"/>
            <w:tcBorders>
              <w:top w:val="single" w:sz="2" w:space="0" w:color="auto"/>
              <w:left w:val="single" w:sz="2" w:space="0" w:color="auto"/>
              <w:bottom w:val="single" w:sz="2" w:space="0" w:color="auto"/>
              <w:right w:val="single" w:sz="2" w:space="0" w:color="auto"/>
            </w:tcBorders>
            <w:vAlign w:val="center"/>
          </w:tcPr>
          <w:p w14:paraId="3D350919" w14:textId="77777777" w:rsidR="007B3DB2" w:rsidRPr="0063248C" w:rsidRDefault="00000000">
            <w:pPr>
              <w:spacing w:line="240" w:lineRule="exact"/>
              <w:rPr>
                <w:rFonts w:cs="宋体"/>
                <w:sz w:val="18"/>
                <w:szCs w:val="18"/>
              </w:rPr>
            </w:pPr>
            <w:r w:rsidRPr="0063248C">
              <w:rPr>
                <w:rFonts w:cs="宋体"/>
                <w:sz w:val="18"/>
                <w:szCs w:val="18"/>
              </w:rPr>
              <w:t>否</w:t>
            </w:r>
          </w:p>
        </w:tc>
        <w:tc>
          <w:tcPr>
            <w:tcW w:w="414" w:type="pct"/>
            <w:tcBorders>
              <w:top w:val="single" w:sz="2" w:space="0" w:color="auto"/>
              <w:left w:val="single" w:sz="2" w:space="0" w:color="auto"/>
              <w:bottom w:val="single" w:sz="2" w:space="0" w:color="auto"/>
              <w:right w:val="single" w:sz="2" w:space="0" w:color="auto"/>
            </w:tcBorders>
            <w:vAlign w:val="center"/>
          </w:tcPr>
          <w:p w14:paraId="36AADDC6" w14:textId="77777777" w:rsidR="007B3DB2" w:rsidRPr="0063248C" w:rsidRDefault="00000000">
            <w:pPr>
              <w:spacing w:line="240" w:lineRule="exact"/>
              <w:jc w:val="right"/>
              <w:rPr>
                <w:rFonts w:cs="宋体"/>
                <w:sz w:val="18"/>
                <w:szCs w:val="18"/>
              </w:rPr>
            </w:pPr>
            <w:r w:rsidRPr="0063248C">
              <w:rPr>
                <w:rFonts w:cs="宋体"/>
                <w:sz w:val="18"/>
                <w:szCs w:val="18"/>
              </w:rPr>
              <w:t>28,500</w:t>
            </w:r>
          </w:p>
        </w:tc>
        <w:tc>
          <w:tcPr>
            <w:tcW w:w="491" w:type="pct"/>
            <w:tcBorders>
              <w:top w:val="single" w:sz="2" w:space="0" w:color="auto"/>
              <w:left w:val="single" w:sz="2" w:space="0" w:color="auto"/>
              <w:bottom w:val="single" w:sz="2" w:space="0" w:color="auto"/>
              <w:right w:val="single" w:sz="2" w:space="0" w:color="auto"/>
            </w:tcBorders>
            <w:vAlign w:val="center"/>
          </w:tcPr>
          <w:p w14:paraId="540ACFAB" w14:textId="77777777" w:rsidR="007B3DB2" w:rsidRPr="0063248C" w:rsidRDefault="00000000">
            <w:pPr>
              <w:spacing w:line="240" w:lineRule="exact"/>
              <w:jc w:val="right"/>
              <w:rPr>
                <w:rFonts w:cs="宋体"/>
                <w:sz w:val="18"/>
                <w:szCs w:val="18"/>
              </w:rPr>
            </w:pPr>
            <w:r w:rsidRPr="0063248C">
              <w:rPr>
                <w:rFonts w:cs="宋体"/>
                <w:sz w:val="18"/>
                <w:szCs w:val="18"/>
              </w:rPr>
              <w:t>28,500</w:t>
            </w:r>
          </w:p>
        </w:tc>
        <w:tc>
          <w:tcPr>
            <w:tcW w:w="414" w:type="pct"/>
            <w:tcBorders>
              <w:top w:val="single" w:sz="2" w:space="0" w:color="auto"/>
              <w:left w:val="single" w:sz="2" w:space="0" w:color="auto"/>
              <w:bottom w:val="single" w:sz="2" w:space="0" w:color="auto"/>
              <w:right w:val="single" w:sz="2" w:space="0" w:color="auto"/>
            </w:tcBorders>
            <w:vAlign w:val="center"/>
          </w:tcPr>
          <w:p w14:paraId="3DCDABB0" w14:textId="77777777" w:rsidR="007B3DB2" w:rsidRPr="0063248C" w:rsidRDefault="007B3DB2">
            <w:pPr>
              <w:spacing w:line="240" w:lineRule="exact"/>
              <w:jc w:val="right"/>
              <w:rPr>
                <w:rFonts w:cs="宋体"/>
                <w:sz w:val="18"/>
                <w:szCs w:val="18"/>
              </w:rPr>
            </w:pPr>
          </w:p>
        </w:tc>
        <w:tc>
          <w:tcPr>
            <w:tcW w:w="491" w:type="pct"/>
            <w:tcBorders>
              <w:top w:val="single" w:sz="2" w:space="0" w:color="auto"/>
              <w:left w:val="single" w:sz="2" w:space="0" w:color="auto"/>
              <w:bottom w:val="single" w:sz="2" w:space="0" w:color="auto"/>
              <w:right w:val="single" w:sz="2" w:space="0" w:color="auto"/>
            </w:tcBorders>
            <w:vAlign w:val="center"/>
          </w:tcPr>
          <w:p w14:paraId="16404D3E" w14:textId="77777777" w:rsidR="007B3DB2" w:rsidRPr="0063248C" w:rsidRDefault="00000000">
            <w:pPr>
              <w:spacing w:line="240" w:lineRule="exact"/>
              <w:jc w:val="right"/>
              <w:rPr>
                <w:rFonts w:cs="宋体"/>
                <w:sz w:val="18"/>
                <w:szCs w:val="18"/>
              </w:rPr>
            </w:pPr>
            <w:r w:rsidRPr="0063248C">
              <w:rPr>
                <w:rFonts w:cs="宋体"/>
                <w:sz w:val="18"/>
                <w:szCs w:val="18"/>
              </w:rPr>
              <w:t>28,500</w:t>
            </w:r>
          </w:p>
        </w:tc>
        <w:tc>
          <w:tcPr>
            <w:tcW w:w="414" w:type="pct"/>
            <w:tcBorders>
              <w:top w:val="single" w:sz="2" w:space="0" w:color="auto"/>
              <w:left w:val="single" w:sz="2" w:space="0" w:color="auto"/>
              <w:bottom w:val="single" w:sz="2" w:space="0" w:color="auto"/>
              <w:right w:val="single" w:sz="2" w:space="0" w:color="auto"/>
            </w:tcBorders>
            <w:vAlign w:val="center"/>
          </w:tcPr>
          <w:p w14:paraId="3BDFEFE2"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414" w:type="pct"/>
            <w:tcBorders>
              <w:top w:val="single" w:sz="2" w:space="0" w:color="auto"/>
              <w:left w:val="single" w:sz="2" w:space="0" w:color="auto"/>
              <w:bottom w:val="single" w:sz="2" w:space="0" w:color="auto"/>
              <w:right w:val="single" w:sz="2" w:space="0" w:color="auto"/>
            </w:tcBorders>
            <w:vAlign w:val="center"/>
          </w:tcPr>
          <w:p w14:paraId="190278F6" w14:textId="77777777" w:rsidR="007B3DB2" w:rsidRPr="0063248C" w:rsidRDefault="007B3DB2">
            <w:pPr>
              <w:spacing w:line="240" w:lineRule="exact"/>
              <w:rPr>
                <w:rFonts w:cs="宋体"/>
                <w:sz w:val="18"/>
                <w:szCs w:val="18"/>
              </w:rPr>
            </w:pPr>
          </w:p>
        </w:tc>
        <w:tc>
          <w:tcPr>
            <w:tcW w:w="414" w:type="pct"/>
            <w:tcBorders>
              <w:top w:val="single" w:sz="2" w:space="0" w:color="auto"/>
              <w:left w:val="single" w:sz="2" w:space="0" w:color="auto"/>
              <w:bottom w:val="single" w:sz="2" w:space="0" w:color="auto"/>
              <w:right w:val="single" w:sz="2" w:space="0" w:color="auto"/>
            </w:tcBorders>
            <w:vAlign w:val="center"/>
          </w:tcPr>
          <w:p w14:paraId="0EE73044" w14:textId="77777777" w:rsidR="007B3DB2" w:rsidRPr="0063248C" w:rsidRDefault="007B3DB2">
            <w:pPr>
              <w:spacing w:line="240" w:lineRule="exact"/>
              <w:jc w:val="right"/>
              <w:rPr>
                <w:rFonts w:cs="宋体"/>
                <w:sz w:val="18"/>
                <w:szCs w:val="18"/>
              </w:rPr>
            </w:pPr>
          </w:p>
        </w:tc>
        <w:tc>
          <w:tcPr>
            <w:tcW w:w="414" w:type="pct"/>
            <w:tcBorders>
              <w:top w:val="single" w:sz="2" w:space="0" w:color="auto"/>
              <w:left w:val="single" w:sz="2" w:space="0" w:color="auto"/>
              <w:bottom w:val="single" w:sz="2" w:space="0" w:color="auto"/>
              <w:right w:val="single" w:sz="2" w:space="0" w:color="auto"/>
            </w:tcBorders>
            <w:vAlign w:val="center"/>
          </w:tcPr>
          <w:p w14:paraId="56334B56" w14:textId="77777777" w:rsidR="007B3DB2" w:rsidRPr="0063248C" w:rsidRDefault="00000000">
            <w:pPr>
              <w:spacing w:line="240" w:lineRule="exact"/>
              <w:rPr>
                <w:rFonts w:cs="宋体"/>
                <w:sz w:val="18"/>
                <w:szCs w:val="18"/>
              </w:rPr>
            </w:pPr>
            <w:r w:rsidRPr="0063248C">
              <w:rPr>
                <w:rFonts w:cs="宋体"/>
                <w:sz w:val="18"/>
                <w:szCs w:val="18"/>
              </w:rPr>
              <w:t>不适用</w:t>
            </w:r>
          </w:p>
        </w:tc>
        <w:tc>
          <w:tcPr>
            <w:tcW w:w="419" w:type="pct"/>
            <w:tcBorders>
              <w:top w:val="single" w:sz="2" w:space="0" w:color="auto"/>
              <w:left w:val="single" w:sz="2" w:space="0" w:color="auto"/>
              <w:bottom w:val="single" w:sz="2" w:space="0" w:color="auto"/>
              <w:right w:val="single" w:sz="2" w:space="0" w:color="auto"/>
            </w:tcBorders>
            <w:vAlign w:val="center"/>
          </w:tcPr>
          <w:p w14:paraId="08DE09A6"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0E90FBE5"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vAlign w:val="center"/>
          </w:tcPr>
          <w:p w14:paraId="23AED893" w14:textId="77777777" w:rsidR="007B3DB2" w:rsidRPr="0063248C" w:rsidRDefault="00000000">
            <w:pPr>
              <w:spacing w:line="240" w:lineRule="exact"/>
              <w:rPr>
                <w:rFonts w:cs="宋体"/>
                <w:sz w:val="18"/>
                <w:szCs w:val="18"/>
              </w:rPr>
            </w:pPr>
            <w:r w:rsidRPr="0063248C">
              <w:rPr>
                <w:rFonts w:cs="宋体"/>
                <w:sz w:val="18"/>
                <w:szCs w:val="18"/>
              </w:rPr>
              <w:t>2</w:t>
            </w:r>
            <w:r w:rsidRPr="0063248C">
              <w:rPr>
                <w:rFonts w:cs="宋体"/>
                <w:sz w:val="18"/>
                <w:szCs w:val="18"/>
              </w:rPr>
              <w:t>、安丘市</w:t>
            </w:r>
            <w:proofErr w:type="gramStart"/>
            <w:r w:rsidRPr="0063248C">
              <w:rPr>
                <w:rFonts w:cs="宋体"/>
                <w:sz w:val="18"/>
                <w:szCs w:val="18"/>
              </w:rPr>
              <w:t>石埠子镇</w:t>
            </w:r>
            <w:proofErr w:type="gramEnd"/>
            <w:r w:rsidRPr="0063248C">
              <w:rPr>
                <w:rFonts w:cs="宋体"/>
                <w:sz w:val="18"/>
                <w:szCs w:val="18"/>
              </w:rPr>
              <w:t>新建年出栏</w:t>
            </w:r>
            <w:r w:rsidRPr="0063248C">
              <w:rPr>
                <w:rFonts w:cs="宋体"/>
                <w:sz w:val="18"/>
                <w:szCs w:val="18"/>
              </w:rPr>
              <w:t>50</w:t>
            </w:r>
            <w:r w:rsidRPr="0063248C">
              <w:rPr>
                <w:rFonts w:cs="宋体"/>
                <w:sz w:val="18"/>
                <w:szCs w:val="18"/>
              </w:rPr>
              <w:t>万头商品猪项目（</w:t>
            </w:r>
            <w:proofErr w:type="gramStart"/>
            <w:r w:rsidRPr="0063248C">
              <w:rPr>
                <w:rFonts w:cs="宋体"/>
                <w:sz w:val="18"/>
                <w:szCs w:val="18"/>
              </w:rPr>
              <w:t>晏</w:t>
            </w:r>
            <w:proofErr w:type="gramEnd"/>
            <w:r w:rsidRPr="0063248C">
              <w:rPr>
                <w:rFonts w:cs="宋体"/>
                <w:sz w:val="18"/>
                <w:szCs w:val="18"/>
              </w:rPr>
              <w:t>峪猪场）</w:t>
            </w:r>
          </w:p>
        </w:tc>
        <w:tc>
          <w:tcPr>
            <w:tcW w:w="414" w:type="pct"/>
            <w:tcBorders>
              <w:top w:val="single" w:sz="2" w:space="0" w:color="auto"/>
              <w:left w:val="single" w:sz="2" w:space="0" w:color="auto"/>
              <w:bottom w:val="single" w:sz="2" w:space="0" w:color="auto"/>
              <w:right w:val="single" w:sz="2" w:space="0" w:color="auto"/>
            </w:tcBorders>
            <w:vAlign w:val="center"/>
          </w:tcPr>
          <w:p w14:paraId="05B744B7" w14:textId="77777777" w:rsidR="007B3DB2" w:rsidRPr="0063248C" w:rsidRDefault="00000000">
            <w:pPr>
              <w:spacing w:line="240" w:lineRule="exact"/>
              <w:rPr>
                <w:rFonts w:cs="宋体"/>
                <w:sz w:val="18"/>
                <w:szCs w:val="18"/>
              </w:rPr>
            </w:pPr>
            <w:r w:rsidRPr="0063248C">
              <w:rPr>
                <w:rFonts w:cs="宋体"/>
                <w:sz w:val="18"/>
                <w:szCs w:val="18"/>
              </w:rPr>
              <w:t>否</w:t>
            </w:r>
          </w:p>
        </w:tc>
        <w:tc>
          <w:tcPr>
            <w:tcW w:w="414" w:type="pct"/>
            <w:tcBorders>
              <w:top w:val="single" w:sz="2" w:space="0" w:color="auto"/>
              <w:left w:val="single" w:sz="2" w:space="0" w:color="auto"/>
              <w:bottom w:val="single" w:sz="2" w:space="0" w:color="auto"/>
              <w:right w:val="single" w:sz="2" w:space="0" w:color="auto"/>
            </w:tcBorders>
            <w:vAlign w:val="center"/>
          </w:tcPr>
          <w:p w14:paraId="62D3D4A1" w14:textId="77777777" w:rsidR="007B3DB2" w:rsidRPr="0063248C" w:rsidRDefault="00000000">
            <w:pPr>
              <w:spacing w:line="240" w:lineRule="exact"/>
              <w:jc w:val="right"/>
              <w:rPr>
                <w:rFonts w:cs="宋体"/>
                <w:sz w:val="18"/>
                <w:szCs w:val="18"/>
              </w:rPr>
            </w:pPr>
            <w:r w:rsidRPr="0063248C">
              <w:rPr>
                <w:rFonts w:cs="宋体"/>
                <w:sz w:val="18"/>
                <w:szCs w:val="18"/>
              </w:rPr>
              <w:t>66,500</w:t>
            </w:r>
          </w:p>
        </w:tc>
        <w:tc>
          <w:tcPr>
            <w:tcW w:w="491" w:type="pct"/>
            <w:tcBorders>
              <w:top w:val="single" w:sz="2" w:space="0" w:color="auto"/>
              <w:left w:val="single" w:sz="2" w:space="0" w:color="auto"/>
              <w:bottom w:val="single" w:sz="2" w:space="0" w:color="auto"/>
              <w:right w:val="single" w:sz="2" w:space="0" w:color="auto"/>
            </w:tcBorders>
            <w:vAlign w:val="center"/>
          </w:tcPr>
          <w:p w14:paraId="73910E82" w14:textId="77777777" w:rsidR="007B3DB2" w:rsidRPr="0063248C" w:rsidRDefault="00000000">
            <w:pPr>
              <w:spacing w:line="240" w:lineRule="exact"/>
              <w:jc w:val="right"/>
              <w:rPr>
                <w:rFonts w:cs="宋体"/>
                <w:sz w:val="18"/>
                <w:szCs w:val="18"/>
              </w:rPr>
            </w:pPr>
            <w:r w:rsidRPr="0063248C">
              <w:rPr>
                <w:rFonts w:cs="宋体"/>
                <w:sz w:val="18"/>
                <w:szCs w:val="18"/>
              </w:rPr>
              <w:t>66,500</w:t>
            </w:r>
          </w:p>
        </w:tc>
        <w:tc>
          <w:tcPr>
            <w:tcW w:w="414" w:type="pct"/>
            <w:tcBorders>
              <w:top w:val="single" w:sz="2" w:space="0" w:color="auto"/>
              <w:left w:val="single" w:sz="2" w:space="0" w:color="auto"/>
              <w:bottom w:val="single" w:sz="2" w:space="0" w:color="auto"/>
              <w:right w:val="single" w:sz="2" w:space="0" w:color="auto"/>
            </w:tcBorders>
            <w:vAlign w:val="center"/>
          </w:tcPr>
          <w:p w14:paraId="1EE69241" w14:textId="77777777" w:rsidR="007B3DB2" w:rsidRPr="0063248C" w:rsidRDefault="00000000">
            <w:pPr>
              <w:spacing w:line="240" w:lineRule="exact"/>
              <w:jc w:val="right"/>
              <w:rPr>
                <w:rFonts w:cs="宋体"/>
                <w:sz w:val="18"/>
                <w:szCs w:val="18"/>
              </w:rPr>
            </w:pPr>
            <w:r w:rsidRPr="0063248C">
              <w:rPr>
                <w:rFonts w:cs="宋体"/>
                <w:sz w:val="18"/>
                <w:szCs w:val="18"/>
              </w:rPr>
              <w:t>466.16</w:t>
            </w:r>
          </w:p>
        </w:tc>
        <w:tc>
          <w:tcPr>
            <w:tcW w:w="491" w:type="pct"/>
            <w:tcBorders>
              <w:top w:val="single" w:sz="2" w:space="0" w:color="auto"/>
              <w:left w:val="single" w:sz="2" w:space="0" w:color="auto"/>
              <w:bottom w:val="single" w:sz="2" w:space="0" w:color="auto"/>
              <w:right w:val="single" w:sz="2" w:space="0" w:color="auto"/>
            </w:tcBorders>
            <w:vAlign w:val="center"/>
          </w:tcPr>
          <w:p w14:paraId="0E85995D" w14:textId="77777777" w:rsidR="007B3DB2" w:rsidRPr="0063248C" w:rsidRDefault="00000000">
            <w:pPr>
              <w:spacing w:line="240" w:lineRule="exact"/>
              <w:jc w:val="right"/>
              <w:rPr>
                <w:rFonts w:cs="宋体"/>
                <w:sz w:val="18"/>
                <w:szCs w:val="18"/>
              </w:rPr>
            </w:pPr>
            <w:r w:rsidRPr="0063248C">
              <w:rPr>
                <w:rFonts w:cs="宋体"/>
                <w:sz w:val="18"/>
                <w:szCs w:val="18"/>
              </w:rPr>
              <w:t>28,018.53</w:t>
            </w:r>
          </w:p>
        </w:tc>
        <w:tc>
          <w:tcPr>
            <w:tcW w:w="414" w:type="pct"/>
            <w:tcBorders>
              <w:top w:val="single" w:sz="2" w:space="0" w:color="auto"/>
              <w:left w:val="single" w:sz="2" w:space="0" w:color="auto"/>
              <w:bottom w:val="single" w:sz="2" w:space="0" w:color="auto"/>
              <w:right w:val="single" w:sz="2" w:space="0" w:color="auto"/>
            </w:tcBorders>
            <w:vAlign w:val="center"/>
          </w:tcPr>
          <w:p w14:paraId="36593EC8" w14:textId="77777777" w:rsidR="007B3DB2" w:rsidRPr="0063248C" w:rsidRDefault="00000000">
            <w:pPr>
              <w:spacing w:line="240" w:lineRule="exact"/>
              <w:jc w:val="right"/>
              <w:rPr>
                <w:rFonts w:cs="宋体"/>
                <w:sz w:val="18"/>
                <w:szCs w:val="18"/>
              </w:rPr>
            </w:pPr>
            <w:r w:rsidRPr="0063248C">
              <w:rPr>
                <w:rFonts w:cs="宋体"/>
                <w:sz w:val="18"/>
                <w:szCs w:val="18"/>
              </w:rPr>
              <w:t>42.13%</w:t>
            </w:r>
          </w:p>
        </w:tc>
        <w:tc>
          <w:tcPr>
            <w:tcW w:w="414" w:type="pct"/>
            <w:tcBorders>
              <w:top w:val="single" w:sz="2" w:space="0" w:color="auto"/>
              <w:left w:val="single" w:sz="2" w:space="0" w:color="auto"/>
              <w:bottom w:val="single" w:sz="2" w:space="0" w:color="auto"/>
              <w:right w:val="single" w:sz="2" w:space="0" w:color="auto"/>
            </w:tcBorders>
            <w:vAlign w:val="center"/>
          </w:tcPr>
          <w:p w14:paraId="18CA48C3" w14:textId="77777777" w:rsidR="007B3DB2" w:rsidRPr="0063248C" w:rsidRDefault="007B3DB2">
            <w:pPr>
              <w:spacing w:line="240" w:lineRule="exact"/>
              <w:rPr>
                <w:rFonts w:cs="宋体"/>
                <w:sz w:val="18"/>
                <w:szCs w:val="18"/>
              </w:rPr>
            </w:pPr>
          </w:p>
        </w:tc>
        <w:tc>
          <w:tcPr>
            <w:tcW w:w="414" w:type="pct"/>
            <w:tcBorders>
              <w:top w:val="single" w:sz="2" w:space="0" w:color="auto"/>
              <w:left w:val="single" w:sz="2" w:space="0" w:color="auto"/>
              <w:bottom w:val="single" w:sz="2" w:space="0" w:color="auto"/>
              <w:right w:val="single" w:sz="2" w:space="0" w:color="auto"/>
            </w:tcBorders>
            <w:vAlign w:val="center"/>
          </w:tcPr>
          <w:p w14:paraId="23562CF8" w14:textId="77777777" w:rsidR="007B3DB2" w:rsidRPr="0063248C" w:rsidRDefault="00000000">
            <w:pPr>
              <w:spacing w:line="240" w:lineRule="exact"/>
              <w:jc w:val="right"/>
              <w:rPr>
                <w:rFonts w:cs="宋体"/>
                <w:sz w:val="18"/>
                <w:szCs w:val="18"/>
              </w:rPr>
            </w:pPr>
            <w:r w:rsidRPr="0063248C">
              <w:rPr>
                <w:rFonts w:cs="宋体"/>
                <w:sz w:val="18"/>
                <w:szCs w:val="18"/>
              </w:rPr>
              <w:t>-502.45</w:t>
            </w:r>
          </w:p>
        </w:tc>
        <w:tc>
          <w:tcPr>
            <w:tcW w:w="414" w:type="pct"/>
            <w:tcBorders>
              <w:top w:val="single" w:sz="2" w:space="0" w:color="auto"/>
              <w:left w:val="single" w:sz="2" w:space="0" w:color="auto"/>
              <w:bottom w:val="single" w:sz="2" w:space="0" w:color="auto"/>
              <w:right w:val="single" w:sz="2" w:space="0" w:color="auto"/>
            </w:tcBorders>
            <w:vAlign w:val="center"/>
          </w:tcPr>
          <w:p w14:paraId="3C07EE8D" w14:textId="77777777" w:rsidR="007B3DB2" w:rsidRPr="0063248C" w:rsidRDefault="00000000">
            <w:pPr>
              <w:spacing w:line="240" w:lineRule="exact"/>
              <w:rPr>
                <w:rFonts w:cs="宋体"/>
                <w:sz w:val="18"/>
                <w:szCs w:val="18"/>
              </w:rPr>
            </w:pPr>
            <w:r w:rsidRPr="0063248C">
              <w:rPr>
                <w:rFonts w:cs="宋体"/>
                <w:sz w:val="18"/>
                <w:szCs w:val="18"/>
              </w:rPr>
              <w:t>否</w:t>
            </w:r>
          </w:p>
        </w:tc>
        <w:tc>
          <w:tcPr>
            <w:tcW w:w="419" w:type="pct"/>
            <w:tcBorders>
              <w:top w:val="single" w:sz="2" w:space="0" w:color="auto"/>
              <w:left w:val="single" w:sz="2" w:space="0" w:color="auto"/>
              <w:bottom w:val="single" w:sz="2" w:space="0" w:color="auto"/>
              <w:right w:val="single" w:sz="2" w:space="0" w:color="auto"/>
            </w:tcBorders>
            <w:vAlign w:val="center"/>
          </w:tcPr>
          <w:p w14:paraId="17576381"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33CA2C10"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vAlign w:val="center"/>
          </w:tcPr>
          <w:p w14:paraId="6B1C4439" w14:textId="77777777" w:rsidR="007B3DB2" w:rsidRPr="0063248C" w:rsidRDefault="00000000">
            <w:pPr>
              <w:spacing w:line="240" w:lineRule="exact"/>
              <w:rPr>
                <w:rFonts w:cs="宋体"/>
                <w:sz w:val="18"/>
                <w:szCs w:val="18"/>
              </w:rPr>
            </w:pPr>
            <w:r w:rsidRPr="0063248C">
              <w:rPr>
                <w:rFonts w:cs="宋体"/>
                <w:sz w:val="18"/>
                <w:szCs w:val="18"/>
              </w:rPr>
              <w:lastRenderedPageBreak/>
              <w:t>1</w:t>
            </w:r>
            <w:r w:rsidRPr="0063248C">
              <w:rPr>
                <w:rFonts w:cs="宋体"/>
                <w:sz w:val="18"/>
                <w:szCs w:val="18"/>
              </w:rPr>
              <w:t>、补充流动资金</w:t>
            </w:r>
          </w:p>
        </w:tc>
        <w:tc>
          <w:tcPr>
            <w:tcW w:w="414" w:type="pct"/>
            <w:tcBorders>
              <w:top w:val="single" w:sz="2" w:space="0" w:color="auto"/>
              <w:left w:val="single" w:sz="2" w:space="0" w:color="auto"/>
              <w:bottom w:val="single" w:sz="2" w:space="0" w:color="auto"/>
              <w:right w:val="single" w:sz="2" w:space="0" w:color="auto"/>
            </w:tcBorders>
            <w:vAlign w:val="center"/>
          </w:tcPr>
          <w:p w14:paraId="36723C36" w14:textId="77777777" w:rsidR="007B3DB2" w:rsidRPr="0063248C" w:rsidRDefault="00000000">
            <w:pPr>
              <w:spacing w:line="240" w:lineRule="exact"/>
              <w:rPr>
                <w:rFonts w:cs="宋体"/>
                <w:sz w:val="18"/>
                <w:szCs w:val="18"/>
              </w:rPr>
            </w:pPr>
            <w:r w:rsidRPr="0063248C">
              <w:rPr>
                <w:rFonts w:cs="宋体"/>
                <w:sz w:val="18"/>
                <w:szCs w:val="18"/>
              </w:rPr>
              <w:t>否</w:t>
            </w:r>
          </w:p>
        </w:tc>
        <w:tc>
          <w:tcPr>
            <w:tcW w:w="414" w:type="pct"/>
            <w:tcBorders>
              <w:top w:val="single" w:sz="2" w:space="0" w:color="auto"/>
              <w:left w:val="single" w:sz="2" w:space="0" w:color="auto"/>
              <w:bottom w:val="single" w:sz="2" w:space="0" w:color="auto"/>
              <w:right w:val="single" w:sz="2" w:space="0" w:color="auto"/>
            </w:tcBorders>
            <w:vAlign w:val="center"/>
          </w:tcPr>
          <w:p w14:paraId="577CC70C" w14:textId="77777777" w:rsidR="007B3DB2" w:rsidRPr="0063248C" w:rsidRDefault="00000000">
            <w:pPr>
              <w:spacing w:line="240" w:lineRule="exact"/>
              <w:jc w:val="right"/>
              <w:rPr>
                <w:rFonts w:cs="宋体"/>
                <w:sz w:val="18"/>
                <w:szCs w:val="18"/>
              </w:rPr>
            </w:pPr>
            <w:r w:rsidRPr="0063248C">
              <w:rPr>
                <w:rFonts w:cs="宋体"/>
                <w:sz w:val="18"/>
                <w:szCs w:val="18"/>
              </w:rPr>
              <w:t>45,000</w:t>
            </w:r>
          </w:p>
        </w:tc>
        <w:tc>
          <w:tcPr>
            <w:tcW w:w="491" w:type="pct"/>
            <w:tcBorders>
              <w:top w:val="single" w:sz="2" w:space="0" w:color="auto"/>
              <w:left w:val="single" w:sz="2" w:space="0" w:color="auto"/>
              <w:bottom w:val="single" w:sz="2" w:space="0" w:color="auto"/>
              <w:right w:val="single" w:sz="2" w:space="0" w:color="auto"/>
            </w:tcBorders>
            <w:vAlign w:val="center"/>
          </w:tcPr>
          <w:p w14:paraId="68ECF29F" w14:textId="77777777" w:rsidR="007B3DB2" w:rsidRPr="0063248C" w:rsidRDefault="00000000">
            <w:pPr>
              <w:spacing w:line="240" w:lineRule="exact"/>
              <w:jc w:val="right"/>
              <w:rPr>
                <w:rFonts w:cs="宋体"/>
                <w:sz w:val="18"/>
                <w:szCs w:val="18"/>
              </w:rPr>
            </w:pPr>
            <w:r w:rsidRPr="0063248C">
              <w:rPr>
                <w:rFonts w:cs="宋体"/>
                <w:sz w:val="18"/>
                <w:szCs w:val="18"/>
              </w:rPr>
              <w:t>18,612</w:t>
            </w:r>
          </w:p>
        </w:tc>
        <w:tc>
          <w:tcPr>
            <w:tcW w:w="414" w:type="pct"/>
            <w:tcBorders>
              <w:top w:val="single" w:sz="2" w:space="0" w:color="auto"/>
              <w:left w:val="single" w:sz="2" w:space="0" w:color="auto"/>
              <w:bottom w:val="single" w:sz="2" w:space="0" w:color="auto"/>
              <w:right w:val="single" w:sz="2" w:space="0" w:color="auto"/>
            </w:tcBorders>
            <w:vAlign w:val="center"/>
          </w:tcPr>
          <w:p w14:paraId="6524A0BD" w14:textId="77777777" w:rsidR="007B3DB2" w:rsidRPr="0063248C" w:rsidRDefault="007B3DB2">
            <w:pPr>
              <w:spacing w:line="240" w:lineRule="exact"/>
              <w:jc w:val="right"/>
              <w:rPr>
                <w:rFonts w:cs="宋体"/>
                <w:sz w:val="18"/>
                <w:szCs w:val="18"/>
              </w:rPr>
            </w:pPr>
          </w:p>
        </w:tc>
        <w:tc>
          <w:tcPr>
            <w:tcW w:w="491" w:type="pct"/>
            <w:tcBorders>
              <w:top w:val="single" w:sz="2" w:space="0" w:color="auto"/>
              <w:left w:val="single" w:sz="2" w:space="0" w:color="auto"/>
              <w:bottom w:val="single" w:sz="2" w:space="0" w:color="auto"/>
              <w:right w:val="single" w:sz="2" w:space="0" w:color="auto"/>
            </w:tcBorders>
            <w:vAlign w:val="center"/>
          </w:tcPr>
          <w:p w14:paraId="493770D7" w14:textId="77777777" w:rsidR="007B3DB2" w:rsidRPr="0063248C" w:rsidRDefault="00000000">
            <w:pPr>
              <w:spacing w:line="240" w:lineRule="exact"/>
              <w:jc w:val="right"/>
              <w:rPr>
                <w:rFonts w:cs="宋体"/>
                <w:sz w:val="18"/>
                <w:szCs w:val="18"/>
              </w:rPr>
            </w:pPr>
            <w:r w:rsidRPr="0063248C">
              <w:rPr>
                <w:rFonts w:cs="宋体"/>
                <w:sz w:val="18"/>
                <w:szCs w:val="18"/>
              </w:rPr>
              <w:t>18,612</w:t>
            </w:r>
          </w:p>
        </w:tc>
        <w:tc>
          <w:tcPr>
            <w:tcW w:w="414" w:type="pct"/>
            <w:tcBorders>
              <w:top w:val="single" w:sz="2" w:space="0" w:color="auto"/>
              <w:left w:val="single" w:sz="2" w:space="0" w:color="auto"/>
              <w:bottom w:val="single" w:sz="2" w:space="0" w:color="auto"/>
              <w:right w:val="single" w:sz="2" w:space="0" w:color="auto"/>
            </w:tcBorders>
            <w:vAlign w:val="center"/>
          </w:tcPr>
          <w:p w14:paraId="6EF0BD72"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414" w:type="pct"/>
            <w:tcBorders>
              <w:top w:val="single" w:sz="2" w:space="0" w:color="auto"/>
              <w:left w:val="single" w:sz="2" w:space="0" w:color="auto"/>
              <w:bottom w:val="single" w:sz="2" w:space="0" w:color="auto"/>
              <w:right w:val="single" w:sz="2" w:space="0" w:color="auto"/>
            </w:tcBorders>
            <w:vAlign w:val="center"/>
          </w:tcPr>
          <w:p w14:paraId="24A0BA59" w14:textId="77777777" w:rsidR="007B3DB2" w:rsidRPr="0063248C" w:rsidRDefault="007B3DB2">
            <w:pPr>
              <w:spacing w:line="240" w:lineRule="exact"/>
              <w:rPr>
                <w:rFonts w:cs="宋体"/>
                <w:sz w:val="18"/>
                <w:szCs w:val="18"/>
              </w:rPr>
            </w:pPr>
          </w:p>
        </w:tc>
        <w:tc>
          <w:tcPr>
            <w:tcW w:w="414" w:type="pct"/>
            <w:tcBorders>
              <w:top w:val="single" w:sz="2" w:space="0" w:color="auto"/>
              <w:left w:val="single" w:sz="2" w:space="0" w:color="auto"/>
              <w:bottom w:val="single" w:sz="2" w:space="0" w:color="auto"/>
              <w:right w:val="single" w:sz="2" w:space="0" w:color="auto"/>
            </w:tcBorders>
            <w:vAlign w:val="center"/>
          </w:tcPr>
          <w:p w14:paraId="4519AC97" w14:textId="77777777" w:rsidR="007B3DB2" w:rsidRPr="0063248C" w:rsidRDefault="007B3DB2">
            <w:pPr>
              <w:spacing w:line="240" w:lineRule="exact"/>
              <w:jc w:val="right"/>
              <w:rPr>
                <w:rFonts w:cs="宋体"/>
                <w:sz w:val="18"/>
                <w:szCs w:val="18"/>
              </w:rPr>
            </w:pPr>
          </w:p>
        </w:tc>
        <w:tc>
          <w:tcPr>
            <w:tcW w:w="414" w:type="pct"/>
            <w:tcBorders>
              <w:top w:val="single" w:sz="2" w:space="0" w:color="auto"/>
              <w:left w:val="single" w:sz="2" w:space="0" w:color="auto"/>
              <w:bottom w:val="single" w:sz="2" w:space="0" w:color="auto"/>
              <w:right w:val="single" w:sz="2" w:space="0" w:color="auto"/>
            </w:tcBorders>
            <w:vAlign w:val="center"/>
          </w:tcPr>
          <w:p w14:paraId="04FF08E8" w14:textId="77777777" w:rsidR="007B3DB2" w:rsidRPr="0063248C" w:rsidRDefault="00000000">
            <w:pPr>
              <w:spacing w:line="240" w:lineRule="exact"/>
              <w:rPr>
                <w:rFonts w:cs="宋体"/>
                <w:sz w:val="18"/>
                <w:szCs w:val="18"/>
              </w:rPr>
            </w:pPr>
            <w:r w:rsidRPr="0063248C">
              <w:rPr>
                <w:rFonts w:cs="宋体"/>
                <w:sz w:val="18"/>
                <w:szCs w:val="18"/>
              </w:rPr>
              <w:t>不适用</w:t>
            </w:r>
          </w:p>
        </w:tc>
        <w:tc>
          <w:tcPr>
            <w:tcW w:w="419" w:type="pct"/>
            <w:tcBorders>
              <w:top w:val="single" w:sz="2" w:space="0" w:color="auto"/>
              <w:left w:val="single" w:sz="2" w:space="0" w:color="auto"/>
              <w:bottom w:val="single" w:sz="2" w:space="0" w:color="auto"/>
              <w:right w:val="single" w:sz="2" w:space="0" w:color="auto"/>
            </w:tcBorders>
            <w:vAlign w:val="center"/>
          </w:tcPr>
          <w:p w14:paraId="47055CE9"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526B2997"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vAlign w:val="center"/>
          </w:tcPr>
          <w:p w14:paraId="6E093E59" w14:textId="77777777" w:rsidR="007B3DB2" w:rsidRPr="0063248C" w:rsidRDefault="00000000">
            <w:pPr>
              <w:spacing w:line="240" w:lineRule="exact"/>
              <w:rPr>
                <w:rFonts w:cs="宋体"/>
                <w:sz w:val="18"/>
                <w:szCs w:val="18"/>
              </w:rPr>
            </w:pPr>
            <w:r w:rsidRPr="0063248C">
              <w:rPr>
                <w:rFonts w:cs="宋体"/>
                <w:sz w:val="18"/>
                <w:szCs w:val="18"/>
              </w:rPr>
              <w:t>2</w:t>
            </w:r>
            <w:r w:rsidRPr="0063248C">
              <w:rPr>
                <w:rFonts w:cs="宋体"/>
                <w:sz w:val="18"/>
                <w:szCs w:val="18"/>
              </w:rPr>
              <w:t>、山东新建年出栏生猪</w:t>
            </w:r>
            <w:r w:rsidRPr="0063248C">
              <w:rPr>
                <w:rFonts w:cs="宋体"/>
                <w:sz w:val="18"/>
                <w:szCs w:val="18"/>
              </w:rPr>
              <w:t>66</w:t>
            </w:r>
            <w:r w:rsidRPr="0063248C">
              <w:rPr>
                <w:rFonts w:cs="宋体"/>
                <w:sz w:val="18"/>
                <w:szCs w:val="18"/>
              </w:rPr>
              <w:t>万头养殖项目（</w:t>
            </w:r>
            <w:proofErr w:type="gramStart"/>
            <w:r w:rsidRPr="0063248C">
              <w:rPr>
                <w:rFonts w:cs="宋体"/>
                <w:sz w:val="18"/>
                <w:szCs w:val="18"/>
              </w:rPr>
              <w:t>苟</w:t>
            </w:r>
            <w:proofErr w:type="gramEnd"/>
            <w:r w:rsidRPr="0063248C">
              <w:rPr>
                <w:rFonts w:cs="宋体"/>
                <w:sz w:val="18"/>
                <w:szCs w:val="18"/>
              </w:rPr>
              <w:t>各庄猪场、马台石猪场）</w:t>
            </w:r>
          </w:p>
        </w:tc>
        <w:tc>
          <w:tcPr>
            <w:tcW w:w="414" w:type="pct"/>
            <w:tcBorders>
              <w:top w:val="single" w:sz="2" w:space="0" w:color="auto"/>
              <w:left w:val="single" w:sz="2" w:space="0" w:color="auto"/>
              <w:bottom w:val="single" w:sz="2" w:space="0" w:color="auto"/>
              <w:right w:val="single" w:sz="2" w:space="0" w:color="auto"/>
            </w:tcBorders>
            <w:vAlign w:val="center"/>
          </w:tcPr>
          <w:p w14:paraId="73A9C2AE" w14:textId="77777777" w:rsidR="007B3DB2" w:rsidRPr="0063248C" w:rsidRDefault="00000000">
            <w:pPr>
              <w:spacing w:line="240" w:lineRule="exact"/>
              <w:rPr>
                <w:rFonts w:cs="宋体"/>
                <w:sz w:val="18"/>
                <w:szCs w:val="18"/>
              </w:rPr>
            </w:pPr>
            <w:r w:rsidRPr="0063248C">
              <w:rPr>
                <w:rFonts w:cs="宋体"/>
                <w:sz w:val="18"/>
                <w:szCs w:val="18"/>
              </w:rPr>
              <w:t>否</w:t>
            </w:r>
          </w:p>
        </w:tc>
        <w:tc>
          <w:tcPr>
            <w:tcW w:w="414" w:type="pct"/>
            <w:tcBorders>
              <w:top w:val="single" w:sz="2" w:space="0" w:color="auto"/>
              <w:left w:val="single" w:sz="2" w:space="0" w:color="auto"/>
              <w:bottom w:val="single" w:sz="2" w:space="0" w:color="auto"/>
              <w:right w:val="single" w:sz="2" w:space="0" w:color="auto"/>
            </w:tcBorders>
            <w:vAlign w:val="center"/>
          </w:tcPr>
          <w:p w14:paraId="529E9235" w14:textId="77777777" w:rsidR="007B3DB2" w:rsidRPr="0063248C" w:rsidRDefault="00000000">
            <w:pPr>
              <w:spacing w:line="240" w:lineRule="exact"/>
              <w:jc w:val="right"/>
              <w:rPr>
                <w:rFonts w:cs="宋体"/>
                <w:sz w:val="18"/>
                <w:szCs w:val="18"/>
              </w:rPr>
            </w:pPr>
            <w:r w:rsidRPr="0063248C">
              <w:rPr>
                <w:rFonts w:cs="宋体"/>
                <w:sz w:val="18"/>
                <w:szCs w:val="18"/>
              </w:rPr>
              <w:t>105,000</w:t>
            </w:r>
          </w:p>
        </w:tc>
        <w:tc>
          <w:tcPr>
            <w:tcW w:w="491" w:type="pct"/>
            <w:tcBorders>
              <w:top w:val="single" w:sz="2" w:space="0" w:color="auto"/>
              <w:left w:val="single" w:sz="2" w:space="0" w:color="auto"/>
              <w:bottom w:val="single" w:sz="2" w:space="0" w:color="auto"/>
              <w:right w:val="single" w:sz="2" w:space="0" w:color="auto"/>
            </w:tcBorders>
            <w:vAlign w:val="center"/>
          </w:tcPr>
          <w:p w14:paraId="285BE4FB" w14:textId="77777777" w:rsidR="007B3DB2" w:rsidRPr="0063248C" w:rsidRDefault="00000000">
            <w:pPr>
              <w:spacing w:line="240" w:lineRule="exact"/>
              <w:jc w:val="right"/>
              <w:rPr>
                <w:rFonts w:cs="宋体"/>
                <w:sz w:val="18"/>
                <w:szCs w:val="18"/>
              </w:rPr>
            </w:pPr>
            <w:r w:rsidRPr="0063248C">
              <w:rPr>
                <w:rFonts w:cs="宋体"/>
                <w:sz w:val="18"/>
                <w:szCs w:val="18"/>
              </w:rPr>
              <w:t>42,466.64</w:t>
            </w:r>
          </w:p>
        </w:tc>
        <w:tc>
          <w:tcPr>
            <w:tcW w:w="414" w:type="pct"/>
            <w:tcBorders>
              <w:top w:val="single" w:sz="2" w:space="0" w:color="auto"/>
              <w:left w:val="single" w:sz="2" w:space="0" w:color="auto"/>
              <w:bottom w:val="single" w:sz="2" w:space="0" w:color="auto"/>
              <w:right w:val="single" w:sz="2" w:space="0" w:color="auto"/>
            </w:tcBorders>
            <w:vAlign w:val="center"/>
          </w:tcPr>
          <w:p w14:paraId="686C2FF9" w14:textId="77777777" w:rsidR="007B3DB2" w:rsidRPr="0063248C" w:rsidRDefault="00000000">
            <w:pPr>
              <w:spacing w:line="240" w:lineRule="exact"/>
              <w:jc w:val="right"/>
              <w:rPr>
                <w:rFonts w:cs="宋体"/>
                <w:sz w:val="18"/>
                <w:szCs w:val="18"/>
              </w:rPr>
            </w:pPr>
            <w:r w:rsidRPr="0063248C">
              <w:rPr>
                <w:rFonts w:cs="宋体"/>
                <w:sz w:val="18"/>
                <w:szCs w:val="18"/>
              </w:rPr>
              <w:t>390.01</w:t>
            </w:r>
          </w:p>
        </w:tc>
        <w:tc>
          <w:tcPr>
            <w:tcW w:w="491" w:type="pct"/>
            <w:tcBorders>
              <w:top w:val="single" w:sz="2" w:space="0" w:color="auto"/>
              <w:left w:val="single" w:sz="2" w:space="0" w:color="auto"/>
              <w:bottom w:val="single" w:sz="2" w:space="0" w:color="auto"/>
              <w:right w:val="single" w:sz="2" w:space="0" w:color="auto"/>
            </w:tcBorders>
            <w:vAlign w:val="center"/>
          </w:tcPr>
          <w:p w14:paraId="1979458A" w14:textId="77777777" w:rsidR="007B3DB2" w:rsidRPr="0063248C" w:rsidRDefault="00000000">
            <w:pPr>
              <w:spacing w:line="240" w:lineRule="exact"/>
              <w:jc w:val="right"/>
              <w:rPr>
                <w:rFonts w:cs="宋体"/>
                <w:sz w:val="18"/>
                <w:szCs w:val="18"/>
              </w:rPr>
            </w:pPr>
            <w:r w:rsidRPr="0063248C">
              <w:rPr>
                <w:rFonts w:cs="宋体"/>
                <w:sz w:val="18"/>
                <w:szCs w:val="18"/>
              </w:rPr>
              <w:t>32,106.8</w:t>
            </w:r>
          </w:p>
        </w:tc>
        <w:tc>
          <w:tcPr>
            <w:tcW w:w="414" w:type="pct"/>
            <w:tcBorders>
              <w:top w:val="single" w:sz="2" w:space="0" w:color="auto"/>
              <w:left w:val="single" w:sz="2" w:space="0" w:color="auto"/>
              <w:bottom w:val="single" w:sz="2" w:space="0" w:color="auto"/>
              <w:right w:val="single" w:sz="2" w:space="0" w:color="auto"/>
            </w:tcBorders>
            <w:vAlign w:val="center"/>
          </w:tcPr>
          <w:p w14:paraId="5C6D900E" w14:textId="77777777" w:rsidR="007B3DB2" w:rsidRPr="0063248C" w:rsidRDefault="00000000">
            <w:pPr>
              <w:spacing w:line="240" w:lineRule="exact"/>
              <w:jc w:val="right"/>
              <w:rPr>
                <w:rFonts w:cs="宋体"/>
                <w:sz w:val="18"/>
                <w:szCs w:val="18"/>
              </w:rPr>
            </w:pPr>
            <w:r w:rsidRPr="0063248C">
              <w:rPr>
                <w:rFonts w:cs="宋体"/>
                <w:sz w:val="18"/>
                <w:szCs w:val="18"/>
              </w:rPr>
              <w:t>75.60%</w:t>
            </w:r>
          </w:p>
        </w:tc>
        <w:tc>
          <w:tcPr>
            <w:tcW w:w="414" w:type="pct"/>
            <w:tcBorders>
              <w:top w:val="single" w:sz="2" w:space="0" w:color="auto"/>
              <w:left w:val="single" w:sz="2" w:space="0" w:color="auto"/>
              <w:bottom w:val="single" w:sz="2" w:space="0" w:color="auto"/>
              <w:right w:val="single" w:sz="2" w:space="0" w:color="auto"/>
            </w:tcBorders>
            <w:vAlign w:val="center"/>
          </w:tcPr>
          <w:p w14:paraId="723C4984" w14:textId="77777777" w:rsidR="007B3DB2" w:rsidRPr="0063248C" w:rsidRDefault="007B3DB2">
            <w:pPr>
              <w:spacing w:line="240" w:lineRule="exact"/>
              <w:rPr>
                <w:rFonts w:cs="宋体"/>
                <w:sz w:val="18"/>
                <w:szCs w:val="18"/>
              </w:rPr>
            </w:pPr>
          </w:p>
        </w:tc>
        <w:tc>
          <w:tcPr>
            <w:tcW w:w="414" w:type="pct"/>
            <w:tcBorders>
              <w:top w:val="single" w:sz="2" w:space="0" w:color="auto"/>
              <w:left w:val="single" w:sz="2" w:space="0" w:color="auto"/>
              <w:bottom w:val="single" w:sz="2" w:space="0" w:color="auto"/>
              <w:right w:val="single" w:sz="2" w:space="0" w:color="auto"/>
            </w:tcBorders>
            <w:vAlign w:val="center"/>
          </w:tcPr>
          <w:p w14:paraId="0DDD4464" w14:textId="77777777" w:rsidR="007B3DB2" w:rsidRPr="0063248C" w:rsidRDefault="00000000">
            <w:pPr>
              <w:spacing w:line="240" w:lineRule="exact"/>
              <w:jc w:val="right"/>
              <w:rPr>
                <w:rFonts w:cs="宋体"/>
                <w:sz w:val="18"/>
                <w:szCs w:val="18"/>
              </w:rPr>
            </w:pPr>
            <w:r w:rsidRPr="0063248C">
              <w:rPr>
                <w:rFonts w:cs="宋体"/>
                <w:sz w:val="18"/>
                <w:szCs w:val="18"/>
              </w:rPr>
              <w:t>-375.63</w:t>
            </w:r>
          </w:p>
        </w:tc>
        <w:tc>
          <w:tcPr>
            <w:tcW w:w="414" w:type="pct"/>
            <w:tcBorders>
              <w:top w:val="single" w:sz="2" w:space="0" w:color="auto"/>
              <w:left w:val="single" w:sz="2" w:space="0" w:color="auto"/>
              <w:bottom w:val="single" w:sz="2" w:space="0" w:color="auto"/>
              <w:right w:val="single" w:sz="2" w:space="0" w:color="auto"/>
            </w:tcBorders>
            <w:vAlign w:val="center"/>
          </w:tcPr>
          <w:p w14:paraId="7C95787B" w14:textId="77777777" w:rsidR="007B3DB2" w:rsidRPr="0063248C" w:rsidRDefault="00000000">
            <w:pPr>
              <w:spacing w:line="240" w:lineRule="exact"/>
              <w:rPr>
                <w:rFonts w:cs="宋体"/>
                <w:sz w:val="18"/>
                <w:szCs w:val="18"/>
              </w:rPr>
            </w:pPr>
            <w:r w:rsidRPr="0063248C">
              <w:rPr>
                <w:rFonts w:cs="宋体"/>
                <w:sz w:val="18"/>
                <w:szCs w:val="18"/>
              </w:rPr>
              <w:t>否</w:t>
            </w:r>
          </w:p>
        </w:tc>
        <w:tc>
          <w:tcPr>
            <w:tcW w:w="419" w:type="pct"/>
            <w:tcBorders>
              <w:top w:val="single" w:sz="2" w:space="0" w:color="auto"/>
              <w:left w:val="single" w:sz="2" w:space="0" w:color="auto"/>
              <w:bottom w:val="single" w:sz="2" w:space="0" w:color="auto"/>
              <w:right w:val="single" w:sz="2" w:space="0" w:color="auto"/>
            </w:tcBorders>
            <w:vAlign w:val="center"/>
          </w:tcPr>
          <w:p w14:paraId="0D3C03D1"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3914A341"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shd w:val="clear" w:color="auto" w:fill="D3D3D3"/>
            <w:vAlign w:val="center"/>
          </w:tcPr>
          <w:p w14:paraId="74275653" w14:textId="77777777" w:rsidR="007B3DB2" w:rsidRPr="0063248C" w:rsidRDefault="00000000">
            <w:pPr>
              <w:spacing w:before="40" w:after="40" w:line="240" w:lineRule="exact"/>
              <w:rPr>
                <w:rFonts w:cs="宋体"/>
                <w:sz w:val="18"/>
                <w:szCs w:val="18"/>
              </w:rPr>
            </w:pPr>
            <w:r w:rsidRPr="0063248C">
              <w:rPr>
                <w:rFonts w:cs="宋体"/>
                <w:sz w:val="18"/>
                <w:szCs w:val="18"/>
              </w:rPr>
              <w:t>承诺投资项目小计</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2427B181"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c>
          <w:tcPr>
            <w:tcW w:w="414" w:type="pct"/>
            <w:tcBorders>
              <w:top w:val="single" w:sz="2" w:space="0" w:color="auto"/>
              <w:left w:val="single" w:sz="2" w:space="0" w:color="auto"/>
              <w:bottom w:val="single" w:sz="2" w:space="0" w:color="auto"/>
              <w:right w:val="single" w:sz="2" w:space="0" w:color="auto"/>
            </w:tcBorders>
            <w:vAlign w:val="center"/>
          </w:tcPr>
          <w:p w14:paraId="21D16560" w14:textId="77777777" w:rsidR="007B3DB2" w:rsidRPr="0063248C" w:rsidRDefault="00000000">
            <w:pPr>
              <w:spacing w:line="240" w:lineRule="exact"/>
              <w:jc w:val="right"/>
              <w:rPr>
                <w:rFonts w:cs="宋体"/>
                <w:sz w:val="18"/>
                <w:szCs w:val="18"/>
              </w:rPr>
            </w:pPr>
            <w:r w:rsidRPr="0063248C">
              <w:rPr>
                <w:rFonts w:cs="宋体"/>
                <w:sz w:val="18"/>
                <w:szCs w:val="18"/>
              </w:rPr>
              <w:t>245,000</w:t>
            </w:r>
          </w:p>
        </w:tc>
        <w:tc>
          <w:tcPr>
            <w:tcW w:w="491" w:type="pct"/>
            <w:tcBorders>
              <w:top w:val="single" w:sz="2" w:space="0" w:color="auto"/>
              <w:left w:val="single" w:sz="2" w:space="0" w:color="auto"/>
              <w:bottom w:val="single" w:sz="2" w:space="0" w:color="auto"/>
              <w:right w:val="single" w:sz="2" w:space="0" w:color="auto"/>
            </w:tcBorders>
            <w:vAlign w:val="center"/>
          </w:tcPr>
          <w:p w14:paraId="792AE099" w14:textId="77777777" w:rsidR="007B3DB2" w:rsidRPr="0063248C" w:rsidRDefault="00000000">
            <w:pPr>
              <w:spacing w:line="240" w:lineRule="exact"/>
              <w:jc w:val="right"/>
              <w:rPr>
                <w:rFonts w:cs="宋体"/>
                <w:sz w:val="18"/>
                <w:szCs w:val="18"/>
              </w:rPr>
            </w:pPr>
            <w:r w:rsidRPr="0063248C">
              <w:rPr>
                <w:rFonts w:cs="宋体"/>
                <w:sz w:val="18"/>
                <w:szCs w:val="18"/>
              </w:rPr>
              <w:t>156,078.64</w:t>
            </w:r>
          </w:p>
        </w:tc>
        <w:tc>
          <w:tcPr>
            <w:tcW w:w="414" w:type="pct"/>
            <w:tcBorders>
              <w:top w:val="single" w:sz="2" w:space="0" w:color="auto"/>
              <w:left w:val="single" w:sz="2" w:space="0" w:color="auto"/>
              <w:bottom w:val="single" w:sz="2" w:space="0" w:color="auto"/>
              <w:right w:val="single" w:sz="2" w:space="0" w:color="auto"/>
            </w:tcBorders>
            <w:vAlign w:val="center"/>
          </w:tcPr>
          <w:p w14:paraId="7CF74DC8" w14:textId="77777777" w:rsidR="007B3DB2" w:rsidRPr="0063248C" w:rsidRDefault="00000000">
            <w:pPr>
              <w:spacing w:line="240" w:lineRule="exact"/>
              <w:jc w:val="right"/>
              <w:rPr>
                <w:rFonts w:cs="宋体"/>
                <w:sz w:val="18"/>
                <w:szCs w:val="18"/>
              </w:rPr>
            </w:pPr>
            <w:r w:rsidRPr="0063248C">
              <w:rPr>
                <w:rFonts w:cs="宋体"/>
                <w:sz w:val="18"/>
                <w:szCs w:val="18"/>
              </w:rPr>
              <w:t>856.17</w:t>
            </w:r>
          </w:p>
        </w:tc>
        <w:tc>
          <w:tcPr>
            <w:tcW w:w="491" w:type="pct"/>
            <w:tcBorders>
              <w:top w:val="single" w:sz="2" w:space="0" w:color="auto"/>
              <w:left w:val="single" w:sz="2" w:space="0" w:color="auto"/>
              <w:bottom w:val="single" w:sz="2" w:space="0" w:color="auto"/>
              <w:right w:val="single" w:sz="2" w:space="0" w:color="auto"/>
            </w:tcBorders>
            <w:vAlign w:val="center"/>
          </w:tcPr>
          <w:p w14:paraId="366FE9C4" w14:textId="77777777" w:rsidR="007B3DB2" w:rsidRPr="0063248C" w:rsidRDefault="00000000">
            <w:pPr>
              <w:spacing w:line="240" w:lineRule="exact"/>
              <w:jc w:val="right"/>
              <w:rPr>
                <w:rFonts w:cs="宋体"/>
                <w:sz w:val="18"/>
                <w:szCs w:val="18"/>
              </w:rPr>
            </w:pPr>
            <w:r w:rsidRPr="0063248C">
              <w:rPr>
                <w:rFonts w:cs="宋体"/>
                <w:sz w:val="18"/>
                <w:szCs w:val="18"/>
              </w:rPr>
              <w:t>107,237.33</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7E67E4A2"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72BB1249"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c>
          <w:tcPr>
            <w:tcW w:w="414" w:type="pct"/>
            <w:tcBorders>
              <w:top w:val="single" w:sz="2" w:space="0" w:color="auto"/>
              <w:left w:val="single" w:sz="2" w:space="0" w:color="auto"/>
              <w:bottom w:val="single" w:sz="2" w:space="0" w:color="auto"/>
              <w:right w:val="single" w:sz="2" w:space="0" w:color="auto"/>
            </w:tcBorders>
            <w:vAlign w:val="center"/>
          </w:tcPr>
          <w:p w14:paraId="0DB9690B" w14:textId="77777777" w:rsidR="007B3DB2" w:rsidRPr="0063248C" w:rsidRDefault="00000000">
            <w:pPr>
              <w:spacing w:line="240" w:lineRule="exact"/>
              <w:jc w:val="right"/>
              <w:rPr>
                <w:rFonts w:cs="宋体"/>
                <w:sz w:val="18"/>
                <w:szCs w:val="18"/>
              </w:rPr>
            </w:pPr>
            <w:r w:rsidRPr="0063248C">
              <w:rPr>
                <w:rFonts w:cs="宋体"/>
                <w:sz w:val="18"/>
                <w:szCs w:val="18"/>
              </w:rPr>
              <w:t>-878.08</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1CFF7B7A"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c>
          <w:tcPr>
            <w:tcW w:w="419" w:type="pct"/>
            <w:tcBorders>
              <w:top w:val="single" w:sz="2" w:space="0" w:color="auto"/>
              <w:left w:val="single" w:sz="2" w:space="0" w:color="auto"/>
              <w:bottom w:val="single" w:sz="2" w:space="0" w:color="auto"/>
              <w:right w:val="single" w:sz="2" w:space="0" w:color="auto"/>
            </w:tcBorders>
            <w:shd w:val="clear" w:color="auto" w:fill="D3D3D3"/>
            <w:vAlign w:val="center"/>
          </w:tcPr>
          <w:p w14:paraId="1030BECE"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r>
      <w:tr w:rsidR="007B3DB2" w:rsidRPr="0063248C" w14:paraId="734B97B8" w14:textId="77777777" w:rsidTr="00C117DA">
        <w:trPr>
          <w:trHeight w:val="240"/>
          <w:jc w:val="center"/>
        </w:trPr>
        <w:tc>
          <w:tcPr>
            <w:tcW w:w="5000" w:type="pct"/>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67C7B3DA" w14:textId="77777777" w:rsidR="007B3DB2" w:rsidRPr="0063248C" w:rsidRDefault="00000000">
            <w:pPr>
              <w:spacing w:before="40" w:after="40" w:line="240" w:lineRule="exact"/>
              <w:rPr>
                <w:rFonts w:cs="宋体"/>
                <w:sz w:val="18"/>
                <w:szCs w:val="18"/>
              </w:rPr>
            </w:pPr>
            <w:r w:rsidRPr="0063248C">
              <w:rPr>
                <w:rFonts w:cs="宋体"/>
                <w:sz w:val="18"/>
                <w:szCs w:val="18"/>
              </w:rPr>
              <w:t>超募资金投向</w:t>
            </w:r>
          </w:p>
        </w:tc>
      </w:tr>
      <w:tr w:rsidR="007B3DB2" w:rsidRPr="0063248C" w14:paraId="590BCC9A"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vAlign w:val="center"/>
          </w:tcPr>
          <w:p w14:paraId="360872C4" w14:textId="77777777" w:rsidR="007B3DB2" w:rsidRPr="0063248C" w:rsidRDefault="00000000">
            <w:pPr>
              <w:spacing w:line="240" w:lineRule="exact"/>
              <w:rPr>
                <w:rFonts w:cs="宋体"/>
                <w:sz w:val="18"/>
                <w:szCs w:val="18"/>
              </w:rPr>
            </w:pPr>
            <w:r w:rsidRPr="0063248C">
              <w:rPr>
                <w:rFonts w:cs="宋体"/>
                <w:sz w:val="18"/>
                <w:szCs w:val="18"/>
              </w:rPr>
              <w:t>不适用</w:t>
            </w:r>
          </w:p>
        </w:tc>
        <w:tc>
          <w:tcPr>
            <w:tcW w:w="414" w:type="pct"/>
            <w:tcBorders>
              <w:top w:val="single" w:sz="2" w:space="0" w:color="auto"/>
              <w:left w:val="single" w:sz="2" w:space="0" w:color="auto"/>
              <w:bottom w:val="single" w:sz="2" w:space="0" w:color="auto"/>
              <w:right w:val="single" w:sz="2" w:space="0" w:color="auto"/>
            </w:tcBorders>
            <w:vAlign w:val="center"/>
          </w:tcPr>
          <w:p w14:paraId="7D27AC08" w14:textId="77777777" w:rsidR="007B3DB2" w:rsidRPr="0063248C" w:rsidRDefault="007B3DB2">
            <w:pPr>
              <w:spacing w:line="240" w:lineRule="exact"/>
              <w:rPr>
                <w:rFonts w:cs="宋体"/>
                <w:sz w:val="18"/>
                <w:szCs w:val="18"/>
              </w:rPr>
            </w:pPr>
          </w:p>
        </w:tc>
        <w:tc>
          <w:tcPr>
            <w:tcW w:w="414" w:type="pct"/>
            <w:tcBorders>
              <w:top w:val="single" w:sz="2" w:space="0" w:color="auto"/>
              <w:left w:val="single" w:sz="2" w:space="0" w:color="auto"/>
              <w:bottom w:val="single" w:sz="2" w:space="0" w:color="auto"/>
              <w:right w:val="single" w:sz="2" w:space="0" w:color="auto"/>
            </w:tcBorders>
            <w:vAlign w:val="center"/>
          </w:tcPr>
          <w:p w14:paraId="75FF9F25" w14:textId="77777777" w:rsidR="007B3DB2" w:rsidRPr="0063248C" w:rsidRDefault="007B3DB2">
            <w:pPr>
              <w:spacing w:line="240" w:lineRule="exact"/>
              <w:jc w:val="right"/>
              <w:rPr>
                <w:rFonts w:cs="宋体"/>
                <w:sz w:val="18"/>
                <w:szCs w:val="18"/>
              </w:rPr>
            </w:pPr>
          </w:p>
        </w:tc>
        <w:tc>
          <w:tcPr>
            <w:tcW w:w="491" w:type="pct"/>
            <w:tcBorders>
              <w:top w:val="single" w:sz="2" w:space="0" w:color="auto"/>
              <w:left w:val="single" w:sz="2" w:space="0" w:color="auto"/>
              <w:bottom w:val="single" w:sz="2" w:space="0" w:color="auto"/>
              <w:right w:val="single" w:sz="2" w:space="0" w:color="auto"/>
            </w:tcBorders>
            <w:vAlign w:val="center"/>
          </w:tcPr>
          <w:p w14:paraId="6A89528A" w14:textId="77777777" w:rsidR="007B3DB2" w:rsidRPr="0063248C" w:rsidRDefault="007B3DB2">
            <w:pPr>
              <w:spacing w:line="240" w:lineRule="exact"/>
              <w:jc w:val="right"/>
              <w:rPr>
                <w:rFonts w:cs="宋体"/>
                <w:sz w:val="18"/>
                <w:szCs w:val="18"/>
              </w:rPr>
            </w:pPr>
          </w:p>
        </w:tc>
        <w:tc>
          <w:tcPr>
            <w:tcW w:w="414" w:type="pct"/>
            <w:tcBorders>
              <w:top w:val="single" w:sz="2" w:space="0" w:color="auto"/>
              <w:left w:val="single" w:sz="2" w:space="0" w:color="auto"/>
              <w:bottom w:val="single" w:sz="2" w:space="0" w:color="auto"/>
              <w:right w:val="single" w:sz="2" w:space="0" w:color="auto"/>
            </w:tcBorders>
            <w:vAlign w:val="center"/>
          </w:tcPr>
          <w:p w14:paraId="31305AF7" w14:textId="77777777" w:rsidR="007B3DB2" w:rsidRPr="0063248C" w:rsidRDefault="007B3DB2">
            <w:pPr>
              <w:spacing w:line="240" w:lineRule="exact"/>
              <w:jc w:val="right"/>
              <w:rPr>
                <w:rFonts w:cs="宋体"/>
                <w:sz w:val="18"/>
                <w:szCs w:val="18"/>
              </w:rPr>
            </w:pPr>
          </w:p>
        </w:tc>
        <w:tc>
          <w:tcPr>
            <w:tcW w:w="491" w:type="pct"/>
            <w:tcBorders>
              <w:top w:val="single" w:sz="2" w:space="0" w:color="auto"/>
              <w:left w:val="single" w:sz="2" w:space="0" w:color="auto"/>
              <w:bottom w:val="single" w:sz="2" w:space="0" w:color="auto"/>
              <w:right w:val="single" w:sz="2" w:space="0" w:color="auto"/>
            </w:tcBorders>
            <w:vAlign w:val="center"/>
          </w:tcPr>
          <w:p w14:paraId="271E7F9D" w14:textId="77777777" w:rsidR="007B3DB2" w:rsidRPr="0063248C" w:rsidRDefault="007B3DB2">
            <w:pPr>
              <w:spacing w:line="240" w:lineRule="exact"/>
              <w:jc w:val="right"/>
              <w:rPr>
                <w:rFonts w:cs="宋体"/>
                <w:sz w:val="18"/>
                <w:szCs w:val="18"/>
              </w:rPr>
            </w:pPr>
          </w:p>
        </w:tc>
        <w:tc>
          <w:tcPr>
            <w:tcW w:w="414" w:type="pct"/>
            <w:tcBorders>
              <w:top w:val="single" w:sz="2" w:space="0" w:color="auto"/>
              <w:left w:val="single" w:sz="2" w:space="0" w:color="auto"/>
              <w:bottom w:val="single" w:sz="2" w:space="0" w:color="auto"/>
              <w:right w:val="single" w:sz="2" w:space="0" w:color="auto"/>
            </w:tcBorders>
            <w:vAlign w:val="center"/>
          </w:tcPr>
          <w:p w14:paraId="58126142" w14:textId="77777777" w:rsidR="007B3DB2" w:rsidRPr="0063248C" w:rsidRDefault="007B3DB2">
            <w:pPr>
              <w:spacing w:line="240" w:lineRule="exact"/>
              <w:jc w:val="right"/>
              <w:rPr>
                <w:rFonts w:cs="宋体"/>
                <w:sz w:val="18"/>
                <w:szCs w:val="18"/>
              </w:rPr>
            </w:pPr>
          </w:p>
        </w:tc>
        <w:tc>
          <w:tcPr>
            <w:tcW w:w="414" w:type="pct"/>
            <w:tcBorders>
              <w:top w:val="single" w:sz="2" w:space="0" w:color="auto"/>
              <w:left w:val="single" w:sz="2" w:space="0" w:color="auto"/>
              <w:bottom w:val="single" w:sz="2" w:space="0" w:color="auto"/>
              <w:right w:val="single" w:sz="2" w:space="0" w:color="auto"/>
            </w:tcBorders>
            <w:vAlign w:val="center"/>
          </w:tcPr>
          <w:p w14:paraId="5429F5CB" w14:textId="77777777" w:rsidR="007B3DB2" w:rsidRPr="0063248C" w:rsidRDefault="007B3DB2">
            <w:pPr>
              <w:spacing w:line="240" w:lineRule="exact"/>
              <w:rPr>
                <w:rFonts w:cs="宋体"/>
                <w:sz w:val="18"/>
                <w:szCs w:val="18"/>
              </w:rPr>
            </w:pPr>
          </w:p>
        </w:tc>
        <w:tc>
          <w:tcPr>
            <w:tcW w:w="414" w:type="pct"/>
            <w:tcBorders>
              <w:top w:val="single" w:sz="2" w:space="0" w:color="auto"/>
              <w:left w:val="single" w:sz="2" w:space="0" w:color="auto"/>
              <w:bottom w:val="single" w:sz="2" w:space="0" w:color="auto"/>
              <w:right w:val="single" w:sz="2" w:space="0" w:color="auto"/>
            </w:tcBorders>
            <w:vAlign w:val="center"/>
          </w:tcPr>
          <w:p w14:paraId="68C75E43" w14:textId="77777777" w:rsidR="007B3DB2" w:rsidRPr="0063248C" w:rsidRDefault="007B3DB2">
            <w:pPr>
              <w:spacing w:line="240" w:lineRule="exact"/>
              <w:jc w:val="right"/>
              <w:rPr>
                <w:rFonts w:cs="宋体"/>
                <w:sz w:val="18"/>
                <w:szCs w:val="18"/>
              </w:rPr>
            </w:pPr>
          </w:p>
        </w:tc>
        <w:tc>
          <w:tcPr>
            <w:tcW w:w="414" w:type="pct"/>
            <w:tcBorders>
              <w:top w:val="single" w:sz="2" w:space="0" w:color="auto"/>
              <w:left w:val="single" w:sz="2" w:space="0" w:color="auto"/>
              <w:bottom w:val="single" w:sz="2" w:space="0" w:color="auto"/>
              <w:right w:val="single" w:sz="2" w:space="0" w:color="auto"/>
            </w:tcBorders>
            <w:vAlign w:val="center"/>
          </w:tcPr>
          <w:p w14:paraId="4378114C" w14:textId="77777777" w:rsidR="007B3DB2" w:rsidRPr="0063248C" w:rsidRDefault="007B3DB2">
            <w:pPr>
              <w:spacing w:line="240" w:lineRule="exact"/>
              <w:rPr>
                <w:rFonts w:cs="宋体"/>
                <w:sz w:val="18"/>
                <w:szCs w:val="18"/>
              </w:rPr>
            </w:pPr>
          </w:p>
        </w:tc>
        <w:tc>
          <w:tcPr>
            <w:tcW w:w="419" w:type="pct"/>
            <w:tcBorders>
              <w:top w:val="single" w:sz="2" w:space="0" w:color="auto"/>
              <w:left w:val="single" w:sz="2" w:space="0" w:color="auto"/>
              <w:bottom w:val="single" w:sz="2" w:space="0" w:color="auto"/>
              <w:right w:val="single" w:sz="2" w:space="0" w:color="auto"/>
            </w:tcBorders>
            <w:vAlign w:val="center"/>
          </w:tcPr>
          <w:p w14:paraId="703C6C18" w14:textId="77777777" w:rsidR="007B3DB2" w:rsidRPr="0063248C" w:rsidRDefault="007B3DB2">
            <w:pPr>
              <w:spacing w:line="240" w:lineRule="exact"/>
              <w:rPr>
                <w:rFonts w:cs="宋体"/>
                <w:sz w:val="18"/>
                <w:szCs w:val="18"/>
              </w:rPr>
            </w:pPr>
          </w:p>
        </w:tc>
      </w:tr>
      <w:tr w:rsidR="007B3DB2" w:rsidRPr="0063248C" w14:paraId="23C0A7D2"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shd w:val="clear" w:color="auto" w:fill="D3D3D3"/>
            <w:vAlign w:val="center"/>
          </w:tcPr>
          <w:p w14:paraId="34B521C3"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23DD0C4F"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c>
          <w:tcPr>
            <w:tcW w:w="414" w:type="pct"/>
            <w:tcBorders>
              <w:top w:val="single" w:sz="2" w:space="0" w:color="auto"/>
              <w:left w:val="single" w:sz="2" w:space="0" w:color="auto"/>
              <w:bottom w:val="single" w:sz="2" w:space="0" w:color="auto"/>
              <w:right w:val="single" w:sz="2" w:space="0" w:color="auto"/>
            </w:tcBorders>
            <w:vAlign w:val="center"/>
          </w:tcPr>
          <w:p w14:paraId="722DFDB3" w14:textId="77777777" w:rsidR="007B3DB2" w:rsidRPr="0063248C" w:rsidRDefault="00000000">
            <w:pPr>
              <w:spacing w:line="240" w:lineRule="exact"/>
              <w:jc w:val="right"/>
              <w:rPr>
                <w:rFonts w:cs="宋体"/>
                <w:sz w:val="18"/>
                <w:szCs w:val="18"/>
              </w:rPr>
            </w:pPr>
            <w:r w:rsidRPr="0063248C">
              <w:rPr>
                <w:rFonts w:cs="宋体"/>
                <w:sz w:val="18"/>
                <w:szCs w:val="18"/>
              </w:rPr>
              <w:t>245,000</w:t>
            </w:r>
          </w:p>
        </w:tc>
        <w:tc>
          <w:tcPr>
            <w:tcW w:w="491" w:type="pct"/>
            <w:tcBorders>
              <w:top w:val="single" w:sz="2" w:space="0" w:color="auto"/>
              <w:left w:val="single" w:sz="2" w:space="0" w:color="auto"/>
              <w:bottom w:val="single" w:sz="2" w:space="0" w:color="auto"/>
              <w:right w:val="single" w:sz="2" w:space="0" w:color="auto"/>
            </w:tcBorders>
            <w:vAlign w:val="center"/>
          </w:tcPr>
          <w:p w14:paraId="696AB569" w14:textId="77777777" w:rsidR="007B3DB2" w:rsidRPr="0063248C" w:rsidRDefault="00000000">
            <w:pPr>
              <w:spacing w:line="240" w:lineRule="exact"/>
              <w:jc w:val="right"/>
              <w:rPr>
                <w:rFonts w:cs="宋体"/>
                <w:sz w:val="18"/>
                <w:szCs w:val="18"/>
              </w:rPr>
            </w:pPr>
            <w:r w:rsidRPr="0063248C">
              <w:rPr>
                <w:rFonts w:cs="宋体"/>
                <w:sz w:val="18"/>
                <w:szCs w:val="18"/>
              </w:rPr>
              <w:t>156,078.64</w:t>
            </w:r>
          </w:p>
        </w:tc>
        <w:tc>
          <w:tcPr>
            <w:tcW w:w="414" w:type="pct"/>
            <w:tcBorders>
              <w:top w:val="single" w:sz="2" w:space="0" w:color="auto"/>
              <w:left w:val="single" w:sz="2" w:space="0" w:color="auto"/>
              <w:bottom w:val="single" w:sz="2" w:space="0" w:color="auto"/>
              <w:right w:val="single" w:sz="2" w:space="0" w:color="auto"/>
            </w:tcBorders>
            <w:vAlign w:val="center"/>
          </w:tcPr>
          <w:p w14:paraId="3DBE60E0" w14:textId="77777777" w:rsidR="007B3DB2" w:rsidRPr="0063248C" w:rsidRDefault="00000000">
            <w:pPr>
              <w:spacing w:line="240" w:lineRule="exact"/>
              <w:jc w:val="right"/>
              <w:rPr>
                <w:rFonts w:cs="宋体"/>
                <w:sz w:val="18"/>
                <w:szCs w:val="18"/>
              </w:rPr>
            </w:pPr>
            <w:r w:rsidRPr="0063248C">
              <w:rPr>
                <w:rFonts w:cs="宋体"/>
                <w:sz w:val="18"/>
                <w:szCs w:val="18"/>
              </w:rPr>
              <w:t>856.17</w:t>
            </w:r>
          </w:p>
        </w:tc>
        <w:tc>
          <w:tcPr>
            <w:tcW w:w="491" w:type="pct"/>
            <w:tcBorders>
              <w:top w:val="single" w:sz="2" w:space="0" w:color="auto"/>
              <w:left w:val="single" w:sz="2" w:space="0" w:color="auto"/>
              <w:bottom w:val="single" w:sz="2" w:space="0" w:color="auto"/>
              <w:right w:val="single" w:sz="2" w:space="0" w:color="auto"/>
            </w:tcBorders>
            <w:vAlign w:val="center"/>
          </w:tcPr>
          <w:p w14:paraId="4B974226" w14:textId="77777777" w:rsidR="007B3DB2" w:rsidRPr="0063248C" w:rsidRDefault="00000000">
            <w:pPr>
              <w:spacing w:line="240" w:lineRule="exact"/>
              <w:jc w:val="right"/>
              <w:rPr>
                <w:rFonts w:cs="宋体"/>
                <w:sz w:val="18"/>
                <w:szCs w:val="18"/>
              </w:rPr>
            </w:pPr>
            <w:r w:rsidRPr="0063248C">
              <w:rPr>
                <w:rFonts w:cs="宋体"/>
                <w:sz w:val="18"/>
                <w:szCs w:val="18"/>
              </w:rPr>
              <w:t>107,237.33</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04D17E4E"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73E72949"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c>
          <w:tcPr>
            <w:tcW w:w="414" w:type="pct"/>
            <w:tcBorders>
              <w:top w:val="single" w:sz="2" w:space="0" w:color="auto"/>
              <w:left w:val="single" w:sz="2" w:space="0" w:color="auto"/>
              <w:bottom w:val="single" w:sz="2" w:space="0" w:color="auto"/>
              <w:right w:val="single" w:sz="2" w:space="0" w:color="auto"/>
            </w:tcBorders>
            <w:vAlign w:val="center"/>
          </w:tcPr>
          <w:p w14:paraId="0627C325" w14:textId="77777777" w:rsidR="007B3DB2" w:rsidRPr="0063248C" w:rsidRDefault="00000000">
            <w:pPr>
              <w:spacing w:line="240" w:lineRule="exact"/>
              <w:jc w:val="right"/>
              <w:rPr>
                <w:rFonts w:cs="宋体"/>
                <w:sz w:val="18"/>
                <w:szCs w:val="18"/>
              </w:rPr>
            </w:pPr>
            <w:r w:rsidRPr="0063248C">
              <w:rPr>
                <w:rFonts w:cs="宋体"/>
                <w:sz w:val="18"/>
                <w:szCs w:val="18"/>
              </w:rPr>
              <w:t>-878.08</w:t>
            </w:r>
          </w:p>
        </w:tc>
        <w:tc>
          <w:tcPr>
            <w:tcW w:w="414" w:type="pct"/>
            <w:tcBorders>
              <w:top w:val="single" w:sz="2" w:space="0" w:color="auto"/>
              <w:left w:val="single" w:sz="2" w:space="0" w:color="auto"/>
              <w:bottom w:val="single" w:sz="2" w:space="0" w:color="auto"/>
              <w:right w:val="single" w:sz="2" w:space="0" w:color="auto"/>
            </w:tcBorders>
            <w:shd w:val="clear" w:color="auto" w:fill="D3D3D3"/>
            <w:vAlign w:val="center"/>
          </w:tcPr>
          <w:p w14:paraId="3E760C07"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c>
          <w:tcPr>
            <w:tcW w:w="419" w:type="pct"/>
            <w:tcBorders>
              <w:top w:val="single" w:sz="2" w:space="0" w:color="auto"/>
              <w:left w:val="single" w:sz="2" w:space="0" w:color="auto"/>
              <w:bottom w:val="single" w:sz="2" w:space="0" w:color="auto"/>
              <w:right w:val="single" w:sz="2" w:space="0" w:color="auto"/>
            </w:tcBorders>
            <w:shd w:val="clear" w:color="auto" w:fill="D3D3D3"/>
            <w:vAlign w:val="center"/>
          </w:tcPr>
          <w:p w14:paraId="51B83B1D"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r>
      <w:tr w:rsidR="007B3DB2" w:rsidRPr="0063248C" w14:paraId="723D020C"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shd w:val="clear" w:color="auto" w:fill="D3D3D3"/>
            <w:vAlign w:val="center"/>
          </w:tcPr>
          <w:p w14:paraId="30F2E66D" w14:textId="77777777" w:rsidR="007B3DB2" w:rsidRPr="0063248C" w:rsidRDefault="00000000">
            <w:pPr>
              <w:spacing w:before="40" w:after="40" w:line="240" w:lineRule="exact"/>
              <w:rPr>
                <w:rFonts w:cs="宋体"/>
                <w:sz w:val="18"/>
                <w:szCs w:val="18"/>
              </w:rPr>
            </w:pPr>
            <w:r w:rsidRPr="0063248C">
              <w:rPr>
                <w:rFonts w:cs="宋体"/>
                <w:sz w:val="18"/>
                <w:szCs w:val="18"/>
              </w:rPr>
              <w:t>分项目说明未达到计划进度、预计收益的情况和原因（含</w:t>
            </w:r>
            <w:r w:rsidRPr="0063248C">
              <w:rPr>
                <w:rFonts w:cs="宋体"/>
                <w:sz w:val="18"/>
                <w:szCs w:val="18"/>
              </w:rPr>
              <w:t>“</w:t>
            </w:r>
            <w:r w:rsidRPr="0063248C">
              <w:rPr>
                <w:rFonts w:cs="宋体"/>
                <w:sz w:val="18"/>
                <w:szCs w:val="18"/>
              </w:rPr>
              <w:t>是否达到预计效益</w:t>
            </w:r>
            <w:r w:rsidRPr="0063248C">
              <w:rPr>
                <w:rFonts w:cs="宋体"/>
                <w:sz w:val="18"/>
                <w:szCs w:val="18"/>
              </w:rPr>
              <w:t>”</w:t>
            </w:r>
            <w:r w:rsidRPr="0063248C">
              <w:rPr>
                <w:rFonts w:cs="宋体"/>
                <w:sz w:val="18"/>
                <w:szCs w:val="18"/>
              </w:rPr>
              <w:t>选择</w:t>
            </w:r>
            <w:r w:rsidRPr="0063248C">
              <w:rPr>
                <w:rFonts w:cs="宋体"/>
                <w:sz w:val="18"/>
                <w:szCs w:val="18"/>
              </w:rPr>
              <w:t>“</w:t>
            </w:r>
            <w:r w:rsidRPr="0063248C">
              <w:rPr>
                <w:rFonts w:cs="宋体"/>
                <w:sz w:val="18"/>
                <w:szCs w:val="18"/>
              </w:rPr>
              <w:t>不适用</w:t>
            </w:r>
            <w:r w:rsidRPr="0063248C">
              <w:rPr>
                <w:rFonts w:cs="宋体"/>
                <w:sz w:val="18"/>
                <w:szCs w:val="18"/>
              </w:rPr>
              <w:t>”</w:t>
            </w:r>
            <w:r w:rsidRPr="0063248C">
              <w:rPr>
                <w:rFonts w:cs="宋体"/>
                <w:sz w:val="18"/>
                <w:szCs w:val="18"/>
              </w:rPr>
              <w:t>的原因）</w:t>
            </w:r>
          </w:p>
        </w:tc>
        <w:tc>
          <w:tcPr>
            <w:tcW w:w="4299" w:type="pct"/>
            <w:gridSpan w:val="10"/>
            <w:tcBorders>
              <w:top w:val="single" w:sz="2" w:space="0" w:color="auto"/>
              <w:left w:val="single" w:sz="2" w:space="0" w:color="auto"/>
              <w:bottom w:val="single" w:sz="2" w:space="0" w:color="auto"/>
              <w:right w:val="single" w:sz="2" w:space="0" w:color="auto"/>
            </w:tcBorders>
            <w:vAlign w:val="center"/>
          </w:tcPr>
          <w:p w14:paraId="717EB3D8" w14:textId="77777777" w:rsidR="007B3DB2" w:rsidRPr="0063248C" w:rsidRDefault="00000000">
            <w:pPr>
              <w:spacing w:line="240" w:lineRule="exact"/>
              <w:rPr>
                <w:rFonts w:cs="宋体"/>
                <w:sz w:val="18"/>
                <w:szCs w:val="18"/>
              </w:rPr>
            </w:pPr>
            <w:r w:rsidRPr="0063248C">
              <w:rPr>
                <w:rFonts w:cs="宋体"/>
                <w:sz w:val="18"/>
                <w:szCs w:val="18"/>
              </w:rPr>
              <w:t>1</w:t>
            </w:r>
            <w:r w:rsidRPr="0063248C">
              <w:rPr>
                <w:rFonts w:cs="宋体"/>
                <w:sz w:val="18"/>
                <w:szCs w:val="18"/>
              </w:rPr>
              <w:t>、补充流动资金：</w:t>
            </w:r>
          </w:p>
          <w:p w14:paraId="24C653EA" w14:textId="77777777" w:rsidR="007B3DB2" w:rsidRPr="0063248C" w:rsidRDefault="00000000">
            <w:pPr>
              <w:spacing w:line="240" w:lineRule="exact"/>
              <w:rPr>
                <w:rFonts w:cs="宋体"/>
                <w:sz w:val="18"/>
                <w:szCs w:val="18"/>
              </w:rPr>
            </w:pPr>
            <w:r w:rsidRPr="0063248C">
              <w:rPr>
                <w:rFonts w:cs="宋体"/>
                <w:sz w:val="18"/>
                <w:szCs w:val="18"/>
              </w:rPr>
              <w:t>补充流动资金无法单独核算效益，但通过增加公司营运资金，提高公司资产运转能力和支付能力，提高公司经营抗风险能力，对公司经营业绩产生积极影响，从而间接提高公司效益。</w:t>
            </w:r>
          </w:p>
          <w:p w14:paraId="678E07F4" w14:textId="77777777" w:rsidR="007B3DB2" w:rsidRPr="0063248C" w:rsidRDefault="00000000">
            <w:pPr>
              <w:spacing w:line="240" w:lineRule="exact"/>
              <w:rPr>
                <w:rFonts w:cs="宋体"/>
                <w:sz w:val="18"/>
                <w:szCs w:val="18"/>
              </w:rPr>
            </w:pPr>
            <w:r w:rsidRPr="0063248C">
              <w:rPr>
                <w:rFonts w:cs="宋体"/>
                <w:sz w:val="18"/>
                <w:szCs w:val="18"/>
              </w:rPr>
              <w:t>2</w:t>
            </w:r>
            <w:r w:rsidRPr="0063248C">
              <w:rPr>
                <w:rFonts w:cs="宋体"/>
                <w:sz w:val="18"/>
                <w:szCs w:val="18"/>
              </w:rPr>
              <w:t>、安丘市</w:t>
            </w:r>
            <w:proofErr w:type="gramStart"/>
            <w:r w:rsidRPr="0063248C">
              <w:rPr>
                <w:rFonts w:cs="宋体"/>
                <w:sz w:val="18"/>
                <w:szCs w:val="18"/>
              </w:rPr>
              <w:t>石埠子镇</w:t>
            </w:r>
            <w:proofErr w:type="gramEnd"/>
            <w:r w:rsidRPr="0063248C">
              <w:rPr>
                <w:rFonts w:cs="宋体"/>
                <w:sz w:val="18"/>
                <w:szCs w:val="18"/>
              </w:rPr>
              <w:t>新建年出栏</w:t>
            </w:r>
            <w:r w:rsidRPr="0063248C">
              <w:rPr>
                <w:rFonts w:cs="宋体"/>
                <w:sz w:val="18"/>
                <w:szCs w:val="18"/>
              </w:rPr>
              <w:t>50</w:t>
            </w:r>
            <w:r w:rsidRPr="0063248C">
              <w:rPr>
                <w:rFonts w:cs="宋体"/>
                <w:sz w:val="18"/>
                <w:szCs w:val="18"/>
              </w:rPr>
              <w:t>万头商品猪项目：</w:t>
            </w:r>
          </w:p>
          <w:p w14:paraId="4ED41493" w14:textId="77777777" w:rsidR="007B3DB2" w:rsidRPr="0063248C" w:rsidRDefault="00000000">
            <w:pPr>
              <w:spacing w:line="240" w:lineRule="exact"/>
              <w:rPr>
                <w:rFonts w:cs="宋体"/>
                <w:sz w:val="18"/>
                <w:szCs w:val="18"/>
              </w:rPr>
            </w:pPr>
            <w:r w:rsidRPr="0063248C">
              <w:rPr>
                <w:rFonts w:cs="宋体"/>
                <w:sz w:val="18"/>
                <w:szCs w:val="18"/>
              </w:rPr>
              <w:t>受行业周期影响，自</w:t>
            </w:r>
            <w:r w:rsidRPr="0063248C">
              <w:rPr>
                <w:rFonts w:cs="宋体"/>
                <w:sz w:val="18"/>
                <w:szCs w:val="18"/>
              </w:rPr>
              <w:t>2021</w:t>
            </w:r>
            <w:r w:rsidRPr="0063248C">
              <w:rPr>
                <w:rFonts w:cs="宋体"/>
                <w:sz w:val="18"/>
                <w:szCs w:val="18"/>
              </w:rPr>
              <w:t>年生猪产能全面恢复以来，猪周期进入下行通道，生猪销售价格持续下跌，且</w:t>
            </w:r>
            <w:r w:rsidRPr="0063248C">
              <w:rPr>
                <w:rFonts w:cs="宋体"/>
                <w:sz w:val="18"/>
                <w:szCs w:val="18"/>
              </w:rPr>
              <w:t>2023</w:t>
            </w:r>
            <w:r w:rsidRPr="0063248C">
              <w:rPr>
                <w:rFonts w:cs="宋体"/>
                <w:sz w:val="18"/>
                <w:szCs w:val="18"/>
              </w:rPr>
              <w:t>年度生猪销售价格持续在低位徘徊，导致生猪养殖行业主要上市公司经营业绩均出现较大亏损。因公司募集资金投资项目主要为生猪养殖，且目前疫病对生猪养殖影响也较为突出，生物安全风险较大，该项目生物安全和场区宿舍等配套设施尚未全部完成。为保证募集资金安全、合理运用，严格把控风险，公司结合行业的整体发展状况，并按照谨慎性原则对本项目实施进度进行一定的放缓；截止</w:t>
            </w:r>
            <w:r w:rsidRPr="0063248C">
              <w:rPr>
                <w:rFonts w:cs="宋体"/>
                <w:sz w:val="18"/>
                <w:szCs w:val="18"/>
              </w:rPr>
              <w:t>2024</w:t>
            </w:r>
            <w:r w:rsidRPr="0063248C">
              <w:rPr>
                <w:rFonts w:cs="宋体"/>
                <w:sz w:val="18"/>
                <w:szCs w:val="18"/>
              </w:rPr>
              <w:t>年</w:t>
            </w:r>
            <w:r w:rsidRPr="0063248C">
              <w:rPr>
                <w:rFonts w:cs="宋体"/>
                <w:sz w:val="18"/>
                <w:szCs w:val="18"/>
              </w:rPr>
              <w:t>6</w:t>
            </w:r>
            <w:r w:rsidRPr="0063248C">
              <w:rPr>
                <w:rFonts w:cs="宋体"/>
                <w:sz w:val="18"/>
                <w:szCs w:val="18"/>
              </w:rPr>
              <w:t>月末，项目尚未全部投入使用。因此，该项目尚未达到预计收益。</w:t>
            </w:r>
          </w:p>
          <w:p w14:paraId="39262BB0" w14:textId="77777777" w:rsidR="007B3DB2" w:rsidRPr="0063248C" w:rsidRDefault="00000000">
            <w:pPr>
              <w:spacing w:line="240" w:lineRule="exact"/>
              <w:rPr>
                <w:rFonts w:cs="宋体"/>
                <w:sz w:val="18"/>
                <w:szCs w:val="18"/>
              </w:rPr>
            </w:pPr>
            <w:r w:rsidRPr="0063248C">
              <w:rPr>
                <w:rFonts w:cs="宋体"/>
                <w:sz w:val="18"/>
                <w:szCs w:val="18"/>
              </w:rPr>
              <w:t>3</w:t>
            </w:r>
            <w:r w:rsidRPr="0063248C">
              <w:rPr>
                <w:rFonts w:cs="宋体"/>
                <w:sz w:val="18"/>
                <w:szCs w:val="18"/>
              </w:rPr>
              <w:t>、补充流动资金：</w:t>
            </w:r>
          </w:p>
          <w:p w14:paraId="0866C214" w14:textId="77777777" w:rsidR="007B3DB2" w:rsidRPr="0063248C" w:rsidRDefault="00000000">
            <w:pPr>
              <w:spacing w:line="240" w:lineRule="exact"/>
              <w:rPr>
                <w:rFonts w:cs="宋体"/>
                <w:sz w:val="18"/>
                <w:szCs w:val="18"/>
              </w:rPr>
            </w:pPr>
            <w:r w:rsidRPr="0063248C">
              <w:rPr>
                <w:rFonts w:cs="宋体"/>
                <w:sz w:val="18"/>
                <w:szCs w:val="18"/>
              </w:rPr>
              <w:t>补充流动资金无法单独核算效益，但通过增加公司营运资金，提高公司资产运转能力和支付能力，提高公司经营抗风险能力，对公司经营业绩产生积极影响，从而间接提高公司效益。</w:t>
            </w:r>
          </w:p>
          <w:p w14:paraId="69302326" w14:textId="77777777" w:rsidR="007B3DB2" w:rsidRPr="0063248C" w:rsidRDefault="00000000">
            <w:pPr>
              <w:spacing w:line="240" w:lineRule="exact"/>
              <w:rPr>
                <w:rFonts w:cs="宋体"/>
                <w:sz w:val="18"/>
                <w:szCs w:val="18"/>
              </w:rPr>
            </w:pPr>
            <w:r w:rsidRPr="0063248C">
              <w:rPr>
                <w:rFonts w:cs="宋体"/>
                <w:sz w:val="18"/>
                <w:szCs w:val="18"/>
              </w:rPr>
              <w:t>4</w:t>
            </w:r>
            <w:r w:rsidRPr="0063248C">
              <w:rPr>
                <w:rFonts w:cs="宋体"/>
                <w:sz w:val="18"/>
                <w:szCs w:val="18"/>
              </w:rPr>
              <w:t>、山东新建年出栏生猪</w:t>
            </w:r>
            <w:r w:rsidRPr="0063248C">
              <w:rPr>
                <w:rFonts w:cs="宋体"/>
                <w:sz w:val="18"/>
                <w:szCs w:val="18"/>
              </w:rPr>
              <w:t>66</w:t>
            </w:r>
            <w:r w:rsidRPr="0063248C">
              <w:rPr>
                <w:rFonts w:cs="宋体"/>
                <w:sz w:val="18"/>
                <w:szCs w:val="18"/>
              </w:rPr>
              <w:t>万头养殖项目：</w:t>
            </w:r>
          </w:p>
          <w:p w14:paraId="76C1573F" w14:textId="77777777" w:rsidR="007B3DB2" w:rsidRPr="0063248C" w:rsidRDefault="00000000">
            <w:pPr>
              <w:spacing w:line="240" w:lineRule="exact"/>
              <w:rPr>
                <w:rFonts w:cs="宋体"/>
                <w:sz w:val="18"/>
                <w:szCs w:val="18"/>
              </w:rPr>
            </w:pPr>
            <w:r w:rsidRPr="0063248C">
              <w:rPr>
                <w:rFonts w:cs="宋体"/>
                <w:sz w:val="18"/>
                <w:szCs w:val="18"/>
              </w:rPr>
              <w:t>受行业周期影响，自</w:t>
            </w:r>
            <w:r w:rsidRPr="0063248C">
              <w:rPr>
                <w:rFonts w:cs="宋体"/>
                <w:sz w:val="18"/>
                <w:szCs w:val="18"/>
              </w:rPr>
              <w:t>2021</w:t>
            </w:r>
            <w:r w:rsidRPr="0063248C">
              <w:rPr>
                <w:rFonts w:cs="宋体"/>
                <w:sz w:val="18"/>
                <w:szCs w:val="18"/>
              </w:rPr>
              <w:t>年生猪产能全面恢复以来，猪周期进入下行通道，生猪销售价格持续下跌，且</w:t>
            </w:r>
            <w:r w:rsidRPr="0063248C">
              <w:rPr>
                <w:rFonts w:cs="宋体"/>
                <w:sz w:val="18"/>
                <w:szCs w:val="18"/>
              </w:rPr>
              <w:t>2023</w:t>
            </w:r>
            <w:r w:rsidRPr="0063248C">
              <w:rPr>
                <w:rFonts w:cs="宋体"/>
                <w:sz w:val="18"/>
                <w:szCs w:val="18"/>
              </w:rPr>
              <w:t>年度生猪销售价格持续在低位徘徊，导致生猪养殖行业主要上市公司经营业绩均出现较大亏损。因公司募集资金投资项目主要为生猪养殖，且目前疫病对生猪养殖影响也较为突出，生物安全风险较大，该项目生物安全和场区宿舍等配套设施尚未全部完成。为保证募集资金安全、合理运用，严格把控风险，公司结合行业的整体发展状况，并按照谨慎性原则对本项目实施进度进行一定的放缓；截止</w:t>
            </w:r>
            <w:r w:rsidRPr="0063248C">
              <w:rPr>
                <w:rFonts w:cs="宋体"/>
                <w:sz w:val="18"/>
                <w:szCs w:val="18"/>
              </w:rPr>
              <w:t>2024</w:t>
            </w:r>
            <w:r w:rsidRPr="0063248C">
              <w:rPr>
                <w:rFonts w:cs="宋体"/>
                <w:sz w:val="18"/>
                <w:szCs w:val="18"/>
              </w:rPr>
              <w:t>年</w:t>
            </w:r>
            <w:r w:rsidRPr="0063248C">
              <w:rPr>
                <w:rFonts w:cs="宋体"/>
                <w:sz w:val="18"/>
                <w:szCs w:val="18"/>
              </w:rPr>
              <w:t>6</w:t>
            </w:r>
            <w:r w:rsidRPr="0063248C">
              <w:rPr>
                <w:rFonts w:cs="宋体"/>
                <w:sz w:val="18"/>
                <w:szCs w:val="18"/>
              </w:rPr>
              <w:t>月末，项目尚未全部投入使用。因此，该项目尚未达到预计收益。</w:t>
            </w:r>
          </w:p>
        </w:tc>
      </w:tr>
      <w:tr w:rsidR="007B3DB2" w:rsidRPr="0063248C" w14:paraId="021CBEA5"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shd w:val="clear" w:color="auto" w:fill="D3D3D3"/>
            <w:vAlign w:val="center"/>
          </w:tcPr>
          <w:p w14:paraId="2984716F" w14:textId="77777777" w:rsidR="007B3DB2" w:rsidRPr="0063248C" w:rsidRDefault="00000000">
            <w:pPr>
              <w:spacing w:before="40" w:after="40" w:line="240" w:lineRule="exact"/>
              <w:rPr>
                <w:rFonts w:cs="宋体"/>
                <w:sz w:val="18"/>
                <w:szCs w:val="18"/>
              </w:rPr>
            </w:pPr>
            <w:r w:rsidRPr="0063248C">
              <w:rPr>
                <w:rFonts w:cs="宋体"/>
                <w:sz w:val="18"/>
                <w:szCs w:val="18"/>
              </w:rPr>
              <w:t>项目可行性发生重大变化的情况说明</w:t>
            </w:r>
          </w:p>
        </w:tc>
        <w:tc>
          <w:tcPr>
            <w:tcW w:w="4299" w:type="pct"/>
            <w:gridSpan w:val="10"/>
            <w:tcBorders>
              <w:top w:val="single" w:sz="2" w:space="0" w:color="auto"/>
              <w:left w:val="single" w:sz="2" w:space="0" w:color="auto"/>
              <w:bottom w:val="single" w:sz="2" w:space="0" w:color="auto"/>
              <w:right w:val="single" w:sz="2" w:space="0" w:color="auto"/>
            </w:tcBorders>
            <w:vAlign w:val="center"/>
          </w:tcPr>
          <w:p w14:paraId="59007887" w14:textId="77777777" w:rsidR="007B3DB2" w:rsidRPr="0063248C" w:rsidRDefault="00000000">
            <w:pPr>
              <w:spacing w:line="240" w:lineRule="exact"/>
              <w:rPr>
                <w:rFonts w:cs="宋体"/>
                <w:sz w:val="18"/>
                <w:szCs w:val="18"/>
              </w:rPr>
            </w:pPr>
            <w:r w:rsidRPr="0063248C">
              <w:rPr>
                <w:rFonts w:cs="宋体"/>
                <w:sz w:val="18"/>
                <w:szCs w:val="18"/>
              </w:rPr>
              <w:t>无</w:t>
            </w:r>
          </w:p>
        </w:tc>
      </w:tr>
      <w:tr w:rsidR="007B3DB2" w:rsidRPr="0063248C" w14:paraId="6BB98312"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shd w:val="clear" w:color="auto" w:fill="D3D3D3"/>
            <w:vAlign w:val="center"/>
          </w:tcPr>
          <w:p w14:paraId="23CA6D20" w14:textId="77777777" w:rsidR="007B3DB2" w:rsidRPr="0063248C" w:rsidRDefault="00000000">
            <w:pPr>
              <w:spacing w:before="40" w:after="40" w:line="240" w:lineRule="exact"/>
              <w:rPr>
                <w:rFonts w:cs="宋体"/>
                <w:sz w:val="18"/>
                <w:szCs w:val="18"/>
              </w:rPr>
            </w:pPr>
            <w:r w:rsidRPr="0063248C">
              <w:rPr>
                <w:rFonts w:cs="宋体"/>
                <w:sz w:val="18"/>
                <w:szCs w:val="18"/>
              </w:rPr>
              <w:t>超募资金的金额、用途及使用进展情况</w:t>
            </w:r>
          </w:p>
        </w:tc>
        <w:tc>
          <w:tcPr>
            <w:tcW w:w="4299" w:type="pct"/>
            <w:gridSpan w:val="10"/>
            <w:tcBorders>
              <w:top w:val="single" w:sz="2" w:space="0" w:color="auto"/>
              <w:left w:val="single" w:sz="2" w:space="0" w:color="auto"/>
              <w:bottom w:val="single" w:sz="2" w:space="0" w:color="auto"/>
              <w:right w:val="single" w:sz="2" w:space="0" w:color="auto"/>
            </w:tcBorders>
            <w:vAlign w:val="center"/>
          </w:tcPr>
          <w:p w14:paraId="27C92C69" w14:textId="77777777" w:rsidR="007B3DB2" w:rsidRPr="0063248C" w:rsidRDefault="00000000">
            <w:pPr>
              <w:spacing w:line="240" w:lineRule="exact"/>
              <w:rPr>
                <w:rFonts w:cs="宋体"/>
                <w:sz w:val="18"/>
                <w:szCs w:val="18"/>
              </w:rPr>
            </w:pPr>
            <w:r w:rsidRPr="0063248C">
              <w:rPr>
                <w:rFonts w:cs="宋体"/>
                <w:sz w:val="18"/>
                <w:szCs w:val="18"/>
              </w:rPr>
              <w:t>不适用</w:t>
            </w:r>
          </w:p>
        </w:tc>
      </w:tr>
      <w:tr w:rsidR="007B3DB2" w:rsidRPr="0063248C" w14:paraId="7D3E7D0A"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shd w:val="clear" w:color="auto" w:fill="D3D3D3"/>
            <w:vAlign w:val="center"/>
          </w:tcPr>
          <w:p w14:paraId="46E63BF4" w14:textId="77777777" w:rsidR="007B3DB2" w:rsidRPr="0063248C" w:rsidRDefault="00000000">
            <w:pPr>
              <w:spacing w:before="40" w:after="40" w:line="240" w:lineRule="exact"/>
              <w:rPr>
                <w:rFonts w:cs="宋体"/>
                <w:sz w:val="18"/>
                <w:szCs w:val="18"/>
              </w:rPr>
            </w:pPr>
            <w:r w:rsidRPr="0063248C">
              <w:rPr>
                <w:rFonts w:cs="宋体"/>
                <w:sz w:val="18"/>
                <w:szCs w:val="18"/>
              </w:rPr>
              <w:t>募集资金投资项目实施地点变更情况</w:t>
            </w:r>
          </w:p>
        </w:tc>
        <w:tc>
          <w:tcPr>
            <w:tcW w:w="4299" w:type="pct"/>
            <w:gridSpan w:val="10"/>
            <w:tcBorders>
              <w:top w:val="single" w:sz="2" w:space="0" w:color="auto"/>
              <w:left w:val="single" w:sz="2" w:space="0" w:color="auto"/>
              <w:bottom w:val="single" w:sz="2" w:space="0" w:color="auto"/>
              <w:right w:val="single" w:sz="2" w:space="0" w:color="auto"/>
            </w:tcBorders>
            <w:vAlign w:val="center"/>
          </w:tcPr>
          <w:p w14:paraId="0996E792" w14:textId="77777777" w:rsidR="007B3DB2" w:rsidRPr="0063248C" w:rsidRDefault="00000000">
            <w:pPr>
              <w:spacing w:line="240" w:lineRule="exact"/>
              <w:rPr>
                <w:rFonts w:cs="宋体"/>
                <w:sz w:val="18"/>
                <w:szCs w:val="18"/>
              </w:rPr>
            </w:pPr>
            <w:r w:rsidRPr="0063248C">
              <w:rPr>
                <w:rFonts w:cs="宋体"/>
                <w:sz w:val="18"/>
                <w:szCs w:val="18"/>
              </w:rPr>
              <w:t>不适用</w:t>
            </w:r>
          </w:p>
        </w:tc>
      </w:tr>
      <w:tr w:rsidR="007B3DB2" w:rsidRPr="0063248C" w14:paraId="78FD625B"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shd w:val="clear" w:color="auto" w:fill="D3D3D3"/>
            <w:vAlign w:val="center"/>
          </w:tcPr>
          <w:p w14:paraId="614FE0E4" w14:textId="77777777" w:rsidR="007B3DB2" w:rsidRPr="0063248C" w:rsidRDefault="00000000">
            <w:pPr>
              <w:spacing w:before="40" w:after="40" w:line="240" w:lineRule="exact"/>
              <w:rPr>
                <w:rFonts w:cs="宋体"/>
                <w:sz w:val="18"/>
                <w:szCs w:val="18"/>
              </w:rPr>
            </w:pPr>
            <w:r w:rsidRPr="0063248C">
              <w:rPr>
                <w:rFonts w:cs="宋体"/>
                <w:sz w:val="18"/>
                <w:szCs w:val="18"/>
              </w:rPr>
              <w:t>募集资金投资项目实施方式调整情况</w:t>
            </w:r>
          </w:p>
        </w:tc>
        <w:tc>
          <w:tcPr>
            <w:tcW w:w="4299" w:type="pct"/>
            <w:gridSpan w:val="10"/>
            <w:tcBorders>
              <w:top w:val="single" w:sz="2" w:space="0" w:color="auto"/>
              <w:left w:val="single" w:sz="2" w:space="0" w:color="auto"/>
              <w:bottom w:val="single" w:sz="2" w:space="0" w:color="auto"/>
              <w:right w:val="single" w:sz="2" w:space="0" w:color="auto"/>
            </w:tcBorders>
            <w:vAlign w:val="center"/>
          </w:tcPr>
          <w:p w14:paraId="50737932" w14:textId="77777777" w:rsidR="007B3DB2" w:rsidRPr="0063248C" w:rsidRDefault="00000000">
            <w:pPr>
              <w:spacing w:line="240" w:lineRule="exact"/>
              <w:rPr>
                <w:rFonts w:cs="宋体"/>
                <w:sz w:val="18"/>
                <w:szCs w:val="18"/>
              </w:rPr>
            </w:pPr>
            <w:r w:rsidRPr="0063248C">
              <w:rPr>
                <w:rFonts w:cs="宋体"/>
                <w:sz w:val="18"/>
                <w:szCs w:val="18"/>
              </w:rPr>
              <w:t>不适用</w:t>
            </w:r>
          </w:p>
        </w:tc>
      </w:tr>
      <w:tr w:rsidR="007B3DB2" w:rsidRPr="0063248C" w14:paraId="4713AE47" w14:textId="77777777" w:rsidTr="00C117DA">
        <w:trPr>
          <w:trHeight w:val="240"/>
          <w:jc w:val="center"/>
        </w:trPr>
        <w:tc>
          <w:tcPr>
            <w:tcW w:w="701"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BB32C2E" w14:textId="77777777" w:rsidR="007B3DB2" w:rsidRPr="0063248C" w:rsidRDefault="00000000">
            <w:pPr>
              <w:spacing w:before="40" w:after="40" w:line="240" w:lineRule="exact"/>
              <w:rPr>
                <w:rFonts w:cs="宋体"/>
                <w:sz w:val="18"/>
                <w:szCs w:val="18"/>
              </w:rPr>
            </w:pPr>
            <w:r w:rsidRPr="0063248C">
              <w:rPr>
                <w:rFonts w:cs="宋体"/>
                <w:sz w:val="18"/>
                <w:szCs w:val="18"/>
              </w:rPr>
              <w:t>募集资金投资项目先期投入及置换情况</w:t>
            </w:r>
          </w:p>
        </w:tc>
        <w:tc>
          <w:tcPr>
            <w:tcW w:w="4299" w:type="pct"/>
            <w:gridSpan w:val="10"/>
            <w:tcBorders>
              <w:top w:val="single" w:sz="2" w:space="0" w:color="auto"/>
              <w:left w:val="single" w:sz="2" w:space="0" w:color="auto"/>
              <w:bottom w:val="single" w:sz="2" w:space="0" w:color="auto"/>
              <w:right w:val="single" w:sz="2" w:space="0" w:color="auto"/>
            </w:tcBorders>
            <w:vAlign w:val="center"/>
          </w:tcPr>
          <w:p w14:paraId="13B2A293" w14:textId="77777777" w:rsidR="007B3DB2" w:rsidRPr="0063248C" w:rsidRDefault="00000000">
            <w:pPr>
              <w:spacing w:line="240" w:lineRule="exact"/>
              <w:rPr>
                <w:rFonts w:cs="宋体"/>
                <w:sz w:val="18"/>
                <w:szCs w:val="18"/>
              </w:rPr>
            </w:pPr>
            <w:r w:rsidRPr="0063248C">
              <w:rPr>
                <w:rFonts w:cs="宋体"/>
                <w:sz w:val="18"/>
                <w:szCs w:val="18"/>
              </w:rPr>
              <w:t>适用</w:t>
            </w:r>
          </w:p>
        </w:tc>
      </w:tr>
      <w:tr w:rsidR="007B3DB2" w:rsidRPr="0063248C" w14:paraId="3D2A9E97" w14:textId="77777777" w:rsidTr="00C117DA">
        <w:trPr>
          <w:trHeight w:val="240"/>
          <w:jc w:val="center"/>
        </w:trPr>
        <w:tc>
          <w:tcPr>
            <w:tcW w:w="701"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5911C191" w14:textId="77777777" w:rsidR="007B3DB2" w:rsidRPr="0063248C" w:rsidRDefault="007B3DB2"/>
        </w:tc>
        <w:tc>
          <w:tcPr>
            <w:tcW w:w="4299" w:type="pct"/>
            <w:gridSpan w:val="10"/>
            <w:tcBorders>
              <w:top w:val="single" w:sz="2" w:space="0" w:color="auto"/>
              <w:left w:val="single" w:sz="2" w:space="0" w:color="auto"/>
              <w:bottom w:val="single" w:sz="2" w:space="0" w:color="auto"/>
              <w:right w:val="single" w:sz="2" w:space="0" w:color="auto"/>
            </w:tcBorders>
            <w:vAlign w:val="center"/>
          </w:tcPr>
          <w:p w14:paraId="193BC779" w14:textId="77777777" w:rsidR="007B3DB2" w:rsidRPr="0063248C" w:rsidRDefault="00000000">
            <w:pPr>
              <w:spacing w:line="240" w:lineRule="exact"/>
              <w:rPr>
                <w:rFonts w:cs="宋体"/>
                <w:sz w:val="18"/>
                <w:szCs w:val="18"/>
              </w:rPr>
            </w:pPr>
            <w:r w:rsidRPr="0063248C">
              <w:rPr>
                <w:rFonts w:cs="宋体"/>
                <w:sz w:val="18"/>
                <w:szCs w:val="18"/>
              </w:rPr>
              <w:t>2020</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20</w:t>
            </w:r>
            <w:r w:rsidRPr="0063248C">
              <w:rPr>
                <w:rFonts w:cs="宋体"/>
                <w:sz w:val="18"/>
                <w:szCs w:val="18"/>
              </w:rPr>
              <w:t>日，经公司董事会审议通过，公司以募集资金</w:t>
            </w:r>
            <w:r w:rsidRPr="0063248C">
              <w:rPr>
                <w:rFonts w:cs="宋体"/>
                <w:sz w:val="18"/>
                <w:szCs w:val="18"/>
              </w:rPr>
              <w:t>3,581.42</w:t>
            </w:r>
            <w:r w:rsidRPr="0063248C">
              <w:rPr>
                <w:rFonts w:cs="宋体"/>
                <w:sz w:val="18"/>
                <w:szCs w:val="18"/>
              </w:rPr>
              <w:t>万元对先期投入的</w:t>
            </w:r>
            <w:r w:rsidRPr="0063248C">
              <w:rPr>
                <w:rFonts w:cs="宋体"/>
                <w:sz w:val="18"/>
                <w:szCs w:val="18"/>
              </w:rPr>
              <w:t>3,581.42</w:t>
            </w:r>
            <w:r w:rsidRPr="0063248C">
              <w:rPr>
                <w:rFonts w:cs="宋体"/>
                <w:sz w:val="18"/>
                <w:szCs w:val="18"/>
              </w:rPr>
              <w:t>万元自筹资金进行了置换。该事项已经中</w:t>
            </w:r>
            <w:proofErr w:type="gramStart"/>
            <w:r w:rsidRPr="0063248C">
              <w:rPr>
                <w:rFonts w:cs="宋体"/>
                <w:sz w:val="18"/>
                <w:szCs w:val="18"/>
              </w:rPr>
              <w:t>审众环</w:t>
            </w:r>
            <w:proofErr w:type="gramEnd"/>
            <w:r w:rsidRPr="0063248C">
              <w:rPr>
                <w:rFonts w:cs="宋体"/>
                <w:sz w:val="18"/>
                <w:szCs w:val="18"/>
              </w:rPr>
              <w:t>会计师事务所（特殊普通合伙）于</w:t>
            </w:r>
            <w:r w:rsidRPr="0063248C">
              <w:rPr>
                <w:rFonts w:cs="宋体"/>
                <w:sz w:val="18"/>
                <w:szCs w:val="18"/>
              </w:rPr>
              <w:t>2020</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4</w:t>
            </w:r>
            <w:r w:rsidRPr="0063248C">
              <w:rPr>
                <w:rFonts w:cs="宋体"/>
                <w:sz w:val="18"/>
                <w:szCs w:val="18"/>
              </w:rPr>
              <w:t>日出具</w:t>
            </w:r>
            <w:proofErr w:type="gramStart"/>
            <w:r w:rsidRPr="0063248C">
              <w:rPr>
                <w:rFonts w:cs="宋体"/>
                <w:sz w:val="18"/>
                <w:szCs w:val="18"/>
              </w:rPr>
              <w:t>众环专字</w:t>
            </w:r>
            <w:proofErr w:type="gramEnd"/>
            <w:r w:rsidRPr="0063248C">
              <w:rPr>
                <w:rFonts w:cs="宋体"/>
                <w:sz w:val="18"/>
                <w:szCs w:val="18"/>
              </w:rPr>
              <w:t>[2020]280025</w:t>
            </w:r>
            <w:r w:rsidRPr="0063248C">
              <w:rPr>
                <w:rFonts w:cs="宋体"/>
                <w:sz w:val="18"/>
                <w:szCs w:val="18"/>
              </w:rPr>
              <w:t>号专项报告予以</w:t>
            </w:r>
            <w:proofErr w:type="gramStart"/>
            <w:r w:rsidRPr="0063248C">
              <w:rPr>
                <w:rFonts w:cs="宋体"/>
                <w:sz w:val="18"/>
                <w:szCs w:val="18"/>
              </w:rPr>
              <w:t>鉴证</w:t>
            </w:r>
            <w:proofErr w:type="gramEnd"/>
            <w:r w:rsidRPr="0063248C">
              <w:rPr>
                <w:rFonts w:cs="宋体"/>
                <w:sz w:val="18"/>
                <w:szCs w:val="18"/>
              </w:rPr>
              <w:t>。</w:t>
            </w:r>
          </w:p>
          <w:p w14:paraId="256020BC" w14:textId="77777777" w:rsidR="007B3DB2" w:rsidRPr="0063248C" w:rsidRDefault="00000000">
            <w:pPr>
              <w:spacing w:line="240" w:lineRule="exact"/>
              <w:rPr>
                <w:rFonts w:cs="宋体"/>
                <w:sz w:val="18"/>
                <w:szCs w:val="18"/>
              </w:rPr>
            </w:pPr>
            <w:r w:rsidRPr="0063248C">
              <w:rPr>
                <w:rFonts w:cs="宋体"/>
                <w:sz w:val="18"/>
                <w:szCs w:val="18"/>
              </w:rPr>
              <w:t>2021</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12</w:t>
            </w:r>
            <w:r w:rsidRPr="0063248C">
              <w:rPr>
                <w:rFonts w:cs="宋体"/>
                <w:sz w:val="18"/>
                <w:szCs w:val="18"/>
              </w:rPr>
              <w:t>日，公司第四届董事会第三十四次会议审议通过了《关于使用非公开发行股票募集资金置换预先投入募投项目自筹资金的议案》，同意公司使用非公开发行股票募集资金置换已投入募集资金项目的自筹资金，合计金额为</w:t>
            </w:r>
            <w:r w:rsidRPr="0063248C">
              <w:rPr>
                <w:rFonts w:cs="宋体"/>
                <w:sz w:val="18"/>
                <w:szCs w:val="18"/>
              </w:rPr>
              <w:t>12,210.29</w:t>
            </w:r>
            <w:r w:rsidRPr="0063248C">
              <w:rPr>
                <w:rFonts w:cs="宋体"/>
                <w:sz w:val="18"/>
                <w:szCs w:val="18"/>
              </w:rPr>
              <w:t>万元。该事项已经中</w:t>
            </w:r>
            <w:proofErr w:type="gramStart"/>
            <w:r w:rsidRPr="0063248C">
              <w:rPr>
                <w:rFonts w:cs="宋体"/>
                <w:sz w:val="18"/>
                <w:szCs w:val="18"/>
              </w:rPr>
              <w:t>审众环</w:t>
            </w:r>
            <w:proofErr w:type="gramEnd"/>
            <w:r w:rsidRPr="0063248C">
              <w:rPr>
                <w:rFonts w:cs="宋体"/>
                <w:sz w:val="18"/>
                <w:szCs w:val="18"/>
              </w:rPr>
              <w:t>会计师事务所（特殊普通合伙）出具《山东龙大肉食品股份有限公司以自筹资金预先投入募集资金投资项目情况报告的</w:t>
            </w:r>
            <w:proofErr w:type="gramStart"/>
            <w:r w:rsidRPr="0063248C">
              <w:rPr>
                <w:rFonts w:cs="宋体"/>
                <w:sz w:val="18"/>
                <w:szCs w:val="18"/>
              </w:rPr>
              <w:t>鉴证</w:t>
            </w:r>
            <w:proofErr w:type="gramEnd"/>
            <w:r w:rsidRPr="0063248C">
              <w:rPr>
                <w:rFonts w:cs="宋体"/>
                <w:sz w:val="18"/>
                <w:szCs w:val="18"/>
              </w:rPr>
              <w:t>报告》（</w:t>
            </w:r>
            <w:proofErr w:type="gramStart"/>
            <w:r w:rsidRPr="0063248C">
              <w:rPr>
                <w:rFonts w:cs="宋体"/>
                <w:sz w:val="18"/>
                <w:szCs w:val="18"/>
              </w:rPr>
              <w:t>众环专字</w:t>
            </w:r>
            <w:proofErr w:type="gramEnd"/>
            <w:r w:rsidRPr="0063248C">
              <w:rPr>
                <w:rFonts w:cs="宋体"/>
                <w:sz w:val="18"/>
                <w:szCs w:val="18"/>
              </w:rPr>
              <w:t>（</w:t>
            </w:r>
            <w:r w:rsidRPr="0063248C">
              <w:rPr>
                <w:rFonts w:cs="宋体"/>
                <w:sz w:val="18"/>
                <w:szCs w:val="18"/>
              </w:rPr>
              <w:t>2021</w:t>
            </w:r>
            <w:r w:rsidRPr="0063248C">
              <w:rPr>
                <w:rFonts w:cs="宋体"/>
                <w:sz w:val="18"/>
                <w:szCs w:val="18"/>
              </w:rPr>
              <w:t>）</w:t>
            </w:r>
            <w:r w:rsidRPr="0063248C">
              <w:rPr>
                <w:rFonts w:cs="宋体"/>
                <w:sz w:val="18"/>
                <w:szCs w:val="18"/>
              </w:rPr>
              <w:t>2800021</w:t>
            </w:r>
            <w:r w:rsidRPr="0063248C">
              <w:rPr>
                <w:rFonts w:cs="宋体"/>
                <w:sz w:val="18"/>
                <w:szCs w:val="18"/>
              </w:rPr>
              <w:t>号）予以</w:t>
            </w:r>
            <w:proofErr w:type="gramStart"/>
            <w:r w:rsidRPr="0063248C">
              <w:rPr>
                <w:rFonts w:cs="宋体"/>
                <w:sz w:val="18"/>
                <w:szCs w:val="18"/>
              </w:rPr>
              <w:t>鉴证</w:t>
            </w:r>
            <w:proofErr w:type="gramEnd"/>
            <w:r w:rsidRPr="0063248C">
              <w:rPr>
                <w:rFonts w:cs="宋体"/>
                <w:sz w:val="18"/>
                <w:szCs w:val="18"/>
              </w:rPr>
              <w:t>。</w:t>
            </w:r>
          </w:p>
          <w:p w14:paraId="73D4937A" w14:textId="77777777" w:rsidR="007B3DB2" w:rsidRPr="0063248C" w:rsidRDefault="00000000">
            <w:pPr>
              <w:spacing w:line="240" w:lineRule="exact"/>
              <w:rPr>
                <w:rFonts w:cs="宋体"/>
                <w:sz w:val="18"/>
                <w:szCs w:val="18"/>
              </w:rPr>
            </w:pPr>
            <w:r w:rsidRPr="0063248C">
              <w:rPr>
                <w:rFonts w:cs="宋体"/>
                <w:sz w:val="18"/>
                <w:szCs w:val="18"/>
              </w:rPr>
              <w:t>公司独立董事、监事会及保荐机构已分别对上述事项发表同意意见。</w:t>
            </w:r>
          </w:p>
        </w:tc>
      </w:tr>
      <w:tr w:rsidR="007B3DB2" w:rsidRPr="0063248C" w14:paraId="597CF548" w14:textId="77777777" w:rsidTr="00C117DA">
        <w:trPr>
          <w:trHeight w:val="240"/>
          <w:jc w:val="center"/>
        </w:trPr>
        <w:tc>
          <w:tcPr>
            <w:tcW w:w="701"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712D6A8"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用闲置募集资金暂时补充流动资金情况</w:t>
            </w:r>
          </w:p>
        </w:tc>
        <w:tc>
          <w:tcPr>
            <w:tcW w:w="4299" w:type="pct"/>
            <w:gridSpan w:val="10"/>
            <w:tcBorders>
              <w:top w:val="single" w:sz="2" w:space="0" w:color="auto"/>
              <w:left w:val="single" w:sz="2" w:space="0" w:color="auto"/>
              <w:bottom w:val="single" w:sz="2" w:space="0" w:color="auto"/>
              <w:right w:val="single" w:sz="2" w:space="0" w:color="auto"/>
            </w:tcBorders>
            <w:vAlign w:val="center"/>
          </w:tcPr>
          <w:p w14:paraId="18C1AFAB" w14:textId="77777777" w:rsidR="007B3DB2" w:rsidRPr="0063248C" w:rsidRDefault="00000000">
            <w:pPr>
              <w:spacing w:line="240" w:lineRule="exact"/>
              <w:rPr>
                <w:rFonts w:cs="宋体"/>
                <w:sz w:val="18"/>
                <w:szCs w:val="18"/>
              </w:rPr>
            </w:pPr>
            <w:r w:rsidRPr="0063248C">
              <w:rPr>
                <w:rFonts w:cs="宋体"/>
                <w:sz w:val="18"/>
                <w:szCs w:val="18"/>
              </w:rPr>
              <w:t>适用</w:t>
            </w:r>
          </w:p>
        </w:tc>
      </w:tr>
      <w:tr w:rsidR="007B3DB2" w:rsidRPr="0063248C" w14:paraId="34B0EFBC" w14:textId="77777777" w:rsidTr="00C117DA">
        <w:trPr>
          <w:trHeight w:val="240"/>
          <w:jc w:val="center"/>
        </w:trPr>
        <w:tc>
          <w:tcPr>
            <w:tcW w:w="701"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29DAB3E8" w14:textId="77777777" w:rsidR="007B3DB2" w:rsidRPr="0063248C" w:rsidRDefault="007B3DB2"/>
        </w:tc>
        <w:tc>
          <w:tcPr>
            <w:tcW w:w="4299" w:type="pct"/>
            <w:gridSpan w:val="10"/>
            <w:tcBorders>
              <w:top w:val="single" w:sz="2" w:space="0" w:color="auto"/>
              <w:left w:val="single" w:sz="2" w:space="0" w:color="auto"/>
              <w:bottom w:val="single" w:sz="2" w:space="0" w:color="auto"/>
              <w:right w:val="single" w:sz="2" w:space="0" w:color="auto"/>
            </w:tcBorders>
            <w:vAlign w:val="center"/>
          </w:tcPr>
          <w:p w14:paraId="4634A293" w14:textId="77777777" w:rsidR="007B3DB2" w:rsidRPr="0063248C" w:rsidRDefault="00000000">
            <w:pPr>
              <w:spacing w:line="240" w:lineRule="exact"/>
              <w:rPr>
                <w:rFonts w:cs="宋体"/>
                <w:sz w:val="18"/>
                <w:szCs w:val="18"/>
              </w:rPr>
            </w:pPr>
            <w:r w:rsidRPr="0063248C">
              <w:rPr>
                <w:rFonts w:cs="宋体"/>
                <w:sz w:val="18"/>
                <w:szCs w:val="18"/>
              </w:rPr>
              <w:t>2021</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12</w:t>
            </w:r>
            <w:r w:rsidRPr="0063248C">
              <w:rPr>
                <w:rFonts w:cs="宋体"/>
                <w:sz w:val="18"/>
                <w:szCs w:val="18"/>
              </w:rPr>
              <w:t>日，经公司第四届董事会第三十四次会议审议通过了《关于使用部分闲置募集资金暂时补充流动资金的议案》，公司决定使用可转换债券部分闲置募集资金</w:t>
            </w:r>
            <w:r w:rsidRPr="0063248C">
              <w:rPr>
                <w:rFonts w:cs="宋体"/>
                <w:sz w:val="18"/>
                <w:szCs w:val="18"/>
              </w:rPr>
              <w:t>46,247.96</w:t>
            </w:r>
            <w:r w:rsidRPr="0063248C">
              <w:rPr>
                <w:rFonts w:cs="宋体"/>
                <w:sz w:val="18"/>
                <w:szCs w:val="18"/>
              </w:rPr>
              <w:t>万元（含本数）暂时补充流动资金，该笔资金仅限于公司主营业务相关的生产经营使用，使用期限自董事会审议通过之日起十二个月内，在决议有效期内上述额度可以滚动使用，到期后将及时归还到公司募集资金专项存储账户。</w:t>
            </w:r>
          </w:p>
          <w:p w14:paraId="6C4DAC54" w14:textId="77777777" w:rsidR="007B3DB2" w:rsidRPr="0063248C" w:rsidRDefault="00000000">
            <w:pPr>
              <w:spacing w:line="240" w:lineRule="exact"/>
              <w:rPr>
                <w:rFonts w:cs="宋体"/>
                <w:sz w:val="18"/>
                <w:szCs w:val="18"/>
              </w:rPr>
            </w:pPr>
            <w:r w:rsidRPr="0063248C">
              <w:rPr>
                <w:rFonts w:cs="宋体"/>
                <w:sz w:val="18"/>
                <w:szCs w:val="18"/>
              </w:rPr>
              <w:t>截至</w:t>
            </w:r>
            <w:r w:rsidRPr="0063248C">
              <w:rPr>
                <w:rFonts w:cs="宋体"/>
                <w:sz w:val="18"/>
                <w:szCs w:val="18"/>
              </w:rPr>
              <w:t>2022</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5</w:t>
            </w:r>
            <w:r w:rsidRPr="0063248C">
              <w:rPr>
                <w:rFonts w:cs="宋体"/>
                <w:sz w:val="18"/>
                <w:szCs w:val="18"/>
              </w:rPr>
              <w:t>日，公司已按规定将上述用于暂时补充流动资金的募集资金全部归还至募集资金专项账户，使用期限均未超过</w:t>
            </w:r>
            <w:r w:rsidRPr="0063248C">
              <w:rPr>
                <w:rFonts w:cs="宋体"/>
                <w:sz w:val="18"/>
                <w:szCs w:val="18"/>
              </w:rPr>
              <w:t>12</w:t>
            </w:r>
            <w:r w:rsidRPr="0063248C">
              <w:rPr>
                <w:rFonts w:cs="宋体"/>
                <w:sz w:val="18"/>
                <w:szCs w:val="18"/>
              </w:rPr>
              <w:t>个月。</w:t>
            </w:r>
          </w:p>
          <w:p w14:paraId="7AD904EE" w14:textId="77777777" w:rsidR="007B3DB2" w:rsidRPr="0063248C" w:rsidRDefault="00000000">
            <w:pPr>
              <w:spacing w:line="240" w:lineRule="exact"/>
              <w:rPr>
                <w:rFonts w:cs="宋体"/>
                <w:sz w:val="18"/>
                <w:szCs w:val="18"/>
              </w:rPr>
            </w:pPr>
            <w:r w:rsidRPr="0063248C">
              <w:rPr>
                <w:rFonts w:cs="宋体"/>
                <w:sz w:val="18"/>
                <w:szCs w:val="18"/>
              </w:rPr>
              <w:t>2022</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12</w:t>
            </w:r>
            <w:r w:rsidRPr="0063248C">
              <w:rPr>
                <w:rFonts w:cs="宋体"/>
                <w:sz w:val="18"/>
                <w:szCs w:val="18"/>
              </w:rPr>
              <w:t>日，经公司第五届董事会第五次会议审议通过了《关于继续使用部分闲置募集资金暂时补充流动资金的议案》，公司决定使用可转换债券部分闲置募集资金</w:t>
            </w:r>
            <w:r w:rsidRPr="0063248C">
              <w:rPr>
                <w:rFonts w:cs="宋体"/>
                <w:sz w:val="18"/>
                <w:szCs w:val="18"/>
              </w:rPr>
              <w:t>40,572.67</w:t>
            </w:r>
            <w:r w:rsidRPr="0063248C">
              <w:rPr>
                <w:rFonts w:cs="宋体"/>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729F0662" w14:textId="77777777" w:rsidR="007B3DB2" w:rsidRPr="0063248C" w:rsidRDefault="00000000">
            <w:pPr>
              <w:spacing w:line="240" w:lineRule="exact"/>
              <w:rPr>
                <w:rFonts w:cs="宋体"/>
                <w:sz w:val="18"/>
                <w:szCs w:val="18"/>
              </w:rPr>
            </w:pPr>
            <w:r w:rsidRPr="0063248C">
              <w:rPr>
                <w:rFonts w:cs="宋体"/>
                <w:sz w:val="18"/>
                <w:szCs w:val="18"/>
              </w:rPr>
              <w:t>截至</w:t>
            </w:r>
            <w:r w:rsidRPr="0063248C">
              <w:rPr>
                <w:rFonts w:cs="宋体"/>
                <w:sz w:val="18"/>
                <w:szCs w:val="18"/>
              </w:rPr>
              <w:t>2023</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11</w:t>
            </w:r>
            <w:r w:rsidRPr="0063248C">
              <w:rPr>
                <w:rFonts w:cs="宋体"/>
                <w:sz w:val="18"/>
                <w:szCs w:val="18"/>
              </w:rPr>
              <w:t>日，公司已按规定将上述用于暂时补充流动资金的募集资金全部归还至对应募集资金专项账户，使用期限均未超过</w:t>
            </w:r>
            <w:r w:rsidRPr="0063248C">
              <w:rPr>
                <w:rFonts w:cs="宋体"/>
                <w:sz w:val="18"/>
                <w:szCs w:val="18"/>
              </w:rPr>
              <w:t xml:space="preserve"> 12 </w:t>
            </w:r>
            <w:proofErr w:type="gramStart"/>
            <w:r w:rsidRPr="0063248C">
              <w:rPr>
                <w:rFonts w:cs="宋体"/>
                <w:sz w:val="18"/>
                <w:szCs w:val="18"/>
              </w:rPr>
              <w:t>个</w:t>
            </w:r>
            <w:proofErr w:type="gramEnd"/>
            <w:r w:rsidRPr="0063248C">
              <w:rPr>
                <w:rFonts w:cs="宋体"/>
                <w:sz w:val="18"/>
                <w:szCs w:val="18"/>
              </w:rPr>
              <w:t>月。</w:t>
            </w:r>
          </w:p>
          <w:p w14:paraId="59C4DB68"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14</w:t>
            </w:r>
            <w:r w:rsidRPr="0063248C">
              <w:rPr>
                <w:rFonts w:cs="宋体"/>
                <w:sz w:val="18"/>
                <w:szCs w:val="18"/>
              </w:rPr>
              <w:t>日，经公司第五届董事会第十五次会议审议通过了《关于继续使用部分闲置募集资金暂时补充流动资金的议案》，公司决定使用可转换债券闲置募集资金补充流动资金的金额不超过</w:t>
            </w:r>
            <w:r w:rsidRPr="0063248C">
              <w:rPr>
                <w:rFonts w:cs="宋体"/>
                <w:sz w:val="18"/>
                <w:szCs w:val="18"/>
              </w:rPr>
              <w:t xml:space="preserve">39,900.00 </w:t>
            </w:r>
            <w:r w:rsidRPr="0063248C">
              <w:rPr>
                <w:rFonts w:cs="宋体"/>
                <w:sz w:val="18"/>
                <w:szCs w:val="18"/>
              </w:rPr>
              <w:t>万元，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7021FDB8" w14:textId="77777777" w:rsidR="007B3DB2" w:rsidRPr="0063248C" w:rsidRDefault="00000000">
            <w:pPr>
              <w:spacing w:line="240" w:lineRule="exact"/>
              <w:rPr>
                <w:rFonts w:cs="宋体"/>
                <w:sz w:val="18"/>
                <w:szCs w:val="18"/>
              </w:rPr>
            </w:pPr>
            <w:r w:rsidRPr="0063248C">
              <w:rPr>
                <w:rFonts w:cs="宋体"/>
                <w:sz w:val="18"/>
                <w:szCs w:val="18"/>
              </w:rPr>
              <w:t>2021</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12</w:t>
            </w:r>
            <w:r w:rsidRPr="0063248C">
              <w:rPr>
                <w:rFonts w:cs="宋体"/>
                <w:sz w:val="18"/>
                <w:szCs w:val="18"/>
              </w:rPr>
              <w:t>日，经公司第四届董事会第三十四次会议审议通过了《关于使用部分闲置募集资金暂时补充流动资金的议案》，公司决定使用非公开发行股票部分闲置募集资金</w:t>
            </w:r>
            <w:r w:rsidRPr="0063248C">
              <w:rPr>
                <w:rFonts w:cs="宋体"/>
                <w:sz w:val="18"/>
                <w:szCs w:val="18"/>
              </w:rPr>
              <w:t>28,256.35</w:t>
            </w:r>
            <w:r w:rsidRPr="0063248C">
              <w:rPr>
                <w:rFonts w:cs="宋体"/>
                <w:sz w:val="18"/>
                <w:szCs w:val="18"/>
              </w:rPr>
              <w:t>万元（含本数）暂时补充流动资金，该笔资金仅限于公司主营业务相关的生产经营使用，使用期限自董事会审议通过之日起十二个月内，在决议有效期内上述额度可以滚动使用，到期后将及时归还到公司募集资金专项存储账户。</w:t>
            </w:r>
          </w:p>
          <w:p w14:paraId="630F6CFC" w14:textId="77777777" w:rsidR="007B3DB2" w:rsidRPr="0063248C" w:rsidRDefault="00000000">
            <w:pPr>
              <w:spacing w:line="240" w:lineRule="exact"/>
              <w:rPr>
                <w:rFonts w:cs="宋体"/>
                <w:sz w:val="18"/>
                <w:szCs w:val="18"/>
              </w:rPr>
            </w:pPr>
            <w:r w:rsidRPr="0063248C">
              <w:rPr>
                <w:rFonts w:cs="宋体"/>
                <w:sz w:val="18"/>
                <w:szCs w:val="18"/>
              </w:rPr>
              <w:t>截至</w:t>
            </w:r>
            <w:r w:rsidRPr="0063248C">
              <w:rPr>
                <w:rFonts w:cs="宋体"/>
                <w:sz w:val="18"/>
                <w:szCs w:val="18"/>
              </w:rPr>
              <w:t>2022</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5</w:t>
            </w:r>
            <w:r w:rsidRPr="0063248C">
              <w:rPr>
                <w:rFonts w:cs="宋体"/>
                <w:sz w:val="18"/>
                <w:szCs w:val="18"/>
              </w:rPr>
              <w:t>日，公司已按规定将上述用于暂时补充流动资金的募集资金全部归还至募集资金专项账户，使用期限均未超过</w:t>
            </w:r>
            <w:r w:rsidRPr="0063248C">
              <w:rPr>
                <w:rFonts w:cs="宋体"/>
                <w:sz w:val="18"/>
                <w:szCs w:val="18"/>
              </w:rPr>
              <w:t>12</w:t>
            </w:r>
            <w:r w:rsidRPr="0063248C">
              <w:rPr>
                <w:rFonts w:cs="宋体"/>
                <w:sz w:val="18"/>
                <w:szCs w:val="18"/>
              </w:rPr>
              <w:t>个月。</w:t>
            </w:r>
          </w:p>
          <w:p w14:paraId="61D4E42D" w14:textId="77777777" w:rsidR="007B3DB2" w:rsidRPr="0063248C" w:rsidRDefault="00000000">
            <w:pPr>
              <w:spacing w:line="240" w:lineRule="exact"/>
              <w:rPr>
                <w:rFonts w:cs="宋体"/>
                <w:sz w:val="18"/>
                <w:szCs w:val="18"/>
              </w:rPr>
            </w:pPr>
            <w:r w:rsidRPr="0063248C">
              <w:rPr>
                <w:rFonts w:cs="宋体"/>
                <w:sz w:val="18"/>
                <w:szCs w:val="18"/>
              </w:rPr>
              <w:t>2022</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12</w:t>
            </w:r>
            <w:r w:rsidRPr="0063248C">
              <w:rPr>
                <w:rFonts w:cs="宋体"/>
                <w:sz w:val="18"/>
                <w:szCs w:val="18"/>
              </w:rPr>
              <w:t>日，经公司第五届董事会第五次会议审议通过了《关于继续使用部分闲置募集资金暂时补充流动资金的议案》，公司决定使用非公开发行股票部分闲置募集资金补充流动资金的金额不超过</w:t>
            </w:r>
            <w:r w:rsidRPr="0063248C">
              <w:rPr>
                <w:rFonts w:cs="宋体"/>
                <w:sz w:val="18"/>
                <w:szCs w:val="18"/>
              </w:rPr>
              <w:t xml:space="preserve"> 12,182.35</w:t>
            </w:r>
            <w:r w:rsidRPr="0063248C">
              <w:rPr>
                <w:rFonts w:cs="宋体"/>
                <w:sz w:val="18"/>
                <w:szCs w:val="18"/>
              </w:rPr>
              <w:t>（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3F426A04" w14:textId="77777777" w:rsidR="007B3DB2" w:rsidRPr="0063248C" w:rsidRDefault="00000000">
            <w:pPr>
              <w:spacing w:line="240" w:lineRule="exact"/>
              <w:rPr>
                <w:rFonts w:cs="宋体"/>
                <w:sz w:val="18"/>
                <w:szCs w:val="18"/>
              </w:rPr>
            </w:pPr>
            <w:r w:rsidRPr="0063248C">
              <w:rPr>
                <w:rFonts w:cs="宋体"/>
                <w:sz w:val="18"/>
                <w:szCs w:val="18"/>
              </w:rPr>
              <w:t>截至</w:t>
            </w:r>
            <w:r w:rsidRPr="0063248C">
              <w:rPr>
                <w:rFonts w:cs="宋体"/>
                <w:sz w:val="18"/>
                <w:szCs w:val="18"/>
              </w:rPr>
              <w:t>2023</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11</w:t>
            </w:r>
            <w:r w:rsidRPr="0063248C">
              <w:rPr>
                <w:rFonts w:cs="宋体"/>
                <w:sz w:val="18"/>
                <w:szCs w:val="18"/>
              </w:rPr>
              <w:t>日，公司已按规定将上述用于暂时补充流动资金的募集资金全部归还至募集资金专项账户，使用期限均未超过</w:t>
            </w:r>
            <w:r w:rsidRPr="0063248C">
              <w:rPr>
                <w:rFonts w:cs="宋体"/>
                <w:sz w:val="18"/>
                <w:szCs w:val="18"/>
              </w:rPr>
              <w:t xml:space="preserve"> 12 </w:t>
            </w:r>
            <w:proofErr w:type="gramStart"/>
            <w:r w:rsidRPr="0063248C">
              <w:rPr>
                <w:rFonts w:cs="宋体"/>
                <w:sz w:val="18"/>
                <w:szCs w:val="18"/>
              </w:rPr>
              <w:t>个</w:t>
            </w:r>
            <w:proofErr w:type="gramEnd"/>
            <w:r w:rsidRPr="0063248C">
              <w:rPr>
                <w:rFonts w:cs="宋体"/>
                <w:sz w:val="18"/>
                <w:szCs w:val="18"/>
              </w:rPr>
              <w:t>月。</w:t>
            </w:r>
          </w:p>
          <w:p w14:paraId="71E9E2DB"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14</w:t>
            </w:r>
            <w:r w:rsidRPr="0063248C">
              <w:rPr>
                <w:rFonts w:cs="宋体"/>
                <w:sz w:val="18"/>
                <w:szCs w:val="18"/>
              </w:rPr>
              <w:t>日，经公司第五届董事会第十五次会议审议通过了《关于继续使用部分闲置募集资金暂时补充流动资金的议案》，公司决定使用非公开发行股票部分闲置募集资金补充流动资金的金额不超过</w:t>
            </w:r>
            <w:r w:rsidRPr="0063248C">
              <w:rPr>
                <w:rFonts w:cs="宋体"/>
                <w:sz w:val="18"/>
                <w:szCs w:val="18"/>
              </w:rPr>
              <w:t xml:space="preserve"> 10,100.00 </w:t>
            </w:r>
            <w:r w:rsidRPr="0063248C">
              <w:rPr>
                <w:rFonts w:cs="宋体"/>
                <w:sz w:val="18"/>
                <w:szCs w:val="18"/>
              </w:rPr>
              <w:t>万元，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tc>
      </w:tr>
      <w:tr w:rsidR="007B3DB2" w:rsidRPr="0063248C" w14:paraId="3A57C929"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shd w:val="clear" w:color="auto" w:fill="D3D3D3"/>
            <w:vAlign w:val="center"/>
          </w:tcPr>
          <w:p w14:paraId="02E9C2A9" w14:textId="77777777" w:rsidR="007B3DB2" w:rsidRPr="0063248C" w:rsidRDefault="00000000">
            <w:pPr>
              <w:spacing w:before="40" w:after="40" w:line="240" w:lineRule="exact"/>
              <w:rPr>
                <w:rFonts w:cs="宋体"/>
                <w:sz w:val="18"/>
                <w:szCs w:val="18"/>
              </w:rPr>
            </w:pPr>
            <w:r w:rsidRPr="0063248C">
              <w:rPr>
                <w:rFonts w:cs="宋体"/>
                <w:sz w:val="18"/>
                <w:szCs w:val="18"/>
              </w:rPr>
              <w:t>项目实施出现募集资金结余的金额及原因</w:t>
            </w:r>
          </w:p>
        </w:tc>
        <w:tc>
          <w:tcPr>
            <w:tcW w:w="4299" w:type="pct"/>
            <w:gridSpan w:val="10"/>
            <w:tcBorders>
              <w:top w:val="single" w:sz="2" w:space="0" w:color="auto"/>
              <w:left w:val="single" w:sz="2" w:space="0" w:color="auto"/>
              <w:bottom w:val="single" w:sz="2" w:space="0" w:color="auto"/>
              <w:right w:val="single" w:sz="2" w:space="0" w:color="auto"/>
            </w:tcBorders>
            <w:vAlign w:val="center"/>
          </w:tcPr>
          <w:p w14:paraId="5CDD8C2F" w14:textId="77777777" w:rsidR="007B3DB2" w:rsidRPr="0063248C" w:rsidRDefault="00000000">
            <w:pPr>
              <w:spacing w:line="240" w:lineRule="exact"/>
              <w:rPr>
                <w:rFonts w:cs="宋体"/>
                <w:sz w:val="18"/>
                <w:szCs w:val="18"/>
              </w:rPr>
            </w:pPr>
            <w:r w:rsidRPr="0063248C">
              <w:rPr>
                <w:rFonts w:cs="宋体"/>
                <w:sz w:val="18"/>
                <w:szCs w:val="18"/>
              </w:rPr>
              <w:t>不适用</w:t>
            </w:r>
          </w:p>
        </w:tc>
      </w:tr>
      <w:tr w:rsidR="007B3DB2" w:rsidRPr="0063248C" w14:paraId="0D11A4BF"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shd w:val="clear" w:color="auto" w:fill="D3D3D3"/>
            <w:vAlign w:val="center"/>
          </w:tcPr>
          <w:p w14:paraId="54CCEB75" w14:textId="77777777" w:rsidR="007B3DB2" w:rsidRPr="0063248C" w:rsidRDefault="00000000">
            <w:pPr>
              <w:spacing w:before="40" w:after="40" w:line="240" w:lineRule="exact"/>
              <w:rPr>
                <w:rFonts w:cs="宋体"/>
                <w:sz w:val="18"/>
                <w:szCs w:val="18"/>
              </w:rPr>
            </w:pPr>
            <w:r w:rsidRPr="0063248C">
              <w:rPr>
                <w:rFonts w:cs="宋体"/>
                <w:sz w:val="18"/>
                <w:szCs w:val="18"/>
              </w:rPr>
              <w:t>尚未使用的募集资金用途及去向</w:t>
            </w:r>
          </w:p>
        </w:tc>
        <w:tc>
          <w:tcPr>
            <w:tcW w:w="4299" w:type="pct"/>
            <w:gridSpan w:val="10"/>
            <w:tcBorders>
              <w:top w:val="single" w:sz="2" w:space="0" w:color="auto"/>
              <w:left w:val="single" w:sz="2" w:space="0" w:color="auto"/>
              <w:bottom w:val="single" w:sz="2" w:space="0" w:color="auto"/>
              <w:right w:val="single" w:sz="2" w:space="0" w:color="auto"/>
            </w:tcBorders>
            <w:vAlign w:val="center"/>
          </w:tcPr>
          <w:p w14:paraId="5471BEDF" w14:textId="77777777" w:rsidR="007B3DB2" w:rsidRPr="0063248C" w:rsidRDefault="00000000">
            <w:pPr>
              <w:spacing w:line="240" w:lineRule="exact"/>
              <w:rPr>
                <w:rFonts w:cs="宋体"/>
                <w:sz w:val="18"/>
                <w:szCs w:val="18"/>
              </w:rPr>
            </w:pPr>
            <w:r w:rsidRPr="0063248C">
              <w:rPr>
                <w:rFonts w:cs="宋体"/>
                <w:sz w:val="18"/>
                <w:szCs w:val="18"/>
              </w:rPr>
              <w:t>尚未使用的募集资金主要用于以下用途：</w:t>
            </w:r>
          </w:p>
          <w:p w14:paraId="2AB442E9"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）暂时补充流动资金</w:t>
            </w:r>
            <w:r w:rsidRPr="0063248C">
              <w:rPr>
                <w:rFonts w:cs="宋体"/>
                <w:sz w:val="18"/>
                <w:szCs w:val="18"/>
              </w:rPr>
              <w:t>39,730.00</w:t>
            </w:r>
            <w:r w:rsidRPr="0063248C">
              <w:rPr>
                <w:rFonts w:cs="宋体"/>
                <w:sz w:val="18"/>
                <w:szCs w:val="18"/>
              </w:rPr>
              <w:t>万元；</w:t>
            </w:r>
          </w:p>
          <w:p w14:paraId="6077AC93"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）其余未使用的募集资金人民币</w:t>
            </w:r>
            <w:r w:rsidRPr="0063248C">
              <w:rPr>
                <w:rFonts w:cs="宋体"/>
                <w:sz w:val="18"/>
                <w:szCs w:val="18"/>
              </w:rPr>
              <w:t>1.24</w:t>
            </w:r>
            <w:r w:rsidRPr="0063248C">
              <w:rPr>
                <w:rFonts w:cs="宋体"/>
                <w:sz w:val="18"/>
                <w:szCs w:val="18"/>
              </w:rPr>
              <w:t>万元存放于募集资金专用账户。</w:t>
            </w:r>
          </w:p>
          <w:p w14:paraId="6A246BA0" w14:textId="77777777" w:rsidR="007B3DB2" w:rsidRPr="0063248C" w:rsidRDefault="00000000">
            <w:pPr>
              <w:spacing w:line="240" w:lineRule="exact"/>
              <w:rPr>
                <w:rFonts w:cs="宋体"/>
                <w:sz w:val="18"/>
                <w:szCs w:val="18"/>
              </w:rPr>
            </w:pPr>
            <w:r w:rsidRPr="0063248C">
              <w:rPr>
                <w:rFonts w:cs="宋体"/>
                <w:sz w:val="18"/>
                <w:szCs w:val="18"/>
              </w:rPr>
              <w:t>尚未使用的募集资金主要用于以下用途：</w:t>
            </w:r>
          </w:p>
          <w:p w14:paraId="1241CC5E"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）暂时补充流动资金</w:t>
            </w:r>
            <w:r w:rsidRPr="0063248C">
              <w:rPr>
                <w:rFonts w:cs="宋体"/>
                <w:sz w:val="18"/>
                <w:szCs w:val="18"/>
              </w:rPr>
              <w:t>9,889.68</w:t>
            </w:r>
            <w:r w:rsidRPr="0063248C">
              <w:rPr>
                <w:rFonts w:cs="宋体"/>
                <w:sz w:val="18"/>
                <w:szCs w:val="18"/>
              </w:rPr>
              <w:t>万元；</w:t>
            </w:r>
          </w:p>
          <w:p w14:paraId="0149F391"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）其余未使用的募集资金人民币</w:t>
            </w:r>
            <w:r w:rsidRPr="0063248C">
              <w:rPr>
                <w:rFonts w:cs="宋体"/>
                <w:sz w:val="18"/>
                <w:szCs w:val="18"/>
              </w:rPr>
              <w:t>484.8</w:t>
            </w:r>
            <w:r w:rsidRPr="0063248C">
              <w:rPr>
                <w:rFonts w:cs="宋体"/>
                <w:sz w:val="18"/>
                <w:szCs w:val="18"/>
              </w:rPr>
              <w:t>万元存放于募集资金专用账户。</w:t>
            </w:r>
          </w:p>
        </w:tc>
      </w:tr>
      <w:tr w:rsidR="007B3DB2" w:rsidRPr="0063248C" w14:paraId="3FA1DD24" w14:textId="77777777" w:rsidTr="00C117DA">
        <w:trPr>
          <w:trHeight w:val="240"/>
          <w:jc w:val="center"/>
        </w:trPr>
        <w:tc>
          <w:tcPr>
            <w:tcW w:w="701" w:type="pct"/>
            <w:tcBorders>
              <w:top w:val="single" w:sz="2" w:space="0" w:color="auto"/>
              <w:left w:val="single" w:sz="2" w:space="0" w:color="auto"/>
              <w:bottom w:val="single" w:sz="2" w:space="0" w:color="auto"/>
              <w:right w:val="single" w:sz="2" w:space="0" w:color="auto"/>
            </w:tcBorders>
            <w:shd w:val="clear" w:color="auto" w:fill="D3D3D3"/>
            <w:vAlign w:val="center"/>
          </w:tcPr>
          <w:p w14:paraId="78E9E729" w14:textId="77777777" w:rsidR="007B3DB2" w:rsidRPr="0063248C" w:rsidRDefault="00000000">
            <w:pPr>
              <w:spacing w:before="40" w:after="40" w:line="240" w:lineRule="exact"/>
              <w:rPr>
                <w:rFonts w:cs="宋体"/>
                <w:sz w:val="18"/>
                <w:szCs w:val="18"/>
              </w:rPr>
            </w:pPr>
            <w:r w:rsidRPr="0063248C">
              <w:rPr>
                <w:rFonts w:cs="宋体"/>
                <w:sz w:val="18"/>
                <w:szCs w:val="18"/>
              </w:rPr>
              <w:t>募集资金使用及披露中存在的问题或其他情况</w:t>
            </w:r>
          </w:p>
        </w:tc>
        <w:tc>
          <w:tcPr>
            <w:tcW w:w="4299" w:type="pct"/>
            <w:gridSpan w:val="10"/>
            <w:tcBorders>
              <w:top w:val="single" w:sz="2" w:space="0" w:color="auto"/>
              <w:left w:val="single" w:sz="2" w:space="0" w:color="auto"/>
              <w:bottom w:val="single" w:sz="2" w:space="0" w:color="auto"/>
              <w:right w:val="single" w:sz="2" w:space="0" w:color="auto"/>
            </w:tcBorders>
            <w:vAlign w:val="center"/>
          </w:tcPr>
          <w:p w14:paraId="405608F1" w14:textId="77777777" w:rsidR="007B3DB2" w:rsidRPr="0063248C" w:rsidRDefault="00000000">
            <w:pPr>
              <w:spacing w:line="240" w:lineRule="exact"/>
              <w:rPr>
                <w:rFonts w:cs="宋体"/>
                <w:sz w:val="18"/>
                <w:szCs w:val="18"/>
              </w:rPr>
            </w:pPr>
            <w:r w:rsidRPr="0063248C">
              <w:rPr>
                <w:rFonts w:cs="宋体"/>
                <w:sz w:val="18"/>
                <w:szCs w:val="18"/>
              </w:rPr>
              <w:t>鉴于公司</w:t>
            </w:r>
            <w:r w:rsidRPr="0063248C">
              <w:rPr>
                <w:rFonts w:cs="宋体"/>
                <w:sz w:val="18"/>
                <w:szCs w:val="18"/>
              </w:rPr>
              <w:t>“</w:t>
            </w:r>
            <w:r w:rsidRPr="0063248C">
              <w:rPr>
                <w:rFonts w:cs="宋体"/>
                <w:sz w:val="18"/>
                <w:szCs w:val="18"/>
              </w:rPr>
              <w:t>安丘市石埠子镇新建年出栏</w:t>
            </w:r>
            <w:r w:rsidRPr="0063248C">
              <w:rPr>
                <w:rFonts w:cs="宋体"/>
                <w:sz w:val="18"/>
                <w:szCs w:val="18"/>
              </w:rPr>
              <w:t>50</w:t>
            </w:r>
            <w:r w:rsidRPr="0063248C">
              <w:rPr>
                <w:rFonts w:cs="宋体"/>
                <w:sz w:val="18"/>
                <w:szCs w:val="18"/>
              </w:rPr>
              <w:t>万头商品猪项目</w:t>
            </w:r>
            <w:r w:rsidRPr="0063248C">
              <w:rPr>
                <w:rFonts w:cs="宋体"/>
                <w:sz w:val="18"/>
                <w:szCs w:val="18"/>
              </w:rPr>
              <w:t>”</w:t>
            </w:r>
            <w:r w:rsidRPr="0063248C">
              <w:rPr>
                <w:rFonts w:cs="宋体"/>
                <w:sz w:val="18"/>
                <w:szCs w:val="18"/>
              </w:rPr>
              <w:t>和</w:t>
            </w:r>
            <w:r w:rsidRPr="0063248C">
              <w:rPr>
                <w:rFonts w:cs="宋体"/>
                <w:sz w:val="18"/>
                <w:szCs w:val="18"/>
              </w:rPr>
              <w:t>“</w:t>
            </w:r>
            <w:r w:rsidRPr="0063248C">
              <w:rPr>
                <w:rFonts w:cs="宋体"/>
                <w:sz w:val="18"/>
                <w:szCs w:val="18"/>
              </w:rPr>
              <w:t>山东新建年出栏生猪</w:t>
            </w:r>
            <w:r w:rsidRPr="0063248C">
              <w:rPr>
                <w:rFonts w:cs="宋体"/>
                <w:sz w:val="18"/>
                <w:szCs w:val="18"/>
              </w:rPr>
              <w:t>66</w:t>
            </w:r>
            <w:r w:rsidRPr="0063248C">
              <w:rPr>
                <w:rFonts w:cs="宋体"/>
                <w:sz w:val="18"/>
                <w:szCs w:val="18"/>
              </w:rPr>
              <w:t>万头养殖项目</w:t>
            </w:r>
            <w:r w:rsidRPr="0063248C">
              <w:rPr>
                <w:rFonts w:cs="宋体"/>
                <w:sz w:val="18"/>
                <w:szCs w:val="18"/>
              </w:rPr>
              <w:t>”</w:t>
            </w:r>
            <w:r w:rsidRPr="0063248C">
              <w:rPr>
                <w:rFonts w:cs="宋体"/>
                <w:sz w:val="18"/>
                <w:szCs w:val="18"/>
              </w:rPr>
              <w:t>投入进度不及预期，公司于</w:t>
            </w:r>
            <w:r w:rsidRPr="0063248C">
              <w:rPr>
                <w:rFonts w:cs="宋体"/>
                <w:sz w:val="18"/>
                <w:szCs w:val="18"/>
              </w:rPr>
              <w:t>2024</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29</w:t>
            </w:r>
            <w:r w:rsidRPr="0063248C">
              <w:rPr>
                <w:rFonts w:cs="宋体"/>
                <w:sz w:val="18"/>
                <w:szCs w:val="18"/>
              </w:rPr>
              <w:t>日召开了第五届董事会第二十四次会议、第五届监事会第十六次会议对</w:t>
            </w:r>
            <w:proofErr w:type="gramStart"/>
            <w:r w:rsidRPr="0063248C">
              <w:rPr>
                <w:rFonts w:cs="宋体"/>
                <w:sz w:val="18"/>
                <w:szCs w:val="18"/>
              </w:rPr>
              <w:t>募投项目</w:t>
            </w:r>
            <w:proofErr w:type="gramEnd"/>
            <w:r w:rsidRPr="0063248C">
              <w:rPr>
                <w:rFonts w:cs="宋体"/>
                <w:sz w:val="18"/>
                <w:szCs w:val="18"/>
              </w:rPr>
              <w:t>的必要性和可行性进行了重新论证和审议，并通过了《关于部分募集资金投资项目重新论证并继续实施的议案》，同意继续实施</w:t>
            </w:r>
            <w:proofErr w:type="gramStart"/>
            <w:r w:rsidRPr="0063248C">
              <w:rPr>
                <w:rFonts w:cs="宋体"/>
                <w:sz w:val="18"/>
                <w:szCs w:val="18"/>
              </w:rPr>
              <w:t>上述募投项目</w:t>
            </w:r>
            <w:proofErr w:type="gramEnd"/>
            <w:r w:rsidRPr="0063248C">
              <w:rPr>
                <w:rFonts w:cs="宋体"/>
                <w:sz w:val="18"/>
                <w:szCs w:val="18"/>
              </w:rPr>
              <w:t>。具体内容详见公司同日在《中国证券报》《证券时报》《证券日报》《上海证券报》和巨潮资讯网（</w:t>
            </w:r>
            <w:r w:rsidRPr="0063248C">
              <w:rPr>
                <w:rFonts w:cs="宋体"/>
                <w:sz w:val="18"/>
                <w:szCs w:val="18"/>
              </w:rPr>
              <w:t>www.cninfo.com.cn</w:t>
            </w:r>
            <w:r w:rsidRPr="0063248C">
              <w:rPr>
                <w:rFonts w:cs="宋体"/>
                <w:sz w:val="18"/>
                <w:szCs w:val="18"/>
              </w:rPr>
              <w:t>）披露的《山东龙大美食股份有限公司关于部分募集资金投资项目重新论证并继续实施的公告》。</w:t>
            </w:r>
          </w:p>
        </w:tc>
      </w:tr>
    </w:tbl>
    <w:p w14:paraId="3FAD94E1" w14:textId="77777777" w:rsidR="007B3DB2" w:rsidRPr="0063248C" w:rsidRDefault="00000000">
      <w:pPr>
        <w:keepNext/>
        <w:keepLines/>
        <w:spacing w:before="300" w:after="300" w:line="280" w:lineRule="exact"/>
        <w:outlineLvl w:val="3"/>
        <w:rPr>
          <w:rFonts w:cs="宋体"/>
          <w:b/>
          <w:bCs/>
          <w:sz w:val="18"/>
          <w:szCs w:val="18"/>
        </w:rPr>
      </w:pPr>
      <w:bookmarkStart w:id="33" w:name="_Toc988922"/>
      <w:r w:rsidRPr="0063248C">
        <w:rPr>
          <w:rFonts w:cs="宋体"/>
          <w:b/>
          <w:bCs/>
          <w:sz w:val="18"/>
          <w:szCs w:val="18"/>
        </w:rPr>
        <w:t>（</w:t>
      </w:r>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募集资金变更项目情况</w:t>
      </w:r>
      <w:bookmarkEnd w:id="33"/>
    </w:p>
    <w:p w14:paraId="01355DAC"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7575278"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公司报告期不存在募集资金变更项目情况。</w:t>
      </w:r>
    </w:p>
    <w:p w14:paraId="6C03AE44" w14:textId="77777777" w:rsidR="007B3DB2" w:rsidRPr="0063248C" w:rsidRDefault="00000000">
      <w:pPr>
        <w:pStyle w:val="2"/>
        <w:spacing w:before="300" w:after="300" w:line="320" w:lineRule="exact"/>
        <w:rPr>
          <w:rFonts w:cs="宋体"/>
          <w:b/>
          <w:bCs/>
          <w:sz w:val="24"/>
          <w:szCs w:val="24"/>
        </w:rPr>
      </w:pPr>
      <w:bookmarkStart w:id="34" w:name="_Toc988923"/>
      <w:r w:rsidRPr="0063248C">
        <w:rPr>
          <w:rFonts w:cs="宋体"/>
          <w:b/>
          <w:bCs/>
          <w:sz w:val="24"/>
          <w:szCs w:val="24"/>
        </w:rPr>
        <w:t>七、重大资产和股权出售</w:t>
      </w:r>
      <w:bookmarkEnd w:id="34"/>
    </w:p>
    <w:p w14:paraId="64416900" w14:textId="77777777" w:rsidR="007B3DB2" w:rsidRPr="0063248C" w:rsidRDefault="00000000">
      <w:pPr>
        <w:pStyle w:val="3"/>
        <w:spacing w:line="280" w:lineRule="exact"/>
        <w:jc w:val="left"/>
        <w:rPr>
          <w:rFonts w:cs="宋体"/>
          <w:b/>
          <w:bCs/>
        </w:rPr>
      </w:pPr>
      <w:bookmarkStart w:id="35" w:name="_Toc988924"/>
      <w:r w:rsidRPr="0063248C">
        <w:rPr>
          <w:rFonts w:cs="宋体"/>
          <w:b/>
          <w:bCs/>
        </w:rPr>
        <w:t>1</w:t>
      </w:r>
      <w:r w:rsidRPr="0063248C">
        <w:rPr>
          <w:rFonts w:cs="宋体"/>
          <w:b/>
          <w:bCs/>
        </w:rPr>
        <w:t>、出售重大资产情况</w:t>
      </w:r>
      <w:bookmarkEnd w:id="35"/>
    </w:p>
    <w:p w14:paraId="3C662068"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34F615D7" w14:textId="77777777" w:rsidR="007B3DB2" w:rsidRPr="0063248C" w:rsidRDefault="00000000">
      <w:pPr>
        <w:spacing w:before="40" w:after="40" w:line="240" w:lineRule="exact"/>
        <w:rPr>
          <w:rFonts w:cs="宋体"/>
          <w:sz w:val="18"/>
          <w:szCs w:val="18"/>
        </w:rPr>
      </w:pPr>
      <w:r w:rsidRPr="0063248C">
        <w:rPr>
          <w:rFonts w:cs="宋体"/>
          <w:sz w:val="18"/>
          <w:szCs w:val="18"/>
        </w:rPr>
        <w:t>公司报告期未出售重大资产。</w:t>
      </w:r>
    </w:p>
    <w:p w14:paraId="5FB0ADB3" w14:textId="77777777" w:rsidR="007B3DB2" w:rsidRPr="0063248C" w:rsidRDefault="00000000">
      <w:pPr>
        <w:pStyle w:val="3"/>
        <w:spacing w:line="280" w:lineRule="exact"/>
        <w:jc w:val="left"/>
        <w:rPr>
          <w:rFonts w:cs="宋体"/>
          <w:b/>
          <w:bCs/>
        </w:rPr>
      </w:pPr>
      <w:bookmarkStart w:id="36" w:name="_Toc988925"/>
      <w:r w:rsidRPr="0063248C">
        <w:rPr>
          <w:rFonts w:cs="宋体"/>
          <w:b/>
          <w:bCs/>
        </w:rPr>
        <w:t>2</w:t>
      </w:r>
      <w:r w:rsidRPr="0063248C">
        <w:rPr>
          <w:rFonts w:cs="宋体"/>
          <w:b/>
          <w:bCs/>
        </w:rPr>
        <w:t>、出售重大股权情况</w:t>
      </w:r>
      <w:bookmarkEnd w:id="36"/>
    </w:p>
    <w:p w14:paraId="180488A4"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0FAC28A" w14:textId="77777777" w:rsidR="007B3DB2" w:rsidRPr="0063248C" w:rsidRDefault="00000000">
      <w:pPr>
        <w:pStyle w:val="2"/>
        <w:spacing w:before="300" w:after="300" w:line="320" w:lineRule="exact"/>
        <w:rPr>
          <w:rFonts w:cs="宋体"/>
          <w:b/>
          <w:bCs/>
          <w:sz w:val="24"/>
          <w:szCs w:val="24"/>
        </w:rPr>
      </w:pPr>
      <w:bookmarkStart w:id="37" w:name="_Toc988926"/>
      <w:r w:rsidRPr="0063248C">
        <w:rPr>
          <w:rFonts w:cs="宋体"/>
          <w:b/>
          <w:bCs/>
          <w:sz w:val="24"/>
          <w:szCs w:val="24"/>
        </w:rPr>
        <w:t>八、主要控股参股公司分析</w:t>
      </w:r>
      <w:bookmarkEnd w:id="37"/>
    </w:p>
    <w:p w14:paraId="2F05DC22"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0EDAE071" w14:textId="77777777" w:rsidR="007B3DB2" w:rsidRPr="0063248C" w:rsidRDefault="00000000">
      <w:pPr>
        <w:spacing w:before="40" w:after="40" w:line="240" w:lineRule="exact"/>
        <w:rPr>
          <w:rFonts w:cs="宋体"/>
          <w:sz w:val="18"/>
          <w:szCs w:val="18"/>
        </w:rPr>
      </w:pPr>
      <w:r w:rsidRPr="0063248C">
        <w:rPr>
          <w:rFonts w:cs="宋体"/>
          <w:sz w:val="18"/>
          <w:szCs w:val="18"/>
        </w:rPr>
        <w:t>主要子公司及对公司净利润</w:t>
      </w:r>
      <w:proofErr w:type="gramStart"/>
      <w:r w:rsidRPr="0063248C">
        <w:rPr>
          <w:rFonts w:cs="宋体"/>
          <w:sz w:val="18"/>
          <w:szCs w:val="18"/>
        </w:rPr>
        <w:t>影响达</w:t>
      </w:r>
      <w:proofErr w:type="gramEnd"/>
      <w:r w:rsidRPr="0063248C">
        <w:rPr>
          <w:rFonts w:cs="宋体"/>
          <w:sz w:val="18"/>
          <w:szCs w:val="18"/>
        </w:rPr>
        <w:t>10%</w:t>
      </w:r>
      <w:r w:rsidRPr="0063248C">
        <w:rPr>
          <w:rFonts w:cs="宋体"/>
          <w:sz w:val="18"/>
          <w:szCs w:val="18"/>
        </w:rPr>
        <w:t>以上的参股公司情况</w:t>
      </w:r>
    </w:p>
    <w:p w14:paraId="7DE11717"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7B3DB2" w:rsidRPr="0063248C" w14:paraId="4195C217"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F3FD337" w14:textId="77777777" w:rsidR="007B3DB2" w:rsidRPr="0063248C" w:rsidRDefault="00000000">
            <w:pPr>
              <w:spacing w:before="40" w:after="40" w:line="240" w:lineRule="exact"/>
              <w:jc w:val="center"/>
              <w:rPr>
                <w:rFonts w:cs="宋体"/>
                <w:sz w:val="18"/>
                <w:szCs w:val="18"/>
              </w:rPr>
            </w:pPr>
            <w:r w:rsidRPr="0063248C">
              <w:rPr>
                <w:rFonts w:cs="宋体"/>
                <w:sz w:val="18"/>
                <w:szCs w:val="18"/>
              </w:rPr>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E96BEF9" w14:textId="77777777" w:rsidR="007B3DB2" w:rsidRPr="0063248C" w:rsidRDefault="00000000">
            <w:pPr>
              <w:spacing w:before="40" w:after="40" w:line="240" w:lineRule="exact"/>
              <w:jc w:val="center"/>
              <w:rPr>
                <w:rFonts w:cs="宋体"/>
                <w:sz w:val="18"/>
                <w:szCs w:val="18"/>
              </w:rPr>
            </w:pPr>
            <w:r w:rsidRPr="0063248C">
              <w:rPr>
                <w:rFonts w:cs="宋体"/>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8290FB4" w14:textId="77777777" w:rsidR="007B3DB2" w:rsidRPr="0063248C" w:rsidRDefault="00000000">
            <w:pPr>
              <w:spacing w:before="40" w:after="40" w:line="240" w:lineRule="exact"/>
              <w:jc w:val="center"/>
              <w:rPr>
                <w:rFonts w:cs="宋体"/>
                <w:sz w:val="18"/>
                <w:szCs w:val="18"/>
              </w:rPr>
            </w:pPr>
            <w:r w:rsidRPr="0063248C">
              <w:rPr>
                <w:rFonts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A4C3D89" w14:textId="77777777" w:rsidR="007B3DB2" w:rsidRPr="0063248C" w:rsidRDefault="00000000">
            <w:pPr>
              <w:spacing w:before="40" w:after="40" w:line="240" w:lineRule="exact"/>
              <w:jc w:val="center"/>
              <w:rPr>
                <w:rFonts w:cs="宋体"/>
                <w:sz w:val="18"/>
                <w:szCs w:val="18"/>
              </w:rPr>
            </w:pPr>
            <w:r w:rsidRPr="0063248C">
              <w:rPr>
                <w:rFonts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9E1A61C" w14:textId="77777777" w:rsidR="007B3DB2" w:rsidRPr="0063248C" w:rsidRDefault="00000000">
            <w:pPr>
              <w:spacing w:before="40" w:after="40" w:line="240" w:lineRule="exact"/>
              <w:jc w:val="center"/>
              <w:rPr>
                <w:rFonts w:cs="宋体"/>
                <w:sz w:val="18"/>
                <w:szCs w:val="18"/>
              </w:rPr>
            </w:pPr>
            <w:r w:rsidRPr="0063248C">
              <w:rPr>
                <w:rFonts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0AE44E2" w14:textId="77777777" w:rsidR="007B3DB2" w:rsidRPr="0063248C" w:rsidRDefault="00000000">
            <w:pPr>
              <w:spacing w:before="40" w:after="40" w:line="240" w:lineRule="exact"/>
              <w:jc w:val="center"/>
              <w:rPr>
                <w:rFonts w:cs="宋体"/>
                <w:sz w:val="18"/>
                <w:szCs w:val="18"/>
              </w:rPr>
            </w:pPr>
            <w:r w:rsidRPr="0063248C">
              <w:rPr>
                <w:rFonts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8955B3C" w14:textId="77777777" w:rsidR="007B3DB2" w:rsidRPr="0063248C" w:rsidRDefault="00000000">
            <w:pPr>
              <w:spacing w:before="40" w:after="40" w:line="240" w:lineRule="exact"/>
              <w:jc w:val="center"/>
              <w:rPr>
                <w:rFonts w:cs="宋体"/>
                <w:sz w:val="18"/>
                <w:szCs w:val="18"/>
              </w:rPr>
            </w:pPr>
            <w:r w:rsidRPr="0063248C">
              <w:rPr>
                <w:rFonts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4D9CB11" w14:textId="77777777" w:rsidR="007B3DB2" w:rsidRPr="0063248C" w:rsidRDefault="00000000">
            <w:pPr>
              <w:spacing w:before="40" w:after="40" w:line="240" w:lineRule="exact"/>
              <w:jc w:val="center"/>
              <w:rPr>
                <w:rFonts w:cs="宋体"/>
                <w:sz w:val="18"/>
                <w:szCs w:val="18"/>
              </w:rPr>
            </w:pPr>
            <w:r w:rsidRPr="0063248C">
              <w:rPr>
                <w:rFonts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24FFC7B" w14:textId="77777777" w:rsidR="007B3DB2" w:rsidRPr="0063248C" w:rsidRDefault="00000000">
            <w:pPr>
              <w:spacing w:before="40" w:after="40" w:line="240" w:lineRule="exact"/>
              <w:jc w:val="center"/>
              <w:rPr>
                <w:rFonts w:cs="宋体"/>
                <w:sz w:val="18"/>
                <w:szCs w:val="18"/>
              </w:rPr>
            </w:pPr>
            <w:r w:rsidRPr="0063248C">
              <w:rPr>
                <w:rFonts w:cs="宋体"/>
                <w:sz w:val="18"/>
                <w:szCs w:val="18"/>
              </w:rPr>
              <w:t>净利润</w:t>
            </w:r>
          </w:p>
        </w:tc>
      </w:tr>
      <w:tr w:rsidR="007B3DB2" w:rsidRPr="0063248C" w14:paraId="19151A6F"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943CA2B" w14:textId="77777777" w:rsidR="007B3DB2" w:rsidRPr="0063248C" w:rsidRDefault="00000000">
            <w:pPr>
              <w:spacing w:line="240" w:lineRule="exact"/>
              <w:rPr>
                <w:rFonts w:cs="宋体"/>
                <w:sz w:val="18"/>
                <w:szCs w:val="18"/>
              </w:rPr>
            </w:pPr>
            <w:r w:rsidRPr="0063248C">
              <w:rPr>
                <w:rFonts w:cs="宋体"/>
                <w:sz w:val="18"/>
                <w:szCs w:val="18"/>
              </w:rPr>
              <w:t>龙大养殖</w:t>
            </w:r>
          </w:p>
        </w:tc>
        <w:tc>
          <w:tcPr>
            <w:tcW w:w="1071" w:type="dxa"/>
            <w:tcBorders>
              <w:top w:val="single" w:sz="2" w:space="0" w:color="auto"/>
              <w:left w:val="single" w:sz="2" w:space="0" w:color="auto"/>
              <w:bottom w:val="single" w:sz="2" w:space="0" w:color="auto"/>
              <w:right w:val="single" w:sz="2" w:space="0" w:color="auto"/>
            </w:tcBorders>
            <w:vAlign w:val="center"/>
          </w:tcPr>
          <w:p w14:paraId="28AF96FC" w14:textId="77777777" w:rsidR="007B3DB2" w:rsidRPr="0063248C" w:rsidRDefault="00000000">
            <w:pPr>
              <w:spacing w:line="240" w:lineRule="exact"/>
              <w:rPr>
                <w:rFonts w:cs="宋体"/>
                <w:sz w:val="18"/>
                <w:szCs w:val="18"/>
              </w:rPr>
            </w:pPr>
            <w:r w:rsidRPr="0063248C">
              <w:rPr>
                <w:rFonts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73400056" w14:textId="77777777" w:rsidR="007B3DB2" w:rsidRPr="0063248C" w:rsidRDefault="00000000">
            <w:pPr>
              <w:spacing w:line="240" w:lineRule="exact"/>
              <w:rPr>
                <w:rFonts w:cs="宋体"/>
                <w:sz w:val="18"/>
                <w:szCs w:val="18"/>
              </w:rPr>
            </w:pPr>
            <w:r w:rsidRPr="0063248C">
              <w:rPr>
                <w:rFonts w:cs="宋体"/>
                <w:sz w:val="18"/>
                <w:szCs w:val="18"/>
              </w:rPr>
              <w:t>生猪养殖</w:t>
            </w:r>
          </w:p>
        </w:tc>
        <w:tc>
          <w:tcPr>
            <w:tcW w:w="1071" w:type="dxa"/>
            <w:tcBorders>
              <w:top w:val="single" w:sz="2" w:space="0" w:color="auto"/>
              <w:left w:val="single" w:sz="2" w:space="0" w:color="auto"/>
              <w:bottom w:val="single" w:sz="2" w:space="0" w:color="auto"/>
              <w:right w:val="single" w:sz="2" w:space="0" w:color="auto"/>
            </w:tcBorders>
            <w:vAlign w:val="center"/>
          </w:tcPr>
          <w:p w14:paraId="7959C552" w14:textId="33C155DE" w:rsidR="007B3DB2" w:rsidRPr="0063248C" w:rsidRDefault="00000000" w:rsidP="00F72FC8">
            <w:pPr>
              <w:spacing w:line="240" w:lineRule="exact"/>
              <w:jc w:val="right"/>
              <w:rPr>
                <w:rFonts w:cs="宋体"/>
                <w:sz w:val="18"/>
                <w:szCs w:val="18"/>
              </w:rPr>
            </w:pPr>
            <w:r w:rsidRPr="0063248C">
              <w:rPr>
                <w:rFonts w:cs="宋体"/>
                <w:sz w:val="18"/>
                <w:szCs w:val="18"/>
              </w:rPr>
              <w:t>15</w:t>
            </w:r>
            <w:r w:rsidR="00F72FC8">
              <w:rPr>
                <w:rFonts w:cs="宋体" w:hint="eastAsia"/>
                <w:sz w:val="18"/>
                <w:szCs w:val="18"/>
              </w:rPr>
              <w:t>,</w:t>
            </w:r>
            <w:r w:rsidRPr="0063248C">
              <w:rPr>
                <w:rFonts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03F3D227" w14:textId="77777777" w:rsidR="007B3DB2" w:rsidRPr="0063248C" w:rsidRDefault="00000000">
            <w:pPr>
              <w:spacing w:line="240" w:lineRule="exact"/>
              <w:jc w:val="right"/>
              <w:rPr>
                <w:rFonts w:cs="宋体"/>
                <w:sz w:val="18"/>
                <w:szCs w:val="18"/>
              </w:rPr>
            </w:pPr>
            <w:r w:rsidRPr="0063248C">
              <w:rPr>
                <w:rFonts w:cs="宋体"/>
                <w:sz w:val="18"/>
                <w:szCs w:val="18"/>
              </w:rPr>
              <w:t>157,241.68</w:t>
            </w:r>
          </w:p>
        </w:tc>
        <w:tc>
          <w:tcPr>
            <w:tcW w:w="1071" w:type="dxa"/>
            <w:tcBorders>
              <w:top w:val="single" w:sz="2" w:space="0" w:color="auto"/>
              <w:left w:val="single" w:sz="2" w:space="0" w:color="auto"/>
              <w:bottom w:val="single" w:sz="2" w:space="0" w:color="auto"/>
              <w:right w:val="single" w:sz="2" w:space="0" w:color="auto"/>
            </w:tcBorders>
            <w:vAlign w:val="center"/>
          </w:tcPr>
          <w:p w14:paraId="3BD1E348" w14:textId="77777777" w:rsidR="007B3DB2" w:rsidRPr="0063248C" w:rsidRDefault="00000000">
            <w:pPr>
              <w:spacing w:line="240" w:lineRule="exact"/>
              <w:jc w:val="right"/>
              <w:rPr>
                <w:rFonts w:cs="宋体"/>
                <w:sz w:val="18"/>
                <w:szCs w:val="18"/>
              </w:rPr>
            </w:pPr>
            <w:r w:rsidRPr="0063248C">
              <w:rPr>
                <w:rFonts w:cs="宋体"/>
                <w:sz w:val="18"/>
                <w:szCs w:val="18"/>
              </w:rPr>
              <w:t>78,391.41</w:t>
            </w:r>
          </w:p>
        </w:tc>
        <w:tc>
          <w:tcPr>
            <w:tcW w:w="1071" w:type="dxa"/>
            <w:tcBorders>
              <w:top w:val="single" w:sz="2" w:space="0" w:color="auto"/>
              <w:left w:val="single" w:sz="2" w:space="0" w:color="auto"/>
              <w:bottom w:val="single" w:sz="2" w:space="0" w:color="auto"/>
              <w:right w:val="single" w:sz="2" w:space="0" w:color="auto"/>
            </w:tcBorders>
            <w:vAlign w:val="center"/>
          </w:tcPr>
          <w:p w14:paraId="7E091513" w14:textId="77777777" w:rsidR="007B3DB2" w:rsidRPr="0063248C" w:rsidRDefault="00000000">
            <w:pPr>
              <w:spacing w:line="240" w:lineRule="exact"/>
              <w:jc w:val="right"/>
              <w:rPr>
                <w:rFonts w:cs="宋体"/>
                <w:sz w:val="18"/>
                <w:szCs w:val="18"/>
              </w:rPr>
            </w:pPr>
            <w:r w:rsidRPr="0063248C">
              <w:rPr>
                <w:rFonts w:cs="宋体"/>
                <w:sz w:val="18"/>
                <w:szCs w:val="18"/>
              </w:rPr>
              <w:t>31,420.78</w:t>
            </w:r>
          </w:p>
        </w:tc>
        <w:tc>
          <w:tcPr>
            <w:tcW w:w="1071" w:type="dxa"/>
            <w:tcBorders>
              <w:top w:val="single" w:sz="2" w:space="0" w:color="auto"/>
              <w:left w:val="single" w:sz="2" w:space="0" w:color="auto"/>
              <w:bottom w:val="single" w:sz="2" w:space="0" w:color="auto"/>
              <w:right w:val="single" w:sz="2" w:space="0" w:color="auto"/>
            </w:tcBorders>
            <w:vAlign w:val="center"/>
          </w:tcPr>
          <w:p w14:paraId="3D7A6487" w14:textId="77777777" w:rsidR="007B3DB2" w:rsidRPr="0063248C" w:rsidRDefault="00000000">
            <w:pPr>
              <w:spacing w:line="240" w:lineRule="exact"/>
              <w:jc w:val="right"/>
              <w:rPr>
                <w:rFonts w:cs="宋体"/>
                <w:sz w:val="18"/>
                <w:szCs w:val="18"/>
              </w:rPr>
            </w:pPr>
            <w:r w:rsidRPr="0063248C">
              <w:rPr>
                <w:rFonts w:cs="宋体"/>
                <w:sz w:val="18"/>
                <w:szCs w:val="18"/>
              </w:rPr>
              <w:t>5,590.12</w:t>
            </w:r>
          </w:p>
        </w:tc>
        <w:tc>
          <w:tcPr>
            <w:tcW w:w="1071" w:type="dxa"/>
            <w:tcBorders>
              <w:top w:val="single" w:sz="2" w:space="0" w:color="auto"/>
              <w:left w:val="single" w:sz="2" w:space="0" w:color="auto"/>
              <w:bottom w:val="single" w:sz="2" w:space="0" w:color="auto"/>
              <w:right w:val="single" w:sz="2" w:space="0" w:color="auto"/>
            </w:tcBorders>
            <w:vAlign w:val="center"/>
          </w:tcPr>
          <w:p w14:paraId="1B6F54CE" w14:textId="77777777" w:rsidR="007B3DB2" w:rsidRPr="0063248C" w:rsidRDefault="00000000">
            <w:pPr>
              <w:spacing w:line="240" w:lineRule="exact"/>
              <w:jc w:val="right"/>
              <w:rPr>
                <w:rFonts w:cs="宋体"/>
                <w:sz w:val="18"/>
                <w:szCs w:val="18"/>
              </w:rPr>
            </w:pPr>
            <w:r w:rsidRPr="0063248C">
              <w:rPr>
                <w:rFonts w:cs="宋体"/>
                <w:sz w:val="18"/>
                <w:szCs w:val="18"/>
              </w:rPr>
              <w:t>5,159.51</w:t>
            </w:r>
          </w:p>
        </w:tc>
      </w:tr>
      <w:tr w:rsidR="007B3DB2" w:rsidRPr="0063248C" w14:paraId="6AE2C3A9"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9A3E59F"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p>
        </w:tc>
        <w:tc>
          <w:tcPr>
            <w:tcW w:w="1071" w:type="dxa"/>
            <w:tcBorders>
              <w:top w:val="single" w:sz="2" w:space="0" w:color="auto"/>
              <w:left w:val="single" w:sz="2" w:space="0" w:color="auto"/>
              <w:bottom w:val="single" w:sz="2" w:space="0" w:color="auto"/>
              <w:right w:val="single" w:sz="2" w:space="0" w:color="auto"/>
            </w:tcBorders>
            <w:vAlign w:val="center"/>
          </w:tcPr>
          <w:p w14:paraId="7FACE1AB" w14:textId="77777777" w:rsidR="007B3DB2" w:rsidRPr="0063248C" w:rsidRDefault="00000000">
            <w:pPr>
              <w:spacing w:line="240" w:lineRule="exact"/>
              <w:rPr>
                <w:rFonts w:cs="宋体"/>
                <w:sz w:val="18"/>
                <w:szCs w:val="18"/>
              </w:rPr>
            </w:pPr>
            <w:r w:rsidRPr="0063248C">
              <w:rPr>
                <w:rFonts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265A6651" w14:textId="77777777" w:rsidR="007B3DB2" w:rsidRPr="0063248C" w:rsidRDefault="00000000">
            <w:pPr>
              <w:spacing w:line="240" w:lineRule="exact"/>
              <w:rPr>
                <w:rFonts w:cs="宋体"/>
                <w:sz w:val="18"/>
                <w:szCs w:val="18"/>
              </w:rPr>
            </w:pPr>
            <w:r w:rsidRPr="0063248C">
              <w:rPr>
                <w:rFonts w:cs="宋体"/>
                <w:sz w:val="18"/>
                <w:szCs w:val="18"/>
              </w:rPr>
              <w:t>生猪屠宰</w:t>
            </w:r>
          </w:p>
        </w:tc>
        <w:tc>
          <w:tcPr>
            <w:tcW w:w="1071" w:type="dxa"/>
            <w:tcBorders>
              <w:top w:val="single" w:sz="2" w:space="0" w:color="auto"/>
              <w:left w:val="single" w:sz="2" w:space="0" w:color="auto"/>
              <w:bottom w:val="single" w:sz="2" w:space="0" w:color="auto"/>
              <w:right w:val="single" w:sz="2" w:space="0" w:color="auto"/>
            </w:tcBorders>
            <w:vAlign w:val="center"/>
          </w:tcPr>
          <w:p w14:paraId="7513FB61" w14:textId="1B07F693" w:rsidR="007B3DB2" w:rsidRPr="0063248C" w:rsidRDefault="00000000" w:rsidP="00F72FC8">
            <w:pPr>
              <w:spacing w:line="240" w:lineRule="exact"/>
              <w:jc w:val="right"/>
              <w:rPr>
                <w:rFonts w:cs="宋体"/>
                <w:sz w:val="18"/>
                <w:szCs w:val="18"/>
              </w:rPr>
            </w:pPr>
            <w:r w:rsidRPr="0063248C">
              <w:rPr>
                <w:rFonts w:cs="宋体"/>
                <w:sz w:val="18"/>
                <w:szCs w:val="18"/>
              </w:rPr>
              <w:t>7</w:t>
            </w:r>
            <w:r w:rsidR="00F72FC8">
              <w:rPr>
                <w:rFonts w:cs="宋体" w:hint="eastAsia"/>
                <w:sz w:val="18"/>
                <w:szCs w:val="18"/>
              </w:rPr>
              <w:t>,</w:t>
            </w:r>
            <w:r w:rsidRPr="0063248C">
              <w:rPr>
                <w:rFonts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1A9F9CCB" w14:textId="77777777" w:rsidR="007B3DB2" w:rsidRPr="0063248C" w:rsidRDefault="00000000">
            <w:pPr>
              <w:spacing w:line="240" w:lineRule="exact"/>
              <w:jc w:val="right"/>
              <w:rPr>
                <w:rFonts w:cs="宋体"/>
                <w:sz w:val="18"/>
                <w:szCs w:val="18"/>
              </w:rPr>
            </w:pPr>
            <w:r w:rsidRPr="0063248C">
              <w:rPr>
                <w:rFonts w:cs="宋体"/>
                <w:sz w:val="18"/>
                <w:szCs w:val="18"/>
              </w:rPr>
              <w:t>58,728.91</w:t>
            </w:r>
          </w:p>
        </w:tc>
        <w:tc>
          <w:tcPr>
            <w:tcW w:w="1071" w:type="dxa"/>
            <w:tcBorders>
              <w:top w:val="single" w:sz="2" w:space="0" w:color="auto"/>
              <w:left w:val="single" w:sz="2" w:space="0" w:color="auto"/>
              <w:bottom w:val="single" w:sz="2" w:space="0" w:color="auto"/>
              <w:right w:val="single" w:sz="2" w:space="0" w:color="auto"/>
            </w:tcBorders>
            <w:vAlign w:val="center"/>
          </w:tcPr>
          <w:p w14:paraId="784EE897" w14:textId="77777777" w:rsidR="007B3DB2" w:rsidRPr="0063248C" w:rsidRDefault="00000000">
            <w:pPr>
              <w:spacing w:line="240" w:lineRule="exact"/>
              <w:jc w:val="right"/>
              <w:rPr>
                <w:rFonts w:cs="宋体"/>
                <w:sz w:val="18"/>
                <w:szCs w:val="18"/>
              </w:rPr>
            </w:pPr>
            <w:r w:rsidRPr="0063248C">
              <w:rPr>
                <w:rFonts w:cs="宋体"/>
                <w:sz w:val="18"/>
                <w:szCs w:val="18"/>
              </w:rPr>
              <w:t>10,715.23</w:t>
            </w:r>
          </w:p>
        </w:tc>
        <w:tc>
          <w:tcPr>
            <w:tcW w:w="1071" w:type="dxa"/>
            <w:tcBorders>
              <w:top w:val="single" w:sz="2" w:space="0" w:color="auto"/>
              <w:left w:val="single" w:sz="2" w:space="0" w:color="auto"/>
              <w:bottom w:val="single" w:sz="2" w:space="0" w:color="auto"/>
              <w:right w:val="single" w:sz="2" w:space="0" w:color="auto"/>
            </w:tcBorders>
            <w:vAlign w:val="center"/>
          </w:tcPr>
          <w:p w14:paraId="063DE8B0" w14:textId="77777777" w:rsidR="007B3DB2" w:rsidRPr="0063248C" w:rsidRDefault="00000000">
            <w:pPr>
              <w:spacing w:line="240" w:lineRule="exact"/>
              <w:jc w:val="right"/>
              <w:rPr>
                <w:rFonts w:cs="宋体"/>
                <w:sz w:val="18"/>
                <w:szCs w:val="18"/>
              </w:rPr>
            </w:pPr>
            <w:r w:rsidRPr="0063248C">
              <w:rPr>
                <w:rFonts w:cs="宋体"/>
                <w:sz w:val="18"/>
                <w:szCs w:val="18"/>
              </w:rPr>
              <w:t>90,963.26</w:t>
            </w:r>
          </w:p>
        </w:tc>
        <w:tc>
          <w:tcPr>
            <w:tcW w:w="1071" w:type="dxa"/>
            <w:tcBorders>
              <w:top w:val="single" w:sz="2" w:space="0" w:color="auto"/>
              <w:left w:val="single" w:sz="2" w:space="0" w:color="auto"/>
              <w:bottom w:val="single" w:sz="2" w:space="0" w:color="auto"/>
              <w:right w:val="single" w:sz="2" w:space="0" w:color="auto"/>
            </w:tcBorders>
            <w:vAlign w:val="center"/>
          </w:tcPr>
          <w:p w14:paraId="101456EC" w14:textId="77777777" w:rsidR="007B3DB2" w:rsidRPr="0063248C" w:rsidRDefault="00000000">
            <w:pPr>
              <w:spacing w:line="240" w:lineRule="exact"/>
              <w:jc w:val="right"/>
              <w:rPr>
                <w:rFonts w:cs="宋体"/>
                <w:sz w:val="18"/>
                <w:szCs w:val="18"/>
              </w:rPr>
            </w:pPr>
            <w:r w:rsidRPr="0063248C">
              <w:rPr>
                <w:rFonts w:cs="宋体"/>
                <w:sz w:val="18"/>
                <w:szCs w:val="18"/>
              </w:rPr>
              <w:t>-1,397.04</w:t>
            </w:r>
          </w:p>
        </w:tc>
        <w:tc>
          <w:tcPr>
            <w:tcW w:w="1071" w:type="dxa"/>
            <w:tcBorders>
              <w:top w:val="single" w:sz="2" w:space="0" w:color="auto"/>
              <w:left w:val="single" w:sz="2" w:space="0" w:color="auto"/>
              <w:bottom w:val="single" w:sz="2" w:space="0" w:color="auto"/>
              <w:right w:val="single" w:sz="2" w:space="0" w:color="auto"/>
            </w:tcBorders>
            <w:vAlign w:val="center"/>
          </w:tcPr>
          <w:p w14:paraId="77574AF0" w14:textId="77777777" w:rsidR="007B3DB2" w:rsidRPr="0063248C" w:rsidRDefault="00000000">
            <w:pPr>
              <w:spacing w:line="240" w:lineRule="exact"/>
              <w:jc w:val="right"/>
              <w:rPr>
                <w:rFonts w:cs="宋体"/>
                <w:sz w:val="18"/>
                <w:szCs w:val="18"/>
              </w:rPr>
            </w:pPr>
            <w:r w:rsidRPr="0063248C">
              <w:rPr>
                <w:rFonts w:cs="宋体"/>
                <w:sz w:val="18"/>
                <w:szCs w:val="18"/>
              </w:rPr>
              <w:t>-1,400.78</w:t>
            </w:r>
          </w:p>
        </w:tc>
      </w:tr>
      <w:tr w:rsidR="007B3DB2" w:rsidRPr="0063248C" w14:paraId="6B763F7E"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8790895" w14:textId="77777777" w:rsidR="007B3DB2" w:rsidRPr="0063248C" w:rsidRDefault="00000000">
            <w:pPr>
              <w:spacing w:line="240" w:lineRule="exact"/>
              <w:rPr>
                <w:rFonts w:cs="宋体"/>
                <w:sz w:val="18"/>
                <w:szCs w:val="18"/>
              </w:rPr>
            </w:pPr>
            <w:r w:rsidRPr="0063248C">
              <w:rPr>
                <w:rFonts w:cs="宋体"/>
                <w:sz w:val="18"/>
                <w:szCs w:val="18"/>
              </w:rPr>
              <w:t>河南龙大</w:t>
            </w:r>
          </w:p>
        </w:tc>
        <w:tc>
          <w:tcPr>
            <w:tcW w:w="1071" w:type="dxa"/>
            <w:tcBorders>
              <w:top w:val="single" w:sz="2" w:space="0" w:color="auto"/>
              <w:left w:val="single" w:sz="2" w:space="0" w:color="auto"/>
              <w:bottom w:val="single" w:sz="2" w:space="0" w:color="auto"/>
              <w:right w:val="single" w:sz="2" w:space="0" w:color="auto"/>
            </w:tcBorders>
            <w:vAlign w:val="center"/>
          </w:tcPr>
          <w:p w14:paraId="764AFC0A" w14:textId="77777777" w:rsidR="007B3DB2" w:rsidRPr="0063248C" w:rsidRDefault="00000000">
            <w:pPr>
              <w:spacing w:line="240" w:lineRule="exact"/>
              <w:rPr>
                <w:rFonts w:cs="宋体"/>
                <w:sz w:val="18"/>
                <w:szCs w:val="18"/>
              </w:rPr>
            </w:pPr>
            <w:r w:rsidRPr="0063248C">
              <w:rPr>
                <w:rFonts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35B40983" w14:textId="77777777" w:rsidR="007B3DB2" w:rsidRPr="0063248C" w:rsidRDefault="00000000">
            <w:pPr>
              <w:spacing w:line="240" w:lineRule="exact"/>
              <w:rPr>
                <w:rFonts w:cs="宋体"/>
                <w:sz w:val="18"/>
                <w:szCs w:val="18"/>
              </w:rPr>
            </w:pPr>
            <w:r w:rsidRPr="0063248C">
              <w:rPr>
                <w:rFonts w:cs="宋体"/>
                <w:sz w:val="18"/>
                <w:szCs w:val="18"/>
              </w:rPr>
              <w:t>生猪屠宰</w:t>
            </w:r>
          </w:p>
        </w:tc>
        <w:tc>
          <w:tcPr>
            <w:tcW w:w="1071" w:type="dxa"/>
            <w:tcBorders>
              <w:top w:val="single" w:sz="2" w:space="0" w:color="auto"/>
              <w:left w:val="single" w:sz="2" w:space="0" w:color="auto"/>
              <w:bottom w:val="single" w:sz="2" w:space="0" w:color="auto"/>
              <w:right w:val="single" w:sz="2" w:space="0" w:color="auto"/>
            </w:tcBorders>
            <w:vAlign w:val="center"/>
          </w:tcPr>
          <w:p w14:paraId="56DDC66C" w14:textId="43433608" w:rsidR="007B3DB2" w:rsidRPr="0063248C" w:rsidRDefault="00000000" w:rsidP="00F72FC8">
            <w:pPr>
              <w:spacing w:line="240" w:lineRule="exact"/>
              <w:jc w:val="right"/>
              <w:rPr>
                <w:rFonts w:cs="宋体"/>
                <w:sz w:val="18"/>
                <w:szCs w:val="18"/>
              </w:rPr>
            </w:pPr>
            <w:r w:rsidRPr="0063248C">
              <w:rPr>
                <w:rFonts w:cs="宋体"/>
                <w:sz w:val="18"/>
                <w:szCs w:val="18"/>
              </w:rPr>
              <w:t>15</w:t>
            </w:r>
            <w:r w:rsidR="00F72FC8">
              <w:rPr>
                <w:rFonts w:cs="宋体" w:hint="eastAsia"/>
                <w:sz w:val="18"/>
                <w:szCs w:val="18"/>
              </w:rPr>
              <w:t>,</w:t>
            </w:r>
            <w:r w:rsidRPr="0063248C">
              <w:rPr>
                <w:rFonts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1512034A" w14:textId="77777777" w:rsidR="007B3DB2" w:rsidRPr="0063248C" w:rsidRDefault="00000000">
            <w:pPr>
              <w:spacing w:line="240" w:lineRule="exact"/>
              <w:jc w:val="right"/>
              <w:rPr>
                <w:rFonts w:cs="宋体"/>
                <w:sz w:val="18"/>
                <w:szCs w:val="18"/>
              </w:rPr>
            </w:pPr>
            <w:r w:rsidRPr="0063248C">
              <w:rPr>
                <w:rFonts w:cs="宋体"/>
                <w:sz w:val="18"/>
                <w:szCs w:val="18"/>
              </w:rPr>
              <w:t>59,827.58</w:t>
            </w:r>
          </w:p>
        </w:tc>
        <w:tc>
          <w:tcPr>
            <w:tcW w:w="1071" w:type="dxa"/>
            <w:tcBorders>
              <w:top w:val="single" w:sz="2" w:space="0" w:color="auto"/>
              <w:left w:val="single" w:sz="2" w:space="0" w:color="auto"/>
              <w:bottom w:val="single" w:sz="2" w:space="0" w:color="auto"/>
              <w:right w:val="single" w:sz="2" w:space="0" w:color="auto"/>
            </w:tcBorders>
            <w:vAlign w:val="center"/>
          </w:tcPr>
          <w:p w14:paraId="6F14F07E" w14:textId="77777777" w:rsidR="007B3DB2" w:rsidRPr="0063248C" w:rsidRDefault="00000000">
            <w:pPr>
              <w:spacing w:line="240" w:lineRule="exact"/>
              <w:jc w:val="right"/>
              <w:rPr>
                <w:rFonts w:cs="宋体"/>
                <w:sz w:val="18"/>
                <w:szCs w:val="18"/>
              </w:rPr>
            </w:pPr>
            <w:r w:rsidRPr="0063248C">
              <w:rPr>
                <w:rFonts w:cs="宋体"/>
                <w:sz w:val="18"/>
                <w:szCs w:val="18"/>
              </w:rPr>
              <w:t>29,577.21</w:t>
            </w:r>
          </w:p>
        </w:tc>
        <w:tc>
          <w:tcPr>
            <w:tcW w:w="1071" w:type="dxa"/>
            <w:tcBorders>
              <w:top w:val="single" w:sz="2" w:space="0" w:color="auto"/>
              <w:left w:val="single" w:sz="2" w:space="0" w:color="auto"/>
              <w:bottom w:val="single" w:sz="2" w:space="0" w:color="auto"/>
              <w:right w:val="single" w:sz="2" w:space="0" w:color="auto"/>
            </w:tcBorders>
            <w:vAlign w:val="center"/>
          </w:tcPr>
          <w:p w14:paraId="115AFDF9" w14:textId="77777777" w:rsidR="007B3DB2" w:rsidRPr="0063248C" w:rsidRDefault="00000000">
            <w:pPr>
              <w:spacing w:line="240" w:lineRule="exact"/>
              <w:jc w:val="right"/>
              <w:rPr>
                <w:rFonts w:cs="宋体"/>
                <w:sz w:val="18"/>
                <w:szCs w:val="18"/>
              </w:rPr>
            </w:pPr>
            <w:r w:rsidRPr="0063248C">
              <w:rPr>
                <w:rFonts w:cs="宋体"/>
                <w:sz w:val="18"/>
                <w:szCs w:val="18"/>
              </w:rPr>
              <w:t>99,723.72</w:t>
            </w:r>
          </w:p>
        </w:tc>
        <w:tc>
          <w:tcPr>
            <w:tcW w:w="1071" w:type="dxa"/>
            <w:tcBorders>
              <w:top w:val="single" w:sz="2" w:space="0" w:color="auto"/>
              <w:left w:val="single" w:sz="2" w:space="0" w:color="auto"/>
              <w:bottom w:val="single" w:sz="2" w:space="0" w:color="auto"/>
              <w:right w:val="single" w:sz="2" w:space="0" w:color="auto"/>
            </w:tcBorders>
            <w:vAlign w:val="center"/>
          </w:tcPr>
          <w:p w14:paraId="6ACDF805" w14:textId="77777777" w:rsidR="007B3DB2" w:rsidRPr="0063248C" w:rsidRDefault="00000000">
            <w:pPr>
              <w:spacing w:line="240" w:lineRule="exact"/>
              <w:jc w:val="right"/>
              <w:rPr>
                <w:rFonts w:cs="宋体"/>
                <w:sz w:val="18"/>
                <w:szCs w:val="18"/>
              </w:rPr>
            </w:pPr>
            <w:r w:rsidRPr="0063248C">
              <w:rPr>
                <w:rFonts w:cs="宋体"/>
                <w:sz w:val="18"/>
                <w:szCs w:val="18"/>
              </w:rPr>
              <w:t>-454.41</w:t>
            </w:r>
          </w:p>
        </w:tc>
        <w:tc>
          <w:tcPr>
            <w:tcW w:w="1071" w:type="dxa"/>
            <w:tcBorders>
              <w:top w:val="single" w:sz="2" w:space="0" w:color="auto"/>
              <w:left w:val="single" w:sz="2" w:space="0" w:color="auto"/>
              <w:bottom w:val="single" w:sz="2" w:space="0" w:color="auto"/>
              <w:right w:val="single" w:sz="2" w:space="0" w:color="auto"/>
            </w:tcBorders>
            <w:vAlign w:val="center"/>
          </w:tcPr>
          <w:p w14:paraId="7AB0CB5A" w14:textId="77777777" w:rsidR="007B3DB2" w:rsidRPr="0063248C" w:rsidRDefault="00000000">
            <w:pPr>
              <w:spacing w:line="240" w:lineRule="exact"/>
              <w:jc w:val="right"/>
              <w:rPr>
                <w:rFonts w:cs="宋体"/>
                <w:sz w:val="18"/>
                <w:szCs w:val="18"/>
              </w:rPr>
            </w:pPr>
            <w:r w:rsidRPr="0063248C">
              <w:rPr>
                <w:rFonts w:cs="宋体"/>
                <w:sz w:val="18"/>
                <w:szCs w:val="18"/>
              </w:rPr>
              <w:t>-451.32</w:t>
            </w:r>
          </w:p>
        </w:tc>
      </w:tr>
    </w:tbl>
    <w:p w14:paraId="326EB218" w14:textId="1B8B1F79" w:rsidR="007B3DB2" w:rsidRPr="0063248C" w:rsidRDefault="00000000">
      <w:pPr>
        <w:spacing w:before="100" w:after="100" w:line="240" w:lineRule="exact"/>
        <w:rPr>
          <w:rFonts w:cs="宋体"/>
          <w:sz w:val="18"/>
          <w:szCs w:val="18"/>
        </w:rPr>
      </w:pPr>
      <w:r w:rsidRPr="0063248C">
        <w:rPr>
          <w:rFonts w:cs="宋体"/>
          <w:sz w:val="18"/>
          <w:szCs w:val="18"/>
        </w:rPr>
        <w:t>报告期内取得和处置子公司的情况</w:t>
      </w:r>
      <w:r w:rsidR="00F72FC8">
        <w:rPr>
          <w:rFonts w:cs="宋体" w:hint="eastAsia"/>
          <w:sz w:val="18"/>
          <w:szCs w:val="18"/>
        </w:rPr>
        <w:t>,</w:t>
      </w:r>
    </w:p>
    <w:p w14:paraId="41DE9D68" w14:textId="77777777" w:rsidR="00FD253E" w:rsidRPr="00FD253E" w:rsidRDefault="00FD253E" w:rsidP="00FD253E">
      <w:pPr>
        <w:spacing w:before="100" w:after="100" w:line="240" w:lineRule="exact"/>
        <w:rPr>
          <w:rFonts w:cs="宋体"/>
          <w:sz w:val="18"/>
          <w:szCs w:val="18"/>
        </w:rPr>
      </w:pPr>
      <w:r w:rsidRPr="00FD253E">
        <w:rPr>
          <w:rFonts w:cs="宋体" w:hint="eastAsia"/>
          <w:sz w:val="18"/>
          <w:szCs w:val="18"/>
        </w:rPr>
        <w:sym w:font="Wingdings 2" w:char="F052"/>
      </w:r>
      <w:r w:rsidRPr="00FD253E">
        <w:rPr>
          <w:rFonts w:cs="宋体" w:hint="eastAsia"/>
          <w:sz w:val="18"/>
          <w:szCs w:val="18"/>
        </w:rPr>
        <w:t>适用</w:t>
      </w:r>
      <w:r w:rsidRPr="00FD253E">
        <w:rPr>
          <w:rFonts w:cs="宋体" w:hint="eastAsia"/>
          <w:sz w:val="18"/>
          <w:szCs w:val="18"/>
        </w:rPr>
        <w:t xml:space="preserve"> </w:t>
      </w:r>
      <w:r w:rsidRPr="00F07AAA">
        <w:rPr>
          <w:rFonts w:ascii="宋体" w:hAnsi="宋体" w:cs="宋体" w:hint="eastAsia"/>
          <w:sz w:val="18"/>
          <w:szCs w:val="18"/>
        </w:rPr>
        <w:t>□</w:t>
      </w:r>
      <w:r w:rsidRPr="00FD253E">
        <w:rPr>
          <w:rFonts w:cs="宋体" w:hint="eastAsia"/>
          <w:sz w:val="18"/>
          <w:szCs w:val="18"/>
        </w:rPr>
        <w:t>不适用</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FD253E" w:rsidRPr="00FD253E" w14:paraId="7A21F5A2" w14:textId="77777777" w:rsidTr="00FD253E">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14498702" w14:textId="77777777" w:rsidR="00FD253E" w:rsidRPr="00FD253E" w:rsidRDefault="00FD253E" w:rsidP="00FD253E">
            <w:pPr>
              <w:spacing w:before="100" w:after="100" w:line="240" w:lineRule="exact"/>
              <w:jc w:val="center"/>
              <w:rPr>
                <w:rFonts w:cs="宋体"/>
                <w:sz w:val="18"/>
                <w:szCs w:val="18"/>
              </w:rPr>
            </w:pPr>
            <w:r w:rsidRPr="00FD253E">
              <w:rPr>
                <w:rFonts w:cs="宋体" w:hint="eastAsia"/>
                <w:sz w:val="18"/>
                <w:szCs w:val="18"/>
              </w:rPr>
              <w:t>公司名称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63CD249A" w14:textId="77777777" w:rsidR="00FD253E" w:rsidRPr="00FD253E" w:rsidRDefault="00FD253E" w:rsidP="00FD253E">
            <w:pPr>
              <w:spacing w:before="100" w:after="100" w:line="240" w:lineRule="exact"/>
              <w:rPr>
                <w:rFonts w:cs="宋体"/>
                <w:sz w:val="18"/>
                <w:szCs w:val="18"/>
              </w:rPr>
            </w:pPr>
            <w:r w:rsidRPr="00FD253E">
              <w:rPr>
                <w:rFonts w:cs="宋体" w:hint="eastAsia"/>
                <w:sz w:val="18"/>
                <w:szCs w:val="18"/>
              </w:rPr>
              <w:t>报告期内取得和处置子公司方式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14:paraId="50020FB8" w14:textId="77777777" w:rsidR="00FD253E" w:rsidRPr="00FD253E" w:rsidRDefault="00FD253E" w:rsidP="00FD253E">
            <w:pPr>
              <w:spacing w:before="100" w:after="100" w:line="240" w:lineRule="exact"/>
              <w:rPr>
                <w:rFonts w:cs="宋体"/>
                <w:sz w:val="18"/>
                <w:szCs w:val="18"/>
              </w:rPr>
            </w:pPr>
            <w:r w:rsidRPr="00FD253E">
              <w:rPr>
                <w:rFonts w:cs="宋体" w:hint="eastAsia"/>
                <w:sz w:val="18"/>
                <w:szCs w:val="18"/>
              </w:rPr>
              <w:t>对整体生产经营和业绩的影响</w:t>
            </w:r>
          </w:p>
        </w:tc>
      </w:tr>
      <w:tr w:rsidR="00FD253E" w:rsidRPr="00FD253E" w14:paraId="30B83E94" w14:textId="77777777" w:rsidTr="00FD253E">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14:paraId="03D9485C" w14:textId="77777777" w:rsidR="00FD253E" w:rsidRPr="00FD253E" w:rsidRDefault="00FD253E" w:rsidP="00FD253E">
            <w:pPr>
              <w:spacing w:before="100" w:after="100" w:line="240" w:lineRule="exact"/>
              <w:jc w:val="center"/>
              <w:rPr>
                <w:rFonts w:cs="宋体"/>
                <w:sz w:val="18"/>
                <w:szCs w:val="18"/>
              </w:rPr>
            </w:pPr>
            <w:proofErr w:type="gramStart"/>
            <w:r w:rsidRPr="00FD253E">
              <w:rPr>
                <w:rFonts w:cs="宋体" w:hint="eastAsia"/>
                <w:sz w:val="18"/>
                <w:szCs w:val="18"/>
              </w:rPr>
              <w:t>莒</w:t>
            </w:r>
            <w:proofErr w:type="gramEnd"/>
            <w:r w:rsidRPr="00FD253E">
              <w:rPr>
                <w:rFonts w:cs="宋体" w:hint="eastAsia"/>
                <w:sz w:val="18"/>
                <w:szCs w:val="18"/>
              </w:rPr>
              <w:t>南龙大肉食品有限公司</w:t>
            </w:r>
          </w:p>
        </w:tc>
        <w:tc>
          <w:tcPr>
            <w:tcW w:w="3213" w:type="dxa"/>
            <w:tcBorders>
              <w:top w:val="single" w:sz="2" w:space="0" w:color="auto"/>
              <w:left w:val="single" w:sz="2" w:space="0" w:color="auto"/>
              <w:bottom w:val="single" w:sz="2" w:space="0" w:color="auto"/>
              <w:right w:val="single" w:sz="2" w:space="0" w:color="auto"/>
            </w:tcBorders>
            <w:vAlign w:val="center"/>
            <w:hideMark/>
          </w:tcPr>
          <w:p w14:paraId="41B99251" w14:textId="77777777" w:rsidR="00FD253E" w:rsidRPr="00FD253E" w:rsidRDefault="00FD253E" w:rsidP="00FD253E">
            <w:pPr>
              <w:spacing w:before="100" w:after="100" w:line="240" w:lineRule="exact"/>
              <w:jc w:val="center"/>
              <w:rPr>
                <w:rFonts w:cs="宋体"/>
                <w:sz w:val="18"/>
                <w:szCs w:val="18"/>
              </w:rPr>
            </w:pPr>
            <w:r w:rsidRPr="00FD253E">
              <w:rPr>
                <w:rFonts w:cs="宋体" w:hint="eastAsia"/>
                <w:sz w:val="18"/>
                <w:szCs w:val="18"/>
              </w:rPr>
              <w:t>注销</w:t>
            </w:r>
          </w:p>
        </w:tc>
        <w:tc>
          <w:tcPr>
            <w:tcW w:w="3213" w:type="dxa"/>
            <w:tcBorders>
              <w:top w:val="single" w:sz="2" w:space="0" w:color="auto"/>
              <w:left w:val="single" w:sz="2" w:space="0" w:color="auto"/>
              <w:bottom w:val="single" w:sz="2" w:space="0" w:color="auto"/>
              <w:right w:val="single" w:sz="2" w:space="0" w:color="auto"/>
            </w:tcBorders>
            <w:vAlign w:val="center"/>
            <w:hideMark/>
          </w:tcPr>
          <w:p w14:paraId="072EFD4E" w14:textId="77777777" w:rsidR="00FD253E" w:rsidRPr="00FD253E" w:rsidRDefault="00FD253E" w:rsidP="00FD253E">
            <w:pPr>
              <w:spacing w:before="100" w:after="100" w:line="240" w:lineRule="exact"/>
              <w:jc w:val="center"/>
              <w:rPr>
                <w:rFonts w:cs="宋体"/>
                <w:sz w:val="18"/>
                <w:szCs w:val="18"/>
              </w:rPr>
            </w:pPr>
            <w:r w:rsidRPr="00FD253E">
              <w:rPr>
                <w:rFonts w:cs="宋体" w:hint="eastAsia"/>
                <w:sz w:val="18"/>
                <w:szCs w:val="18"/>
              </w:rPr>
              <w:t>无重大影响</w:t>
            </w:r>
          </w:p>
        </w:tc>
      </w:tr>
      <w:tr w:rsidR="00FD253E" w:rsidRPr="00FD253E" w14:paraId="2452DC67" w14:textId="77777777" w:rsidTr="00FD253E">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14:paraId="274571CF" w14:textId="77777777" w:rsidR="00FD253E" w:rsidRPr="00FD253E" w:rsidRDefault="00FD253E" w:rsidP="00FD253E">
            <w:pPr>
              <w:spacing w:before="100" w:after="100" w:line="240" w:lineRule="exact"/>
              <w:jc w:val="center"/>
              <w:rPr>
                <w:rFonts w:cs="宋体"/>
                <w:sz w:val="18"/>
                <w:szCs w:val="18"/>
              </w:rPr>
            </w:pPr>
            <w:r w:rsidRPr="00FD253E">
              <w:rPr>
                <w:rFonts w:cs="宋体" w:hint="eastAsia"/>
                <w:sz w:val="18"/>
                <w:szCs w:val="18"/>
              </w:rPr>
              <w:t>北京晓食探科技有限公司</w:t>
            </w:r>
          </w:p>
        </w:tc>
        <w:tc>
          <w:tcPr>
            <w:tcW w:w="3213" w:type="dxa"/>
            <w:tcBorders>
              <w:top w:val="single" w:sz="2" w:space="0" w:color="auto"/>
              <w:left w:val="single" w:sz="2" w:space="0" w:color="auto"/>
              <w:bottom w:val="single" w:sz="2" w:space="0" w:color="auto"/>
              <w:right w:val="single" w:sz="2" w:space="0" w:color="auto"/>
            </w:tcBorders>
            <w:vAlign w:val="center"/>
            <w:hideMark/>
          </w:tcPr>
          <w:p w14:paraId="2E2BD4F6" w14:textId="77777777" w:rsidR="00FD253E" w:rsidRPr="00FD253E" w:rsidRDefault="00FD253E" w:rsidP="00FD253E">
            <w:pPr>
              <w:spacing w:before="100" w:after="100" w:line="240" w:lineRule="exact"/>
              <w:jc w:val="center"/>
              <w:rPr>
                <w:rFonts w:cs="宋体"/>
                <w:sz w:val="18"/>
                <w:szCs w:val="18"/>
              </w:rPr>
            </w:pPr>
            <w:r w:rsidRPr="00FD253E">
              <w:rPr>
                <w:rFonts w:cs="宋体" w:hint="eastAsia"/>
                <w:sz w:val="18"/>
                <w:szCs w:val="18"/>
              </w:rPr>
              <w:t>注销</w:t>
            </w:r>
          </w:p>
        </w:tc>
        <w:tc>
          <w:tcPr>
            <w:tcW w:w="3213" w:type="dxa"/>
            <w:tcBorders>
              <w:top w:val="single" w:sz="2" w:space="0" w:color="auto"/>
              <w:left w:val="single" w:sz="2" w:space="0" w:color="auto"/>
              <w:bottom w:val="single" w:sz="2" w:space="0" w:color="auto"/>
              <w:right w:val="single" w:sz="2" w:space="0" w:color="auto"/>
            </w:tcBorders>
            <w:vAlign w:val="center"/>
            <w:hideMark/>
          </w:tcPr>
          <w:p w14:paraId="6295B523" w14:textId="77777777" w:rsidR="00FD253E" w:rsidRPr="00FD253E" w:rsidRDefault="00FD253E" w:rsidP="00FD253E">
            <w:pPr>
              <w:spacing w:before="100" w:after="100" w:line="240" w:lineRule="exact"/>
              <w:jc w:val="center"/>
              <w:rPr>
                <w:rFonts w:cs="宋体"/>
                <w:sz w:val="18"/>
                <w:szCs w:val="18"/>
              </w:rPr>
            </w:pPr>
            <w:r w:rsidRPr="00FD253E">
              <w:rPr>
                <w:rFonts w:cs="宋体" w:hint="eastAsia"/>
                <w:sz w:val="18"/>
                <w:szCs w:val="18"/>
              </w:rPr>
              <w:t>无重大影响</w:t>
            </w:r>
          </w:p>
        </w:tc>
      </w:tr>
    </w:tbl>
    <w:p w14:paraId="01726A97" w14:textId="77777777" w:rsidR="007B3DB2" w:rsidRPr="0063248C" w:rsidRDefault="00000000">
      <w:pPr>
        <w:spacing w:before="100" w:after="100" w:line="240" w:lineRule="exact"/>
        <w:rPr>
          <w:rFonts w:cs="宋体"/>
          <w:sz w:val="18"/>
          <w:szCs w:val="18"/>
        </w:rPr>
      </w:pPr>
      <w:r w:rsidRPr="0063248C">
        <w:rPr>
          <w:rFonts w:cs="宋体"/>
          <w:sz w:val="18"/>
          <w:szCs w:val="18"/>
        </w:rPr>
        <w:t>主要控股参股公司情况说明</w:t>
      </w:r>
    </w:p>
    <w:p w14:paraId="1D6FDB47" w14:textId="77777777" w:rsidR="00517D34" w:rsidRPr="0063248C" w:rsidRDefault="00000000">
      <w:pPr>
        <w:pStyle w:val="a3"/>
        <w:divId w:val="494959736"/>
        <w:rPr>
          <w:rFonts w:ascii="Times New Roman" w:hAnsi="Times New Roman"/>
          <w:sz w:val="18"/>
          <w:szCs w:val="18"/>
        </w:rPr>
      </w:pPr>
      <w:r w:rsidRPr="0063248C">
        <w:rPr>
          <w:rFonts w:ascii="Times New Roman" w:hAnsi="Times New Roman" w:hint="eastAsia"/>
          <w:sz w:val="18"/>
          <w:szCs w:val="18"/>
        </w:rPr>
        <w:t>无</w:t>
      </w:r>
    </w:p>
    <w:p w14:paraId="673C0404" w14:textId="77777777" w:rsidR="007B3DB2" w:rsidRPr="0063248C" w:rsidRDefault="00000000">
      <w:pPr>
        <w:pStyle w:val="2"/>
        <w:spacing w:before="300" w:after="300" w:line="320" w:lineRule="exact"/>
        <w:rPr>
          <w:rFonts w:cs="宋体"/>
          <w:b/>
          <w:bCs/>
          <w:sz w:val="24"/>
          <w:szCs w:val="24"/>
        </w:rPr>
      </w:pPr>
      <w:bookmarkStart w:id="38" w:name="_Toc988927"/>
      <w:r w:rsidRPr="0063248C">
        <w:rPr>
          <w:rFonts w:cs="宋体"/>
          <w:b/>
          <w:bCs/>
          <w:sz w:val="24"/>
          <w:szCs w:val="24"/>
        </w:rPr>
        <w:t>九、公司控制的结构化主体情况</w:t>
      </w:r>
      <w:bookmarkEnd w:id="38"/>
    </w:p>
    <w:p w14:paraId="0472EEE7"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843BCD4" w14:textId="77777777" w:rsidR="007B3DB2" w:rsidRPr="0063248C" w:rsidRDefault="00000000">
      <w:pPr>
        <w:pStyle w:val="2"/>
        <w:spacing w:before="300" w:after="300" w:line="320" w:lineRule="exact"/>
        <w:rPr>
          <w:rFonts w:cs="宋体"/>
          <w:b/>
          <w:bCs/>
          <w:sz w:val="24"/>
          <w:szCs w:val="24"/>
        </w:rPr>
      </w:pPr>
      <w:bookmarkStart w:id="39" w:name="_Toc988928"/>
      <w:r w:rsidRPr="0063248C">
        <w:rPr>
          <w:rFonts w:cs="宋体"/>
          <w:b/>
          <w:bCs/>
          <w:sz w:val="24"/>
          <w:szCs w:val="24"/>
        </w:rPr>
        <w:t>十、公司面临的风险和应对措施</w:t>
      </w:r>
      <w:bookmarkEnd w:id="39"/>
    </w:p>
    <w:p w14:paraId="69AFF199" w14:textId="77777777" w:rsidR="00517D34" w:rsidRPr="000572DD" w:rsidRDefault="00000000" w:rsidP="000572DD">
      <w:pPr>
        <w:spacing w:line="276" w:lineRule="auto"/>
        <w:ind w:firstLineChars="200" w:firstLine="360"/>
        <w:rPr>
          <w:sz w:val="18"/>
          <w:szCs w:val="18"/>
        </w:rPr>
      </w:pPr>
      <w:r w:rsidRPr="000572DD">
        <w:rPr>
          <w:rFonts w:hint="eastAsia"/>
          <w:sz w:val="18"/>
          <w:szCs w:val="18"/>
        </w:rPr>
        <w:t>（一）可能面对的风险</w:t>
      </w:r>
    </w:p>
    <w:p w14:paraId="1DD45998" w14:textId="77777777" w:rsidR="000572DD" w:rsidRPr="000572DD" w:rsidRDefault="00000000" w:rsidP="000572DD">
      <w:pPr>
        <w:spacing w:line="276" w:lineRule="auto"/>
        <w:ind w:firstLineChars="200" w:firstLine="360"/>
        <w:rPr>
          <w:sz w:val="18"/>
          <w:szCs w:val="18"/>
        </w:rPr>
      </w:pPr>
      <w:r w:rsidRPr="000572DD">
        <w:rPr>
          <w:rFonts w:hint="eastAsia"/>
          <w:sz w:val="18"/>
          <w:szCs w:val="18"/>
        </w:rPr>
        <w:t>1</w:t>
      </w:r>
      <w:r w:rsidRPr="000572DD">
        <w:rPr>
          <w:rFonts w:hint="eastAsia"/>
          <w:sz w:val="18"/>
          <w:szCs w:val="18"/>
        </w:rPr>
        <w:t>、发生疫病的风险</w:t>
      </w:r>
    </w:p>
    <w:p w14:paraId="08E82ABA" w14:textId="77777777" w:rsidR="0027616C" w:rsidRDefault="00000000" w:rsidP="00777172">
      <w:pPr>
        <w:spacing w:line="276" w:lineRule="auto"/>
        <w:ind w:firstLineChars="200" w:firstLine="360"/>
        <w:jc w:val="both"/>
        <w:rPr>
          <w:sz w:val="18"/>
          <w:szCs w:val="18"/>
        </w:rPr>
      </w:pPr>
      <w:r w:rsidRPr="000572DD">
        <w:rPr>
          <w:rFonts w:hint="eastAsia"/>
          <w:sz w:val="18"/>
          <w:szCs w:val="18"/>
        </w:rPr>
        <w:t>公司业务为食品、屠宰、养殖等，主要原料为生猪，生猪存在动物疫病风险。</w:t>
      </w:r>
      <w:r w:rsidRPr="000572DD">
        <w:rPr>
          <w:rFonts w:hint="eastAsia"/>
          <w:sz w:val="18"/>
          <w:szCs w:val="18"/>
        </w:rPr>
        <w:t>2018</w:t>
      </w:r>
      <w:r w:rsidRPr="000572DD">
        <w:rPr>
          <w:rFonts w:hint="eastAsia"/>
          <w:sz w:val="18"/>
          <w:szCs w:val="18"/>
        </w:rPr>
        <w:t>年爆发的非洲猪瘟，由于高传染性和高致死率，对生猪养殖行业产生了重大的影响，对生猪养殖场的生物防护体系和管理措施提出了更高的要求。一旦发生非洲猪瘟，由于非洲猪瘟的高传染性和高致死率，将对公司生猪养殖业务产生很大的不利影响。</w:t>
      </w:r>
    </w:p>
    <w:p w14:paraId="767DDBFB" w14:textId="33FCEBA0" w:rsidR="000572DD" w:rsidRPr="000572DD" w:rsidRDefault="00000000" w:rsidP="000572DD">
      <w:pPr>
        <w:spacing w:line="276" w:lineRule="auto"/>
        <w:ind w:firstLineChars="200" w:firstLine="360"/>
        <w:rPr>
          <w:sz w:val="18"/>
          <w:szCs w:val="18"/>
        </w:rPr>
      </w:pPr>
      <w:r w:rsidRPr="000572DD">
        <w:rPr>
          <w:rFonts w:hint="eastAsia"/>
          <w:sz w:val="18"/>
          <w:szCs w:val="18"/>
        </w:rPr>
        <w:t>2</w:t>
      </w:r>
      <w:r w:rsidRPr="000572DD">
        <w:rPr>
          <w:rFonts w:hint="eastAsia"/>
          <w:sz w:val="18"/>
          <w:szCs w:val="18"/>
        </w:rPr>
        <w:t>、食品安全风险</w:t>
      </w:r>
    </w:p>
    <w:p w14:paraId="556D1C20" w14:textId="77777777" w:rsidR="000572DD" w:rsidRPr="000572DD" w:rsidRDefault="00000000" w:rsidP="00777172">
      <w:pPr>
        <w:spacing w:line="276" w:lineRule="auto"/>
        <w:ind w:firstLineChars="200" w:firstLine="360"/>
        <w:jc w:val="both"/>
        <w:rPr>
          <w:sz w:val="18"/>
          <w:szCs w:val="18"/>
        </w:rPr>
      </w:pPr>
      <w:r w:rsidRPr="000572DD">
        <w:rPr>
          <w:rFonts w:hint="eastAsia"/>
          <w:sz w:val="18"/>
          <w:szCs w:val="18"/>
        </w:rPr>
        <w:t>近年来，消费者对食品安全的要求与日俱增，食品安全问题也日益受到监管部门和社会舆论的高度关注。虽然公司</w:t>
      </w:r>
      <w:r w:rsidRPr="000572DD">
        <w:rPr>
          <w:rFonts w:hint="eastAsia"/>
          <w:sz w:val="18"/>
          <w:szCs w:val="18"/>
        </w:rPr>
        <w:lastRenderedPageBreak/>
        <w:t>建立了严格的食品安全控制体系，但食品安全的风险仍然是公司关注的重中之重，一旦出现食品安全问题，将对公司的品牌形象以及相关产品的销售造成不良影响。虽然国家不断强化食品安全方面的监管，但食品行业分支众多，企业数量庞大，难免存在部分企业不规范运作的情况，若某个食品子行业的个别企业发生严重食品安全事故，也将可能给整个食品行业经营发展造成负面影响。</w:t>
      </w:r>
    </w:p>
    <w:p w14:paraId="55DCDFD9" w14:textId="77777777" w:rsidR="000572DD" w:rsidRPr="000572DD" w:rsidRDefault="00000000" w:rsidP="000572DD">
      <w:pPr>
        <w:spacing w:line="276" w:lineRule="auto"/>
        <w:ind w:firstLineChars="200" w:firstLine="360"/>
        <w:rPr>
          <w:sz w:val="18"/>
          <w:szCs w:val="18"/>
        </w:rPr>
      </w:pPr>
      <w:r w:rsidRPr="000572DD">
        <w:rPr>
          <w:rFonts w:hint="eastAsia"/>
          <w:sz w:val="18"/>
          <w:szCs w:val="18"/>
        </w:rPr>
        <w:t>3</w:t>
      </w:r>
      <w:r w:rsidRPr="000572DD">
        <w:rPr>
          <w:rFonts w:hint="eastAsia"/>
          <w:sz w:val="18"/>
          <w:szCs w:val="18"/>
        </w:rPr>
        <w:t>、市场开拓风险</w:t>
      </w:r>
    </w:p>
    <w:p w14:paraId="15847B13" w14:textId="77777777" w:rsidR="000572DD" w:rsidRPr="000572DD" w:rsidRDefault="00000000" w:rsidP="00777172">
      <w:pPr>
        <w:spacing w:line="276" w:lineRule="auto"/>
        <w:ind w:firstLineChars="200" w:firstLine="360"/>
        <w:jc w:val="both"/>
        <w:rPr>
          <w:sz w:val="18"/>
          <w:szCs w:val="18"/>
        </w:rPr>
      </w:pPr>
      <w:r w:rsidRPr="000572DD">
        <w:rPr>
          <w:rFonts w:hint="eastAsia"/>
          <w:sz w:val="18"/>
          <w:szCs w:val="18"/>
        </w:rPr>
        <w:t>在战略的指导下，公司加速推进食品业务的发展，并在全国范围内进行了一系列产能布局，拓展市场，如果公司的市场开拓未取得预期效果，将对公司生产经营产生不利影响。</w:t>
      </w:r>
    </w:p>
    <w:p w14:paraId="16724951" w14:textId="77777777" w:rsidR="00517D34" w:rsidRPr="000572DD" w:rsidRDefault="00000000" w:rsidP="00777172">
      <w:pPr>
        <w:spacing w:line="276" w:lineRule="auto"/>
        <w:ind w:firstLineChars="200" w:firstLine="360"/>
        <w:jc w:val="both"/>
        <w:rPr>
          <w:sz w:val="18"/>
          <w:szCs w:val="18"/>
        </w:rPr>
      </w:pPr>
      <w:r w:rsidRPr="000572DD">
        <w:rPr>
          <w:rFonts w:hint="eastAsia"/>
          <w:sz w:val="18"/>
          <w:szCs w:val="18"/>
        </w:rPr>
        <w:t>4</w:t>
      </w:r>
      <w:r w:rsidRPr="000572DD">
        <w:rPr>
          <w:rFonts w:hint="eastAsia"/>
          <w:sz w:val="18"/>
          <w:szCs w:val="18"/>
        </w:rPr>
        <w:t>、材料价格波动风险</w:t>
      </w:r>
    </w:p>
    <w:p w14:paraId="397371DB" w14:textId="77777777" w:rsidR="000572DD" w:rsidRPr="000572DD" w:rsidRDefault="00000000" w:rsidP="00777172">
      <w:pPr>
        <w:spacing w:line="276" w:lineRule="auto"/>
        <w:ind w:firstLineChars="200" w:firstLine="360"/>
        <w:jc w:val="both"/>
        <w:rPr>
          <w:sz w:val="18"/>
          <w:szCs w:val="18"/>
        </w:rPr>
      </w:pPr>
      <w:r w:rsidRPr="000572DD">
        <w:rPr>
          <w:rFonts w:hint="eastAsia"/>
          <w:sz w:val="18"/>
          <w:szCs w:val="18"/>
        </w:rPr>
        <w:t>公司材料成本包括包装纸箱、包装袋等。未来各类原料采购价格出现大幅波动，公司不能及时适度调整产品价格并保持合理存货规模，将存在主营业务毛利率波动的风险，从而影响经营业绩稳定性。</w:t>
      </w:r>
    </w:p>
    <w:p w14:paraId="1CE3B8B3" w14:textId="77777777" w:rsidR="000572DD" w:rsidRPr="000572DD" w:rsidRDefault="00000000" w:rsidP="00777172">
      <w:pPr>
        <w:spacing w:line="276" w:lineRule="auto"/>
        <w:ind w:firstLineChars="200" w:firstLine="360"/>
        <w:jc w:val="both"/>
        <w:rPr>
          <w:sz w:val="18"/>
          <w:szCs w:val="18"/>
        </w:rPr>
      </w:pPr>
      <w:r w:rsidRPr="000572DD">
        <w:rPr>
          <w:rFonts w:hint="eastAsia"/>
          <w:sz w:val="18"/>
          <w:szCs w:val="18"/>
        </w:rPr>
        <w:t>5</w:t>
      </w:r>
      <w:r w:rsidRPr="000572DD">
        <w:rPr>
          <w:rFonts w:hint="eastAsia"/>
          <w:sz w:val="18"/>
          <w:szCs w:val="18"/>
        </w:rPr>
        <w:t>、不可抗力风险</w:t>
      </w:r>
    </w:p>
    <w:p w14:paraId="67317235" w14:textId="77777777" w:rsidR="000572DD" w:rsidRPr="000572DD" w:rsidRDefault="00000000" w:rsidP="00777172">
      <w:pPr>
        <w:spacing w:line="276" w:lineRule="auto"/>
        <w:ind w:firstLineChars="200" w:firstLine="360"/>
        <w:jc w:val="both"/>
        <w:rPr>
          <w:sz w:val="18"/>
          <w:szCs w:val="18"/>
        </w:rPr>
      </w:pPr>
      <w:r w:rsidRPr="000572DD">
        <w:rPr>
          <w:rFonts w:hint="eastAsia"/>
          <w:sz w:val="18"/>
          <w:szCs w:val="18"/>
        </w:rPr>
        <w:t>自然灾害、突发性公共卫生事件可能会对公司的财产、人员造成损害，并有可能影响公司的正常生产经营，此类不可抗力的发生可能还会给公司增加额外成本，从而影响公司的盈利水平。</w:t>
      </w:r>
    </w:p>
    <w:p w14:paraId="6EF74A85" w14:textId="77777777" w:rsidR="000572DD" w:rsidRPr="000572DD" w:rsidRDefault="00000000" w:rsidP="000572DD">
      <w:pPr>
        <w:spacing w:line="276" w:lineRule="auto"/>
        <w:ind w:firstLineChars="200" w:firstLine="360"/>
        <w:rPr>
          <w:sz w:val="18"/>
          <w:szCs w:val="18"/>
        </w:rPr>
      </w:pPr>
      <w:r w:rsidRPr="000572DD">
        <w:rPr>
          <w:rFonts w:hint="eastAsia"/>
          <w:sz w:val="18"/>
          <w:szCs w:val="18"/>
        </w:rPr>
        <w:t>（二）应对措施</w:t>
      </w:r>
    </w:p>
    <w:p w14:paraId="1FF2C668" w14:textId="77777777" w:rsidR="000572DD" w:rsidRPr="000572DD" w:rsidRDefault="00000000" w:rsidP="0027616C">
      <w:pPr>
        <w:spacing w:line="276" w:lineRule="auto"/>
        <w:ind w:firstLineChars="200" w:firstLine="360"/>
        <w:jc w:val="both"/>
        <w:rPr>
          <w:sz w:val="18"/>
          <w:szCs w:val="18"/>
        </w:rPr>
      </w:pPr>
      <w:r w:rsidRPr="000572DD">
        <w:rPr>
          <w:rFonts w:hint="eastAsia"/>
          <w:sz w:val="18"/>
          <w:szCs w:val="18"/>
        </w:rPr>
        <w:t>1</w:t>
      </w:r>
      <w:r w:rsidRPr="000572DD">
        <w:rPr>
          <w:rFonts w:hint="eastAsia"/>
          <w:sz w:val="18"/>
          <w:szCs w:val="18"/>
        </w:rPr>
        <w:t>、</w:t>
      </w:r>
      <w:r w:rsidRPr="000572DD">
        <w:rPr>
          <w:rFonts w:hint="eastAsia"/>
          <w:sz w:val="18"/>
          <w:szCs w:val="18"/>
        </w:rPr>
        <w:t xml:space="preserve"> </w:t>
      </w:r>
      <w:r w:rsidRPr="000572DD">
        <w:rPr>
          <w:rFonts w:hint="eastAsia"/>
          <w:sz w:val="18"/>
          <w:szCs w:val="18"/>
        </w:rPr>
        <w:t>公司将持续做好疫病防疫防控工作，并在各个生产环节疫病防疫体系进行季节性系统化升级，同时一如既往的严格执行防疫防控措施，确保公司所有单位生产经营有序进行。</w:t>
      </w:r>
    </w:p>
    <w:p w14:paraId="3FB24173" w14:textId="77777777" w:rsidR="000572DD" w:rsidRPr="000572DD" w:rsidRDefault="00000000" w:rsidP="0027616C">
      <w:pPr>
        <w:spacing w:line="276" w:lineRule="auto"/>
        <w:ind w:firstLineChars="200" w:firstLine="360"/>
        <w:jc w:val="both"/>
        <w:rPr>
          <w:sz w:val="18"/>
          <w:szCs w:val="18"/>
        </w:rPr>
      </w:pPr>
      <w:r w:rsidRPr="000572DD">
        <w:rPr>
          <w:rFonts w:hint="eastAsia"/>
          <w:sz w:val="18"/>
          <w:szCs w:val="18"/>
        </w:rPr>
        <w:t>2</w:t>
      </w:r>
      <w:r w:rsidRPr="000572DD">
        <w:rPr>
          <w:rFonts w:hint="eastAsia"/>
          <w:sz w:val="18"/>
          <w:szCs w:val="18"/>
        </w:rPr>
        <w:t>、公司长期高度重视食品安全，严格要求把食品安全落实到生产经营的每个环节。公司在生产经营中根据国家法律法规及市场监督管理部门的规章制度要求，建立了完善的食品安全控制体系，通过了</w:t>
      </w:r>
      <w:r w:rsidRPr="000572DD">
        <w:rPr>
          <w:rFonts w:hint="eastAsia"/>
          <w:sz w:val="18"/>
          <w:szCs w:val="18"/>
        </w:rPr>
        <w:t xml:space="preserve">ISO9001 </w:t>
      </w:r>
      <w:r w:rsidRPr="000572DD">
        <w:rPr>
          <w:rFonts w:hint="eastAsia"/>
          <w:sz w:val="18"/>
          <w:szCs w:val="18"/>
        </w:rPr>
        <w:t>国际质量管理体系和</w:t>
      </w:r>
      <w:r w:rsidRPr="000572DD">
        <w:rPr>
          <w:rFonts w:hint="eastAsia"/>
          <w:sz w:val="18"/>
          <w:szCs w:val="18"/>
        </w:rPr>
        <w:t>ISO22000</w:t>
      </w:r>
      <w:r w:rsidRPr="000572DD">
        <w:rPr>
          <w:rFonts w:hint="eastAsia"/>
          <w:sz w:val="18"/>
          <w:szCs w:val="18"/>
        </w:rPr>
        <w:t>食品安全管理体系的认证，并对关键环节在国家标准的基础上制定了更为严格的多个企业标准，进一步细化食品安全控制工作。在每个生产基地配备专职质量控制人员、每个市场安排专职质量监督人员，从而达到对采购、生产、储存、运输、销售等环节实施有效的食品安全质量控制的目标；通过执行《标识和可追溯性管理制度》等相关产品质量控制制度，使产品质量和食品安全控制具有可追溯性，尽可能降低食品安全事件发生的可能性。</w:t>
      </w:r>
    </w:p>
    <w:p w14:paraId="34859F10" w14:textId="77777777" w:rsidR="000572DD" w:rsidRPr="000572DD" w:rsidRDefault="00000000" w:rsidP="0027616C">
      <w:pPr>
        <w:spacing w:line="276" w:lineRule="auto"/>
        <w:ind w:firstLineChars="200" w:firstLine="360"/>
        <w:jc w:val="both"/>
        <w:rPr>
          <w:sz w:val="18"/>
          <w:szCs w:val="18"/>
        </w:rPr>
      </w:pPr>
      <w:r w:rsidRPr="000572DD">
        <w:rPr>
          <w:rFonts w:hint="eastAsia"/>
          <w:sz w:val="18"/>
          <w:szCs w:val="18"/>
        </w:rPr>
        <w:t>3</w:t>
      </w:r>
      <w:r w:rsidRPr="000572DD">
        <w:rPr>
          <w:rFonts w:hint="eastAsia"/>
          <w:sz w:val="18"/>
          <w:szCs w:val="18"/>
        </w:rPr>
        <w:t>、公司将一方面加强管理、提高效率进行成本控制，一方面充分发挥公司全产业链布局的优势，通过调节产品结构、生产高附加值产品、加快食品业务发展等方式，一定程度上化解了生猪价格波动对公司盈利能力带来的风险。</w:t>
      </w:r>
    </w:p>
    <w:p w14:paraId="0533EAD4" w14:textId="77777777" w:rsidR="00517D34" w:rsidRPr="000572DD" w:rsidRDefault="00000000" w:rsidP="0027616C">
      <w:pPr>
        <w:spacing w:line="276" w:lineRule="auto"/>
        <w:ind w:firstLineChars="200" w:firstLine="360"/>
        <w:jc w:val="both"/>
        <w:rPr>
          <w:sz w:val="18"/>
          <w:szCs w:val="18"/>
        </w:rPr>
      </w:pPr>
      <w:r w:rsidRPr="000572DD">
        <w:rPr>
          <w:rFonts w:hint="eastAsia"/>
          <w:sz w:val="18"/>
          <w:szCs w:val="18"/>
        </w:rPr>
        <w:t>4</w:t>
      </w:r>
      <w:r w:rsidRPr="000572DD">
        <w:rPr>
          <w:rFonts w:hint="eastAsia"/>
          <w:sz w:val="18"/>
          <w:szCs w:val="18"/>
        </w:rPr>
        <w:t>、公司着力构建消费市场洞察体系，服务广大食品加工和餐饮企业，协同进行市场推广，创新营销模式，积极应用市场思维</w:t>
      </w:r>
      <w:proofErr w:type="gramStart"/>
      <w:r w:rsidRPr="000572DD">
        <w:rPr>
          <w:rFonts w:hint="eastAsia"/>
          <w:sz w:val="18"/>
          <w:szCs w:val="18"/>
        </w:rPr>
        <w:t>打造爆款明星</w:t>
      </w:r>
      <w:proofErr w:type="gramEnd"/>
      <w:r w:rsidRPr="000572DD">
        <w:rPr>
          <w:rFonts w:hint="eastAsia"/>
          <w:sz w:val="18"/>
          <w:szCs w:val="18"/>
        </w:rPr>
        <w:t>单品，以大单品策略快速服务市场。此外，公司加快开拓专业销售渠道，加强定制化服务；聚焦核心区域，打造样板市场，实现优势区域全覆盖；构建流通经销商网络，实现全国范围渠道拓展。</w:t>
      </w:r>
    </w:p>
    <w:p w14:paraId="33C47B77" w14:textId="77777777" w:rsidR="007B3DB2" w:rsidRPr="0063248C" w:rsidRDefault="00000000">
      <w:pPr>
        <w:pStyle w:val="2"/>
        <w:spacing w:before="300" w:after="300" w:line="320" w:lineRule="exact"/>
        <w:rPr>
          <w:rFonts w:cs="宋体"/>
          <w:b/>
          <w:bCs/>
          <w:sz w:val="24"/>
          <w:szCs w:val="24"/>
        </w:rPr>
      </w:pPr>
      <w:bookmarkStart w:id="40" w:name="_Toc988929"/>
      <w:r w:rsidRPr="0063248C">
        <w:rPr>
          <w:rFonts w:cs="宋体"/>
          <w:b/>
          <w:bCs/>
          <w:sz w:val="24"/>
          <w:szCs w:val="24"/>
        </w:rPr>
        <w:t>十一、</w:t>
      </w:r>
      <w:r w:rsidRPr="0063248C">
        <w:rPr>
          <w:rFonts w:cs="宋体"/>
          <w:b/>
          <w:bCs/>
          <w:sz w:val="24"/>
          <w:szCs w:val="24"/>
        </w:rPr>
        <w:t>“</w:t>
      </w:r>
      <w:r w:rsidRPr="0063248C">
        <w:rPr>
          <w:rFonts w:cs="宋体"/>
          <w:b/>
          <w:bCs/>
          <w:sz w:val="24"/>
          <w:szCs w:val="24"/>
        </w:rPr>
        <w:t>质量回报双提升</w:t>
      </w:r>
      <w:r w:rsidRPr="0063248C">
        <w:rPr>
          <w:rFonts w:cs="宋体"/>
          <w:b/>
          <w:bCs/>
          <w:sz w:val="24"/>
          <w:szCs w:val="24"/>
        </w:rPr>
        <w:t>”</w:t>
      </w:r>
      <w:r w:rsidRPr="0063248C">
        <w:rPr>
          <w:rFonts w:cs="宋体"/>
          <w:b/>
          <w:bCs/>
          <w:sz w:val="24"/>
          <w:szCs w:val="24"/>
        </w:rPr>
        <w:t>行动方案贯彻落实情况</w:t>
      </w:r>
      <w:bookmarkEnd w:id="40"/>
    </w:p>
    <w:p w14:paraId="13C163C4" w14:textId="77777777" w:rsidR="007B3DB2" w:rsidRPr="0063248C" w:rsidRDefault="00000000">
      <w:pPr>
        <w:spacing w:before="100" w:after="100" w:line="240" w:lineRule="exact"/>
        <w:rPr>
          <w:rFonts w:cs="宋体"/>
          <w:sz w:val="18"/>
          <w:szCs w:val="18"/>
        </w:rPr>
      </w:pPr>
      <w:r w:rsidRPr="0063248C">
        <w:rPr>
          <w:rFonts w:cs="宋体"/>
          <w:sz w:val="18"/>
          <w:szCs w:val="18"/>
        </w:rPr>
        <w:t>公司是否披露了</w:t>
      </w:r>
      <w:r w:rsidRPr="0063248C">
        <w:rPr>
          <w:rFonts w:cs="宋体"/>
          <w:sz w:val="18"/>
          <w:szCs w:val="18"/>
        </w:rPr>
        <w:t>“</w:t>
      </w:r>
      <w:r w:rsidRPr="0063248C">
        <w:rPr>
          <w:rFonts w:cs="宋体"/>
          <w:sz w:val="18"/>
          <w:szCs w:val="18"/>
        </w:rPr>
        <w:t>质量回报双提升</w:t>
      </w:r>
      <w:r w:rsidRPr="0063248C">
        <w:rPr>
          <w:rFonts w:cs="宋体"/>
          <w:sz w:val="18"/>
          <w:szCs w:val="18"/>
        </w:rPr>
        <w:t>”</w:t>
      </w:r>
      <w:r w:rsidRPr="0063248C">
        <w:rPr>
          <w:rFonts w:cs="宋体"/>
          <w:sz w:val="18"/>
          <w:szCs w:val="18"/>
        </w:rPr>
        <w:t>行动方案公告。</w:t>
      </w:r>
    </w:p>
    <w:p w14:paraId="7D1D2061"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是</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否</w:t>
      </w:r>
    </w:p>
    <w:p w14:paraId="617022B2" w14:textId="77777777" w:rsidR="007B3DB2" w:rsidRPr="0063248C" w:rsidRDefault="00000000">
      <w:r w:rsidRPr="0063248C">
        <w:br w:type="page"/>
      </w:r>
    </w:p>
    <w:p w14:paraId="25EFF170" w14:textId="77777777" w:rsidR="007B3DB2" w:rsidRPr="0063248C" w:rsidRDefault="00000000">
      <w:pPr>
        <w:pStyle w:val="headingh1"/>
        <w:spacing w:before="340" w:after="330" w:line="773" w:lineRule="exact"/>
        <w:jc w:val="center"/>
        <w:rPr>
          <w:rFonts w:cs="宋体"/>
          <w:b/>
          <w:bCs/>
          <w:sz w:val="32"/>
          <w:szCs w:val="32"/>
        </w:rPr>
      </w:pPr>
      <w:bookmarkStart w:id="41" w:name="_Toc988930"/>
      <w:r w:rsidRPr="0063248C">
        <w:rPr>
          <w:rFonts w:cs="宋体"/>
          <w:b/>
          <w:bCs/>
          <w:sz w:val="32"/>
          <w:szCs w:val="32"/>
        </w:rPr>
        <w:lastRenderedPageBreak/>
        <w:t>第四节</w:t>
      </w:r>
      <w:r w:rsidRPr="0063248C">
        <w:rPr>
          <w:rFonts w:cs="宋体"/>
          <w:b/>
          <w:bCs/>
          <w:sz w:val="32"/>
          <w:szCs w:val="32"/>
        </w:rPr>
        <w:t xml:space="preserve"> </w:t>
      </w:r>
      <w:r w:rsidRPr="0063248C">
        <w:rPr>
          <w:rFonts w:cs="宋体"/>
          <w:b/>
          <w:bCs/>
          <w:sz w:val="32"/>
          <w:szCs w:val="32"/>
        </w:rPr>
        <w:t>公司治理</w:t>
      </w:r>
      <w:bookmarkEnd w:id="41"/>
    </w:p>
    <w:p w14:paraId="010E2950" w14:textId="77777777" w:rsidR="007B3DB2" w:rsidRPr="0063248C" w:rsidRDefault="00000000">
      <w:pPr>
        <w:pStyle w:val="2"/>
        <w:spacing w:before="300" w:after="300" w:line="320" w:lineRule="exact"/>
        <w:rPr>
          <w:rFonts w:cs="宋体"/>
          <w:b/>
          <w:bCs/>
          <w:sz w:val="24"/>
          <w:szCs w:val="24"/>
        </w:rPr>
      </w:pPr>
      <w:bookmarkStart w:id="42" w:name="_Toc988931"/>
      <w:r w:rsidRPr="0063248C">
        <w:rPr>
          <w:rFonts w:cs="宋体"/>
          <w:b/>
          <w:bCs/>
          <w:sz w:val="24"/>
          <w:szCs w:val="24"/>
        </w:rPr>
        <w:t>一、报告期内召开的年度股东大会和临时股东大会的有关情况</w:t>
      </w:r>
      <w:bookmarkEnd w:id="42"/>
    </w:p>
    <w:p w14:paraId="17538A74" w14:textId="77777777" w:rsidR="007B3DB2" w:rsidRPr="0063248C" w:rsidRDefault="00000000">
      <w:pPr>
        <w:pStyle w:val="3"/>
        <w:spacing w:line="280" w:lineRule="exact"/>
        <w:jc w:val="left"/>
        <w:rPr>
          <w:rFonts w:cs="宋体"/>
          <w:b/>
          <w:bCs/>
        </w:rPr>
      </w:pPr>
      <w:bookmarkStart w:id="43" w:name="_Toc988932"/>
      <w:r w:rsidRPr="0063248C">
        <w:rPr>
          <w:rFonts w:cs="宋体"/>
          <w:b/>
          <w:bCs/>
        </w:rPr>
        <w:t>1</w:t>
      </w:r>
      <w:r w:rsidRPr="0063248C">
        <w:rPr>
          <w:rFonts w:cs="宋体"/>
          <w:b/>
          <w:bCs/>
        </w:rPr>
        <w:t>、本报告期股东大会情况</w:t>
      </w:r>
      <w:bookmarkEnd w:id="4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76"/>
        <w:gridCol w:w="1418"/>
        <w:gridCol w:w="1559"/>
        <w:gridCol w:w="1843"/>
        <w:gridCol w:w="1842"/>
        <w:gridCol w:w="1701"/>
      </w:tblGrid>
      <w:tr w:rsidR="007B3DB2" w:rsidRPr="0063248C" w14:paraId="7C26502B" w14:textId="77777777" w:rsidTr="006709E7">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7AF333F1" w14:textId="77777777" w:rsidR="007B3DB2" w:rsidRPr="0063248C" w:rsidRDefault="00000000">
            <w:pPr>
              <w:spacing w:before="40" w:after="40" w:line="240" w:lineRule="exact"/>
              <w:jc w:val="center"/>
              <w:rPr>
                <w:rFonts w:cs="宋体"/>
                <w:sz w:val="18"/>
                <w:szCs w:val="18"/>
              </w:rPr>
            </w:pPr>
            <w:r w:rsidRPr="0063248C">
              <w:rPr>
                <w:rFonts w:cs="宋体"/>
                <w:sz w:val="18"/>
                <w:szCs w:val="18"/>
              </w:rPr>
              <w:t>会议届次</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5F1CABE8" w14:textId="77777777" w:rsidR="007B3DB2" w:rsidRPr="0063248C" w:rsidRDefault="00000000">
            <w:pPr>
              <w:spacing w:before="40" w:after="40" w:line="240" w:lineRule="exact"/>
              <w:jc w:val="center"/>
              <w:rPr>
                <w:rFonts w:cs="宋体"/>
                <w:sz w:val="18"/>
                <w:szCs w:val="18"/>
              </w:rPr>
            </w:pPr>
            <w:r w:rsidRPr="0063248C">
              <w:rPr>
                <w:rFonts w:cs="宋体"/>
                <w:sz w:val="18"/>
                <w:szCs w:val="18"/>
              </w:rPr>
              <w:t>会议类型</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69FBD58B" w14:textId="77777777" w:rsidR="007B3DB2" w:rsidRPr="0063248C" w:rsidRDefault="00000000">
            <w:pPr>
              <w:spacing w:before="40" w:after="40" w:line="240" w:lineRule="exact"/>
              <w:jc w:val="center"/>
              <w:rPr>
                <w:rFonts w:cs="宋体"/>
                <w:sz w:val="18"/>
                <w:szCs w:val="18"/>
              </w:rPr>
            </w:pPr>
            <w:r w:rsidRPr="0063248C">
              <w:rPr>
                <w:rFonts w:cs="宋体"/>
                <w:sz w:val="18"/>
                <w:szCs w:val="18"/>
              </w:rPr>
              <w:t>投资者参与比例</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7D3C35C5" w14:textId="77777777" w:rsidR="007B3DB2" w:rsidRPr="0063248C" w:rsidRDefault="00000000">
            <w:pPr>
              <w:spacing w:before="40" w:after="40" w:line="240" w:lineRule="exact"/>
              <w:jc w:val="center"/>
              <w:rPr>
                <w:rFonts w:cs="宋体"/>
                <w:sz w:val="18"/>
                <w:szCs w:val="18"/>
              </w:rPr>
            </w:pPr>
            <w:r w:rsidRPr="0063248C">
              <w:rPr>
                <w:rFonts w:cs="宋体"/>
                <w:sz w:val="18"/>
                <w:szCs w:val="18"/>
              </w:rPr>
              <w:t>召开日期</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09E7C593" w14:textId="77777777" w:rsidR="007B3DB2" w:rsidRPr="0063248C" w:rsidRDefault="00000000">
            <w:pPr>
              <w:spacing w:before="40" w:after="40" w:line="240" w:lineRule="exact"/>
              <w:jc w:val="center"/>
              <w:rPr>
                <w:rFonts w:cs="宋体"/>
                <w:sz w:val="18"/>
                <w:szCs w:val="18"/>
              </w:rPr>
            </w:pPr>
            <w:r w:rsidRPr="0063248C">
              <w:rPr>
                <w:rFonts w:cs="宋体"/>
                <w:sz w:val="18"/>
                <w:szCs w:val="18"/>
              </w:rPr>
              <w:t>披露日期</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B934763" w14:textId="77777777" w:rsidR="007B3DB2" w:rsidRPr="0063248C" w:rsidRDefault="00000000">
            <w:pPr>
              <w:spacing w:before="40" w:after="40" w:line="240" w:lineRule="exact"/>
              <w:jc w:val="center"/>
              <w:rPr>
                <w:rFonts w:cs="宋体"/>
                <w:sz w:val="18"/>
                <w:szCs w:val="18"/>
              </w:rPr>
            </w:pPr>
            <w:r w:rsidRPr="0063248C">
              <w:rPr>
                <w:rFonts w:cs="宋体"/>
                <w:sz w:val="18"/>
                <w:szCs w:val="18"/>
              </w:rPr>
              <w:t>会议决议</w:t>
            </w:r>
          </w:p>
        </w:tc>
      </w:tr>
      <w:tr w:rsidR="007B3DB2" w:rsidRPr="0063248C" w14:paraId="408CBC0A" w14:textId="77777777" w:rsidTr="006709E7">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64DE6C18"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年年度股东大会</w:t>
            </w:r>
          </w:p>
        </w:tc>
        <w:tc>
          <w:tcPr>
            <w:tcW w:w="1418" w:type="dxa"/>
            <w:tcBorders>
              <w:top w:val="single" w:sz="2" w:space="0" w:color="auto"/>
              <w:left w:val="single" w:sz="2" w:space="0" w:color="auto"/>
              <w:bottom w:val="single" w:sz="2" w:space="0" w:color="auto"/>
              <w:right w:val="single" w:sz="2" w:space="0" w:color="auto"/>
            </w:tcBorders>
            <w:vAlign w:val="center"/>
          </w:tcPr>
          <w:p w14:paraId="43E5B2E7" w14:textId="77777777" w:rsidR="007B3DB2" w:rsidRPr="0063248C" w:rsidRDefault="00000000">
            <w:pPr>
              <w:spacing w:line="240" w:lineRule="exact"/>
              <w:rPr>
                <w:rFonts w:cs="宋体"/>
                <w:sz w:val="18"/>
                <w:szCs w:val="18"/>
              </w:rPr>
            </w:pPr>
            <w:r w:rsidRPr="0063248C">
              <w:rPr>
                <w:rFonts w:cs="宋体"/>
                <w:sz w:val="18"/>
                <w:szCs w:val="18"/>
              </w:rPr>
              <w:t>年度股东大会</w:t>
            </w:r>
          </w:p>
        </w:tc>
        <w:tc>
          <w:tcPr>
            <w:tcW w:w="1559" w:type="dxa"/>
            <w:tcBorders>
              <w:top w:val="single" w:sz="2" w:space="0" w:color="auto"/>
              <w:left w:val="single" w:sz="2" w:space="0" w:color="auto"/>
              <w:bottom w:val="single" w:sz="2" w:space="0" w:color="auto"/>
              <w:right w:val="single" w:sz="2" w:space="0" w:color="auto"/>
            </w:tcBorders>
            <w:vAlign w:val="center"/>
          </w:tcPr>
          <w:p w14:paraId="5E0D2E1E" w14:textId="77777777" w:rsidR="007B3DB2" w:rsidRPr="0063248C" w:rsidRDefault="00000000">
            <w:pPr>
              <w:spacing w:line="240" w:lineRule="exact"/>
              <w:jc w:val="right"/>
              <w:rPr>
                <w:rFonts w:cs="宋体"/>
                <w:sz w:val="18"/>
                <w:szCs w:val="18"/>
              </w:rPr>
            </w:pPr>
            <w:r w:rsidRPr="0063248C">
              <w:rPr>
                <w:rFonts w:cs="宋体"/>
                <w:sz w:val="18"/>
                <w:szCs w:val="18"/>
              </w:rPr>
              <w:t>46.81%</w:t>
            </w:r>
          </w:p>
        </w:tc>
        <w:tc>
          <w:tcPr>
            <w:tcW w:w="1843" w:type="dxa"/>
            <w:tcBorders>
              <w:top w:val="single" w:sz="2" w:space="0" w:color="auto"/>
              <w:left w:val="single" w:sz="2" w:space="0" w:color="auto"/>
              <w:bottom w:val="single" w:sz="2" w:space="0" w:color="auto"/>
              <w:right w:val="single" w:sz="2" w:space="0" w:color="auto"/>
            </w:tcBorders>
            <w:vAlign w:val="center"/>
          </w:tcPr>
          <w:p w14:paraId="3AAF2BCF"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07</w:t>
            </w:r>
            <w:r w:rsidRPr="0063248C">
              <w:rPr>
                <w:rFonts w:cs="宋体"/>
                <w:sz w:val="18"/>
                <w:szCs w:val="18"/>
              </w:rPr>
              <w:t>日</w:t>
            </w:r>
          </w:p>
        </w:tc>
        <w:tc>
          <w:tcPr>
            <w:tcW w:w="1842" w:type="dxa"/>
            <w:tcBorders>
              <w:top w:val="single" w:sz="2" w:space="0" w:color="auto"/>
              <w:left w:val="single" w:sz="2" w:space="0" w:color="auto"/>
              <w:bottom w:val="single" w:sz="2" w:space="0" w:color="auto"/>
              <w:right w:val="single" w:sz="2" w:space="0" w:color="auto"/>
            </w:tcBorders>
            <w:vAlign w:val="center"/>
          </w:tcPr>
          <w:p w14:paraId="6D308827"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07</w:t>
            </w:r>
            <w:r w:rsidRPr="0063248C">
              <w:rPr>
                <w:rFonts w:cs="宋体"/>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79E425D8" w14:textId="77777777" w:rsidR="007B3DB2" w:rsidRPr="0063248C" w:rsidRDefault="00000000">
            <w:pPr>
              <w:spacing w:line="240" w:lineRule="exact"/>
              <w:rPr>
                <w:rFonts w:cs="宋体"/>
                <w:sz w:val="18"/>
                <w:szCs w:val="18"/>
              </w:rPr>
            </w:pPr>
            <w:r w:rsidRPr="0063248C">
              <w:rPr>
                <w:rFonts w:cs="宋体"/>
                <w:sz w:val="18"/>
                <w:szCs w:val="18"/>
              </w:rPr>
              <w:t>具体内容详见巨潮资讯网（</w:t>
            </w:r>
            <w:r w:rsidRPr="0063248C">
              <w:rPr>
                <w:rFonts w:cs="宋体"/>
                <w:sz w:val="18"/>
                <w:szCs w:val="18"/>
              </w:rPr>
              <w:t>http://www.cninfo.com.cn</w:t>
            </w:r>
            <w:r w:rsidRPr="0063248C">
              <w:rPr>
                <w:rFonts w:cs="宋体"/>
                <w:sz w:val="18"/>
                <w:szCs w:val="18"/>
              </w:rPr>
              <w:t>）《山东龙大美食股份有限公司</w:t>
            </w:r>
            <w:r w:rsidRPr="0063248C">
              <w:rPr>
                <w:rFonts w:cs="宋体"/>
                <w:sz w:val="18"/>
                <w:szCs w:val="18"/>
              </w:rPr>
              <w:t>2023</w:t>
            </w:r>
            <w:r w:rsidRPr="0063248C">
              <w:rPr>
                <w:rFonts w:cs="宋体"/>
                <w:sz w:val="18"/>
                <w:szCs w:val="18"/>
              </w:rPr>
              <w:t>年年度股东大会决议公告》</w:t>
            </w:r>
          </w:p>
        </w:tc>
      </w:tr>
    </w:tbl>
    <w:p w14:paraId="7216AD1D" w14:textId="77777777" w:rsidR="007B3DB2" w:rsidRPr="0063248C" w:rsidRDefault="00000000">
      <w:pPr>
        <w:pStyle w:val="3"/>
        <w:spacing w:line="280" w:lineRule="exact"/>
        <w:jc w:val="left"/>
        <w:rPr>
          <w:rFonts w:cs="宋体"/>
          <w:b/>
          <w:bCs/>
        </w:rPr>
      </w:pPr>
      <w:bookmarkStart w:id="44" w:name="_Toc988933"/>
      <w:r w:rsidRPr="0063248C">
        <w:rPr>
          <w:rFonts w:cs="宋体"/>
          <w:b/>
          <w:bCs/>
        </w:rPr>
        <w:t>2</w:t>
      </w:r>
      <w:r w:rsidRPr="0063248C">
        <w:rPr>
          <w:rFonts w:cs="宋体"/>
          <w:b/>
          <w:bCs/>
        </w:rPr>
        <w:t>、表决权恢复的优先股股东请求召开临时股东大会</w:t>
      </w:r>
      <w:bookmarkEnd w:id="44"/>
    </w:p>
    <w:p w14:paraId="6AFC176F"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41BFEB9" w14:textId="77777777" w:rsidR="007B3DB2" w:rsidRPr="0063248C" w:rsidRDefault="00000000">
      <w:pPr>
        <w:pStyle w:val="2"/>
        <w:spacing w:before="300" w:after="300" w:line="320" w:lineRule="exact"/>
        <w:rPr>
          <w:rFonts w:cs="宋体"/>
          <w:b/>
          <w:bCs/>
          <w:sz w:val="24"/>
          <w:szCs w:val="24"/>
        </w:rPr>
      </w:pPr>
      <w:bookmarkStart w:id="45" w:name="_Toc988934"/>
      <w:r w:rsidRPr="0063248C">
        <w:rPr>
          <w:rFonts w:cs="宋体"/>
          <w:b/>
          <w:bCs/>
          <w:sz w:val="24"/>
          <w:szCs w:val="24"/>
        </w:rPr>
        <w:t>二、公司董事、监事、高级管理人员变动情况</w:t>
      </w:r>
      <w:bookmarkEnd w:id="45"/>
    </w:p>
    <w:p w14:paraId="2107F3B9"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4208316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1DC4FE" w14:textId="77777777" w:rsidR="007B3DB2" w:rsidRPr="0063248C" w:rsidRDefault="00000000">
            <w:pPr>
              <w:spacing w:before="40" w:after="40" w:line="240" w:lineRule="exact"/>
              <w:jc w:val="center"/>
              <w:rPr>
                <w:rFonts w:cs="宋体"/>
                <w:sz w:val="18"/>
                <w:szCs w:val="18"/>
              </w:rPr>
            </w:pPr>
            <w:r w:rsidRPr="0063248C">
              <w:rPr>
                <w:rFonts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1B1460"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E96105" w14:textId="77777777" w:rsidR="007B3DB2" w:rsidRPr="0063248C" w:rsidRDefault="00000000">
            <w:pPr>
              <w:spacing w:before="40" w:after="40" w:line="240" w:lineRule="exact"/>
              <w:jc w:val="center"/>
              <w:rPr>
                <w:rFonts w:cs="宋体"/>
                <w:sz w:val="18"/>
                <w:szCs w:val="18"/>
              </w:rPr>
            </w:pPr>
            <w:r w:rsidRPr="0063248C">
              <w:rPr>
                <w:rFonts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F3BD4DC" w14:textId="77777777" w:rsidR="007B3DB2" w:rsidRPr="0063248C" w:rsidRDefault="00000000">
            <w:pPr>
              <w:spacing w:before="40" w:after="40" w:line="240" w:lineRule="exact"/>
              <w:jc w:val="center"/>
              <w:rPr>
                <w:rFonts w:cs="宋体"/>
                <w:sz w:val="18"/>
                <w:szCs w:val="18"/>
              </w:rPr>
            </w:pPr>
            <w:r w:rsidRPr="0063248C">
              <w:rPr>
                <w:rFonts w:cs="宋体"/>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61BFCE" w14:textId="77777777" w:rsidR="007B3DB2" w:rsidRPr="0063248C" w:rsidRDefault="00000000">
            <w:pPr>
              <w:spacing w:before="40" w:after="40" w:line="240" w:lineRule="exact"/>
              <w:jc w:val="center"/>
              <w:rPr>
                <w:rFonts w:cs="宋体"/>
                <w:sz w:val="18"/>
                <w:szCs w:val="18"/>
              </w:rPr>
            </w:pPr>
            <w:r w:rsidRPr="0063248C">
              <w:rPr>
                <w:rFonts w:cs="宋体"/>
                <w:sz w:val="18"/>
                <w:szCs w:val="18"/>
              </w:rPr>
              <w:t>原因</w:t>
            </w:r>
          </w:p>
        </w:tc>
      </w:tr>
      <w:tr w:rsidR="007B3DB2" w:rsidRPr="0063248C" w14:paraId="27E33BD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F5C2817" w14:textId="77777777" w:rsidR="007B3DB2" w:rsidRPr="0063248C" w:rsidRDefault="00000000" w:rsidP="006709E7">
            <w:pPr>
              <w:spacing w:line="240" w:lineRule="exact"/>
              <w:jc w:val="center"/>
              <w:rPr>
                <w:rFonts w:cs="宋体"/>
                <w:sz w:val="18"/>
                <w:szCs w:val="18"/>
              </w:rPr>
            </w:pPr>
            <w:r w:rsidRPr="0063248C">
              <w:rPr>
                <w:rFonts w:cs="宋体"/>
                <w:sz w:val="18"/>
                <w:szCs w:val="18"/>
              </w:rPr>
              <w:t>王豪杰</w:t>
            </w:r>
          </w:p>
        </w:tc>
        <w:tc>
          <w:tcPr>
            <w:tcW w:w="1928" w:type="dxa"/>
            <w:tcBorders>
              <w:top w:val="single" w:sz="2" w:space="0" w:color="auto"/>
              <w:left w:val="single" w:sz="2" w:space="0" w:color="auto"/>
              <w:bottom w:val="single" w:sz="2" w:space="0" w:color="auto"/>
              <w:right w:val="single" w:sz="2" w:space="0" w:color="auto"/>
            </w:tcBorders>
            <w:vAlign w:val="center"/>
          </w:tcPr>
          <w:p w14:paraId="1D7AD4DF" w14:textId="77777777" w:rsidR="007B3DB2" w:rsidRPr="0063248C" w:rsidRDefault="00000000" w:rsidP="006709E7">
            <w:pPr>
              <w:spacing w:line="240" w:lineRule="exact"/>
              <w:jc w:val="center"/>
              <w:rPr>
                <w:rFonts w:cs="宋体"/>
                <w:sz w:val="18"/>
                <w:szCs w:val="18"/>
              </w:rPr>
            </w:pPr>
            <w:r w:rsidRPr="0063248C">
              <w:rPr>
                <w:rFonts w:cs="宋体"/>
                <w:sz w:val="18"/>
                <w:szCs w:val="18"/>
              </w:rPr>
              <w:t>总经理</w:t>
            </w:r>
          </w:p>
        </w:tc>
        <w:tc>
          <w:tcPr>
            <w:tcW w:w="1928" w:type="dxa"/>
            <w:tcBorders>
              <w:top w:val="single" w:sz="2" w:space="0" w:color="auto"/>
              <w:left w:val="single" w:sz="2" w:space="0" w:color="auto"/>
              <w:bottom w:val="single" w:sz="2" w:space="0" w:color="auto"/>
              <w:right w:val="single" w:sz="2" w:space="0" w:color="auto"/>
            </w:tcBorders>
            <w:vAlign w:val="center"/>
          </w:tcPr>
          <w:p w14:paraId="0C4532AD" w14:textId="77777777" w:rsidR="007B3DB2" w:rsidRPr="0063248C" w:rsidRDefault="00000000" w:rsidP="006709E7">
            <w:pPr>
              <w:spacing w:line="240" w:lineRule="exact"/>
              <w:jc w:val="center"/>
              <w:rPr>
                <w:rFonts w:cs="宋体"/>
                <w:sz w:val="18"/>
                <w:szCs w:val="18"/>
              </w:rPr>
            </w:pPr>
            <w:r w:rsidRPr="0063248C">
              <w:rPr>
                <w:rFonts w:cs="宋体"/>
                <w:sz w:val="18"/>
                <w:szCs w:val="18"/>
              </w:rPr>
              <w:t>解聘</w:t>
            </w:r>
          </w:p>
        </w:tc>
        <w:tc>
          <w:tcPr>
            <w:tcW w:w="1928" w:type="dxa"/>
            <w:tcBorders>
              <w:top w:val="single" w:sz="2" w:space="0" w:color="auto"/>
              <w:left w:val="single" w:sz="2" w:space="0" w:color="auto"/>
              <w:bottom w:val="single" w:sz="2" w:space="0" w:color="auto"/>
              <w:right w:val="single" w:sz="2" w:space="0" w:color="auto"/>
            </w:tcBorders>
            <w:vAlign w:val="center"/>
          </w:tcPr>
          <w:p w14:paraId="55B5CB26" w14:textId="77777777" w:rsidR="007B3DB2" w:rsidRPr="0063248C" w:rsidRDefault="00000000" w:rsidP="006709E7">
            <w:pPr>
              <w:spacing w:line="240" w:lineRule="exact"/>
              <w:jc w:val="center"/>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02</w:t>
            </w:r>
            <w:r w:rsidRPr="0063248C">
              <w:rPr>
                <w:rFonts w:cs="宋体"/>
                <w:sz w:val="18"/>
                <w:szCs w:val="18"/>
              </w:rPr>
              <w:t>月</w:t>
            </w:r>
            <w:r w:rsidRPr="0063248C">
              <w:rPr>
                <w:rFonts w:cs="宋体"/>
                <w:sz w:val="18"/>
                <w:szCs w:val="18"/>
              </w:rPr>
              <w:t>19</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A3F4267" w14:textId="77777777" w:rsidR="007B3DB2" w:rsidRPr="0063248C" w:rsidRDefault="00000000" w:rsidP="006709E7">
            <w:pPr>
              <w:spacing w:line="240" w:lineRule="exact"/>
              <w:jc w:val="center"/>
              <w:rPr>
                <w:rFonts w:cs="宋体"/>
                <w:sz w:val="18"/>
                <w:szCs w:val="18"/>
              </w:rPr>
            </w:pPr>
            <w:r w:rsidRPr="0063248C">
              <w:rPr>
                <w:rFonts w:cs="宋体"/>
                <w:sz w:val="18"/>
                <w:szCs w:val="18"/>
              </w:rPr>
              <w:t>工作变动</w:t>
            </w:r>
          </w:p>
        </w:tc>
      </w:tr>
    </w:tbl>
    <w:p w14:paraId="537B7973" w14:textId="77777777" w:rsidR="007B3DB2" w:rsidRPr="0063248C" w:rsidRDefault="00000000">
      <w:pPr>
        <w:pStyle w:val="2"/>
        <w:spacing w:before="300" w:after="300" w:line="320" w:lineRule="exact"/>
        <w:rPr>
          <w:rFonts w:cs="宋体"/>
          <w:b/>
          <w:bCs/>
          <w:sz w:val="24"/>
          <w:szCs w:val="24"/>
        </w:rPr>
      </w:pPr>
      <w:bookmarkStart w:id="46" w:name="_Toc988935"/>
      <w:r w:rsidRPr="0063248C">
        <w:rPr>
          <w:rFonts w:cs="宋体"/>
          <w:b/>
          <w:bCs/>
          <w:sz w:val="24"/>
          <w:szCs w:val="24"/>
        </w:rPr>
        <w:t>三、本报告期利润分配及资本公积金转增股本情况</w:t>
      </w:r>
      <w:bookmarkEnd w:id="46"/>
    </w:p>
    <w:p w14:paraId="42EF2285" w14:textId="77777777" w:rsidR="007B3DB2" w:rsidRPr="0063248C" w:rsidRDefault="00000000">
      <w:pPr>
        <w:spacing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B0C17D0" w14:textId="77777777" w:rsidR="007B3DB2" w:rsidRPr="0063248C" w:rsidRDefault="00000000">
      <w:pPr>
        <w:spacing w:before="40" w:after="40" w:line="240" w:lineRule="exact"/>
        <w:rPr>
          <w:rFonts w:cs="宋体"/>
          <w:sz w:val="18"/>
          <w:szCs w:val="18"/>
        </w:rPr>
      </w:pPr>
      <w:r w:rsidRPr="0063248C">
        <w:rPr>
          <w:rFonts w:cs="宋体"/>
          <w:sz w:val="18"/>
          <w:szCs w:val="18"/>
        </w:rPr>
        <w:t>公司计划半年度</w:t>
      </w:r>
      <w:proofErr w:type="gramStart"/>
      <w:r w:rsidRPr="0063248C">
        <w:rPr>
          <w:rFonts w:cs="宋体"/>
          <w:sz w:val="18"/>
          <w:szCs w:val="18"/>
        </w:rPr>
        <w:t>不</w:t>
      </w:r>
      <w:proofErr w:type="gramEnd"/>
      <w:r w:rsidRPr="0063248C">
        <w:rPr>
          <w:rFonts w:cs="宋体"/>
          <w:sz w:val="18"/>
          <w:szCs w:val="18"/>
        </w:rPr>
        <w:t>派发现金红利，不送红股，不以公积金转增股本。</w:t>
      </w:r>
    </w:p>
    <w:p w14:paraId="49FA7C0D" w14:textId="77777777" w:rsidR="007B3DB2" w:rsidRPr="0063248C" w:rsidRDefault="00000000">
      <w:pPr>
        <w:pStyle w:val="2"/>
        <w:spacing w:before="300" w:after="300" w:line="320" w:lineRule="exact"/>
        <w:rPr>
          <w:rFonts w:cs="宋体"/>
          <w:b/>
          <w:bCs/>
          <w:sz w:val="24"/>
          <w:szCs w:val="24"/>
        </w:rPr>
      </w:pPr>
      <w:bookmarkStart w:id="47" w:name="_Toc988936"/>
      <w:r w:rsidRPr="0063248C">
        <w:rPr>
          <w:rFonts w:cs="宋体"/>
          <w:b/>
          <w:bCs/>
          <w:sz w:val="24"/>
          <w:szCs w:val="24"/>
        </w:rPr>
        <w:t>四、公司股权激励计划、员工持股计划或其他员工激励措施的实施情况</w:t>
      </w:r>
      <w:bookmarkEnd w:id="47"/>
    </w:p>
    <w:p w14:paraId="2975D15F"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7EDEA67" w14:textId="77777777" w:rsidR="007B3DB2" w:rsidRPr="0063248C" w:rsidRDefault="00000000">
      <w:pPr>
        <w:spacing w:before="40" w:after="40" w:line="240" w:lineRule="exact"/>
        <w:rPr>
          <w:rFonts w:cs="宋体"/>
          <w:sz w:val="18"/>
          <w:szCs w:val="18"/>
        </w:rPr>
      </w:pPr>
      <w:r w:rsidRPr="0063248C">
        <w:rPr>
          <w:rFonts w:cs="宋体"/>
          <w:sz w:val="18"/>
          <w:szCs w:val="18"/>
        </w:rPr>
        <w:t>公司报告期无股权激励计划、员工持股计划或其他员工激励措施及其实施情况。</w:t>
      </w:r>
    </w:p>
    <w:p w14:paraId="6D46306E" w14:textId="77777777" w:rsidR="007B3DB2" w:rsidRPr="0063248C" w:rsidRDefault="00000000">
      <w:r w:rsidRPr="0063248C">
        <w:br w:type="page"/>
      </w:r>
    </w:p>
    <w:p w14:paraId="38BCE2F3" w14:textId="77777777" w:rsidR="007B3DB2" w:rsidRPr="0063248C" w:rsidRDefault="00000000">
      <w:pPr>
        <w:pStyle w:val="headingh1"/>
        <w:spacing w:before="340" w:after="330" w:line="773" w:lineRule="exact"/>
        <w:jc w:val="center"/>
        <w:rPr>
          <w:rFonts w:cs="宋体"/>
          <w:b/>
          <w:bCs/>
          <w:sz w:val="32"/>
          <w:szCs w:val="32"/>
        </w:rPr>
      </w:pPr>
      <w:bookmarkStart w:id="48" w:name="_Toc988937"/>
      <w:r w:rsidRPr="0063248C">
        <w:rPr>
          <w:rFonts w:cs="宋体"/>
          <w:b/>
          <w:bCs/>
          <w:sz w:val="32"/>
          <w:szCs w:val="32"/>
        </w:rPr>
        <w:lastRenderedPageBreak/>
        <w:t>第五节</w:t>
      </w:r>
      <w:r w:rsidRPr="0063248C">
        <w:rPr>
          <w:rFonts w:cs="宋体"/>
          <w:b/>
          <w:bCs/>
          <w:sz w:val="32"/>
          <w:szCs w:val="32"/>
        </w:rPr>
        <w:t xml:space="preserve"> </w:t>
      </w:r>
      <w:r w:rsidRPr="0063248C">
        <w:rPr>
          <w:rFonts w:cs="宋体"/>
          <w:b/>
          <w:bCs/>
          <w:sz w:val="32"/>
          <w:szCs w:val="32"/>
        </w:rPr>
        <w:t>环境和社会责任</w:t>
      </w:r>
      <w:bookmarkEnd w:id="48"/>
    </w:p>
    <w:p w14:paraId="415B48D6" w14:textId="77777777" w:rsidR="007B3DB2" w:rsidRPr="0063248C" w:rsidRDefault="00000000">
      <w:pPr>
        <w:pStyle w:val="2"/>
        <w:spacing w:before="300" w:after="300" w:line="320" w:lineRule="exact"/>
        <w:rPr>
          <w:rFonts w:cs="宋体"/>
          <w:b/>
          <w:bCs/>
          <w:sz w:val="24"/>
          <w:szCs w:val="24"/>
        </w:rPr>
      </w:pPr>
      <w:bookmarkStart w:id="49" w:name="_Toc988938"/>
      <w:r w:rsidRPr="0063248C">
        <w:rPr>
          <w:rFonts w:cs="宋体"/>
          <w:b/>
          <w:bCs/>
          <w:sz w:val="24"/>
          <w:szCs w:val="24"/>
        </w:rPr>
        <w:t>一、重大环保问题情况</w:t>
      </w:r>
      <w:bookmarkEnd w:id="49"/>
    </w:p>
    <w:p w14:paraId="66061B4C" w14:textId="77777777" w:rsidR="007B3DB2" w:rsidRPr="0063248C" w:rsidRDefault="00000000">
      <w:pPr>
        <w:spacing w:before="40" w:after="40" w:line="240" w:lineRule="exact"/>
        <w:rPr>
          <w:rFonts w:cs="宋体"/>
          <w:sz w:val="18"/>
          <w:szCs w:val="18"/>
        </w:rPr>
      </w:pPr>
      <w:r w:rsidRPr="0063248C">
        <w:rPr>
          <w:rFonts w:cs="宋体"/>
          <w:sz w:val="18"/>
          <w:szCs w:val="18"/>
        </w:rPr>
        <w:t>上市公司及其子公司是否属于环境保护部门公布的重点排污单位</w:t>
      </w:r>
    </w:p>
    <w:p w14:paraId="13521F7C"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是</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否</w:t>
      </w:r>
    </w:p>
    <w:p w14:paraId="508E889A" w14:textId="77777777" w:rsidR="007B3DB2" w:rsidRPr="0063248C" w:rsidRDefault="00000000">
      <w:pPr>
        <w:spacing w:before="100" w:after="100" w:line="240" w:lineRule="exact"/>
        <w:rPr>
          <w:rFonts w:cs="宋体"/>
          <w:sz w:val="18"/>
          <w:szCs w:val="18"/>
        </w:rPr>
      </w:pPr>
      <w:r w:rsidRPr="0063248C">
        <w:rPr>
          <w:rFonts w:cs="宋体"/>
          <w:sz w:val="18"/>
          <w:szCs w:val="18"/>
        </w:rPr>
        <w:t>环境保护相关政策和行业标准</w:t>
      </w:r>
    </w:p>
    <w:p w14:paraId="071B4A66" w14:textId="77777777" w:rsidR="00517D34" w:rsidRPr="0063248C" w:rsidRDefault="00000000">
      <w:pPr>
        <w:pStyle w:val="a3"/>
        <w:spacing w:before="40" w:beforeAutospacing="0" w:after="40" w:afterAutospacing="0" w:line="400" w:lineRule="atLeast"/>
        <w:ind w:left="40" w:right="40"/>
        <w:divId w:val="1104963297"/>
        <w:rPr>
          <w:rFonts w:ascii="Times New Roman" w:hAnsi="Times New Roman"/>
        </w:rPr>
      </w:pPr>
      <w:r w:rsidRPr="0063248C">
        <w:rPr>
          <w:rFonts w:ascii="Times New Roman" w:hAnsi="Times New Roman" w:hint="eastAsia"/>
          <w:sz w:val="18"/>
          <w:szCs w:val="18"/>
        </w:rPr>
        <w:t>《中华人民共和国环境保护法》《中华人民共和国水污染防治法》《中华人民共和国大气污染物防治法》《肉类加工工业污染物排放标准》《山东省水污染物综合排放标准》《污水排入城市下水道水质标准》</w:t>
      </w:r>
    </w:p>
    <w:p w14:paraId="3D01E559" w14:textId="77777777" w:rsidR="007B3DB2" w:rsidRPr="0063248C" w:rsidRDefault="00000000">
      <w:pPr>
        <w:spacing w:before="100" w:after="100" w:line="240" w:lineRule="exact"/>
        <w:rPr>
          <w:rFonts w:cs="宋体"/>
          <w:sz w:val="18"/>
          <w:szCs w:val="18"/>
        </w:rPr>
      </w:pPr>
      <w:r w:rsidRPr="0063248C">
        <w:rPr>
          <w:rFonts w:cs="宋体"/>
          <w:sz w:val="18"/>
          <w:szCs w:val="18"/>
        </w:rPr>
        <w:t>环境保护行政许可情况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9"/>
        <w:gridCol w:w="2949"/>
        <w:gridCol w:w="2148"/>
        <w:gridCol w:w="1991"/>
      </w:tblGrid>
      <w:tr w:rsidR="00517D34" w:rsidRPr="0063248C" w14:paraId="3C4CAF2F" w14:textId="77777777" w:rsidTr="006709E7">
        <w:trPr>
          <w:divId w:val="1752313652"/>
          <w:trHeight w:val="534"/>
        </w:trPr>
        <w:tc>
          <w:tcPr>
            <w:tcW w:w="1330" w:type="pct"/>
            <w:shd w:val="clear" w:color="auto" w:fill="D9D9D9"/>
            <w:tcMar>
              <w:top w:w="10" w:type="dxa"/>
              <w:left w:w="10" w:type="dxa"/>
              <w:bottom w:w="10" w:type="dxa"/>
              <w:right w:w="10" w:type="dxa"/>
            </w:tcMar>
            <w:hideMark/>
          </w:tcPr>
          <w:p w14:paraId="0CC86D50" w14:textId="77777777" w:rsidR="00517D34" w:rsidRPr="0063248C" w:rsidRDefault="00000000">
            <w:pPr>
              <w:pStyle w:val="a3"/>
              <w:spacing w:before="40" w:beforeAutospacing="0" w:after="40" w:afterAutospacing="0"/>
              <w:jc w:val="both"/>
              <w:rPr>
                <w:rFonts w:ascii="Times New Roman" w:hAnsi="Times New Roman"/>
              </w:rPr>
            </w:pPr>
            <w:r w:rsidRPr="0063248C">
              <w:rPr>
                <w:rFonts w:ascii="Times New Roman" w:hAnsi="Times New Roman" w:hint="eastAsia"/>
                <w:color w:val="000000"/>
                <w:sz w:val="18"/>
                <w:szCs w:val="18"/>
              </w:rPr>
              <w:t>项目名称</w:t>
            </w:r>
          </w:p>
        </w:tc>
        <w:tc>
          <w:tcPr>
            <w:tcW w:w="1527" w:type="pct"/>
            <w:shd w:val="clear" w:color="auto" w:fill="D9D9D9"/>
            <w:tcMar>
              <w:top w:w="10" w:type="dxa"/>
              <w:left w:w="10" w:type="dxa"/>
              <w:bottom w:w="10" w:type="dxa"/>
              <w:right w:w="10" w:type="dxa"/>
            </w:tcMar>
            <w:hideMark/>
          </w:tcPr>
          <w:p w14:paraId="001651B6" w14:textId="77777777" w:rsidR="00517D34" w:rsidRPr="0063248C" w:rsidRDefault="00000000">
            <w:pPr>
              <w:pStyle w:val="a3"/>
              <w:spacing w:before="40" w:beforeAutospacing="0" w:after="40" w:afterAutospacing="0"/>
              <w:jc w:val="center"/>
              <w:rPr>
                <w:rFonts w:ascii="Times New Roman" w:hAnsi="Times New Roman"/>
              </w:rPr>
            </w:pPr>
            <w:r w:rsidRPr="0063248C">
              <w:rPr>
                <w:rFonts w:ascii="Times New Roman" w:hAnsi="Times New Roman" w:hint="eastAsia"/>
                <w:color w:val="000000"/>
                <w:sz w:val="18"/>
                <w:szCs w:val="18"/>
              </w:rPr>
              <w:t>排污许可证证书编号</w:t>
            </w:r>
          </w:p>
        </w:tc>
        <w:tc>
          <w:tcPr>
            <w:tcW w:w="1112" w:type="pct"/>
            <w:shd w:val="clear" w:color="auto" w:fill="D9D9D9"/>
            <w:tcMar>
              <w:top w:w="10" w:type="dxa"/>
              <w:left w:w="10" w:type="dxa"/>
              <w:bottom w:w="10" w:type="dxa"/>
              <w:right w:w="10" w:type="dxa"/>
            </w:tcMar>
            <w:hideMark/>
          </w:tcPr>
          <w:p w14:paraId="734956B5" w14:textId="77777777" w:rsidR="00517D34" w:rsidRPr="0063248C" w:rsidRDefault="00000000">
            <w:pPr>
              <w:pStyle w:val="a3"/>
              <w:spacing w:before="40" w:beforeAutospacing="0" w:after="40" w:afterAutospacing="0"/>
              <w:jc w:val="center"/>
              <w:rPr>
                <w:rFonts w:ascii="Times New Roman" w:hAnsi="Times New Roman"/>
              </w:rPr>
            </w:pPr>
            <w:r w:rsidRPr="0063248C">
              <w:rPr>
                <w:rFonts w:ascii="Times New Roman" w:hAnsi="Times New Roman" w:hint="eastAsia"/>
                <w:color w:val="000000"/>
                <w:sz w:val="18"/>
                <w:szCs w:val="18"/>
              </w:rPr>
              <w:t>发证日期</w:t>
            </w:r>
          </w:p>
        </w:tc>
        <w:tc>
          <w:tcPr>
            <w:tcW w:w="1031" w:type="pct"/>
            <w:shd w:val="clear" w:color="auto" w:fill="D9D9D9"/>
            <w:tcMar>
              <w:top w:w="10" w:type="dxa"/>
              <w:left w:w="10" w:type="dxa"/>
              <w:bottom w:w="10" w:type="dxa"/>
              <w:right w:w="10" w:type="dxa"/>
            </w:tcMar>
            <w:hideMark/>
          </w:tcPr>
          <w:p w14:paraId="5F90424F" w14:textId="77777777" w:rsidR="00517D34" w:rsidRPr="0063248C" w:rsidRDefault="00000000">
            <w:pPr>
              <w:pStyle w:val="a3"/>
              <w:spacing w:before="40" w:beforeAutospacing="0" w:after="40" w:afterAutospacing="0"/>
              <w:jc w:val="center"/>
              <w:rPr>
                <w:rFonts w:ascii="Times New Roman" w:hAnsi="Times New Roman"/>
              </w:rPr>
            </w:pPr>
            <w:r w:rsidRPr="0063248C">
              <w:rPr>
                <w:rFonts w:ascii="Times New Roman" w:hAnsi="Times New Roman" w:hint="eastAsia"/>
                <w:color w:val="000000"/>
                <w:sz w:val="18"/>
                <w:szCs w:val="18"/>
              </w:rPr>
              <w:t>有效期</w:t>
            </w:r>
          </w:p>
        </w:tc>
      </w:tr>
      <w:tr w:rsidR="00517D34" w:rsidRPr="0063248C" w14:paraId="7A2922B3" w14:textId="77777777" w:rsidTr="00C117DA">
        <w:trPr>
          <w:divId w:val="1752313652"/>
          <w:trHeight w:val="771"/>
        </w:trPr>
        <w:tc>
          <w:tcPr>
            <w:tcW w:w="1330" w:type="pct"/>
            <w:tcMar>
              <w:top w:w="10" w:type="dxa"/>
              <w:left w:w="10" w:type="dxa"/>
              <w:bottom w:w="10" w:type="dxa"/>
              <w:right w:w="10" w:type="dxa"/>
            </w:tcMar>
            <w:vAlign w:val="center"/>
            <w:hideMark/>
          </w:tcPr>
          <w:p w14:paraId="64E979C9"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山东龙大美食股份有限公司生猪屠宰、加工项目</w:t>
            </w:r>
          </w:p>
        </w:tc>
        <w:tc>
          <w:tcPr>
            <w:tcW w:w="1527" w:type="pct"/>
            <w:tcMar>
              <w:top w:w="10" w:type="dxa"/>
              <w:left w:w="10" w:type="dxa"/>
              <w:bottom w:w="10" w:type="dxa"/>
              <w:right w:w="10" w:type="dxa"/>
            </w:tcMar>
            <w:vAlign w:val="center"/>
            <w:hideMark/>
          </w:tcPr>
          <w:p w14:paraId="6BF1FA72"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913700007591559056001Z</w:t>
            </w:r>
          </w:p>
        </w:tc>
        <w:tc>
          <w:tcPr>
            <w:tcW w:w="1112" w:type="pct"/>
            <w:tcMar>
              <w:top w:w="10" w:type="dxa"/>
              <w:left w:w="10" w:type="dxa"/>
              <w:bottom w:w="10" w:type="dxa"/>
              <w:right w:w="10" w:type="dxa"/>
            </w:tcMar>
            <w:vAlign w:val="center"/>
            <w:hideMark/>
          </w:tcPr>
          <w:p w14:paraId="3D21CCDE"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2023</w:t>
            </w:r>
            <w:r w:rsidRPr="0063248C">
              <w:rPr>
                <w:rFonts w:ascii="Times New Roman" w:hAnsi="Times New Roman" w:hint="eastAsia"/>
                <w:sz w:val="18"/>
                <w:szCs w:val="18"/>
              </w:rPr>
              <w:t>年</w:t>
            </w:r>
            <w:r w:rsidRPr="0063248C">
              <w:rPr>
                <w:rFonts w:ascii="Times New Roman" w:hAnsi="Times New Roman" w:hint="eastAsia"/>
                <w:sz w:val="18"/>
                <w:szCs w:val="18"/>
              </w:rPr>
              <w:t>8</w:t>
            </w:r>
            <w:r w:rsidRPr="0063248C">
              <w:rPr>
                <w:rFonts w:ascii="Times New Roman" w:hAnsi="Times New Roman" w:hint="eastAsia"/>
                <w:sz w:val="18"/>
                <w:szCs w:val="18"/>
              </w:rPr>
              <w:t>月</w:t>
            </w:r>
            <w:r w:rsidRPr="0063248C">
              <w:rPr>
                <w:rFonts w:ascii="Times New Roman" w:hAnsi="Times New Roman" w:hint="eastAsia"/>
                <w:sz w:val="18"/>
                <w:szCs w:val="18"/>
              </w:rPr>
              <w:t>11</w:t>
            </w:r>
            <w:r w:rsidRPr="0063248C">
              <w:rPr>
                <w:rFonts w:ascii="Times New Roman" w:hAnsi="Times New Roman" w:hint="eastAsia"/>
                <w:sz w:val="18"/>
                <w:szCs w:val="18"/>
              </w:rPr>
              <w:t>日</w:t>
            </w:r>
          </w:p>
        </w:tc>
        <w:tc>
          <w:tcPr>
            <w:tcW w:w="1031" w:type="pct"/>
            <w:tcMar>
              <w:top w:w="10" w:type="dxa"/>
              <w:left w:w="10" w:type="dxa"/>
              <w:bottom w:w="10" w:type="dxa"/>
              <w:right w:w="10" w:type="dxa"/>
            </w:tcMar>
            <w:vAlign w:val="center"/>
            <w:hideMark/>
          </w:tcPr>
          <w:p w14:paraId="54BD3863"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2023</w:t>
            </w:r>
            <w:r w:rsidRPr="0063248C">
              <w:rPr>
                <w:rFonts w:ascii="Times New Roman" w:hAnsi="Times New Roman" w:hint="eastAsia"/>
                <w:sz w:val="18"/>
                <w:szCs w:val="18"/>
              </w:rPr>
              <w:t>年</w:t>
            </w:r>
            <w:r w:rsidRPr="0063248C">
              <w:rPr>
                <w:rFonts w:ascii="Times New Roman" w:hAnsi="Times New Roman" w:hint="eastAsia"/>
                <w:sz w:val="18"/>
                <w:szCs w:val="18"/>
              </w:rPr>
              <w:t>8</w:t>
            </w:r>
            <w:r w:rsidRPr="0063248C">
              <w:rPr>
                <w:rFonts w:ascii="Times New Roman" w:hAnsi="Times New Roman" w:hint="eastAsia"/>
                <w:sz w:val="18"/>
                <w:szCs w:val="18"/>
              </w:rPr>
              <w:t>月</w:t>
            </w:r>
            <w:r w:rsidRPr="0063248C">
              <w:rPr>
                <w:rFonts w:ascii="Times New Roman" w:hAnsi="Times New Roman" w:hint="eastAsia"/>
                <w:sz w:val="18"/>
                <w:szCs w:val="18"/>
              </w:rPr>
              <w:t>11</w:t>
            </w:r>
            <w:r w:rsidRPr="0063248C">
              <w:rPr>
                <w:rFonts w:ascii="Times New Roman" w:hAnsi="Times New Roman" w:hint="eastAsia"/>
                <w:sz w:val="18"/>
                <w:szCs w:val="18"/>
              </w:rPr>
              <w:t>日至</w:t>
            </w:r>
            <w:r w:rsidRPr="0063248C">
              <w:rPr>
                <w:rFonts w:ascii="Times New Roman" w:hAnsi="Times New Roman" w:hint="eastAsia"/>
                <w:sz w:val="18"/>
                <w:szCs w:val="18"/>
              </w:rPr>
              <w:t>2028</w:t>
            </w:r>
            <w:r w:rsidRPr="0063248C">
              <w:rPr>
                <w:rFonts w:ascii="Times New Roman" w:hAnsi="Times New Roman" w:hint="eastAsia"/>
                <w:sz w:val="18"/>
                <w:szCs w:val="18"/>
              </w:rPr>
              <w:t>年</w:t>
            </w:r>
            <w:r w:rsidRPr="0063248C">
              <w:rPr>
                <w:rFonts w:ascii="Times New Roman" w:hAnsi="Times New Roman" w:hint="eastAsia"/>
                <w:sz w:val="18"/>
                <w:szCs w:val="18"/>
              </w:rPr>
              <w:t>8</w:t>
            </w:r>
            <w:r w:rsidRPr="0063248C">
              <w:rPr>
                <w:rFonts w:ascii="Times New Roman" w:hAnsi="Times New Roman" w:hint="eastAsia"/>
                <w:sz w:val="18"/>
                <w:szCs w:val="18"/>
              </w:rPr>
              <w:t>月</w:t>
            </w:r>
            <w:r w:rsidRPr="0063248C">
              <w:rPr>
                <w:rFonts w:ascii="Times New Roman" w:hAnsi="Times New Roman" w:hint="eastAsia"/>
                <w:sz w:val="18"/>
                <w:szCs w:val="18"/>
              </w:rPr>
              <w:t>10</w:t>
            </w:r>
            <w:r w:rsidRPr="0063248C">
              <w:rPr>
                <w:rFonts w:ascii="Times New Roman" w:hAnsi="Times New Roman" w:hint="eastAsia"/>
                <w:sz w:val="18"/>
                <w:szCs w:val="18"/>
              </w:rPr>
              <w:t>日</w:t>
            </w:r>
          </w:p>
        </w:tc>
      </w:tr>
      <w:tr w:rsidR="00517D34" w:rsidRPr="0063248C" w14:paraId="3DCB9A68" w14:textId="77777777" w:rsidTr="00C117DA">
        <w:trPr>
          <w:divId w:val="1752313652"/>
          <w:trHeight w:val="1008"/>
        </w:trPr>
        <w:tc>
          <w:tcPr>
            <w:tcW w:w="1330" w:type="pct"/>
            <w:tcMar>
              <w:top w:w="10" w:type="dxa"/>
              <w:left w:w="10" w:type="dxa"/>
              <w:bottom w:w="10" w:type="dxa"/>
              <w:right w:w="10" w:type="dxa"/>
            </w:tcMar>
            <w:vAlign w:val="center"/>
            <w:hideMark/>
          </w:tcPr>
          <w:p w14:paraId="17252D15"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潍坊振</w:t>
            </w:r>
            <w:proofErr w:type="gramStart"/>
            <w:r w:rsidRPr="0063248C">
              <w:rPr>
                <w:rFonts w:ascii="Times New Roman" w:hAnsi="Times New Roman" w:hint="eastAsia"/>
                <w:sz w:val="18"/>
                <w:szCs w:val="18"/>
              </w:rPr>
              <w:t>祥</w:t>
            </w:r>
            <w:proofErr w:type="gramEnd"/>
            <w:r w:rsidRPr="0063248C">
              <w:rPr>
                <w:rFonts w:ascii="Times New Roman" w:hAnsi="Times New Roman" w:hint="eastAsia"/>
                <w:sz w:val="18"/>
                <w:szCs w:val="18"/>
              </w:rPr>
              <w:t>食品有限公司</w:t>
            </w:r>
            <w:r w:rsidRPr="0063248C">
              <w:rPr>
                <w:rFonts w:ascii="Times New Roman" w:hAnsi="Times New Roman" w:hint="eastAsia"/>
                <w:sz w:val="18"/>
                <w:szCs w:val="18"/>
              </w:rPr>
              <w:t>300</w:t>
            </w:r>
            <w:r w:rsidRPr="0063248C">
              <w:rPr>
                <w:rFonts w:ascii="Times New Roman" w:hAnsi="Times New Roman" w:hint="eastAsia"/>
                <w:sz w:val="18"/>
                <w:szCs w:val="18"/>
              </w:rPr>
              <w:t>万头</w:t>
            </w:r>
            <w:r w:rsidRPr="0063248C">
              <w:rPr>
                <w:rFonts w:ascii="Times New Roman" w:hAnsi="Times New Roman" w:hint="eastAsia"/>
                <w:sz w:val="18"/>
                <w:szCs w:val="18"/>
              </w:rPr>
              <w:t>/</w:t>
            </w:r>
            <w:r w:rsidRPr="0063248C">
              <w:rPr>
                <w:rFonts w:ascii="Times New Roman" w:hAnsi="Times New Roman" w:hint="eastAsia"/>
                <w:sz w:val="18"/>
                <w:szCs w:val="18"/>
              </w:rPr>
              <w:t>年生猪屠宰及肉制品深加工项目</w:t>
            </w:r>
          </w:p>
        </w:tc>
        <w:tc>
          <w:tcPr>
            <w:tcW w:w="1527" w:type="pct"/>
            <w:tcMar>
              <w:top w:w="10" w:type="dxa"/>
              <w:left w:w="10" w:type="dxa"/>
              <w:bottom w:w="10" w:type="dxa"/>
              <w:right w:w="10" w:type="dxa"/>
            </w:tcMar>
            <w:vAlign w:val="center"/>
            <w:hideMark/>
          </w:tcPr>
          <w:p w14:paraId="083F4271" w14:textId="77777777" w:rsidR="00517D34" w:rsidRPr="0063248C" w:rsidRDefault="00000000">
            <w:pPr>
              <w:pStyle w:val="a3"/>
              <w:spacing w:before="40" w:beforeAutospacing="0" w:after="40" w:afterAutospacing="0"/>
              <w:jc w:val="both"/>
              <w:rPr>
                <w:rFonts w:ascii="Times New Roman" w:hAnsi="Times New Roman"/>
              </w:rPr>
            </w:pPr>
            <w:r w:rsidRPr="0063248C">
              <w:rPr>
                <w:rFonts w:ascii="Times New Roman" w:hAnsi="Times New Roman" w:hint="eastAsia"/>
                <w:sz w:val="18"/>
                <w:szCs w:val="18"/>
              </w:rPr>
              <w:t>91370784706376157W001Z</w:t>
            </w:r>
          </w:p>
        </w:tc>
        <w:tc>
          <w:tcPr>
            <w:tcW w:w="1112" w:type="pct"/>
            <w:tcMar>
              <w:top w:w="10" w:type="dxa"/>
              <w:left w:w="10" w:type="dxa"/>
              <w:bottom w:w="10" w:type="dxa"/>
              <w:right w:w="10" w:type="dxa"/>
            </w:tcMar>
            <w:vAlign w:val="center"/>
            <w:hideMark/>
          </w:tcPr>
          <w:p w14:paraId="7DE4AB49"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2021</w:t>
            </w:r>
            <w:r w:rsidRPr="0063248C">
              <w:rPr>
                <w:rFonts w:ascii="Times New Roman" w:hAnsi="Times New Roman" w:hint="eastAsia"/>
                <w:sz w:val="18"/>
                <w:szCs w:val="18"/>
              </w:rPr>
              <w:t>年</w:t>
            </w:r>
            <w:r w:rsidRPr="0063248C">
              <w:rPr>
                <w:rFonts w:ascii="Times New Roman" w:hAnsi="Times New Roman" w:hint="eastAsia"/>
                <w:sz w:val="18"/>
                <w:szCs w:val="18"/>
              </w:rPr>
              <w:t>12</w:t>
            </w:r>
            <w:r w:rsidRPr="0063248C">
              <w:rPr>
                <w:rFonts w:ascii="Times New Roman" w:hAnsi="Times New Roman" w:hint="eastAsia"/>
                <w:sz w:val="18"/>
                <w:szCs w:val="18"/>
              </w:rPr>
              <w:t>月</w:t>
            </w:r>
            <w:r w:rsidRPr="0063248C">
              <w:rPr>
                <w:rFonts w:ascii="Times New Roman" w:hAnsi="Times New Roman" w:hint="eastAsia"/>
                <w:sz w:val="18"/>
                <w:szCs w:val="18"/>
              </w:rPr>
              <w:t>23</w:t>
            </w:r>
            <w:r w:rsidRPr="0063248C">
              <w:rPr>
                <w:rFonts w:ascii="Times New Roman" w:hAnsi="Times New Roman" w:hint="eastAsia"/>
                <w:sz w:val="18"/>
                <w:szCs w:val="18"/>
              </w:rPr>
              <w:t>日</w:t>
            </w:r>
          </w:p>
        </w:tc>
        <w:tc>
          <w:tcPr>
            <w:tcW w:w="1031" w:type="pct"/>
            <w:tcMar>
              <w:top w:w="10" w:type="dxa"/>
              <w:left w:w="10" w:type="dxa"/>
              <w:bottom w:w="10" w:type="dxa"/>
              <w:right w:w="10" w:type="dxa"/>
            </w:tcMar>
            <w:vAlign w:val="center"/>
            <w:hideMark/>
          </w:tcPr>
          <w:p w14:paraId="488BFF3D"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2022</w:t>
            </w:r>
            <w:r w:rsidRPr="0063248C">
              <w:rPr>
                <w:rFonts w:ascii="Times New Roman" w:hAnsi="Times New Roman" w:hint="eastAsia"/>
                <w:sz w:val="18"/>
                <w:szCs w:val="18"/>
              </w:rPr>
              <w:t>年</w:t>
            </w:r>
            <w:r w:rsidRPr="0063248C">
              <w:rPr>
                <w:rFonts w:ascii="Times New Roman" w:hAnsi="Times New Roman" w:hint="eastAsia"/>
                <w:sz w:val="18"/>
                <w:szCs w:val="18"/>
              </w:rPr>
              <w:t>01</w:t>
            </w:r>
            <w:r w:rsidRPr="0063248C">
              <w:rPr>
                <w:rFonts w:ascii="Times New Roman" w:hAnsi="Times New Roman" w:hint="eastAsia"/>
                <w:sz w:val="18"/>
                <w:szCs w:val="18"/>
              </w:rPr>
              <w:t>月</w:t>
            </w:r>
            <w:r w:rsidRPr="0063248C">
              <w:rPr>
                <w:rFonts w:ascii="Times New Roman" w:hAnsi="Times New Roman" w:hint="eastAsia"/>
                <w:sz w:val="18"/>
                <w:szCs w:val="18"/>
              </w:rPr>
              <w:t>01</w:t>
            </w:r>
            <w:r w:rsidRPr="0063248C">
              <w:rPr>
                <w:rFonts w:ascii="Times New Roman" w:hAnsi="Times New Roman" w:hint="eastAsia"/>
                <w:sz w:val="18"/>
                <w:szCs w:val="18"/>
              </w:rPr>
              <w:t>日至</w:t>
            </w:r>
            <w:r w:rsidRPr="0063248C">
              <w:rPr>
                <w:rFonts w:ascii="Times New Roman" w:hAnsi="Times New Roman" w:hint="eastAsia"/>
                <w:sz w:val="18"/>
                <w:szCs w:val="18"/>
              </w:rPr>
              <w:t>2026</w:t>
            </w:r>
            <w:r w:rsidRPr="0063248C">
              <w:rPr>
                <w:rFonts w:ascii="Times New Roman" w:hAnsi="Times New Roman" w:hint="eastAsia"/>
                <w:sz w:val="18"/>
                <w:szCs w:val="18"/>
              </w:rPr>
              <w:t>年</w:t>
            </w:r>
            <w:r w:rsidRPr="0063248C">
              <w:rPr>
                <w:rFonts w:ascii="Times New Roman" w:hAnsi="Times New Roman" w:hint="eastAsia"/>
                <w:sz w:val="18"/>
                <w:szCs w:val="18"/>
              </w:rPr>
              <w:t>12</w:t>
            </w:r>
            <w:r w:rsidRPr="0063248C">
              <w:rPr>
                <w:rFonts w:ascii="Times New Roman" w:hAnsi="Times New Roman" w:hint="eastAsia"/>
                <w:sz w:val="18"/>
                <w:szCs w:val="18"/>
              </w:rPr>
              <w:t>月</w:t>
            </w:r>
            <w:r w:rsidRPr="0063248C">
              <w:rPr>
                <w:rFonts w:ascii="Times New Roman" w:hAnsi="Times New Roman" w:hint="eastAsia"/>
                <w:sz w:val="18"/>
                <w:szCs w:val="18"/>
              </w:rPr>
              <w:t>31</w:t>
            </w:r>
            <w:r w:rsidRPr="0063248C">
              <w:rPr>
                <w:rFonts w:ascii="Times New Roman" w:hAnsi="Times New Roman" w:hint="eastAsia"/>
                <w:sz w:val="18"/>
                <w:szCs w:val="18"/>
              </w:rPr>
              <w:t>日</w:t>
            </w:r>
          </w:p>
        </w:tc>
      </w:tr>
      <w:tr w:rsidR="00517D34" w:rsidRPr="0063248C" w14:paraId="27F5023D" w14:textId="77777777" w:rsidTr="00C117DA">
        <w:trPr>
          <w:divId w:val="1752313652"/>
          <w:trHeight w:val="771"/>
        </w:trPr>
        <w:tc>
          <w:tcPr>
            <w:tcW w:w="1330" w:type="pct"/>
            <w:tcMar>
              <w:top w:w="10" w:type="dxa"/>
              <w:left w:w="10" w:type="dxa"/>
              <w:bottom w:w="10" w:type="dxa"/>
              <w:right w:w="10" w:type="dxa"/>
            </w:tcMar>
            <w:vAlign w:val="center"/>
            <w:hideMark/>
          </w:tcPr>
          <w:p w14:paraId="46EF5A0D"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河南龙大牧原肉食品有限公司年屠宰</w:t>
            </w:r>
            <w:r w:rsidRPr="0063248C">
              <w:rPr>
                <w:rFonts w:ascii="Times New Roman" w:hAnsi="Times New Roman" w:hint="eastAsia"/>
                <w:sz w:val="18"/>
                <w:szCs w:val="18"/>
              </w:rPr>
              <w:t>80</w:t>
            </w:r>
            <w:r w:rsidRPr="0063248C">
              <w:rPr>
                <w:rFonts w:ascii="Times New Roman" w:hAnsi="Times New Roman" w:hint="eastAsia"/>
                <w:sz w:val="18"/>
                <w:szCs w:val="18"/>
              </w:rPr>
              <w:t>万头肉食品加工项目</w:t>
            </w:r>
          </w:p>
        </w:tc>
        <w:tc>
          <w:tcPr>
            <w:tcW w:w="1527" w:type="pct"/>
            <w:tcMar>
              <w:top w:w="10" w:type="dxa"/>
              <w:left w:w="10" w:type="dxa"/>
              <w:bottom w:w="10" w:type="dxa"/>
              <w:right w:w="10" w:type="dxa"/>
            </w:tcMar>
            <w:vAlign w:val="center"/>
            <w:hideMark/>
          </w:tcPr>
          <w:p w14:paraId="675E8F7E"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91411325675379661H001P</w:t>
            </w:r>
          </w:p>
        </w:tc>
        <w:tc>
          <w:tcPr>
            <w:tcW w:w="1112" w:type="pct"/>
            <w:tcMar>
              <w:top w:w="10" w:type="dxa"/>
              <w:left w:w="10" w:type="dxa"/>
              <w:bottom w:w="10" w:type="dxa"/>
              <w:right w:w="10" w:type="dxa"/>
            </w:tcMar>
            <w:vAlign w:val="center"/>
            <w:hideMark/>
          </w:tcPr>
          <w:p w14:paraId="31B3CEC2"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2021</w:t>
            </w:r>
            <w:r w:rsidRPr="0063248C">
              <w:rPr>
                <w:rFonts w:ascii="Times New Roman" w:hAnsi="Times New Roman" w:hint="eastAsia"/>
                <w:sz w:val="18"/>
                <w:szCs w:val="18"/>
              </w:rPr>
              <w:t>年</w:t>
            </w:r>
            <w:r w:rsidRPr="0063248C">
              <w:rPr>
                <w:rFonts w:ascii="Times New Roman" w:hAnsi="Times New Roman" w:hint="eastAsia"/>
                <w:sz w:val="18"/>
                <w:szCs w:val="18"/>
              </w:rPr>
              <w:t>7</w:t>
            </w:r>
            <w:r w:rsidRPr="0063248C">
              <w:rPr>
                <w:rFonts w:ascii="Times New Roman" w:hAnsi="Times New Roman" w:hint="eastAsia"/>
                <w:sz w:val="18"/>
                <w:szCs w:val="18"/>
              </w:rPr>
              <w:t>月</w:t>
            </w:r>
            <w:r w:rsidRPr="0063248C">
              <w:rPr>
                <w:rFonts w:ascii="Times New Roman" w:hAnsi="Times New Roman" w:hint="eastAsia"/>
                <w:sz w:val="18"/>
                <w:szCs w:val="18"/>
              </w:rPr>
              <w:t>20</w:t>
            </w:r>
            <w:r w:rsidRPr="0063248C">
              <w:rPr>
                <w:rFonts w:ascii="Times New Roman" w:hAnsi="Times New Roman" w:hint="eastAsia"/>
                <w:sz w:val="18"/>
                <w:szCs w:val="18"/>
              </w:rPr>
              <w:t>日</w:t>
            </w:r>
          </w:p>
        </w:tc>
        <w:tc>
          <w:tcPr>
            <w:tcW w:w="1031" w:type="pct"/>
            <w:tcMar>
              <w:top w:w="10" w:type="dxa"/>
              <w:left w:w="10" w:type="dxa"/>
              <w:bottom w:w="10" w:type="dxa"/>
              <w:right w:w="10" w:type="dxa"/>
            </w:tcMar>
            <w:vAlign w:val="center"/>
            <w:hideMark/>
          </w:tcPr>
          <w:p w14:paraId="5A0FB73A"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2021</w:t>
            </w:r>
            <w:r w:rsidRPr="0063248C">
              <w:rPr>
                <w:rFonts w:ascii="Times New Roman" w:hAnsi="Times New Roman" w:hint="eastAsia"/>
                <w:sz w:val="18"/>
                <w:szCs w:val="18"/>
              </w:rPr>
              <w:t>年</w:t>
            </w:r>
            <w:r w:rsidRPr="0063248C">
              <w:rPr>
                <w:rFonts w:ascii="Times New Roman" w:hAnsi="Times New Roman" w:hint="eastAsia"/>
                <w:sz w:val="18"/>
                <w:szCs w:val="18"/>
              </w:rPr>
              <w:t>9</w:t>
            </w:r>
            <w:r w:rsidRPr="0063248C">
              <w:rPr>
                <w:rFonts w:ascii="Times New Roman" w:hAnsi="Times New Roman" w:hint="eastAsia"/>
                <w:sz w:val="18"/>
                <w:szCs w:val="18"/>
              </w:rPr>
              <w:t>月</w:t>
            </w:r>
            <w:r w:rsidRPr="0063248C">
              <w:rPr>
                <w:rFonts w:ascii="Times New Roman" w:hAnsi="Times New Roman" w:hint="eastAsia"/>
                <w:sz w:val="18"/>
                <w:szCs w:val="18"/>
              </w:rPr>
              <w:t>29</w:t>
            </w:r>
            <w:r w:rsidRPr="0063248C">
              <w:rPr>
                <w:rFonts w:ascii="Times New Roman" w:hAnsi="Times New Roman" w:hint="eastAsia"/>
                <w:sz w:val="18"/>
                <w:szCs w:val="18"/>
              </w:rPr>
              <w:t>日至</w:t>
            </w:r>
            <w:r w:rsidRPr="0063248C">
              <w:rPr>
                <w:rFonts w:ascii="Times New Roman" w:hAnsi="Times New Roman" w:hint="eastAsia"/>
                <w:sz w:val="18"/>
                <w:szCs w:val="18"/>
              </w:rPr>
              <w:t>2026</w:t>
            </w:r>
            <w:r w:rsidRPr="0063248C">
              <w:rPr>
                <w:rFonts w:ascii="Times New Roman" w:hAnsi="Times New Roman" w:hint="eastAsia"/>
                <w:sz w:val="18"/>
                <w:szCs w:val="18"/>
              </w:rPr>
              <w:t>年</w:t>
            </w:r>
            <w:r w:rsidRPr="0063248C">
              <w:rPr>
                <w:rFonts w:ascii="Times New Roman" w:hAnsi="Times New Roman" w:hint="eastAsia"/>
                <w:sz w:val="18"/>
                <w:szCs w:val="18"/>
              </w:rPr>
              <w:t>9</w:t>
            </w:r>
            <w:r w:rsidRPr="0063248C">
              <w:rPr>
                <w:rFonts w:ascii="Times New Roman" w:hAnsi="Times New Roman" w:hint="eastAsia"/>
                <w:sz w:val="18"/>
                <w:szCs w:val="18"/>
              </w:rPr>
              <w:t>月</w:t>
            </w:r>
            <w:r w:rsidRPr="0063248C">
              <w:rPr>
                <w:rFonts w:ascii="Times New Roman" w:hAnsi="Times New Roman" w:hint="eastAsia"/>
                <w:sz w:val="18"/>
                <w:szCs w:val="18"/>
              </w:rPr>
              <w:t>28</w:t>
            </w:r>
            <w:r w:rsidRPr="0063248C">
              <w:rPr>
                <w:rFonts w:ascii="Times New Roman" w:hAnsi="Times New Roman" w:hint="eastAsia"/>
                <w:sz w:val="18"/>
                <w:szCs w:val="18"/>
              </w:rPr>
              <w:t>日</w:t>
            </w:r>
          </w:p>
        </w:tc>
      </w:tr>
      <w:tr w:rsidR="00517D34" w:rsidRPr="0063248C" w14:paraId="1D579B2B" w14:textId="77777777" w:rsidTr="00C117DA">
        <w:trPr>
          <w:divId w:val="1752313652"/>
          <w:trHeight w:val="771"/>
        </w:trPr>
        <w:tc>
          <w:tcPr>
            <w:tcW w:w="1330" w:type="pct"/>
            <w:tcMar>
              <w:top w:w="10" w:type="dxa"/>
              <w:left w:w="10" w:type="dxa"/>
              <w:bottom w:w="10" w:type="dxa"/>
              <w:right w:w="10" w:type="dxa"/>
            </w:tcMar>
            <w:vAlign w:val="center"/>
            <w:hideMark/>
          </w:tcPr>
          <w:p w14:paraId="7D63B3A6"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聊城龙大肉食品有限公司</w:t>
            </w:r>
            <w:r w:rsidRPr="0063248C">
              <w:rPr>
                <w:rFonts w:ascii="Times New Roman" w:hAnsi="Times New Roman" w:hint="eastAsia"/>
                <w:sz w:val="18"/>
                <w:szCs w:val="18"/>
              </w:rPr>
              <w:t>30</w:t>
            </w:r>
            <w:r w:rsidRPr="0063248C">
              <w:rPr>
                <w:rFonts w:ascii="Times New Roman" w:hAnsi="Times New Roman" w:hint="eastAsia"/>
                <w:sz w:val="18"/>
                <w:szCs w:val="18"/>
              </w:rPr>
              <w:t>万头</w:t>
            </w:r>
            <w:r w:rsidRPr="0063248C">
              <w:rPr>
                <w:rFonts w:ascii="Times New Roman" w:hAnsi="Times New Roman" w:hint="eastAsia"/>
                <w:sz w:val="18"/>
                <w:szCs w:val="18"/>
              </w:rPr>
              <w:t>/</w:t>
            </w:r>
            <w:r w:rsidRPr="0063248C">
              <w:rPr>
                <w:rFonts w:ascii="Times New Roman" w:hAnsi="Times New Roman" w:hint="eastAsia"/>
                <w:sz w:val="18"/>
                <w:szCs w:val="18"/>
              </w:rPr>
              <w:t>年生猪屠宰深加工项目</w:t>
            </w:r>
          </w:p>
        </w:tc>
        <w:tc>
          <w:tcPr>
            <w:tcW w:w="1527" w:type="pct"/>
            <w:tcMar>
              <w:top w:w="10" w:type="dxa"/>
              <w:left w:w="10" w:type="dxa"/>
              <w:bottom w:w="10" w:type="dxa"/>
              <w:right w:w="10" w:type="dxa"/>
            </w:tcMar>
            <w:vAlign w:val="center"/>
            <w:hideMark/>
          </w:tcPr>
          <w:p w14:paraId="74EFF12B"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91371500685918964W001Z</w:t>
            </w:r>
          </w:p>
        </w:tc>
        <w:tc>
          <w:tcPr>
            <w:tcW w:w="1112" w:type="pct"/>
            <w:tcMar>
              <w:top w:w="10" w:type="dxa"/>
              <w:left w:w="10" w:type="dxa"/>
              <w:bottom w:w="10" w:type="dxa"/>
              <w:right w:w="10" w:type="dxa"/>
            </w:tcMar>
            <w:vAlign w:val="center"/>
            <w:hideMark/>
          </w:tcPr>
          <w:p w14:paraId="34040737"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2024</w:t>
            </w:r>
            <w:r w:rsidRPr="0063248C">
              <w:rPr>
                <w:rFonts w:ascii="Times New Roman" w:hAnsi="Times New Roman" w:hint="eastAsia"/>
                <w:sz w:val="18"/>
                <w:szCs w:val="18"/>
              </w:rPr>
              <w:t>年</w:t>
            </w:r>
            <w:r w:rsidRPr="0063248C">
              <w:rPr>
                <w:rFonts w:ascii="Times New Roman" w:hAnsi="Times New Roman" w:hint="eastAsia"/>
                <w:sz w:val="18"/>
                <w:szCs w:val="18"/>
              </w:rPr>
              <w:t>01</w:t>
            </w:r>
            <w:r w:rsidRPr="0063248C">
              <w:rPr>
                <w:rFonts w:ascii="Times New Roman" w:hAnsi="Times New Roman" w:hint="eastAsia"/>
                <w:sz w:val="18"/>
                <w:szCs w:val="18"/>
              </w:rPr>
              <w:t>月</w:t>
            </w:r>
            <w:r w:rsidRPr="0063248C">
              <w:rPr>
                <w:rFonts w:ascii="Times New Roman" w:hAnsi="Times New Roman" w:hint="eastAsia"/>
                <w:sz w:val="18"/>
                <w:szCs w:val="18"/>
              </w:rPr>
              <w:t>30</w:t>
            </w:r>
            <w:r w:rsidRPr="0063248C">
              <w:rPr>
                <w:rFonts w:ascii="Times New Roman" w:hAnsi="Times New Roman" w:hint="eastAsia"/>
                <w:sz w:val="18"/>
                <w:szCs w:val="18"/>
              </w:rPr>
              <w:t>日</w:t>
            </w:r>
          </w:p>
        </w:tc>
        <w:tc>
          <w:tcPr>
            <w:tcW w:w="1031" w:type="pct"/>
            <w:tcMar>
              <w:top w:w="10" w:type="dxa"/>
              <w:left w:w="10" w:type="dxa"/>
              <w:bottom w:w="10" w:type="dxa"/>
              <w:right w:w="10" w:type="dxa"/>
            </w:tcMar>
            <w:vAlign w:val="center"/>
            <w:hideMark/>
          </w:tcPr>
          <w:p w14:paraId="1995A7EB"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2024</w:t>
            </w:r>
            <w:r w:rsidRPr="0063248C">
              <w:rPr>
                <w:rFonts w:ascii="Times New Roman" w:hAnsi="Times New Roman" w:hint="eastAsia"/>
                <w:sz w:val="18"/>
                <w:szCs w:val="18"/>
              </w:rPr>
              <w:t>年</w:t>
            </w:r>
            <w:r w:rsidRPr="0063248C">
              <w:rPr>
                <w:rFonts w:ascii="Times New Roman" w:hAnsi="Times New Roman" w:hint="eastAsia"/>
                <w:sz w:val="18"/>
                <w:szCs w:val="18"/>
              </w:rPr>
              <w:t>01</w:t>
            </w:r>
            <w:r w:rsidRPr="0063248C">
              <w:rPr>
                <w:rFonts w:ascii="Times New Roman" w:hAnsi="Times New Roman" w:hint="eastAsia"/>
                <w:sz w:val="18"/>
                <w:szCs w:val="18"/>
              </w:rPr>
              <w:t>月</w:t>
            </w:r>
            <w:r w:rsidRPr="0063248C">
              <w:rPr>
                <w:rFonts w:ascii="Times New Roman" w:hAnsi="Times New Roman" w:hint="eastAsia"/>
                <w:sz w:val="18"/>
                <w:szCs w:val="18"/>
              </w:rPr>
              <w:t>30</w:t>
            </w:r>
            <w:r w:rsidRPr="0063248C">
              <w:rPr>
                <w:rFonts w:ascii="Times New Roman" w:hAnsi="Times New Roman" w:hint="eastAsia"/>
                <w:sz w:val="18"/>
                <w:szCs w:val="18"/>
              </w:rPr>
              <w:t>日至</w:t>
            </w:r>
            <w:r w:rsidRPr="0063248C">
              <w:rPr>
                <w:rFonts w:ascii="Times New Roman" w:hAnsi="Times New Roman" w:hint="eastAsia"/>
                <w:sz w:val="18"/>
                <w:szCs w:val="18"/>
              </w:rPr>
              <w:t>2029</w:t>
            </w:r>
            <w:r w:rsidRPr="0063248C">
              <w:rPr>
                <w:rFonts w:ascii="Times New Roman" w:hAnsi="Times New Roman" w:hint="eastAsia"/>
                <w:sz w:val="18"/>
                <w:szCs w:val="18"/>
              </w:rPr>
              <w:t>年</w:t>
            </w:r>
            <w:r w:rsidRPr="0063248C">
              <w:rPr>
                <w:rFonts w:ascii="Times New Roman" w:hAnsi="Times New Roman" w:hint="eastAsia"/>
                <w:sz w:val="18"/>
                <w:szCs w:val="18"/>
              </w:rPr>
              <w:t>01</w:t>
            </w:r>
            <w:r w:rsidRPr="0063248C">
              <w:rPr>
                <w:rFonts w:ascii="Times New Roman" w:hAnsi="Times New Roman" w:hint="eastAsia"/>
                <w:sz w:val="18"/>
                <w:szCs w:val="18"/>
              </w:rPr>
              <w:t>月</w:t>
            </w:r>
            <w:r w:rsidRPr="0063248C">
              <w:rPr>
                <w:rFonts w:ascii="Times New Roman" w:hAnsi="Times New Roman" w:hint="eastAsia"/>
                <w:sz w:val="18"/>
                <w:szCs w:val="18"/>
              </w:rPr>
              <w:t>29</w:t>
            </w:r>
            <w:r w:rsidRPr="0063248C">
              <w:rPr>
                <w:rFonts w:ascii="Times New Roman" w:hAnsi="Times New Roman" w:hint="eastAsia"/>
                <w:sz w:val="18"/>
                <w:szCs w:val="18"/>
              </w:rPr>
              <w:t>日</w:t>
            </w:r>
          </w:p>
        </w:tc>
      </w:tr>
      <w:tr w:rsidR="00517D34" w:rsidRPr="0063248C" w14:paraId="1BA50526" w14:textId="77777777" w:rsidTr="00C117DA">
        <w:trPr>
          <w:divId w:val="1752313652"/>
          <w:trHeight w:val="1038"/>
        </w:trPr>
        <w:tc>
          <w:tcPr>
            <w:tcW w:w="1330" w:type="pct"/>
            <w:tcMar>
              <w:top w:w="10" w:type="dxa"/>
              <w:left w:w="10" w:type="dxa"/>
              <w:bottom w:w="10" w:type="dxa"/>
              <w:right w:w="10" w:type="dxa"/>
            </w:tcMar>
            <w:vAlign w:val="center"/>
            <w:hideMark/>
          </w:tcPr>
          <w:p w14:paraId="44E88E52"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蓬莱富龙肉食品有限公司</w:t>
            </w:r>
          </w:p>
          <w:p w14:paraId="28A8C77E"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16</w:t>
            </w:r>
            <w:r w:rsidRPr="0063248C">
              <w:rPr>
                <w:rFonts w:ascii="Times New Roman" w:hAnsi="Times New Roman" w:hint="eastAsia"/>
                <w:sz w:val="18"/>
                <w:szCs w:val="18"/>
              </w:rPr>
              <w:t>万头</w:t>
            </w:r>
            <w:r w:rsidRPr="0063248C">
              <w:rPr>
                <w:rFonts w:ascii="Times New Roman" w:hAnsi="Times New Roman" w:hint="eastAsia"/>
                <w:sz w:val="18"/>
                <w:szCs w:val="18"/>
              </w:rPr>
              <w:t>/</w:t>
            </w:r>
            <w:r w:rsidRPr="0063248C">
              <w:rPr>
                <w:rFonts w:ascii="Times New Roman" w:hAnsi="Times New Roman" w:hint="eastAsia"/>
                <w:sz w:val="18"/>
                <w:szCs w:val="18"/>
              </w:rPr>
              <w:t>年生猪屠宰项目</w:t>
            </w:r>
          </w:p>
        </w:tc>
        <w:tc>
          <w:tcPr>
            <w:tcW w:w="1527" w:type="pct"/>
            <w:tcMar>
              <w:top w:w="10" w:type="dxa"/>
              <w:left w:w="10" w:type="dxa"/>
              <w:bottom w:w="10" w:type="dxa"/>
              <w:right w:w="10" w:type="dxa"/>
            </w:tcMar>
            <w:vAlign w:val="center"/>
            <w:hideMark/>
          </w:tcPr>
          <w:p w14:paraId="6DF9EF3B"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 xml:space="preserve">913706843445858902001Y      </w:t>
            </w:r>
          </w:p>
        </w:tc>
        <w:tc>
          <w:tcPr>
            <w:tcW w:w="1112" w:type="pct"/>
            <w:tcMar>
              <w:top w:w="10" w:type="dxa"/>
              <w:left w:w="10" w:type="dxa"/>
              <w:bottom w:w="10" w:type="dxa"/>
              <w:right w:w="10" w:type="dxa"/>
            </w:tcMar>
            <w:vAlign w:val="center"/>
            <w:hideMark/>
          </w:tcPr>
          <w:p w14:paraId="285BAF0F"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2021</w:t>
            </w:r>
            <w:r w:rsidRPr="0063248C">
              <w:rPr>
                <w:rFonts w:ascii="Times New Roman" w:hAnsi="Times New Roman" w:hint="eastAsia"/>
                <w:sz w:val="18"/>
                <w:szCs w:val="18"/>
              </w:rPr>
              <w:t>年</w:t>
            </w:r>
            <w:r w:rsidRPr="0063248C">
              <w:rPr>
                <w:rFonts w:ascii="Times New Roman" w:hAnsi="Times New Roman" w:hint="eastAsia"/>
                <w:sz w:val="18"/>
                <w:szCs w:val="18"/>
              </w:rPr>
              <w:t>12</w:t>
            </w:r>
            <w:r w:rsidRPr="0063248C">
              <w:rPr>
                <w:rFonts w:ascii="Times New Roman" w:hAnsi="Times New Roman" w:hint="eastAsia"/>
                <w:sz w:val="18"/>
                <w:szCs w:val="18"/>
              </w:rPr>
              <w:t>月</w:t>
            </w:r>
            <w:r w:rsidRPr="0063248C">
              <w:rPr>
                <w:rFonts w:ascii="Times New Roman" w:hAnsi="Times New Roman" w:hint="eastAsia"/>
                <w:sz w:val="18"/>
                <w:szCs w:val="18"/>
              </w:rPr>
              <w:t>31</w:t>
            </w:r>
            <w:r w:rsidRPr="0063248C">
              <w:rPr>
                <w:rFonts w:ascii="Times New Roman" w:hAnsi="Times New Roman" w:hint="eastAsia"/>
                <w:sz w:val="18"/>
                <w:szCs w:val="18"/>
              </w:rPr>
              <w:t>日</w:t>
            </w:r>
          </w:p>
        </w:tc>
        <w:tc>
          <w:tcPr>
            <w:tcW w:w="1031" w:type="pct"/>
            <w:tcMar>
              <w:top w:w="10" w:type="dxa"/>
              <w:left w:w="10" w:type="dxa"/>
              <w:bottom w:w="10" w:type="dxa"/>
              <w:right w:w="10" w:type="dxa"/>
            </w:tcMar>
            <w:vAlign w:val="center"/>
            <w:hideMark/>
          </w:tcPr>
          <w:p w14:paraId="60579968"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2022</w:t>
            </w:r>
            <w:r w:rsidRPr="0063248C">
              <w:rPr>
                <w:rFonts w:ascii="Times New Roman" w:hAnsi="Times New Roman" w:hint="eastAsia"/>
                <w:sz w:val="18"/>
                <w:szCs w:val="18"/>
              </w:rPr>
              <w:t>年</w:t>
            </w:r>
            <w:r w:rsidRPr="0063248C">
              <w:rPr>
                <w:rFonts w:ascii="Times New Roman" w:hAnsi="Times New Roman" w:hint="eastAsia"/>
                <w:sz w:val="18"/>
                <w:szCs w:val="18"/>
              </w:rPr>
              <w:t>01</w:t>
            </w:r>
            <w:r w:rsidRPr="0063248C">
              <w:rPr>
                <w:rFonts w:ascii="Times New Roman" w:hAnsi="Times New Roman" w:hint="eastAsia"/>
                <w:sz w:val="18"/>
                <w:szCs w:val="18"/>
              </w:rPr>
              <w:t>月</w:t>
            </w:r>
            <w:r w:rsidRPr="0063248C">
              <w:rPr>
                <w:rFonts w:ascii="Times New Roman" w:hAnsi="Times New Roman" w:hint="eastAsia"/>
                <w:sz w:val="18"/>
                <w:szCs w:val="18"/>
              </w:rPr>
              <w:t>01</w:t>
            </w:r>
            <w:r w:rsidRPr="0063248C">
              <w:rPr>
                <w:rFonts w:ascii="Times New Roman" w:hAnsi="Times New Roman" w:hint="eastAsia"/>
                <w:sz w:val="18"/>
                <w:szCs w:val="18"/>
              </w:rPr>
              <w:t>日</w:t>
            </w:r>
            <w:r w:rsidRPr="0063248C">
              <w:rPr>
                <w:rFonts w:ascii="Times New Roman" w:hAnsi="Times New Roman" w:hint="eastAsia"/>
                <w:sz w:val="18"/>
                <w:szCs w:val="18"/>
              </w:rPr>
              <w:t xml:space="preserve"> </w:t>
            </w:r>
            <w:r w:rsidRPr="0063248C">
              <w:rPr>
                <w:rFonts w:ascii="Times New Roman" w:hAnsi="Times New Roman" w:hint="eastAsia"/>
                <w:sz w:val="18"/>
                <w:szCs w:val="18"/>
              </w:rPr>
              <w:t>至</w:t>
            </w:r>
            <w:r w:rsidRPr="0063248C">
              <w:rPr>
                <w:rFonts w:ascii="Times New Roman" w:hAnsi="Times New Roman" w:hint="eastAsia"/>
                <w:sz w:val="18"/>
                <w:szCs w:val="18"/>
              </w:rPr>
              <w:t>2026</w:t>
            </w:r>
            <w:r w:rsidRPr="0063248C">
              <w:rPr>
                <w:rFonts w:ascii="Times New Roman" w:hAnsi="Times New Roman" w:hint="eastAsia"/>
                <w:sz w:val="18"/>
                <w:szCs w:val="18"/>
              </w:rPr>
              <w:t>年</w:t>
            </w:r>
            <w:r w:rsidRPr="0063248C">
              <w:rPr>
                <w:rFonts w:ascii="Times New Roman" w:hAnsi="Times New Roman" w:hint="eastAsia"/>
                <w:sz w:val="18"/>
                <w:szCs w:val="18"/>
              </w:rPr>
              <w:t>12</w:t>
            </w:r>
            <w:r w:rsidRPr="0063248C">
              <w:rPr>
                <w:rFonts w:ascii="Times New Roman" w:hAnsi="Times New Roman" w:hint="eastAsia"/>
                <w:sz w:val="18"/>
                <w:szCs w:val="18"/>
              </w:rPr>
              <w:t>月</w:t>
            </w:r>
            <w:r w:rsidRPr="0063248C">
              <w:rPr>
                <w:rFonts w:ascii="Times New Roman" w:hAnsi="Times New Roman" w:hint="eastAsia"/>
                <w:sz w:val="18"/>
                <w:szCs w:val="18"/>
              </w:rPr>
              <w:t>31</w:t>
            </w:r>
            <w:r w:rsidRPr="0063248C">
              <w:rPr>
                <w:rFonts w:ascii="Times New Roman" w:hAnsi="Times New Roman" w:hint="eastAsia"/>
                <w:sz w:val="18"/>
                <w:szCs w:val="18"/>
              </w:rPr>
              <w:t>日</w:t>
            </w:r>
          </w:p>
        </w:tc>
      </w:tr>
      <w:tr w:rsidR="00517D34" w:rsidRPr="0063248C" w14:paraId="2266B46C" w14:textId="77777777" w:rsidTr="00C117DA">
        <w:trPr>
          <w:divId w:val="1752313652"/>
          <w:trHeight w:val="771"/>
        </w:trPr>
        <w:tc>
          <w:tcPr>
            <w:tcW w:w="1330" w:type="pct"/>
            <w:tcMar>
              <w:top w:w="10" w:type="dxa"/>
              <w:left w:w="10" w:type="dxa"/>
              <w:bottom w:w="10" w:type="dxa"/>
              <w:right w:w="10" w:type="dxa"/>
            </w:tcMar>
            <w:vAlign w:val="center"/>
            <w:hideMark/>
          </w:tcPr>
          <w:p w14:paraId="24C33888"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黑龙江龙大肉食品有限公司</w:t>
            </w:r>
          </w:p>
        </w:tc>
        <w:tc>
          <w:tcPr>
            <w:tcW w:w="1527" w:type="pct"/>
            <w:tcMar>
              <w:top w:w="10" w:type="dxa"/>
              <w:left w:w="10" w:type="dxa"/>
              <w:bottom w:w="10" w:type="dxa"/>
              <w:right w:w="10" w:type="dxa"/>
            </w:tcMar>
            <w:vAlign w:val="center"/>
            <w:hideMark/>
          </w:tcPr>
          <w:p w14:paraId="705C75F2"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 xml:space="preserve">91231281MA1CD7KR8C001R      </w:t>
            </w:r>
          </w:p>
        </w:tc>
        <w:tc>
          <w:tcPr>
            <w:tcW w:w="1112" w:type="pct"/>
            <w:tcMar>
              <w:top w:w="10" w:type="dxa"/>
              <w:left w:w="10" w:type="dxa"/>
              <w:bottom w:w="10" w:type="dxa"/>
              <w:right w:w="10" w:type="dxa"/>
            </w:tcMar>
            <w:vAlign w:val="center"/>
            <w:hideMark/>
          </w:tcPr>
          <w:p w14:paraId="2625BC20"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2022</w:t>
            </w:r>
            <w:r w:rsidRPr="0063248C">
              <w:rPr>
                <w:rFonts w:ascii="Times New Roman" w:hAnsi="Times New Roman" w:hint="eastAsia"/>
                <w:sz w:val="18"/>
                <w:szCs w:val="18"/>
              </w:rPr>
              <w:t>年</w:t>
            </w:r>
            <w:r w:rsidRPr="0063248C">
              <w:rPr>
                <w:rFonts w:ascii="Times New Roman" w:hAnsi="Times New Roman" w:hint="eastAsia"/>
                <w:sz w:val="18"/>
                <w:szCs w:val="18"/>
              </w:rPr>
              <w:t>4</w:t>
            </w:r>
            <w:r w:rsidRPr="0063248C">
              <w:rPr>
                <w:rFonts w:ascii="Times New Roman" w:hAnsi="Times New Roman" w:hint="eastAsia"/>
                <w:sz w:val="18"/>
                <w:szCs w:val="18"/>
              </w:rPr>
              <w:t>月</w:t>
            </w:r>
            <w:r w:rsidRPr="0063248C">
              <w:rPr>
                <w:rFonts w:ascii="Times New Roman" w:hAnsi="Times New Roman" w:hint="eastAsia"/>
                <w:sz w:val="18"/>
                <w:szCs w:val="18"/>
              </w:rPr>
              <w:t>2</w:t>
            </w:r>
            <w:r w:rsidRPr="0063248C">
              <w:rPr>
                <w:rFonts w:ascii="Times New Roman" w:hAnsi="Times New Roman" w:hint="eastAsia"/>
                <w:sz w:val="18"/>
                <w:szCs w:val="18"/>
              </w:rPr>
              <w:t>日</w:t>
            </w:r>
          </w:p>
        </w:tc>
        <w:tc>
          <w:tcPr>
            <w:tcW w:w="1031" w:type="pct"/>
            <w:tcMar>
              <w:top w:w="10" w:type="dxa"/>
              <w:left w:w="10" w:type="dxa"/>
              <w:bottom w:w="10" w:type="dxa"/>
              <w:right w:w="10" w:type="dxa"/>
            </w:tcMar>
            <w:vAlign w:val="center"/>
            <w:hideMark/>
          </w:tcPr>
          <w:p w14:paraId="10AEF12B"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2022</w:t>
            </w:r>
            <w:r w:rsidRPr="0063248C">
              <w:rPr>
                <w:rFonts w:ascii="Times New Roman" w:hAnsi="Times New Roman" w:hint="eastAsia"/>
                <w:sz w:val="18"/>
                <w:szCs w:val="18"/>
              </w:rPr>
              <w:t>年</w:t>
            </w:r>
            <w:r w:rsidRPr="0063248C">
              <w:rPr>
                <w:rFonts w:ascii="Times New Roman" w:hAnsi="Times New Roman" w:hint="eastAsia"/>
                <w:sz w:val="18"/>
                <w:szCs w:val="18"/>
              </w:rPr>
              <w:t>04</w:t>
            </w:r>
            <w:r w:rsidRPr="0063248C">
              <w:rPr>
                <w:rFonts w:ascii="Times New Roman" w:hAnsi="Times New Roman" w:hint="eastAsia"/>
                <w:sz w:val="18"/>
                <w:szCs w:val="18"/>
              </w:rPr>
              <w:t>月</w:t>
            </w:r>
            <w:r w:rsidRPr="0063248C">
              <w:rPr>
                <w:rFonts w:ascii="Times New Roman" w:hAnsi="Times New Roman" w:hint="eastAsia"/>
                <w:sz w:val="18"/>
                <w:szCs w:val="18"/>
              </w:rPr>
              <w:t>02</w:t>
            </w:r>
            <w:r w:rsidRPr="0063248C">
              <w:rPr>
                <w:rFonts w:ascii="Times New Roman" w:hAnsi="Times New Roman" w:hint="eastAsia"/>
                <w:sz w:val="18"/>
                <w:szCs w:val="18"/>
              </w:rPr>
              <w:t>日至</w:t>
            </w:r>
            <w:r w:rsidRPr="0063248C">
              <w:rPr>
                <w:rFonts w:ascii="Times New Roman" w:hAnsi="Times New Roman" w:hint="eastAsia"/>
                <w:sz w:val="18"/>
                <w:szCs w:val="18"/>
              </w:rPr>
              <w:t>2027</w:t>
            </w:r>
            <w:r w:rsidRPr="0063248C">
              <w:rPr>
                <w:rFonts w:ascii="Times New Roman" w:hAnsi="Times New Roman" w:hint="eastAsia"/>
                <w:sz w:val="18"/>
                <w:szCs w:val="18"/>
              </w:rPr>
              <w:t>年</w:t>
            </w:r>
            <w:r w:rsidRPr="0063248C">
              <w:rPr>
                <w:rFonts w:ascii="Times New Roman" w:hAnsi="Times New Roman" w:hint="eastAsia"/>
                <w:sz w:val="18"/>
                <w:szCs w:val="18"/>
              </w:rPr>
              <w:t>4</w:t>
            </w:r>
            <w:r w:rsidRPr="0063248C">
              <w:rPr>
                <w:rFonts w:ascii="Times New Roman" w:hAnsi="Times New Roman" w:hint="eastAsia"/>
                <w:sz w:val="18"/>
                <w:szCs w:val="18"/>
              </w:rPr>
              <w:t>月</w:t>
            </w:r>
            <w:r w:rsidRPr="0063248C">
              <w:rPr>
                <w:rFonts w:ascii="Times New Roman" w:hAnsi="Times New Roman" w:hint="eastAsia"/>
                <w:sz w:val="18"/>
                <w:szCs w:val="18"/>
              </w:rPr>
              <w:t>1</w:t>
            </w:r>
            <w:r w:rsidRPr="0063248C">
              <w:rPr>
                <w:rFonts w:ascii="Times New Roman" w:hAnsi="Times New Roman" w:hint="eastAsia"/>
                <w:sz w:val="18"/>
                <w:szCs w:val="18"/>
              </w:rPr>
              <w:t>日</w:t>
            </w:r>
          </w:p>
        </w:tc>
      </w:tr>
      <w:tr w:rsidR="00517D34" w:rsidRPr="0063248C" w14:paraId="4B994C40" w14:textId="77777777" w:rsidTr="00C117DA">
        <w:trPr>
          <w:divId w:val="1752313652"/>
          <w:trHeight w:val="771"/>
        </w:trPr>
        <w:tc>
          <w:tcPr>
            <w:tcW w:w="1330" w:type="pct"/>
            <w:tcMar>
              <w:top w:w="10" w:type="dxa"/>
              <w:left w:w="10" w:type="dxa"/>
              <w:bottom w:w="10" w:type="dxa"/>
              <w:right w:w="10" w:type="dxa"/>
            </w:tcMar>
            <w:vAlign w:val="center"/>
            <w:hideMark/>
          </w:tcPr>
          <w:p w14:paraId="592456BE"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巴中龙大肉食品有限公司</w:t>
            </w:r>
          </w:p>
        </w:tc>
        <w:tc>
          <w:tcPr>
            <w:tcW w:w="1527" w:type="pct"/>
            <w:tcMar>
              <w:top w:w="10" w:type="dxa"/>
              <w:left w:w="10" w:type="dxa"/>
              <w:bottom w:w="10" w:type="dxa"/>
              <w:right w:w="10" w:type="dxa"/>
            </w:tcMar>
            <w:vAlign w:val="center"/>
            <w:hideMark/>
          </w:tcPr>
          <w:p w14:paraId="6220AA1D"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91511903MA7FCEQ45J001V</w:t>
            </w:r>
          </w:p>
        </w:tc>
        <w:tc>
          <w:tcPr>
            <w:tcW w:w="1112" w:type="pct"/>
            <w:tcMar>
              <w:top w:w="10" w:type="dxa"/>
              <w:left w:w="10" w:type="dxa"/>
              <w:bottom w:w="10" w:type="dxa"/>
              <w:right w:w="10" w:type="dxa"/>
            </w:tcMar>
            <w:vAlign w:val="center"/>
            <w:hideMark/>
          </w:tcPr>
          <w:p w14:paraId="1A2AF460"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2023</w:t>
            </w:r>
            <w:r w:rsidRPr="0063248C">
              <w:rPr>
                <w:rFonts w:ascii="Times New Roman" w:hAnsi="Times New Roman" w:hint="eastAsia"/>
                <w:sz w:val="18"/>
                <w:szCs w:val="18"/>
              </w:rPr>
              <w:t>年</w:t>
            </w:r>
            <w:r w:rsidRPr="0063248C">
              <w:rPr>
                <w:rFonts w:ascii="Times New Roman" w:hAnsi="Times New Roman" w:hint="eastAsia"/>
                <w:sz w:val="18"/>
                <w:szCs w:val="18"/>
              </w:rPr>
              <w:t>10</w:t>
            </w:r>
            <w:r w:rsidRPr="0063248C">
              <w:rPr>
                <w:rFonts w:ascii="Times New Roman" w:hAnsi="Times New Roman" w:hint="eastAsia"/>
                <w:sz w:val="18"/>
                <w:szCs w:val="18"/>
              </w:rPr>
              <w:t>月</w:t>
            </w:r>
            <w:r w:rsidRPr="0063248C">
              <w:rPr>
                <w:rFonts w:ascii="Times New Roman" w:hAnsi="Times New Roman" w:hint="eastAsia"/>
                <w:sz w:val="18"/>
                <w:szCs w:val="18"/>
              </w:rPr>
              <w:t>17</w:t>
            </w:r>
            <w:r w:rsidRPr="0063248C">
              <w:rPr>
                <w:rFonts w:ascii="Times New Roman" w:hAnsi="Times New Roman" w:hint="eastAsia"/>
                <w:sz w:val="18"/>
                <w:szCs w:val="18"/>
              </w:rPr>
              <w:t>日</w:t>
            </w:r>
          </w:p>
        </w:tc>
        <w:tc>
          <w:tcPr>
            <w:tcW w:w="1031" w:type="pct"/>
            <w:tcMar>
              <w:top w:w="10" w:type="dxa"/>
              <w:left w:w="10" w:type="dxa"/>
              <w:bottom w:w="10" w:type="dxa"/>
              <w:right w:w="10" w:type="dxa"/>
            </w:tcMar>
            <w:vAlign w:val="center"/>
            <w:hideMark/>
          </w:tcPr>
          <w:p w14:paraId="7CEDD88B" w14:textId="77777777" w:rsidR="00517D34" w:rsidRPr="0063248C" w:rsidRDefault="00000000">
            <w:pPr>
              <w:pStyle w:val="a3"/>
              <w:spacing w:before="40" w:beforeAutospacing="0" w:after="40" w:afterAutospacing="0"/>
              <w:rPr>
                <w:rFonts w:ascii="Times New Roman" w:hAnsi="Times New Roman"/>
              </w:rPr>
            </w:pPr>
            <w:r w:rsidRPr="0063248C">
              <w:rPr>
                <w:rFonts w:ascii="Times New Roman" w:hAnsi="Times New Roman" w:hint="eastAsia"/>
                <w:sz w:val="18"/>
                <w:szCs w:val="18"/>
              </w:rPr>
              <w:t>2023</w:t>
            </w:r>
            <w:r w:rsidRPr="0063248C">
              <w:rPr>
                <w:rFonts w:ascii="Times New Roman" w:hAnsi="Times New Roman" w:hint="eastAsia"/>
                <w:sz w:val="18"/>
                <w:szCs w:val="18"/>
              </w:rPr>
              <w:t>年</w:t>
            </w:r>
            <w:r w:rsidRPr="0063248C">
              <w:rPr>
                <w:rFonts w:ascii="Times New Roman" w:hAnsi="Times New Roman" w:hint="eastAsia"/>
                <w:sz w:val="18"/>
                <w:szCs w:val="18"/>
              </w:rPr>
              <w:t>10</w:t>
            </w:r>
            <w:r w:rsidRPr="0063248C">
              <w:rPr>
                <w:rFonts w:ascii="Times New Roman" w:hAnsi="Times New Roman" w:hint="eastAsia"/>
                <w:sz w:val="18"/>
                <w:szCs w:val="18"/>
              </w:rPr>
              <w:t>月</w:t>
            </w:r>
            <w:r w:rsidRPr="0063248C">
              <w:rPr>
                <w:rFonts w:ascii="Times New Roman" w:hAnsi="Times New Roman" w:hint="eastAsia"/>
                <w:sz w:val="18"/>
                <w:szCs w:val="18"/>
              </w:rPr>
              <w:t>17</w:t>
            </w:r>
            <w:r w:rsidRPr="0063248C">
              <w:rPr>
                <w:rFonts w:ascii="Times New Roman" w:hAnsi="Times New Roman" w:hint="eastAsia"/>
                <w:sz w:val="18"/>
                <w:szCs w:val="18"/>
              </w:rPr>
              <w:t>日至</w:t>
            </w:r>
            <w:r w:rsidRPr="0063248C">
              <w:rPr>
                <w:rFonts w:ascii="Times New Roman" w:hAnsi="Times New Roman" w:hint="eastAsia"/>
                <w:sz w:val="18"/>
                <w:szCs w:val="18"/>
              </w:rPr>
              <w:t>2028</w:t>
            </w:r>
            <w:r w:rsidRPr="0063248C">
              <w:rPr>
                <w:rFonts w:ascii="Times New Roman" w:hAnsi="Times New Roman" w:hint="eastAsia"/>
                <w:sz w:val="18"/>
                <w:szCs w:val="18"/>
              </w:rPr>
              <w:t>年</w:t>
            </w:r>
            <w:r w:rsidRPr="0063248C">
              <w:rPr>
                <w:rFonts w:ascii="Times New Roman" w:hAnsi="Times New Roman" w:hint="eastAsia"/>
                <w:sz w:val="18"/>
                <w:szCs w:val="18"/>
              </w:rPr>
              <w:t>10</w:t>
            </w:r>
            <w:r w:rsidRPr="0063248C">
              <w:rPr>
                <w:rFonts w:ascii="Times New Roman" w:hAnsi="Times New Roman" w:hint="eastAsia"/>
                <w:sz w:val="18"/>
                <w:szCs w:val="18"/>
              </w:rPr>
              <w:t>月</w:t>
            </w:r>
            <w:r w:rsidRPr="0063248C">
              <w:rPr>
                <w:rFonts w:ascii="Times New Roman" w:hAnsi="Times New Roman" w:hint="eastAsia"/>
                <w:sz w:val="18"/>
                <w:szCs w:val="18"/>
              </w:rPr>
              <w:t>16</w:t>
            </w:r>
            <w:r w:rsidRPr="0063248C">
              <w:rPr>
                <w:rFonts w:ascii="Times New Roman" w:hAnsi="Times New Roman" w:hint="eastAsia"/>
                <w:sz w:val="18"/>
                <w:szCs w:val="18"/>
              </w:rPr>
              <w:t>日</w:t>
            </w:r>
          </w:p>
        </w:tc>
      </w:tr>
    </w:tbl>
    <w:p w14:paraId="530F018D" w14:textId="77777777" w:rsidR="00517D34" w:rsidRPr="0063248C" w:rsidRDefault="00517D34">
      <w:pPr>
        <w:divId w:val="1752313652"/>
      </w:pPr>
    </w:p>
    <w:p w14:paraId="01BB50F3" w14:textId="77777777" w:rsidR="007B3DB2" w:rsidRPr="0063248C" w:rsidRDefault="00000000">
      <w:pPr>
        <w:spacing w:before="100" w:after="100" w:line="240" w:lineRule="exact"/>
        <w:rPr>
          <w:rFonts w:cs="宋体"/>
          <w:sz w:val="18"/>
          <w:szCs w:val="18"/>
        </w:rPr>
      </w:pPr>
      <w:r w:rsidRPr="0063248C">
        <w:rPr>
          <w:rFonts w:cs="宋体"/>
          <w:sz w:val="18"/>
          <w:szCs w:val="18"/>
        </w:rPr>
        <w:t>行业排放标准及生产经营活动中涉及的污染物排放的具体情况</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firstRow="0" w:lastRow="0" w:firstColumn="0" w:lastColumn="0" w:noHBand="0" w:noVBand="0"/>
      </w:tblPr>
      <w:tblGrid>
        <w:gridCol w:w="807"/>
        <w:gridCol w:w="916"/>
        <w:gridCol w:w="936"/>
        <w:gridCol w:w="676"/>
        <w:gridCol w:w="806"/>
        <w:gridCol w:w="806"/>
        <w:gridCol w:w="1281"/>
        <w:gridCol w:w="1206"/>
        <w:gridCol w:w="891"/>
        <w:gridCol w:w="777"/>
        <w:gridCol w:w="751"/>
      </w:tblGrid>
      <w:tr w:rsidR="007B3DB2" w:rsidRPr="0063248C" w14:paraId="0FF63609" w14:textId="77777777" w:rsidTr="000367A6">
        <w:trPr>
          <w:trHeight w:val="240"/>
        </w:trPr>
        <w:tc>
          <w:tcPr>
            <w:tcW w:w="410" w:type="pct"/>
            <w:tcBorders>
              <w:top w:val="single" w:sz="2" w:space="0" w:color="auto"/>
              <w:left w:val="single" w:sz="2" w:space="0" w:color="auto"/>
              <w:bottom w:val="single" w:sz="2" w:space="0" w:color="auto"/>
              <w:right w:val="single" w:sz="2" w:space="0" w:color="auto"/>
            </w:tcBorders>
            <w:shd w:val="clear" w:color="auto" w:fill="D3D3D3"/>
            <w:vAlign w:val="center"/>
          </w:tcPr>
          <w:p w14:paraId="0A1D1BC6" w14:textId="77777777" w:rsidR="007B3DB2" w:rsidRPr="0063248C" w:rsidRDefault="00000000">
            <w:pPr>
              <w:spacing w:before="40" w:after="40" w:line="240" w:lineRule="exact"/>
              <w:jc w:val="center"/>
              <w:rPr>
                <w:rFonts w:cs="宋体"/>
                <w:sz w:val="18"/>
                <w:szCs w:val="18"/>
              </w:rPr>
            </w:pPr>
            <w:r w:rsidRPr="0063248C">
              <w:rPr>
                <w:rFonts w:cs="宋体"/>
                <w:sz w:val="18"/>
                <w:szCs w:val="18"/>
              </w:rPr>
              <w:t>公司或子公司名称</w:t>
            </w:r>
          </w:p>
        </w:tc>
        <w:tc>
          <w:tcPr>
            <w:tcW w:w="465" w:type="pct"/>
            <w:tcBorders>
              <w:top w:val="single" w:sz="2" w:space="0" w:color="auto"/>
              <w:left w:val="single" w:sz="2" w:space="0" w:color="auto"/>
              <w:bottom w:val="single" w:sz="2" w:space="0" w:color="auto"/>
              <w:right w:val="single" w:sz="2" w:space="0" w:color="auto"/>
            </w:tcBorders>
            <w:shd w:val="clear" w:color="auto" w:fill="D3D3D3"/>
            <w:vAlign w:val="center"/>
          </w:tcPr>
          <w:p w14:paraId="19BF35D4" w14:textId="77777777" w:rsidR="007B3DB2" w:rsidRPr="0063248C" w:rsidRDefault="00000000">
            <w:pPr>
              <w:spacing w:before="40" w:after="40" w:line="240" w:lineRule="exact"/>
              <w:jc w:val="center"/>
              <w:rPr>
                <w:rFonts w:cs="宋体"/>
                <w:sz w:val="18"/>
                <w:szCs w:val="18"/>
              </w:rPr>
            </w:pPr>
            <w:r w:rsidRPr="0063248C">
              <w:rPr>
                <w:rFonts w:cs="宋体"/>
                <w:sz w:val="18"/>
                <w:szCs w:val="18"/>
              </w:rPr>
              <w:t>主要污染物及特征污染物的种类</w:t>
            </w:r>
          </w:p>
        </w:tc>
        <w:tc>
          <w:tcPr>
            <w:tcW w:w="475" w:type="pct"/>
            <w:tcBorders>
              <w:top w:val="single" w:sz="2" w:space="0" w:color="auto"/>
              <w:left w:val="single" w:sz="2" w:space="0" w:color="auto"/>
              <w:bottom w:val="single" w:sz="2" w:space="0" w:color="auto"/>
              <w:right w:val="single" w:sz="2" w:space="0" w:color="auto"/>
            </w:tcBorders>
            <w:shd w:val="clear" w:color="auto" w:fill="D3D3D3"/>
            <w:vAlign w:val="center"/>
          </w:tcPr>
          <w:p w14:paraId="5780C7A4" w14:textId="77777777" w:rsidR="007B3DB2" w:rsidRPr="0063248C" w:rsidRDefault="00000000">
            <w:pPr>
              <w:spacing w:before="40" w:after="40" w:line="240" w:lineRule="exact"/>
              <w:jc w:val="center"/>
              <w:rPr>
                <w:rFonts w:cs="宋体"/>
                <w:sz w:val="18"/>
                <w:szCs w:val="18"/>
              </w:rPr>
            </w:pPr>
            <w:r w:rsidRPr="0063248C">
              <w:rPr>
                <w:rFonts w:cs="宋体"/>
                <w:sz w:val="18"/>
                <w:szCs w:val="18"/>
              </w:rPr>
              <w:t>主要污染物及特征污染物的名称</w:t>
            </w:r>
          </w:p>
        </w:tc>
        <w:tc>
          <w:tcPr>
            <w:tcW w:w="343" w:type="pct"/>
            <w:tcBorders>
              <w:top w:val="single" w:sz="2" w:space="0" w:color="auto"/>
              <w:left w:val="single" w:sz="2" w:space="0" w:color="auto"/>
              <w:bottom w:val="single" w:sz="2" w:space="0" w:color="auto"/>
              <w:right w:val="single" w:sz="2" w:space="0" w:color="auto"/>
            </w:tcBorders>
            <w:shd w:val="clear" w:color="auto" w:fill="D3D3D3"/>
            <w:vAlign w:val="center"/>
          </w:tcPr>
          <w:p w14:paraId="0277D408" w14:textId="77777777" w:rsidR="007B3DB2" w:rsidRPr="0063248C" w:rsidRDefault="00000000">
            <w:pPr>
              <w:spacing w:before="40" w:after="40" w:line="240" w:lineRule="exact"/>
              <w:jc w:val="center"/>
              <w:rPr>
                <w:rFonts w:cs="宋体"/>
                <w:sz w:val="18"/>
                <w:szCs w:val="18"/>
              </w:rPr>
            </w:pPr>
            <w:r w:rsidRPr="0063248C">
              <w:rPr>
                <w:rFonts w:cs="宋体"/>
                <w:sz w:val="18"/>
                <w:szCs w:val="18"/>
              </w:rPr>
              <w:t>排放方式</w:t>
            </w:r>
          </w:p>
        </w:tc>
        <w:tc>
          <w:tcPr>
            <w:tcW w:w="409" w:type="pct"/>
            <w:tcBorders>
              <w:top w:val="single" w:sz="2" w:space="0" w:color="auto"/>
              <w:left w:val="single" w:sz="2" w:space="0" w:color="auto"/>
              <w:bottom w:val="single" w:sz="2" w:space="0" w:color="auto"/>
              <w:right w:val="single" w:sz="2" w:space="0" w:color="auto"/>
            </w:tcBorders>
            <w:shd w:val="clear" w:color="auto" w:fill="D3D3D3"/>
            <w:vAlign w:val="center"/>
          </w:tcPr>
          <w:p w14:paraId="4A0DF2D9" w14:textId="77777777" w:rsidR="007B3DB2" w:rsidRPr="0063248C" w:rsidRDefault="00000000">
            <w:pPr>
              <w:spacing w:before="40" w:after="40" w:line="240" w:lineRule="exact"/>
              <w:jc w:val="center"/>
              <w:rPr>
                <w:rFonts w:cs="宋体"/>
                <w:sz w:val="18"/>
                <w:szCs w:val="18"/>
              </w:rPr>
            </w:pPr>
            <w:r w:rsidRPr="0063248C">
              <w:rPr>
                <w:rFonts w:cs="宋体"/>
                <w:sz w:val="18"/>
                <w:szCs w:val="18"/>
              </w:rPr>
              <w:t>排放口数量</w:t>
            </w:r>
          </w:p>
        </w:tc>
        <w:tc>
          <w:tcPr>
            <w:tcW w:w="409" w:type="pct"/>
            <w:tcBorders>
              <w:top w:val="single" w:sz="2" w:space="0" w:color="auto"/>
              <w:left w:val="single" w:sz="2" w:space="0" w:color="auto"/>
              <w:bottom w:val="single" w:sz="2" w:space="0" w:color="auto"/>
              <w:right w:val="single" w:sz="2" w:space="0" w:color="auto"/>
            </w:tcBorders>
            <w:shd w:val="clear" w:color="auto" w:fill="D3D3D3"/>
            <w:vAlign w:val="center"/>
          </w:tcPr>
          <w:p w14:paraId="142A54AA" w14:textId="77777777" w:rsidR="007B3DB2" w:rsidRPr="0063248C" w:rsidRDefault="00000000">
            <w:pPr>
              <w:spacing w:before="40" w:after="40" w:line="240" w:lineRule="exact"/>
              <w:jc w:val="center"/>
              <w:rPr>
                <w:rFonts w:cs="宋体"/>
                <w:sz w:val="18"/>
                <w:szCs w:val="18"/>
              </w:rPr>
            </w:pPr>
            <w:r w:rsidRPr="0063248C">
              <w:rPr>
                <w:rFonts w:cs="宋体"/>
                <w:sz w:val="18"/>
                <w:szCs w:val="18"/>
              </w:rPr>
              <w:t>排放口分布情况</w:t>
            </w:r>
          </w:p>
        </w:tc>
        <w:tc>
          <w:tcPr>
            <w:tcW w:w="650" w:type="pct"/>
            <w:tcBorders>
              <w:top w:val="single" w:sz="2" w:space="0" w:color="auto"/>
              <w:left w:val="single" w:sz="2" w:space="0" w:color="auto"/>
              <w:bottom w:val="single" w:sz="2" w:space="0" w:color="auto"/>
              <w:right w:val="single" w:sz="2" w:space="0" w:color="auto"/>
            </w:tcBorders>
            <w:shd w:val="clear" w:color="auto" w:fill="D3D3D3"/>
            <w:vAlign w:val="center"/>
          </w:tcPr>
          <w:p w14:paraId="36FEC278" w14:textId="77777777" w:rsidR="007B3DB2" w:rsidRPr="0063248C" w:rsidRDefault="00000000">
            <w:pPr>
              <w:spacing w:before="40" w:after="40" w:line="240" w:lineRule="exact"/>
              <w:jc w:val="center"/>
              <w:rPr>
                <w:rFonts w:cs="宋体"/>
                <w:sz w:val="18"/>
                <w:szCs w:val="18"/>
              </w:rPr>
            </w:pPr>
            <w:r w:rsidRPr="0063248C">
              <w:rPr>
                <w:rFonts w:cs="宋体"/>
                <w:sz w:val="18"/>
                <w:szCs w:val="18"/>
              </w:rPr>
              <w:t>排放浓度</w:t>
            </w:r>
            <w:r w:rsidRPr="0063248C">
              <w:rPr>
                <w:rFonts w:cs="宋体"/>
                <w:sz w:val="18"/>
                <w:szCs w:val="18"/>
              </w:rPr>
              <w:t>/</w:t>
            </w:r>
            <w:r w:rsidRPr="0063248C">
              <w:rPr>
                <w:rFonts w:cs="宋体"/>
                <w:sz w:val="18"/>
                <w:szCs w:val="18"/>
              </w:rPr>
              <w:t>强度</w:t>
            </w:r>
          </w:p>
        </w:tc>
        <w:tc>
          <w:tcPr>
            <w:tcW w:w="612" w:type="pct"/>
            <w:tcBorders>
              <w:top w:val="single" w:sz="2" w:space="0" w:color="auto"/>
              <w:left w:val="single" w:sz="2" w:space="0" w:color="auto"/>
              <w:bottom w:val="single" w:sz="2" w:space="0" w:color="auto"/>
              <w:right w:val="single" w:sz="2" w:space="0" w:color="auto"/>
            </w:tcBorders>
            <w:shd w:val="clear" w:color="auto" w:fill="D3D3D3"/>
            <w:vAlign w:val="center"/>
          </w:tcPr>
          <w:p w14:paraId="66773EB9" w14:textId="77777777" w:rsidR="007B3DB2" w:rsidRPr="0063248C" w:rsidRDefault="00000000">
            <w:pPr>
              <w:spacing w:before="40" w:after="40" w:line="240" w:lineRule="exact"/>
              <w:jc w:val="center"/>
              <w:rPr>
                <w:rFonts w:cs="宋体"/>
                <w:sz w:val="18"/>
                <w:szCs w:val="18"/>
              </w:rPr>
            </w:pPr>
            <w:r w:rsidRPr="0063248C">
              <w:rPr>
                <w:rFonts w:cs="宋体"/>
                <w:sz w:val="18"/>
                <w:szCs w:val="18"/>
              </w:rPr>
              <w:t>执行的污染物排放标准</w:t>
            </w:r>
          </w:p>
        </w:tc>
        <w:tc>
          <w:tcPr>
            <w:tcW w:w="452" w:type="pct"/>
            <w:tcBorders>
              <w:top w:val="single" w:sz="2" w:space="0" w:color="auto"/>
              <w:left w:val="single" w:sz="2" w:space="0" w:color="auto"/>
              <w:bottom w:val="single" w:sz="2" w:space="0" w:color="auto"/>
              <w:right w:val="single" w:sz="2" w:space="0" w:color="auto"/>
            </w:tcBorders>
            <w:shd w:val="clear" w:color="auto" w:fill="D3D3D3"/>
            <w:vAlign w:val="center"/>
          </w:tcPr>
          <w:p w14:paraId="07AE23D7" w14:textId="77777777" w:rsidR="007B3DB2" w:rsidRPr="0063248C" w:rsidRDefault="00000000">
            <w:pPr>
              <w:spacing w:before="40" w:after="40" w:line="240" w:lineRule="exact"/>
              <w:jc w:val="center"/>
              <w:rPr>
                <w:rFonts w:cs="宋体"/>
                <w:sz w:val="18"/>
                <w:szCs w:val="18"/>
              </w:rPr>
            </w:pPr>
            <w:r w:rsidRPr="0063248C">
              <w:rPr>
                <w:rFonts w:cs="宋体"/>
                <w:sz w:val="18"/>
                <w:szCs w:val="18"/>
              </w:rPr>
              <w:t>排放总量</w:t>
            </w:r>
          </w:p>
        </w:tc>
        <w:tc>
          <w:tcPr>
            <w:tcW w:w="394" w:type="pct"/>
            <w:tcBorders>
              <w:top w:val="single" w:sz="2" w:space="0" w:color="auto"/>
              <w:left w:val="single" w:sz="2" w:space="0" w:color="auto"/>
              <w:bottom w:val="single" w:sz="2" w:space="0" w:color="auto"/>
              <w:right w:val="single" w:sz="2" w:space="0" w:color="auto"/>
            </w:tcBorders>
            <w:shd w:val="clear" w:color="auto" w:fill="D3D3D3"/>
            <w:vAlign w:val="center"/>
          </w:tcPr>
          <w:p w14:paraId="3EA1A069" w14:textId="77777777" w:rsidR="007B3DB2" w:rsidRPr="0063248C" w:rsidRDefault="00000000">
            <w:pPr>
              <w:spacing w:before="40" w:after="40" w:line="240" w:lineRule="exact"/>
              <w:jc w:val="center"/>
              <w:rPr>
                <w:rFonts w:cs="宋体"/>
                <w:sz w:val="18"/>
                <w:szCs w:val="18"/>
              </w:rPr>
            </w:pPr>
            <w:r w:rsidRPr="0063248C">
              <w:rPr>
                <w:rFonts w:cs="宋体"/>
                <w:sz w:val="18"/>
                <w:szCs w:val="18"/>
              </w:rPr>
              <w:t>核定的排放总量</w:t>
            </w:r>
          </w:p>
        </w:tc>
        <w:tc>
          <w:tcPr>
            <w:tcW w:w="381" w:type="pct"/>
            <w:tcBorders>
              <w:top w:val="single" w:sz="2" w:space="0" w:color="auto"/>
              <w:left w:val="single" w:sz="2" w:space="0" w:color="auto"/>
              <w:bottom w:val="single" w:sz="2" w:space="0" w:color="auto"/>
              <w:right w:val="single" w:sz="2" w:space="0" w:color="auto"/>
            </w:tcBorders>
            <w:shd w:val="clear" w:color="auto" w:fill="D3D3D3"/>
            <w:vAlign w:val="center"/>
          </w:tcPr>
          <w:p w14:paraId="5993A38D" w14:textId="77777777" w:rsidR="007B3DB2" w:rsidRPr="0063248C" w:rsidRDefault="00000000">
            <w:pPr>
              <w:spacing w:before="40" w:after="40" w:line="240" w:lineRule="exact"/>
              <w:jc w:val="center"/>
              <w:rPr>
                <w:rFonts w:cs="宋体"/>
                <w:sz w:val="18"/>
                <w:szCs w:val="18"/>
              </w:rPr>
            </w:pPr>
            <w:r w:rsidRPr="0063248C">
              <w:rPr>
                <w:rFonts w:cs="宋体"/>
                <w:sz w:val="18"/>
                <w:szCs w:val="18"/>
              </w:rPr>
              <w:t>超标排放情况</w:t>
            </w:r>
          </w:p>
        </w:tc>
      </w:tr>
      <w:tr w:rsidR="007B3DB2" w:rsidRPr="0063248C" w14:paraId="1903893E" w14:textId="77777777" w:rsidTr="000367A6">
        <w:trPr>
          <w:trHeight w:val="240"/>
        </w:trPr>
        <w:tc>
          <w:tcPr>
            <w:tcW w:w="410" w:type="pct"/>
            <w:tcBorders>
              <w:top w:val="single" w:sz="2" w:space="0" w:color="auto"/>
              <w:left w:val="single" w:sz="2" w:space="0" w:color="auto"/>
              <w:bottom w:val="single" w:sz="2" w:space="0" w:color="auto"/>
              <w:right w:val="single" w:sz="2" w:space="0" w:color="auto"/>
            </w:tcBorders>
            <w:vAlign w:val="center"/>
          </w:tcPr>
          <w:p w14:paraId="7383BAA1" w14:textId="77777777" w:rsidR="007B3DB2" w:rsidRPr="0063248C" w:rsidRDefault="00000000">
            <w:pPr>
              <w:spacing w:line="240" w:lineRule="exact"/>
              <w:rPr>
                <w:rFonts w:cs="宋体"/>
                <w:sz w:val="18"/>
                <w:szCs w:val="18"/>
              </w:rPr>
            </w:pPr>
            <w:r w:rsidRPr="0063248C">
              <w:rPr>
                <w:rFonts w:cs="宋体"/>
                <w:sz w:val="18"/>
                <w:szCs w:val="18"/>
              </w:rPr>
              <w:t>山东龙大美食股份有限公司</w:t>
            </w:r>
          </w:p>
        </w:tc>
        <w:tc>
          <w:tcPr>
            <w:tcW w:w="465" w:type="pct"/>
            <w:tcBorders>
              <w:top w:val="single" w:sz="2" w:space="0" w:color="auto"/>
              <w:left w:val="single" w:sz="2" w:space="0" w:color="auto"/>
              <w:bottom w:val="single" w:sz="2" w:space="0" w:color="auto"/>
              <w:right w:val="single" w:sz="2" w:space="0" w:color="auto"/>
            </w:tcBorders>
            <w:vAlign w:val="center"/>
          </w:tcPr>
          <w:p w14:paraId="1F9B97A5" w14:textId="77777777" w:rsidR="007B3DB2" w:rsidRPr="0063248C" w:rsidRDefault="00000000">
            <w:pPr>
              <w:spacing w:line="240" w:lineRule="exact"/>
              <w:rPr>
                <w:rFonts w:cs="宋体"/>
                <w:sz w:val="18"/>
                <w:szCs w:val="18"/>
              </w:rPr>
            </w:pPr>
            <w:proofErr w:type="spellStart"/>
            <w:r w:rsidRPr="0063248C">
              <w:rPr>
                <w:rFonts w:cs="宋体"/>
                <w:sz w:val="18"/>
                <w:szCs w:val="18"/>
              </w:rPr>
              <w:t>CODcr</w:t>
            </w:r>
            <w:proofErr w:type="spellEnd"/>
            <w:r w:rsidRPr="0063248C">
              <w:rPr>
                <w:rFonts w:cs="宋体"/>
                <w:sz w:val="18"/>
                <w:szCs w:val="18"/>
              </w:rPr>
              <w:t>、</w:t>
            </w:r>
            <w:r w:rsidRPr="0063248C">
              <w:rPr>
                <w:rFonts w:cs="宋体"/>
                <w:sz w:val="18"/>
                <w:szCs w:val="18"/>
              </w:rPr>
              <w:t>NH3-N</w:t>
            </w:r>
          </w:p>
        </w:tc>
        <w:tc>
          <w:tcPr>
            <w:tcW w:w="475" w:type="pct"/>
            <w:tcBorders>
              <w:top w:val="single" w:sz="2" w:space="0" w:color="auto"/>
              <w:left w:val="single" w:sz="2" w:space="0" w:color="auto"/>
              <w:bottom w:val="single" w:sz="2" w:space="0" w:color="auto"/>
              <w:right w:val="single" w:sz="2" w:space="0" w:color="auto"/>
            </w:tcBorders>
            <w:vAlign w:val="center"/>
          </w:tcPr>
          <w:p w14:paraId="2F1550CF" w14:textId="77777777" w:rsidR="007B3DB2" w:rsidRPr="0063248C" w:rsidRDefault="00000000">
            <w:pPr>
              <w:spacing w:line="240" w:lineRule="exact"/>
              <w:rPr>
                <w:rFonts w:cs="宋体"/>
                <w:sz w:val="18"/>
                <w:szCs w:val="18"/>
              </w:rPr>
            </w:pPr>
            <w:r w:rsidRPr="0063248C">
              <w:rPr>
                <w:rFonts w:cs="宋体"/>
                <w:sz w:val="18"/>
                <w:szCs w:val="18"/>
              </w:rPr>
              <w:t>化学需氧量、氨氮</w:t>
            </w:r>
          </w:p>
        </w:tc>
        <w:tc>
          <w:tcPr>
            <w:tcW w:w="343" w:type="pct"/>
            <w:tcBorders>
              <w:top w:val="single" w:sz="2" w:space="0" w:color="auto"/>
              <w:left w:val="single" w:sz="2" w:space="0" w:color="auto"/>
              <w:bottom w:val="single" w:sz="2" w:space="0" w:color="auto"/>
              <w:right w:val="single" w:sz="2" w:space="0" w:color="auto"/>
            </w:tcBorders>
            <w:vAlign w:val="center"/>
          </w:tcPr>
          <w:p w14:paraId="5FC9F40F" w14:textId="77777777" w:rsidR="007B3DB2" w:rsidRPr="0063248C" w:rsidRDefault="00000000">
            <w:pPr>
              <w:spacing w:line="240" w:lineRule="exact"/>
              <w:rPr>
                <w:rFonts w:cs="宋体"/>
                <w:sz w:val="18"/>
                <w:szCs w:val="18"/>
              </w:rPr>
            </w:pPr>
            <w:r w:rsidRPr="0063248C">
              <w:rPr>
                <w:rFonts w:cs="宋体"/>
                <w:sz w:val="18"/>
                <w:szCs w:val="18"/>
              </w:rPr>
              <w:t>间接排放</w:t>
            </w:r>
          </w:p>
        </w:tc>
        <w:tc>
          <w:tcPr>
            <w:tcW w:w="409" w:type="pct"/>
            <w:tcBorders>
              <w:top w:val="single" w:sz="2" w:space="0" w:color="auto"/>
              <w:left w:val="single" w:sz="2" w:space="0" w:color="auto"/>
              <w:bottom w:val="single" w:sz="2" w:space="0" w:color="auto"/>
              <w:right w:val="single" w:sz="2" w:space="0" w:color="auto"/>
            </w:tcBorders>
            <w:vAlign w:val="center"/>
          </w:tcPr>
          <w:p w14:paraId="61A4BBA3" w14:textId="77777777" w:rsidR="007B3DB2" w:rsidRPr="0063248C" w:rsidRDefault="00000000">
            <w:pPr>
              <w:spacing w:line="240" w:lineRule="exact"/>
              <w:rPr>
                <w:rFonts w:cs="宋体"/>
                <w:sz w:val="18"/>
                <w:szCs w:val="18"/>
              </w:rPr>
            </w:pPr>
            <w:r w:rsidRPr="0063248C">
              <w:rPr>
                <w:rFonts w:cs="宋体"/>
                <w:sz w:val="18"/>
                <w:szCs w:val="18"/>
              </w:rPr>
              <w:t>1</w:t>
            </w:r>
          </w:p>
        </w:tc>
        <w:tc>
          <w:tcPr>
            <w:tcW w:w="409" w:type="pct"/>
            <w:tcBorders>
              <w:top w:val="single" w:sz="2" w:space="0" w:color="auto"/>
              <w:left w:val="single" w:sz="2" w:space="0" w:color="auto"/>
              <w:bottom w:val="single" w:sz="2" w:space="0" w:color="auto"/>
              <w:right w:val="single" w:sz="2" w:space="0" w:color="auto"/>
            </w:tcBorders>
            <w:vAlign w:val="center"/>
          </w:tcPr>
          <w:p w14:paraId="07BF5467" w14:textId="77777777" w:rsidR="007B3DB2" w:rsidRPr="0063248C" w:rsidRDefault="00000000">
            <w:pPr>
              <w:spacing w:line="240" w:lineRule="exact"/>
              <w:rPr>
                <w:rFonts w:cs="宋体"/>
                <w:sz w:val="18"/>
                <w:szCs w:val="18"/>
              </w:rPr>
            </w:pPr>
            <w:r w:rsidRPr="0063248C">
              <w:rPr>
                <w:rFonts w:cs="宋体"/>
                <w:sz w:val="18"/>
                <w:szCs w:val="18"/>
              </w:rPr>
              <w:t>总排口位于厂区西南角</w:t>
            </w:r>
          </w:p>
        </w:tc>
        <w:tc>
          <w:tcPr>
            <w:tcW w:w="650" w:type="pct"/>
            <w:tcBorders>
              <w:top w:val="single" w:sz="2" w:space="0" w:color="auto"/>
              <w:left w:val="single" w:sz="2" w:space="0" w:color="auto"/>
              <w:bottom w:val="single" w:sz="2" w:space="0" w:color="auto"/>
              <w:right w:val="single" w:sz="2" w:space="0" w:color="auto"/>
            </w:tcBorders>
            <w:vAlign w:val="center"/>
          </w:tcPr>
          <w:p w14:paraId="5215B461"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35.9mg/L</w:t>
            </w:r>
            <w:r w:rsidRPr="0063248C">
              <w:rPr>
                <w:rFonts w:cs="宋体"/>
                <w:sz w:val="18"/>
                <w:szCs w:val="18"/>
              </w:rPr>
              <w:t>、</w:t>
            </w:r>
            <w:r w:rsidRPr="0063248C">
              <w:rPr>
                <w:rFonts w:cs="宋体"/>
                <w:sz w:val="18"/>
                <w:szCs w:val="18"/>
              </w:rPr>
              <w:t>NH3-N</w:t>
            </w:r>
          </w:p>
          <w:p w14:paraId="25B5D996"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7.49mg/L</w:t>
            </w:r>
          </w:p>
        </w:tc>
        <w:tc>
          <w:tcPr>
            <w:tcW w:w="612" w:type="pct"/>
            <w:tcBorders>
              <w:top w:val="single" w:sz="2" w:space="0" w:color="auto"/>
              <w:left w:val="single" w:sz="2" w:space="0" w:color="auto"/>
              <w:bottom w:val="single" w:sz="2" w:space="0" w:color="auto"/>
              <w:right w:val="single" w:sz="2" w:space="0" w:color="auto"/>
            </w:tcBorders>
            <w:vAlign w:val="center"/>
          </w:tcPr>
          <w:p w14:paraId="4C691BFE" w14:textId="77777777" w:rsidR="007B3DB2" w:rsidRPr="0063248C" w:rsidRDefault="00000000">
            <w:pPr>
              <w:spacing w:line="240" w:lineRule="exact"/>
              <w:rPr>
                <w:rFonts w:cs="宋体"/>
                <w:sz w:val="18"/>
                <w:szCs w:val="18"/>
              </w:rPr>
            </w:pPr>
            <w:r w:rsidRPr="0063248C">
              <w:rPr>
                <w:rFonts w:cs="宋体"/>
                <w:sz w:val="18"/>
                <w:szCs w:val="18"/>
              </w:rPr>
              <w:t>肉类加工工业水污染物排放标准</w:t>
            </w:r>
            <w:r w:rsidRPr="0063248C">
              <w:rPr>
                <w:rFonts w:cs="宋体"/>
                <w:sz w:val="18"/>
                <w:szCs w:val="18"/>
              </w:rPr>
              <w:t>GB 13457-92</w:t>
            </w:r>
            <w:r w:rsidRPr="0063248C">
              <w:rPr>
                <w:rFonts w:cs="宋体"/>
                <w:sz w:val="18"/>
                <w:szCs w:val="18"/>
              </w:rPr>
              <w:t>，污水排</w:t>
            </w:r>
            <w:r w:rsidRPr="0063248C">
              <w:rPr>
                <w:rFonts w:cs="宋体"/>
                <w:sz w:val="18"/>
                <w:szCs w:val="18"/>
              </w:rPr>
              <w:lastRenderedPageBreak/>
              <w:t>入城镇下水道水质标准</w:t>
            </w:r>
            <w:r w:rsidRPr="0063248C">
              <w:rPr>
                <w:rFonts w:cs="宋体"/>
                <w:sz w:val="18"/>
                <w:szCs w:val="18"/>
              </w:rPr>
              <w:t>GB/T 31962-2015</w:t>
            </w:r>
            <w:r w:rsidRPr="0063248C">
              <w:rPr>
                <w:rFonts w:cs="宋体"/>
                <w:sz w:val="18"/>
                <w:szCs w:val="18"/>
              </w:rPr>
              <w:t>中</w:t>
            </w:r>
            <w:r w:rsidRPr="0063248C">
              <w:rPr>
                <w:rFonts w:cs="宋体"/>
                <w:sz w:val="18"/>
                <w:szCs w:val="18"/>
              </w:rPr>
              <w:t>B</w:t>
            </w:r>
            <w:r w:rsidRPr="0063248C">
              <w:rPr>
                <w:rFonts w:cs="宋体"/>
                <w:sz w:val="18"/>
                <w:szCs w:val="18"/>
              </w:rPr>
              <w:t>级标准</w:t>
            </w:r>
          </w:p>
        </w:tc>
        <w:tc>
          <w:tcPr>
            <w:tcW w:w="452" w:type="pct"/>
            <w:tcBorders>
              <w:top w:val="single" w:sz="2" w:space="0" w:color="auto"/>
              <w:left w:val="single" w:sz="2" w:space="0" w:color="auto"/>
              <w:bottom w:val="single" w:sz="2" w:space="0" w:color="auto"/>
              <w:right w:val="single" w:sz="2" w:space="0" w:color="auto"/>
            </w:tcBorders>
            <w:vAlign w:val="center"/>
          </w:tcPr>
          <w:p w14:paraId="7763CA91" w14:textId="77777777" w:rsidR="007B3DB2" w:rsidRPr="0063248C" w:rsidRDefault="00000000">
            <w:pPr>
              <w:spacing w:line="240" w:lineRule="exact"/>
              <w:rPr>
                <w:rFonts w:cs="宋体"/>
                <w:sz w:val="18"/>
                <w:szCs w:val="18"/>
              </w:rPr>
            </w:pPr>
            <w:r w:rsidRPr="0063248C">
              <w:rPr>
                <w:rFonts w:cs="宋体"/>
                <w:sz w:val="18"/>
                <w:szCs w:val="18"/>
              </w:rPr>
              <w:lastRenderedPageBreak/>
              <w:t>COD</w:t>
            </w:r>
            <w:r w:rsidRPr="0063248C">
              <w:rPr>
                <w:rFonts w:cs="宋体"/>
                <w:sz w:val="18"/>
                <w:szCs w:val="18"/>
              </w:rPr>
              <w:t>：</w:t>
            </w:r>
            <w:r w:rsidRPr="0063248C">
              <w:rPr>
                <w:rFonts w:cs="宋体"/>
                <w:sz w:val="18"/>
                <w:szCs w:val="18"/>
              </w:rPr>
              <w:t>15.6</w:t>
            </w:r>
            <w:r w:rsidRPr="0063248C">
              <w:rPr>
                <w:rFonts w:cs="宋体"/>
                <w:sz w:val="18"/>
                <w:szCs w:val="18"/>
              </w:rPr>
              <w:t>吨、</w:t>
            </w:r>
            <w:r w:rsidRPr="0063248C">
              <w:rPr>
                <w:rFonts w:cs="宋体"/>
                <w:sz w:val="18"/>
                <w:szCs w:val="18"/>
              </w:rPr>
              <w:t xml:space="preserve">NH3-N </w:t>
            </w:r>
            <w:r w:rsidRPr="0063248C">
              <w:rPr>
                <w:rFonts w:cs="宋体"/>
                <w:sz w:val="18"/>
                <w:szCs w:val="18"/>
              </w:rPr>
              <w:t>：</w:t>
            </w:r>
            <w:r w:rsidRPr="0063248C">
              <w:rPr>
                <w:rFonts w:cs="宋体"/>
                <w:sz w:val="18"/>
                <w:szCs w:val="18"/>
              </w:rPr>
              <w:t>3.13</w:t>
            </w:r>
            <w:r w:rsidRPr="0063248C">
              <w:rPr>
                <w:rFonts w:cs="宋体"/>
                <w:sz w:val="18"/>
                <w:szCs w:val="18"/>
              </w:rPr>
              <w:lastRenderedPageBreak/>
              <w:t>吨</w:t>
            </w:r>
          </w:p>
        </w:tc>
        <w:tc>
          <w:tcPr>
            <w:tcW w:w="394" w:type="pct"/>
            <w:tcBorders>
              <w:top w:val="single" w:sz="2" w:space="0" w:color="auto"/>
              <w:left w:val="single" w:sz="2" w:space="0" w:color="auto"/>
              <w:bottom w:val="single" w:sz="2" w:space="0" w:color="auto"/>
              <w:right w:val="single" w:sz="2" w:space="0" w:color="auto"/>
            </w:tcBorders>
            <w:vAlign w:val="center"/>
          </w:tcPr>
          <w:p w14:paraId="4A5F2113" w14:textId="77777777" w:rsidR="007B3DB2" w:rsidRPr="0063248C" w:rsidRDefault="00000000">
            <w:pPr>
              <w:spacing w:line="240" w:lineRule="exact"/>
              <w:rPr>
                <w:rFonts w:cs="宋体"/>
                <w:sz w:val="18"/>
                <w:szCs w:val="18"/>
              </w:rPr>
            </w:pPr>
            <w:r w:rsidRPr="0063248C">
              <w:rPr>
                <w:rFonts w:cs="宋体"/>
                <w:sz w:val="18"/>
                <w:szCs w:val="18"/>
              </w:rPr>
              <w:lastRenderedPageBreak/>
              <w:t>COD</w:t>
            </w:r>
            <w:r w:rsidRPr="0063248C">
              <w:rPr>
                <w:rFonts w:cs="宋体"/>
                <w:sz w:val="18"/>
                <w:szCs w:val="18"/>
              </w:rPr>
              <w:t>：</w:t>
            </w:r>
            <w:r w:rsidRPr="0063248C">
              <w:rPr>
                <w:rFonts w:cs="宋体"/>
                <w:sz w:val="18"/>
                <w:szCs w:val="18"/>
              </w:rPr>
              <w:t>133.12</w:t>
            </w:r>
            <w:r w:rsidRPr="0063248C">
              <w:rPr>
                <w:rFonts w:cs="宋体"/>
                <w:sz w:val="18"/>
                <w:szCs w:val="18"/>
              </w:rPr>
              <w:t>吨、</w:t>
            </w:r>
            <w:r w:rsidRPr="0063248C">
              <w:rPr>
                <w:rFonts w:cs="宋体"/>
                <w:sz w:val="18"/>
                <w:szCs w:val="18"/>
              </w:rPr>
              <w:t>NH3-N</w:t>
            </w:r>
          </w:p>
          <w:p w14:paraId="3E84AE3E"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6.58</w:t>
            </w:r>
            <w:r w:rsidRPr="0063248C">
              <w:rPr>
                <w:rFonts w:cs="宋体"/>
                <w:sz w:val="18"/>
                <w:szCs w:val="18"/>
              </w:rPr>
              <w:lastRenderedPageBreak/>
              <w:t>吨、总氮：</w:t>
            </w:r>
            <w:r w:rsidRPr="0063248C">
              <w:rPr>
                <w:rFonts w:cs="宋体"/>
                <w:sz w:val="18"/>
                <w:szCs w:val="18"/>
              </w:rPr>
              <w:t>70.917</w:t>
            </w:r>
            <w:r w:rsidRPr="0063248C">
              <w:rPr>
                <w:rFonts w:cs="宋体"/>
                <w:sz w:val="18"/>
                <w:szCs w:val="18"/>
              </w:rPr>
              <w:t>吨</w:t>
            </w:r>
          </w:p>
        </w:tc>
        <w:tc>
          <w:tcPr>
            <w:tcW w:w="381" w:type="pct"/>
            <w:tcBorders>
              <w:top w:val="single" w:sz="2" w:space="0" w:color="auto"/>
              <w:left w:val="single" w:sz="2" w:space="0" w:color="auto"/>
              <w:bottom w:val="single" w:sz="2" w:space="0" w:color="auto"/>
              <w:right w:val="single" w:sz="2" w:space="0" w:color="auto"/>
            </w:tcBorders>
            <w:vAlign w:val="center"/>
          </w:tcPr>
          <w:p w14:paraId="031D6049" w14:textId="77777777" w:rsidR="007B3DB2" w:rsidRPr="0063248C" w:rsidRDefault="00000000">
            <w:pPr>
              <w:spacing w:line="240" w:lineRule="exact"/>
              <w:rPr>
                <w:rFonts w:cs="宋体"/>
                <w:sz w:val="18"/>
                <w:szCs w:val="18"/>
              </w:rPr>
            </w:pPr>
            <w:r w:rsidRPr="0063248C">
              <w:rPr>
                <w:rFonts w:cs="宋体"/>
                <w:sz w:val="18"/>
                <w:szCs w:val="18"/>
              </w:rPr>
              <w:lastRenderedPageBreak/>
              <w:t>无</w:t>
            </w:r>
          </w:p>
        </w:tc>
      </w:tr>
      <w:tr w:rsidR="007B3DB2" w:rsidRPr="0063248C" w14:paraId="20B16B24" w14:textId="77777777" w:rsidTr="000367A6">
        <w:trPr>
          <w:trHeight w:val="240"/>
        </w:trPr>
        <w:tc>
          <w:tcPr>
            <w:tcW w:w="410" w:type="pct"/>
            <w:tcBorders>
              <w:top w:val="single" w:sz="2" w:space="0" w:color="auto"/>
              <w:left w:val="single" w:sz="2" w:space="0" w:color="auto"/>
              <w:bottom w:val="single" w:sz="2" w:space="0" w:color="auto"/>
              <w:right w:val="single" w:sz="2" w:space="0" w:color="auto"/>
            </w:tcBorders>
            <w:vAlign w:val="center"/>
          </w:tcPr>
          <w:p w14:paraId="37B4D642"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465" w:type="pct"/>
            <w:tcBorders>
              <w:top w:val="single" w:sz="2" w:space="0" w:color="auto"/>
              <w:left w:val="single" w:sz="2" w:space="0" w:color="auto"/>
              <w:bottom w:val="single" w:sz="2" w:space="0" w:color="auto"/>
              <w:right w:val="single" w:sz="2" w:space="0" w:color="auto"/>
            </w:tcBorders>
            <w:vAlign w:val="center"/>
          </w:tcPr>
          <w:p w14:paraId="2F8C7E70" w14:textId="77777777" w:rsidR="007B3DB2" w:rsidRPr="0063248C" w:rsidRDefault="00000000">
            <w:pPr>
              <w:spacing w:line="240" w:lineRule="exact"/>
              <w:rPr>
                <w:rFonts w:cs="宋体"/>
                <w:sz w:val="18"/>
                <w:szCs w:val="18"/>
              </w:rPr>
            </w:pPr>
            <w:proofErr w:type="spellStart"/>
            <w:r w:rsidRPr="0063248C">
              <w:rPr>
                <w:rFonts w:cs="宋体"/>
                <w:sz w:val="18"/>
                <w:szCs w:val="18"/>
              </w:rPr>
              <w:t>CODcr</w:t>
            </w:r>
            <w:proofErr w:type="spellEnd"/>
            <w:r w:rsidRPr="0063248C">
              <w:rPr>
                <w:rFonts w:cs="宋体"/>
                <w:sz w:val="18"/>
                <w:szCs w:val="18"/>
              </w:rPr>
              <w:t>、</w:t>
            </w:r>
            <w:r w:rsidRPr="0063248C">
              <w:rPr>
                <w:rFonts w:cs="宋体"/>
                <w:sz w:val="18"/>
                <w:szCs w:val="18"/>
              </w:rPr>
              <w:t>NH3-N</w:t>
            </w:r>
            <w:r w:rsidRPr="0063248C">
              <w:rPr>
                <w:rFonts w:cs="宋体"/>
                <w:sz w:val="18"/>
                <w:szCs w:val="18"/>
              </w:rPr>
              <w:t>、</w:t>
            </w:r>
            <w:r w:rsidRPr="0063248C">
              <w:rPr>
                <w:rFonts w:cs="宋体"/>
                <w:sz w:val="18"/>
                <w:szCs w:val="18"/>
              </w:rPr>
              <w:t>TN</w:t>
            </w:r>
            <w:r w:rsidRPr="0063248C">
              <w:rPr>
                <w:rFonts w:cs="宋体"/>
                <w:sz w:val="18"/>
                <w:szCs w:val="18"/>
              </w:rPr>
              <w:t>、</w:t>
            </w:r>
            <w:r w:rsidRPr="0063248C">
              <w:rPr>
                <w:rFonts w:cs="宋体"/>
                <w:sz w:val="18"/>
                <w:szCs w:val="18"/>
              </w:rPr>
              <w:t>TP</w:t>
            </w:r>
          </w:p>
        </w:tc>
        <w:tc>
          <w:tcPr>
            <w:tcW w:w="475" w:type="pct"/>
            <w:tcBorders>
              <w:top w:val="single" w:sz="2" w:space="0" w:color="auto"/>
              <w:left w:val="single" w:sz="2" w:space="0" w:color="auto"/>
              <w:bottom w:val="single" w:sz="2" w:space="0" w:color="auto"/>
              <w:right w:val="single" w:sz="2" w:space="0" w:color="auto"/>
            </w:tcBorders>
            <w:vAlign w:val="center"/>
          </w:tcPr>
          <w:p w14:paraId="3BDB6E12" w14:textId="77777777" w:rsidR="007B3DB2" w:rsidRPr="0063248C" w:rsidRDefault="00000000">
            <w:pPr>
              <w:spacing w:line="240" w:lineRule="exact"/>
              <w:rPr>
                <w:rFonts w:cs="宋体"/>
                <w:sz w:val="18"/>
                <w:szCs w:val="18"/>
              </w:rPr>
            </w:pPr>
            <w:r w:rsidRPr="0063248C">
              <w:rPr>
                <w:rFonts w:cs="宋体"/>
                <w:sz w:val="18"/>
                <w:szCs w:val="18"/>
              </w:rPr>
              <w:t>化学需氧量、氨氮、总氮、总磷</w:t>
            </w:r>
          </w:p>
        </w:tc>
        <w:tc>
          <w:tcPr>
            <w:tcW w:w="343" w:type="pct"/>
            <w:tcBorders>
              <w:top w:val="single" w:sz="2" w:space="0" w:color="auto"/>
              <w:left w:val="single" w:sz="2" w:space="0" w:color="auto"/>
              <w:bottom w:val="single" w:sz="2" w:space="0" w:color="auto"/>
              <w:right w:val="single" w:sz="2" w:space="0" w:color="auto"/>
            </w:tcBorders>
            <w:vAlign w:val="center"/>
          </w:tcPr>
          <w:p w14:paraId="6C1A8B24" w14:textId="77777777" w:rsidR="007B3DB2" w:rsidRPr="0063248C" w:rsidRDefault="00000000">
            <w:pPr>
              <w:spacing w:line="240" w:lineRule="exact"/>
              <w:rPr>
                <w:rFonts w:cs="宋体"/>
                <w:sz w:val="18"/>
                <w:szCs w:val="18"/>
              </w:rPr>
            </w:pPr>
            <w:r w:rsidRPr="0063248C">
              <w:rPr>
                <w:rFonts w:cs="宋体"/>
                <w:sz w:val="18"/>
                <w:szCs w:val="18"/>
              </w:rPr>
              <w:t>间接排放</w:t>
            </w:r>
          </w:p>
        </w:tc>
        <w:tc>
          <w:tcPr>
            <w:tcW w:w="409" w:type="pct"/>
            <w:tcBorders>
              <w:top w:val="single" w:sz="2" w:space="0" w:color="auto"/>
              <w:left w:val="single" w:sz="2" w:space="0" w:color="auto"/>
              <w:bottom w:val="single" w:sz="2" w:space="0" w:color="auto"/>
              <w:right w:val="single" w:sz="2" w:space="0" w:color="auto"/>
            </w:tcBorders>
            <w:vAlign w:val="center"/>
          </w:tcPr>
          <w:p w14:paraId="5158E5C7" w14:textId="77777777" w:rsidR="007B3DB2" w:rsidRPr="0063248C" w:rsidRDefault="00000000">
            <w:pPr>
              <w:spacing w:line="240" w:lineRule="exact"/>
              <w:rPr>
                <w:rFonts w:cs="宋体"/>
                <w:sz w:val="18"/>
                <w:szCs w:val="18"/>
              </w:rPr>
            </w:pPr>
            <w:r w:rsidRPr="0063248C">
              <w:rPr>
                <w:rFonts w:cs="宋体"/>
                <w:sz w:val="18"/>
                <w:szCs w:val="18"/>
              </w:rPr>
              <w:t>1</w:t>
            </w:r>
          </w:p>
        </w:tc>
        <w:tc>
          <w:tcPr>
            <w:tcW w:w="409" w:type="pct"/>
            <w:tcBorders>
              <w:top w:val="single" w:sz="2" w:space="0" w:color="auto"/>
              <w:left w:val="single" w:sz="2" w:space="0" w:color="auto"/>
              <w:bottom w:val="single" w:sz="2" w:space="0" w:color="auto"/>
              <w:right w:val="single" w:sz="2" w:space="0" w:color="auto"/>
            </w:tcBorders>
            <w:vAlign w:val="center"/>
          </w:tcPr>
          <w:p w14:paraId="5A73ED51" w14:textId="77777777" w:rsidR="007B3DB2" w:rsidRPr="0063248C" w:rsidRDefault="00000000">
            <w:pPr>
              <w:spacing w:line="240" w:lineRule="exact"/>
              <w:rPr>
                <w:rFonts w:cs="宋体"/>
                <w:sz w:val="18"/>
                <w:szCs w:val="18"/>
              </w:rPr>
            </w:pPr>
            <w:r w:rsidRPr="0063248C">
              <w:rPr>
                <w:rFonts w:cs="宋体"/>
                <w:sz w:val="18"/>
                <w:szCs w:val="18"/>
              </w:rPr>
              <w:t>总排口位于厂区东南角</w:t>
            </w:r>
          </w:p>
        </w:tc>
        <w:tc>
          <w:tcPr>
            <w:tcW w:w="650" w:type="pct"/>
            <w:tcBorders>
              <w:top w:val="single" w:sz="2" w:space="0" w:color="auto"/>
              <w:left w:val="single" w:sz="2" w:space="0" w:color="auto"/>
              <w:bottom w:val="single" w:sz="2" w:space="0" w:color="auto"/>
              <w:right w:val="single" w:sz="2" w:space="0" w:color="auto"/>
            </w:tcBorders>
            <w:vAlign w:val="center"/>
          </w:tcPr>
          <w:p w14:paraId="2C641717"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23.6mg/L</w:t>
            </w:r>
            <w:r w:rsidRPr="0063248C">
              <w:rPr>
                <w:rFonts w:cs="宋体"/>
                <w:sz w:val="18"/>
                <w:szCs w:val="18"/>
              </w:rPr>
              <w:t>、</w:t>
            </w:r>
            <w:r w:rsidRPr="0063248C">
              <w:rPr>
                <w:rFonts w:cs="宋体"/>
                <w:sz w:val="18"/>
                <w:szCs w:val="18"/>
              </w:rPr>
              <w:t xml:space="preserve">NH3-N </w:t>
            </w:r>
            <w:r w:rsidRPr="0063248C">
              <w:rPr>
                <w:rFonts w:cs="宋体"/>
                <w:sz w:val="18"/>
                <w:szCs w:val="18"/>
              </w:rPr>
              <w:t>：</w:t>
            </w:r>
            <w:r w:rsidRPr="0063248C">
              <w:rPr>
                <w:rFonts w:cs="宋体"/>
                <w:sz w:val="18"/>
                <w:szCs w:val="18"/>
              </w:rPr>
              <w:t>1.21mg/L</w:t>
            </w:r>
            <w:r w:rsidRPr="0063248C">
              <w:rPr>
                <w:rFonts w:cs="宋体"/>
                <w:sz w:val="18"/>
                <w:szCs w:val="18"/>
              </w:rPr>
              <w:t>、总氮：</w:t>
            </w:r>
            <w:r w:rsidRPr="0063248C">
              <w:rPr>
                <w:rFonts w:cs="宋体"/>
                <w:sz w:val="18"/>
                <w:szCs w:val="18"/>
              </w:rPr>
              <w:t>28.5mg/L</w:t>
            </w:r>
            <w:r w:rsidRPr="0063248C">
              <w:rPr>
                <w:rFonts w:cs="宋体"/>
                <w:sz w:val="18"/>
                <w:szCs w:val="18"/>
              </w:rPr>
              <w:t>、总磷：</w:t>
            </w:r>
            <w:r w:rsidRPr="0063248C">
              <w:rPr>
                <w:rFonts w:cs="宋体"/>
                <w:sz w:val="18"/>
                <w:szCs w:val="18"/>
              </w:rPr>
              <w:t>0.213</w:t>
            </w:r>
          </w:p>
          <w:p w14:paraId="16D69EF5" w14:textId="77777777" w:rsidR="007B3DB2" w:rsidRPr="0063248C" w:rsidRDefault="00000000">
            <w:pPr>
              <w:spacing w:line="240" w:lineRule="exact"/>
              <w:rPr>
                <w:rFonts w:cs="宋体"/>
                <w:sz w:val="18"/>
                <w:szCs w:val="18"/>
              </w:rPr>
            </w:pPr>
            <w:r w:rsidRPr="0063248C">
              <w:rPr>
                <w:rFonts w:cs="宋体"/>
                <w:sz w:val="18"/>
                <w:szCs w:val="18"/>
              </w:rPr>
              <w:t>mg/L</w:t>
            </w:r>
          </w:p>
        </w:tc>
        <w:tc>
          <w:tcPr>
            <w:tcW w:w="612" w:type="pct"/>
            <w:tcBorders>
              <w:top w:val="single" w:sz="2" w:space="0" w:color="auto"/>
              <w:left w:val="single" w:sz="2" w:space="0" w:color="auto"/>
              <w:bottom w:val="single" w:sz="2" w:space="0" w:color="auto"/>
              <w:right w:val="single" w:sz="2" w:space="0" w:color="auto"/>
            </w:tcBorders>
            <w:vAlign w:val="center"/>
          </w:tcPr>
          <w:p w14:paraId="429CC910" w14:textId="77777777" w:rsidR="007B3DB2" w:rsidRPr="0063248C" w:rsidRDefault="00000000">
            <w:pPr>
              <w:spacing w:line="240" w:lineRule="exact"/>
              <w:rPr>
                <w:rFonts w:cs="宋体"/>
                <w:sz w:val="18"/>
                <w:szCs w:val="18"/>
              </w:rPr>
            </w:pPr>
            <w:r w:rsidRPr="0063248C">
              <w:rPr>
                <w:rFonts w:cs="宋体"/>
                <w:sz w:val="18"/>
                <w:szCs w:val="18"/>
              </w:rPr>
              <w:t>肉类加工工业水污染物排放标准</w:t>
            </w:r>
            <w:r w:rsidRPr="0063248C">
              <w:rPr>
                <w:rFonts w:cs="宋体"/>
                <w:sz w:val="18"/>
                <w:szCs w:val="18"/>
              </w:rPr>
              <w:t>GB 13457-92</w:t>
            </w:r>
            <w:r w:rsidRPr="0063248C">
              <w:rPr>
                <w:rFonts w:cs="宋体"/>
                <w:sz w:val="18"/>
                <w:szCs w:val="18"/>
              </w:rPr>
              <w:t>，污水排入城镇下水道水质标准</w:t>
            </w:r>
            <w:r w:rsidRPr="0063248C">
              <w:rPr>
                <w:rFonts w:cs="宋体"/>
                <w:sz w:val="18"/>
                <w:szCs w:val="18"/>
              </w:rPr>
              <w:t>GB/T 31962-2015</w:t>
            </w:r>
            <w:r w:rsidRPr="0063248C">
              <w:rPr>
                <w:rFonts w:cs="宋体"/>
                <w:sz w:val="18"/>
                <w:szCs w:val="18"/>
              </w:rPr>
              <w:t>中</w:t>
            </w:r>
            <w:r w:rsidRPr="0063248C">
              <w:rPr>
                <w:rFonts w:cs="宋体"/>
                <w:sz w:val="18"/>
                <w:szCs w:val="18"/>
              </w:rPr>
              <w:t>B</w:t>
            </w:r>
            <w:r w:rsidRPr="0063248C">
              <w:rPr>
                <w:rFonts w:cs="宋体"/>
                <w:sz w:val="18"/>
                <w:szCs w:val="18"/>
              </w:rPr>
              <w:t>级标准</w:t>
            </w:r>
          </w:p>
        </w:tc>
        <w:tc>
          <w:tcPr>
            <w:tcW w:w="452" w:type="pct"/>
            <w:tcBorders>
              <w:top w:val="single" w:sz="2" w:space="0" w:color="auto"/>
              <w:left w:val="single" w:sz="2" w:space="0" w:color="auto"/>
              <w:bottom w:val="single" w:sz="2" w:space="0" w:color="auto"/>
              <w:right w:val="single" w:sz="2" w:space="0" w:color="auto"/>
            </w:tcBorders>
            <w:vAlign w:val="center"/>
          </w:tcPr>
          <w:p w14:paraId="13DA3D29"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4.37</w:t>
            </w:r>
            <w:r w:rsidRPr="0063248C">
              <w:rPr>
                <w:rFonts w:cs="宋体"/>
                <w:sz w:val="18"/>
                <w:szCs w:val="18"/>
              </w:rPr>
              <w:t>吨</w:t>
            </w:r>
            <w:r w:rsidRPr="0063248C">
              <w:rPr>
                <w:rFonts w:cs="宋体"/>
                <w:sz w:val="18"/>
                <w:szCs w:val="18"/>
              </w:rPr>
              <w:t xml:space="preserve">NH3-N </w:t>
            </w:r>
            <w:r w:rsidRPr="0063248C">
              <w:rPr>
                <w:rFonts w:cs="宋体"/>
                <w:sz w:val="18"/>
                <w:szCs w:val="18"/>
              </w:rPr>
              <w:t>：</w:t>
            </w:r>
            <w:r w:rsidRPr="0063248C">
              <w:rPr>
                <w:rFonts w:cs="宋体"/>
                <w:sz w:val="18"/>
                <w:szCs w:val="18"/>
              </w:rPr>
              <w:t>0.202</w:t>
            </w:r>
            <w:r w:rsidRPr="0063248C">
              <w:rPr>
                <w:rFonts w:cs="宋体"/>
                <w:sz w:val="18"/>
                <w:szCs w:val="18"/>
              </w:rPr>
              <w:t>吨、总氮：</w:t>
            </w:r>
            <w:r w:rsidRPr="0063248C">
              <w:rPr>
                <w:rFonts w:cs="宋体"/>
                <w:sz w:val="18"/>
                <w:szCs w:val="18"/>
              </w:rPr>
              <w:t>8.46</w:t>
            </w:r>
            <w:r w:rsidRPr="0063248C">
              <w:rPr>
                <w:rFonts w:cs="宋体"/>
                <w:sz w:val="18"/>
                <w:szCs w:val="18"/>
              </w:rPr>
              <w:t>吨总磷</w:t>
            </w:r>
            <w:r w:rsidRPr="0063248C">
              <w:rPr>
                <w:rFonts w:cs="宋体"/>
                <w:sz w:val="18"/>
                <w:szCs w:val="18"/>
              </w:rPr>
              <w:t>0.0374</w:t>
            </w:r>
            <w:r w:rsidRPr="0063248C">
              <w:rPr>
                <w:rFonts w:cs="宋体"/>
                <w:sz w:val="18"/>
                <w:szCs w:val="18"/>
              </w:rPr>
              <w:t>吨</w:t>
            </w:r>
          </w:p>
        </w:tc>
        <w:tc>
          <w:tcPr>
            <w:tcW w:w="394" w:type="pct"/>
            <w:tcBorders>
              <w:top w:val="single" w:sz="2" w:space="0" w:color="auto"/>
              <w:left w:val="single" w:sz="2" w:space="0" w:color="auto"/>
              <w:bottom w:val="single" w:sz="2" w:space="0" w:color="auto"/>
              <w:right w:val="single" w:sz="2" w:space="0" w:color="auto"/>
            </w:tcBorders>
            <w:vAlign w:val="center"/>
          </w:tcPr>
          <w:p w14:paraId="36691946"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148.5</w:t>
            </w:r>
            <w:r w:rsidRPr="0063248C">
              <w:rPr>
                <w:rFonts w:cs="宋体"/>
                <w:sz w:val="18"/>
                <w:szCs w:val="18"/>
              </w:rPr>
              <w:t>吨、</w:t>
            </w:r>
            <w:r w:rsidRPr="0063248C">
              <w:rPr>
                <w:rFonts w:cs="宋体"/>
                <w:sz w:val="18"/>
                <w:szCs w:val="18"/>
              </w:rPr>
              <w:t>NH3-N</w:t>
            </w:r>
          </w:p>
          <w:p w14:paraId="78FB61ED"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13.365</w:t>
            </w:r>
            <w:r w:rsidRPr="0063248C">
              <w:rPr>
                <w:rFonts w:cs="宋体"/>
                <w:sz w:val="18"/>
                <w:szCs w:val="18"/>
              </w:rPr>
              <w:t>吨、总氮：</w:t>
            </w:r>
            <w:r w:rsidRPr="0063248C">
              <w:rPr>
                <w:rFonts w:cs="宋体"/>
                <w:sz w:val="18"/>
                <w:szCs w:val="18"/>
              </w:rPr>
              <w:t>20.79</w:t>
            </w:r>
            <w:r w:rsidRPr="0063248C">
              <w:rPr>
                <w:rFonts w:cs="宋体"/>
                <w:sz w:val="18"/>
                <w:szCs w:val="18"/>
              </w:rPr>
              <w:t>吨</w:t>
            </w:r>
          </w:p>
        </w:tc>
        <w:tc>
          <w:tcPr>
            <w:tcW w:w="381" w:type="pct"/>
            <w:tcBorders>
              <w:top w:val="single" w:sz="2" w:space="0" w:color="auto"/>
              <w:left w:val="single" w:sz="2" w:space="0" w:color="auto"/>
              <w:bottom w:val="single" w:sz="2" w:space="0" w:color="auto"/>
              <w:right w:val="single" w:sz="2" w:space="0" w:color="auto"/>
            </w:tcBorders>
            <w:vAlign w:val="center"/>
          </w:tcPr>
          <w:p w14:paraId="5EE8B695" w14:textId="77777777" w:rsidR="007B3DB2" w:rsidRPr="0063248C" w:rsidRDefault="00000000">
            <w:pPr>
              <w:spacing w:line="240" w:lineRule="exact"/>
              <w:rPr>
                <w:rFonts w:cs="宋体"/>
                <w:sz w:val="18"/>
                <w:szCs w:val="18"/>
              </w:rPr>
            </w:pPr>
            <w:r w:rsidRPr="0063248C">
              <w:rPr>
                <w:rFonts w:cs="宋体"/>
                <w:sz w:val="18"/>
                <w:szCs w:val="18"/>
              </w:rPr>
              <w:t>无</w:t>
            </w:r>
          </w:p>
        </w:tc>
      </w:tr>
      <w:tr w:rsidR="007B3DB2" w:rsidRPr="0063248C" w14:paraId="4D896BAC" w14:textId="77777777" w:rsidTr="000367A6">
        <w:trPr>
          <w:trHeight w:val="240"/>
        </w:trPr>
        <w:tc>
          <w:tcPr>
            <w:tcW w:w="410" w:type="pct"/>
            <w:tcBorders>
              <w:top w:val="single" w:sz="2" w:space="0" w:color="auto"/>
              <w:left w:val="single" w:sz="2" w:space="0" w:color="auto"/>
              <w:bottom w:val="single" w:sz="2" w:space="0" w:color="auto"/>
              <w:right w:val="single" w:sz="2" w:space="0" w:color="auto"/>
            </w:tcBorders>
            <w:vAlign w:val="center"/>
          </w:tcPr>
          <w:p w14:paraId="516804F7"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w:t>
            </w:r>
          </w:p>
        </w:tc>
        <w:tc>
          <w:tcPr>
            <w:tcW w:w="465" w:type="pct"/>
            <w:tcBorders>
              <w:top w:val="single" w:sz="2" w:space="0" w:color="auto"/>
              <w:left w:val="single" w:sz="2" w:space="0" w:color="auto"/>
              <w:bottom w:val="single" w:sz="2" w:space="0" w:color="auto"/>
              <w:right w:val="single" w:sz="2" w:space="0" w:color="auto"/>
            </w:tcBorders>
            <w:vAlign w:val="center"/>
          </w:tcPr>
          <w:p w14:paraId="1E935D1C" w14:textId="77777777" w:rsidR="007B3DB2" w:rsidRPr="0063248C" w:rsidRDefault="00000000">
            <w:pPr>
              <w:spacing w:line="240" w:lineRule="exact"/>
              <w:rPr>
                <w:rFonts w:cs="宋体"/>
                <w:sz w:val="18"/>
                <w:szCs w:val="18"/>
              </w:rPr>
            </w:pPr>
            <w:proofErr w:type="spellStart"/>
            <w:r w:rsidRPr="0063248C">
              <w:rPr>
                <w:rFonts w:cs="宋体"/>
                <w:sz w:val="18"/>
                <w:szCs w:val="18"/>
              </w:rPr>
              <w:t>CODcr</w:t>
            </w:r>
            <w:proofErr w:type="spellEnd"/>
            <w:r w:rsidRPr="0063248C">
              <w:rPr>
                <w:rFonts w:cs="宋体"/>
                <w:sz w:val="18"/>
                <w:szCs w:val="18"/>
              </w:rPr>
              <w:t>、</w:t>
            </w:r>
            <w:r w:rsidRPr="0063248C">
              <w:rPr>
                <w:rFonts w:cs="宋体"/>
                <w:sz w:val="18"/>
                <w:szCs w:val="18"/>
              </w:rPr>
              <w:t>NH3-N</w:t>
            </w:r>
            <w:r w:rsidRPr="0063248C">
              <w:rPr>
                <w:rFonts w:cs="宋体"/>
                <w:sz w:val="18"/>
                <w:szCs w:val="18"/>
              </w:rPr>
              <w:t>、</w:t>
            </w:r>
            <w:r w:rsidRPr="0063248C">
              <w:rPr>
                <w:rFonts w:cs="宋体"/>
                <w:sz w:val="18"/>
                <w:szCs w:val="18"/>
              </w:rPr>
              <w:t>TP</w:t>
            </w:r>
          </w:p>
        </w:tc>
        <w:tc>
          <w:tcPr>
            <w:tcW w:w="475" w:type="pct"/>
            <w:tcBorders>
              <w:top w:val="single" w:sz="2" w:space="0" w:color="auto"/>
              <w:left w:val="single" w:sz="2" w:space="0" w:color="auto"/>
              <w:bottom w:val="single" w:sz="2" w:space="0" w:color="auto"/>
              <w:right w:val="single" w:sz="2" w:space="0" w:color="auto"/>
            </w:tcBorders>
            <w:vAlign w:val="center"/>
          </w:tcPr>
          <w:p w14:paraId="1667CBCC" w14:textId="77777777" w:rsidR="007B3DB2" w:rsidRPr="0063248C" w:rsidRDefault="00000000">
            <w:pPr>
              <w:spacing w:line="240" w:lineRule="exact"/>
              <w:rPr>
                <w:rFonts w:cs="宋体"/>
                <w:sz w:val="18"/>
                <w:szCs w:val="18"/>
              </w:rPr>
            </w:pPr>
            <w:r w:rsidRPr="0063248C">
              <w:rPr>
                <w:rFonts w:cs="宋体"/>
                <w:sz w:val="18"/>
                <w:szCs w:val="18"/>
              </w:rPr>
              <w:t>化学需氧量、氨氮</w:t>
            </w:r>
          </w:p>
        </w:tc>
        <w:tc>
          <w:tcPr>
            <w:tcW w:w="343" w:type="pct"/>
            <w:tcBorders>
              <w:top w:val="single" w:sz="2" w:space="0" w:color="auto"/>
              <w:left w:val="single" w:sz="2" w:space="0" w:color="auto"/>
              <w:bottom w:val="single" w:sz="2" w:space="0" w:color="auto"/>
              <w:right w:val="single" w:sz="2" w:space="0" w:color="auto"/>
            </w:tcBorders>
            <w:vAlign w:val="center"/>
          </w:tcPr>
          <w:p w14:paraId="270215AC" w14:textId="77777777" w:rsidR="007B3DB2" w:rsidRPr="0063248C" w:rsidRDefault="00000000">
            <w:pPr>
              <w:spacing w:line="240" w:lineRule="exact"/>
              <w:rPr>
                <w:rFonts w:cs="宋体"/>
                <w:sz w:val="18"/>
                <w:szCs w:val="18"/>
              </w:rPr>
            </w:pPr>
            <w:r w:rsidRPr="0063248C">
              <w:rPr>
                <w:rFonts w:cs="宋体"/>
                <w:sz w:val="18"/>
                <w:szCs w:val="18"/>
              </w:rPr>
              <w:t>直接排放</w:t>
            </w:r>
          </w:p>
        </w:tc>
        <w:tc>
          <w:tcPr>
            <w:tcW w:w="409" w:type="pct"/>
            <w:tcBorders>
              <w:top w:val="single" w:sz="2" w:space="0" w:color="auto"/>
              <w:left w:val="single" w:sz="2" w:space="0" w:color="auto"/>
              <w:bottom w:val="single" w:sz="2" w:space="0" w:color="auto"/>
              <w:right w:val="single" w:sz="2" w:space="0" w:color="auto"/>
            </w:tcBorders>
            <w:vAlign w:val="center"/>
          </w:tcPr>
          <w:p w14:paraId="160622AE" w14:textId="77777777" w:rsidR="007B3DB2" w:rsidRPr="0063248C" w:rsidRDefault="00000000">
            <w:pPr>
              <w:spacing w:line="240" w:lineRule="exact"/>
              <w:rPr>
                <w:rFonts w:cs="宋体"/>
                <w:sz w:val="18"/>
                <w:szCs w:val="18"/>
              </w:rPr>
            </w:pPr>
            <w:r w:rsidRPr="0063248C">
              <w:rPr>
                <w:rFonts w:cs="宋体"/>
                <w:sz w:val="18"/>
                <w:szCs w:val="18"/>
              </w:rPr>
              <w:t>1</w:t>
            </w:r>
          </w:p>
        </w:tc>
        <w:tc>
          <w:tcPr>
            <w:tcW w:w="409" w:type="pct"/>
            <w:tcBorders>
              <w:top w:val="single" w:sz="2" w:space="0" w:color="auto"/>
              <w:left w:val="single" w:sz="2" w:space="0" w:color="auto"/>
              <w:bottom w:val="single" w:sz="2" w:space="0" w:color="auto"/>
              <w:right w:val="single" w:sz="2" w:space="0" w:color="auto"/>
            </w:tcBorders>
            <w:vAlign w:val="center"/>
          </w:tcPr>
          <w:p w14:paraId="046D33B9" w14:textId="77777777" w:rsidR="007B3DB2" w:rsidRPr="0063248C" w:rsidRDefault="00000000">
            <w:pPr>
              <w:spacing w:line="240" w:lineRule="exact"/>
              <w:rPr>
                <w:rFonts w:cs="宋体"/>
                <w:sz w:val="18"/>
                <w:szCs w:val="18"/>
              </w:rPr>
            </w:pPr>
            <w:r w:rsidRPr="0063248C">
              <w:rPr>
                <w:rFonts w:cs="宋体"/>
                <w:sz w:val="18"/>
                <w:szCs w:val="18"/>
              </w:rPr>
              <w:t>总排口位于厂区西南角</w:t>
            </w:r>
          </w:p>
        </w:tc>
        <w:tc>
          <w:tcPr>
            <w:tcW w:w="650" w:type="pct"/>
            <w:tcBorders>
              <w:top w:val="single" w:sz="2" w:space="0" w:color="auto"/>
              <w:left w:val="single" w:sz="2" w:space="0" w:color="auto"/>
              <w:bottom w:val="single" w:sz="2" w:space="0" w:color="auto"/>
              <w:right w:val="single" w:sz="2" w:space="0" w:color="auto"/>
            </w:tcBorders>
            <w:vAlign w:val="center"/>
          </w:tcPr>
          <w:p w14:paraId="6C65F0C2"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21.133mg/L</w:t>
            </w:r>
            <w:r w:rsidRPr="0063248C">
              <w:rPr>
                <w:rFonts w:cs="宋体"/>
                <w:sz w:val="18"/>
                <w:szCs w:val="18"/>
              </w:rPr>
              <w:t>、</w:t>
            </w:r>
            <w:r w:rsidRPr="0063248C">
              <w:rPr>
                <w:rFonts w:cs="宋体"/>
                <w:sz w:val="18"/>
                <w:szCs w:val="18"/>
              </w:rPr>
              <w:t>NH3-N</w:t>
            </w:r>
          </w:p>
          <w:p w14:paraId="1DD2374B"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0.841mg/L</w:t>
            </w:r>
            <w:r w:rsidRPr="0063248C">
              <w:rPr>
                <w:rFonts w:cs="宋体"/>
                <w:sz w:val="18"/>
                <w:szCs w:val="18"/>
              </w:rPr>
              <w:t>、</w:t>
            </w:r>
            <w:r w:rsidRPr="0063248C">
              <w:rPr>
                <w:rFonts w:cs="宋体"/>
                <w:sz w:val="18"/>
                <w:szCs w:val="18"/>
              </w:rPr>
              <w:t>TP</w:t>
            </w:r>
            <w:r w:rsidRPr="0063248C">
              <w:rPr>
                <w:rFonts w:cs="宋体"/>
                <w:sz w:val="18"/>
                <w:szCs w:val="18"/>
              </w:rPr>
              <w:t>：</w:t>
            </w:r>
            <w:r w:rsidRPr="0063248C">
              <w:rPr>
                <w:rFonts w:cs="宋体"/>
                <w:sz w:val="18"/>
                <w:szCs w:val="18"/>
              </w:rPr>
              <w:t>0.737 mg/L</w:t>
            </w:r>
          </w:p>
        </w:tc>
        <w:tc>
          <w:tcPr>
            <w:tcW w:w="612" w:type="pct"/>
            <w:tcBorders>
              <w:top w:val="single" w:sz="2" w:space="0" w:color="auto"/>
              <w:left w:val="single" w:sz="2" w:space="0" w:color="auto"/>
              <w:bottom w:val="single" w:sz="2" w:space="0" w:color="auto"/>
              <w:right w:val="single" w:sz="2" w:space="0" w:color="auto"/>
            </w:tcBorders>
            <w:vAlign w:val="center"/>
          </w:tcPr>
          <w:p w14:paraId="249FF29E" w14:textId="77777777" w:rsidR="007B3DB2" w:rsidRPr="0063248C" w:rsidRDefault="00000000">
            <w:pPr>
              <w:spacing w:line="240" w:lineRule="exact"/>
              <w:rPr>
                <w:rFonts w:cs="宋体"/>
                <w:sz w:val="18"/>
                <w:szCs w:val="18"/>
              </w:rPr>
            </w:pPr>
            <w:r w:rsidRPr="0063248C">
              <w:rPr>
                <w:rFonts w:cs="宋体"/>
                <w:sz w:val="18"/>
                <w:szCs w:val="18"/>
              </w:rPr>
              <w:t>肉类加工工业水污染物排放标准</w:t>
            </w:r>
            <w:r w:rsidRPr="0063248C">
              <w:rPr>
                <w:rFonts w:cs="宋体"/>
                <w:sz w:val="18"/>
                <w:szCs w:val="18"/>
              </w:rPr>
              <w:t>GB 13457-92</w:t>
            </w:r>
          </w:p>
        </w:tc>
        <w:tc>
          <w:tcPr>
            <w:tcW w:w="452" w:type="pct"/>
            <w:tcBorders>
              <w:top w:val="single" w:sz="2" w:space="0" w:color="auto"/>
              <w:left w:val="single" w:sz="2" w:space="0" w:color="auto"/>
              <w:bottom w:val="single" w:sz="2" w:space="0" w:color="auto"/>
              <w:right w:val="single" w:sz="2" w:space="0" w:color="auto"/>
            </w:tcBorders>
            <w:vAlign w:val="center"/>
          </w:tcPr>
          <w:p w14:paraId="272B5DFC"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2.726</w:t>
            </w:r>
            <w:r w:rsidRPr="0063248C">
              <w:rPr>
                <w:rFonts w:cs="宋体"/>
                <w:sz w:val="18"/>
                <w:szCs w:val="18"/>
              </w:rPr>
              <w:t>吨、</w:t>
            </w:r>
            <w:r w:rsidRPr="0063248C">
              <w:rPr>
                <w:rFonts w:cs="宋体"/>
                <w:sz w:val="18"/>
                <w:szCs w:val="18"/>
              </w:rPr>
              <w:t>NH3-N</w:t>
            </w:r>
          </w:p>
          <w:p w14:paraId="45C14412"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0.1067</w:t>
            </w:r>
            <w:r w:rsidRPr="0063248C">
              <w:rPr>
                <w:rFonts w:cs="宋体"/>
                <w:sz w:val="18"/>
                <w:szCs w:val="18"/>
              </w:rPr>
              <w:t>吨、</w:t>
            </w:r>
            <w:r w:rsidRPr="0063248C">
              <w:rPr>
                <w:rFonts w:cs="宋体"/>
                <w:sz w:val="18"/>
                <w:szCs w:val="18"/>
              </w:rPr>
              <w:t>TP</w:t>
            </w:r>
            <w:r w:rsidRPr="0063248C">
              <w:rPr>
                <w:rFonts w:cs="宋体"/>
                <w:sz w:val="18"/>
                <w:szCs w:val="18"/>
              </w:rPr>
              <w:t>：</w:t>
            </w:r>
            <w:r w:rsidRPr="0063248C">
              <w:rPr>
                <w:rFonts w:cs="宋体"/>
                <w:sz w:val="18"/>
                <w:szCs w:val="18"/>
              </w:rPr>
              <w:t>0.096</w:t>
            </w:r>
            <w:r w:rsidRPr="0063248C">
              <w:rPr>
                <w:rFonts w:cs="宋体"/>
                <w:sz w:val="18"/>
                <w:szCs w:val="18"/>
              </w:rPr>
              <w:t>吨</w:t>
            </w:r>
          </w:p>
        </w:tc>
        <w:tc>
          <w:tcPr>
            <w:tcW w:w="394" w:type="pct"/>
            <w:tcBorders>
              <w:top w:val="single" w:sz="2" w:space="0" w:color="auto"/>
              <w:left w:val="single" w:sz="2" w:space="0" w:color="auto"/>
              <w:bottom w:val="single" w:sz="2" w:space="0" w:color="auto"/>
              <w:right w:val="single" w:sz="2" w:space="0" w:color="auto"/>
            </w:tcBorders>
            <w:vAlign w:val="center"/>
          </w:tcPr>
          <w:p w14:paraId="225D30DF"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16.89</w:t>
            </w:r>
            <w:r w:rsidRPr="0063248C">
              <w:rPr>
                <w:rFonts w:cs="宋体"/>
                <w:sz w:val="18"/>
                <w:szCs w:val="18"/>
              </w:rPr>
              <w:t>吨、</w:t>
            </w:r>
            <w:r w:rsidRPr="0063248C">
              <w:rPr>
                <w:rFonts w:cs="宋体"/>
                <w:sz w:val="18"/>
                <w:szCs w:val="18"/>
              </w:rPr>
              <w:t>NH3-N</w:t>
            </w:r>
          </w:p>
          <w:p w14:paraId="6C2895AE"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3.9</w:t>
            </w:r>
            <w:r w:rsidRPr="0063248C">
              <w:rPr>
                <w:rFonts w:cs="宋体"/>
                <w:sz w:val="18"/>
                <w:szCs w:val="18"/>
              </w:rPr>
              <w:t>吨</w:t>
            </w:r>
          </w:p>
        </w:tc>
        <w:tc>
          <w:tcPr>
            <w:tcW w:w="381" w:type="pct"/>
            <w:tcBorders>
              <w:top w:val="single" w:sz="2" w:space="0" w:color="auto"/>
              <w:left w:val="single" w:sz="2" w:space="0" w:color="auto"/>
              <w:bottom w:val="single" w:sz="2" w:space="0" w:color="auto"/>
              <w:right w:val="single" w:sz="2" w:space="0" w:color="auto"/>
            </w:tcBorders>
            <w:vAlign w:val="center"/>
          </w:tcPr>
          <w:p w14:paraId="6C0316AA" w14:textId="77777777" w:rsidR="007B3DB2" w:rsidRPr="0063248C" w:rsidRDefault="00000000">
            <w:pPr>
              <w:spacing w:line="240" w:lineRule="exact"/>
              <w:rPr>
                <w:rFonts w:cs="宋体"/>
                <w:sz w:val="18"/>
                <w:szCs w:val="18"/>
              </w:rPr>
            </w:pPr>
            <w:r w:rsidRPr="0063248C">
              <w:rPr>
                <w:rFonts w:cs="宋体"/>
                <w:sz w:val="18"/>
                <w:szCs w:val="18"/>
              </w:rPr>
              <w:t>无</w:t>
            </w:r>
          </w:p>
        </w:tc>
      </w:tr>
      <w:tr w:rsidR="007B3DB2" w:rsidRPr="0063248C" w14:paraId="51053359" w14:textId="77777777" w:rsidTr="000367A6">
        <w:trPr>
          <w:trHeight w:val="240"/>
        </w:trPr>
        <w:tc>
          <w:tcPr>
            <w:tcW w:w="410" w:type="pct"/>
            <w:tcBorders>
              <w:top w:val="single" w:sz="2" w:space="0" w:color="auto"/>
              <w:left w:val="single" w:sz="2" w:space="0" w:color="auto"/>
              <w:bottom w:val="single" w:sz="2" w:space="0" w:color="auto"/>
              <w:right w:val="single" w:sz="2" w:space="0" w:color="auto"/>
            </w:tcBorders>
            <w:vAlign w:val="center"/>
          </w:tcPr>
          <w:p w14:paraId="2BF47F53" w14:textId="77777777" w:rsidR="007B3DB2" w:rsidRPr="0063248C" w:rsidRDefault="00000000">
            <w:pPr>
              <w:spacing w:line="240" w:lineRule="exact"/>
              <w:rPr>
                <w:rFonts w:cs="宋体"/>
                <w:sz w:val="18"/>
                <w:szCs w:val="18"/>
              </w:rPr>
            </w:pPr>
            <w:r w:rsidRPr="0063248C">
              <w:rPr>
                <w:rFonts w:cs="宋体"/>
                <w:sz w:val="18"/>
                <w:szCs w:val="18"/>
              </w:rPr>
              <w:t>聊城龙大肉食品有限公司</w:t>
            </w:r>
          </w:p>
        </w:tc>
        <w:tc>
          <w:tcPr>
            <w:tcW w:w="465" w:type="pct"/>
            <w:tcBorders>
              <w:top w:val="single" w:sz="2" w:space="0" w:color="auto"/>
              <w:left w:val="single" w:sz="2" w:space="0" w:color="auto"/>
              <w:bottom w:val="single" w:sz="2" w:space="0" w:color="auto"/>
              <w:right w:val="single" w:sz="2" w:space="0" w:color="auto"/>
            </w:tcBorders>
            <w:vAlign w:val="center"/>
          </w:tcPr>
          <w:p w14:paraId="5DC564D3" w14:textId="77777777" w:rsidR="007B3DB2" w:rsidRPr="0063248C" w:rsidRDefault="00000000">
            <w:pPr>
              <w:spacing w:line="240" w:lineRule="exact"/>
              <w:rPr>
                <w:rFonts w:cs="宋体"/>
                <w:sz w:val="18"/>
                <w:szCs w:val="18"/>
              </w:rPr>
            </w:pPr>
            <w:proofErr w:type="spellStart"/>
            <w:r w:rsidRPr="0063248C">
              <w:rPr>
                <w:rFonts w:cs="宋体"/>
                <w:sz w:val="18"/>
                <w:szCs w:val="18"/>
              </w:rPr>
              <w:t>CODcr</w:t>
            </w:r>
            <w:proofErr w:type="spellEnd"/>
            <w:r w:rsidRPr="0063248C">
              <w:rPr>
                <w:rFonts w:cs="宋体"/>
                <w:sz w:val="18"/>
                <w:szCs w:val="18"/>
              </w:rPr>
              <w:t>、</w:t>
            </w:r>
            <w:r w:rsidRPr="0063248C">
              <w:rPr>
                <w:rFonts w:cs="宋体"/>
                <w:sz w:val="18"/>
                <w:szCs w:val="18"/>
              </w:rPr>
              <w:t>NH3-N</w:t>
            </w:r>
            <w:r w:rsidRPr="0063248C">
              <w:rPr>
                <w:rFonts w:cs="宋体"/>
                <w:sz w:val="18"/>
                <w:szCs w:val="18"/>
              </w:rPr>
              <w:t>、</w:t>
            </w:r>
            <w:r w:rsidRPr="0063248C">
              <w:rPr>
                <w:rFonts w:cs="宋体"/>
                <w:sz w:val="18"/>
                <w:szCs w:val="18"/>
              </w:rPr>
              <w:t>TN</w:t>
            </w:r>
            <w:r w:rsidRPr="0063248C">
              <w:rPr>
                <w:rFonts w:cs="宋体"/>
                <w:sz w:val="18"/>
                <w:szCs w:val="18"/>
              </w:rPr>
              <w:t>、</w:t>
            </w:r>
            <w:r w:rsidRPr="0063248C">
              <w:rPr>
                <w:rFonts w:cs="宋体"/>
                <w:sz w:val="18"/>
                <w:szCs w:val="18"/>
              </w:rPr>
              <w:t>TP</w:t>
            </w:r>
            <w:r w:rsidRPr="0063248C">
              <w:rPr>
                <w:rFonts w:cs="宋体"/>
                <w:sz w:val="18"/>
                <w:szCs w:val="18"/>
              </w:rPr>
              <w:t>、</w:t>
            </w:r>
          </w:p>
        </w:tc>
        <w:tc>
          <w:tcPr>
            <w:tcW w:w="475" w:type="pct"/>
            <w:tcBorders>
              <w:top w:val="single" w:sz="2" w:space="0" w:color="auto"/>
              <w:left w:val="single" w:sz="2" w:space="0" w:color="auto"/>
              <w:bottom w:val="single" w:sz="2" w:space="0" w:color="auto"/>
              <w:right w:val="single" w:sz="2" w:space="0" w:color="auto"/>
            </w:tcBorders>
            <w:vAlign w:val="center"/>
          </w:tcPr>
          <w:p w14:paraId="78B9CC0A" w14:textId="77777777" w:rsidR="007B3DB2" w:rsidRPr="0063248C" w:rsidRDefault="00000000">
            <w:pPr>
              <w:spacing w:line="240" w:lineRule="exact"/>
              <w:rPr>
                <w:rFonts w:cs="宋体"/>
                <w:sz w:val="18"/>
                <w:szCs w:val="18"/>
              </w:rPr>
            </w:pPr>
            <w:r w:rsidRPr="0063248C">
              <w:rPr>
                <w:rFonts w:cs="宋体"/>
                <w:sz w:val="18"/>
                <w:szCs w:val="18"/>
              </w:rPr>
              <w:t>化学需氧量、氨氮、总氮、总磷</w:t>
            </w:r>
          </w:p>
        </w:tc>
        <w:tc>
          <w:tcPr>
            <w:tcW w:w="343" w:type="pct"/>
            <w:tcBorders>
              <w:top w:val="single" w:sz="2" w:space="0" w:color="auto"/>
              <w:left w:val="single" w:sz="2" w:space="0" w:color="auto"/>
              <w:bottom w:val="single" w:sz="2" w:space="0" w:color="auto"/>
              <w:right w:val="single" w:sz="2" w:space="0" w:color="auto"/>
            </w:tcBorders>
            <w:vAlign w:val="center"/>
          </w:tcPr>
          <w:p w14:paraId="0AD5903A" w14:textId="77777777" w:rsidR="007B3DB2" w:rsidRPr="0063248C" w:rsidRDefault="00000000">
            <w:pPr>
              <w:spacing w:line="240" w:lineRule="exact"/>
              <w:rPr>
                <w:rFonts w:cs="宋体"/>
                <w:sz w:val="18"/>
                <w:szCs w:val="18"/>
              </w:rPr>
            </w:pPr>
            <w:r w:rsidRPr="0063248C">
              <w:rPr>
                <w:rFonts w:cs="宋体"/>
                <w:sz w:val="18"/>
                <w:szCs w:val="18"/>
              </w:rPr>
              <w:t>间接排放</w:t>
            </w:r>
          </w:p>
        </w:tc>
        <w:tc>
          <w:tcPr>
            <w:tcW w:w="409" w:type="pct"/>
            <w:tcBorders>
              <w:top w:val="single" w:sz="2" w:space="0" w:color="auto"/>
              <w:left w:val="single" w:sz="2" w:space="0" w:color="auto"/>
              <w:bottom w:val="single" w:sz="2" w:space="0" w:color="auto"/>
              <w:right w:val="single" w:sz="2" w:space="0" w:color="auto"/>
            </w:tcBorders>
            <w:vAlign w:val="center"/>
          </w:tcPr>
          <w:p w14:paraId="3E0AA676" w14:textId="77777777" w:rsidR="007B3DB2" w:rsidRPr="0063248C" w:rsidRDefault="00000000">
            <w:pPr>
              <w:spacing w:line="240" w:lineRule="exact"/>
              <w:rPr>
                <w:rFonts w:cs="宋体"/>
                <w:sz w:val="18"/>
                <w:szCs w:val="18"/>
              </w:rPr>
            </w:pPr>
            <w:r w:rsidRPr="0063248C">
              <w:rPr>
                <w:rFonts w:cs="宋体"/>
                <w:sz w:val="18"/>
                <w:szCs w:val="18"/>
              </w:rPr>
              <w:t>1</w:t>
            </w:r>
          </w:p>
        </w:tc>
        <w:tc>
          <w:tcPr>
            <w:tcW w:w="409" w:type="pct"/>
            <w:tcBorders>
              <w:top w:val="single" w:sz="2" w:space="0" w:color="auto"/>
              <w:left w:val="single" w:sz="2" w:space="0" w:color="auto"/>
              <w:bottom w:val="single" w:sz="2" w:space="0" w:color="auto"/>
              <w:right w:val="single" w:sz="2" w:space="0" w:color="auto"/>
            </w:tcBorders>
            <w:vAlign w:val="center"/>
          </w:tcPr>
          <w:p w14:paraId="39A0C8D8" w14:textId="77777777" w:rsidR="007B3DB2" w:rsidRPr="0063248C" w:rsidRDefault="00000000">
            <w:pPr>
              <w:spacing w:line="240" w:lineRule="exact"/>
              <w:rPr>
                <w:rFonts w:cs="宋体"/>
                <w:sz w:val="18"/>
                <w:szCs w:val="18"/>
              </w:rPr>
            </w:pPr>
            <w:r w:rsidRPr="0063248C">
              <w:rPr>
                <w:rFonts w:cs="宋体"/>
                <w:sz w:val="18"/>
                <w:szCs w:val="18"/>
              </w:rPr>
              <w:t>总排口位于厂区南面</w:t>
            </w:r>
          </w:p>
        </w:tc>
        <w:tc>
          <w:tcPr>
            <w:tcW w:w="650" w:type="pct"/>
            <w:tcBorders>
              <w:top w:val="single" w:sz="2" w:space="0" w:color="auto"/>
              <w:left w:val="single" w:sz="2" w:space="0" w:color="auto"/>
              <w:bottom w:val="single" w:sz="2" w:space="0" w:color="auto"/>
              <w:right w:val="single" w:sz="2" w:space="0" w:color="auto"/>
            </w:tcBorders>
            <w:vAlign w:val="center"/>
          </w:tcPr>
          <w:p w14:paraId="6845E759"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23.2mg/L</w:t>
            </w:r>
            <w:r w:rsidRPr="0063248C">
              <w:rPr>
                <w:rFonts w:cs="宋体"/>
                <w:sz w:val="18"/>
                <w:szCs w:val="18"/>
              </w:rPr>
              <w:t>、</w:t>
            </w:r>
            <w:r w:rsidRPr="0063248C">
              <w:rPr>
                <w:rFonts w:cs="宋体"/>
                <w:sz w:val="18"/>
                <w:szCs w:val="18"/>
              </w:rPr>
              <w:t xml:space="preserve">NH3-N </w:t>
            </w:r>
            <w:r w:rsidRPr="0063248C">
              <w:rPr>
                <w:rFonts w:cs="宋体"/>
                <w:sz w:val="18"/>
                <w:szCs w:val="18"/>
              </w:rPr>
              <w:t>：</w:t>
            </w:r>
            <w:r w:rsidRPr="0063248C">
              <w:rPr>
                <w:rFonts w:cs="宋体"/>
                <w:sz w:val="18"/>
                <w:szCs w:val="18"/>
              </w:rPr>
              <w:t>2.22mg/L</w:t>
            </w:r>
            <w:r w:rsidRPr="0063248C">
              <w:rPr>
                <w:rFonts w:cs="宋体"/>
                <w:sz w:val="18"/>
                <w:szCs w:val="18"/>
              </w:rPr>
              <w:t>、总氮：</w:t>
            </w:r>
            <w:r w:rsidRPr="0063248C">
              <w:rPr>
                <w:rFonts w:cs="宋体"/>
                <w:sz w:val="18"/>
                <w:szCs w:val="18"/>
              </w:rPr>
              <w:t>10.9mg/L</w:t>
            </w:r>
            <w:r w:rsidRPr="0063248C">
              <w:rPr>
                <w:rFonts w:cs="宋体"/>
                <w:sz w:val="18"/>
                <w:szCs w:val="18"/>
              </w:rPr>
              <w:t>、总磷：</w:t>
            </w:r>
            <w:r w:rsidRPr="0063248C">
              <w:rPr>
                <w:rFonts w:cs="宋体"/>
                <w:sz w:val="18"/>
                <w:szCs w:val="18"/>
              </w:rPr>
              <w:t>0.97mg/L</w:t>
            </w:r>
          </w:p>
        </w:tc>
        <w:tc>
          <w:tcPr>
            <w:tcW w:w="612" w:type="pct"/>
            <w:tcBorders>
              <w:top w:val="single" w:sz="2" w:space="0" w:color="auto"/>
              <w:left w:val="single" w:sz="2" w:space="0" w:color="auto"/>
              <w:bottom w:val="single" w:sz="2" w:space="0" w:color="auto"/>
              <w:right w:val="single" w:sz="2" w:space="0" w:color="auto"/>
            </w:tcBorders>
            <w:vAlign w:val="center"/>
          </w:tcPr>
          <w:p w14:paraId="5CC93C37" w14:textId="77777777" w:rsidR="007B3DB2" w:rsidRPr="0063248C" w:rsidRDefault="00000000">
            <w:pPr>
              <w:spacing w:line="240" w:lineRule="exact"/>
              <w:rPr>
                <w:rFonts w:cs="宋体"/>
                <w:sz w:val="18"/>
                <w:szCs w:val="18"/>
              </w:rPr>
            </w:pPr>
            <w:r w:rsidRPr="0063248C">
              <w:rPr>
                <w:rFonts w:cs="宋体"/>
                <w:sz w:val="18"/>
                <w:szCs w:val="18"/>
              </w:rPr>
              <w:t>肉类加工工业水污染物排放标准</w:t>
            </w:r>
            <w:r w:rsidRPr="0063248C">
              <w:rPr>
                <w:rFonts w:cs="宋体"/>
                <w:sz w:val="18"/>
                <w:szCs w:val="18"/>
              </w:rPr>
              <w:t>GB 13457-92</w:t>
            </w:r>
            <w:r w:rsidRPr="0063248C">
              <w:rPr>
                <w:rFonts w:cs="宋体"/>
                <w:sz w:val="18"/>
                <w:szCs w:val="18"/>
              </w:rPr>
              <w:t>，污水排入城镇下水道水质标准</w:t>
            </w:r>
            <w:r w:rsidRPr="0063248C">
              <w:rPr>
                <w:rFonts w:cs="宋体"/>
                <w:sz w:val="18"/>
                <w:szCs w:val="18"/>
              </w:rPr>
              <w:t>GB/T 31962-2015</w:t>
            </w:r>
            <w:r w:rsidRPr="0063248C">
              <w:rPr>
                <w:rFonts w:cs="宋体"/>
                <w:sz w:val="18"/>
                <w:szCs w:val="18"/>
              </w:rPr>
              <w:t>中</w:t>
            </w:r>
            <w:r w:rsidRPr="0063248C">
              <w:rPr>
                <w:rFonts w:cs="宋体"/>
                <w:sz w:val="18"/>
                <w:szCs w:val="18"/>
              </w:rPr>
              <w:t>B</w:t>
            </w:r>
            <w:r w:rsidRPr="0063248C">
              <w:rPr>
                <w:rFonts w:cs="宋体"/>
                <w:sz w:val="18"/>
                <w:szCs w:val="18"/>
              </w:rPr>
              <w:t>级标准</w:t>
            </w:r>
          </w:p>
        </w:tc>
        <w:tc>
          <w:tcPr>
            <w:tcW w:w="452" w:type="pct"/>
            <w:tcBorders>
              <w:top w:val="single" w:sz="2" w:space="0" w:color="auto"/>
              <w:left w:val="single" w:sz="2" w:space="0" w:color="auto"/>
              <w:bottom w:val="single" w:sz="2" w:space="0" w:color="auto"/>
              <w:right w:val="single" w:sz="2" w:space="0" w:color="auto"/>
            </w:tcBorders>
            <w:vAlign w:val="center"/>
          </w:tcPr>
          <w:p w14:paraId="2F17DFA0"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9.48</w:t>
            </w:r>
            <w:r w:rsidRPr="0063248C">
              <w:rPr>
                <w:rFonts w:cs="宋体"/>
                <w:sz w:val="18"/>
                <w:szCs w:val="18"/>
              </w:rPr>
              <w:t>吨</w:t>
            </w:r>
            <w:r w:rsidRPr="0063248C">
              <w:rPr>
                <w:rFonts w:cs="宋体"/>
                <w:sz w:val="18"/>
                <w:szCs w:val="18"/>
              </w:rPr>
              <w:t xml:space="preserve">NH3-N </w:t>
            </w:r>
            <w:r w:rsidRPr="0063248C">
              <w:rPr>
                <w:rFonts w:cs="宋体"/>
                <w:sz w:val="18"/>
                <w:szCs w:val="18"/>
              </w:rPr>
              <w:t>：</w:t>
            </w:r>
            <w:r w:rsidRPr="0063248C">
              <w:rPr>
                <w:rFonts w:cs="宋体"/>
                <w:sz w:val="18"/>
                <w:szCs w:val="18"/>
              </w:rPr>
              <w:t>0.905</w:t>
            </w:r>
            <w:r w:rsidRPr="0063248C">
              <w:rPr>
                <w:rFonts w:cs="宋体"/>
                <w:sz w:val="18"/>
                <w:szCs w:val="18"/>
              </w:rPr>
              <w:t>吨、总氮：</w:t>
            </w:r>
            <w:r w:rsidRPr="0063248C">
              <w:rPr>
                <w:rFonts w:cs="宋体"/>
                <w:sz w:val="18"/>
                <w:szCs w:val="18"/>
              </w:rPr>
              <w:t>4.47</w:t>
            </w:r>
            <w:r w:rsidRPr="0063248C">
              <w:rPr>
                <w:rFonts w:cs="宋体"/>
                <w:sz w:val="18"/>
                <w:szCs w:val="18"/>
              </w:rPr>
              <w:t>吨总磷</w:t>
            </w:r>
            <w:r w:rsidRPr="0063248C">
              <w:rPr>
                <w:rFonts w:cs="宋体"/>
                <w:sz w:val="18"/>
                <w:szCs w:val="18"/>
              </w:rPr>
              <w:t>0.399</w:t>
            </w:r>
            <w:r w:rsidRPr="0063248C">
              <w:rPr>
                <w:rFonts w:cs="宋体"/>
                <w:sz w:val="18"/>
                <w:szCs w:val="18"/>
              </w:rPr>
              <w:t>吨</w:t>
            </w:r>
          </w:p>
        </w:tc>
        <w:tc>
          <w:tcPr>
            <w:tcW w:w="394" w:type="pct"/>
            <w:tcBorders>
              <w:top w:val="single" w:sz="2" w:space="0" w:color="auto"/>
              <w:left w:val="single" w:sz="2" w:space="0" w:color="auto"/>
              <w:bottom w:val="single" w:sz="2" w:space="0" w:color="auto"/>
              <w:right w:val="single" w:sz="2" w:space="0" w:color="auto"/>
            </w:tcBorders>
            <w:vAlign w:val="center"/>
          </w:tcPr>
          <w:p w14:paraId="41EAC834"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40</w:t>
            </w:r>
            <w:r w:rsidRPr="0063248C">
              <w:rPr>
                <w:rFonts w:cs="宋体"/>
                <w:sz w:val="18"/>
                <w:szCs w:val="18"/>
              </w:rPr>
              <w:t>吨、</w:t>
            </w:r>
            <w:r w:rsidRPr="0063248C">
              <w:rPr>
                <w:rFonts w:cs="宋体"/>
                <w:sz w:val="18"/>
                <w:szCs w:val="18"/>
              </w:rPr>
              <w:t xml:space="preserve">NH3-N </w:t>
            </w:r>
            <w:r w:rsidRPr="0063248C">
              <w:rPr>
                <w:rFonts w:cs="宋体"/>
                <w:sz w:val="18"/>
                <w:szCs w:val="18"/>
              </w:rPr>
              <w:t>：</w:t>
            </w:r>
            <w:r w:rsidRPr="0063248C">
              <w:rPr>
                <w:rFonts w:cs="宋体"/>
                <w:sz w:val="18"/>
                <w:szCs w:val="18"/>
              </w:rPr>
              <w:t>8.775</w:t>
            </w:r>
            <w:r w:rsidRPr="0063248C">
              <w:rPr>
                <w:rFonts w:cs="宋体"/>
                <w:sz w:val="18"/>
                <w:szCs w:val="18"/>
              </w:rPr>
              <w:t>吨</w:t>
            </w:r>
          </w:p>
        </w:tc>
        <w:tc>
          <w:tcPr>
            <w:tcW w:w="381" w:type="pct"/>
            <w:tcBorders>
              <w:top w:val="single" w:sz="2" w:space="0" w:color="auto"/>
              <w:left w:val="single" w:sz="2" w:space="0" w:color="auto"/>
              <w:bottom w:val="single" w:sz="2" w:space="0" w:color="auto"/>
              <w:right w:val="single" w:sz="2" w:space="0" w:color="auto"/>
            </w:tcBorders>
            <w:vAlign w:val="center"/>
          </w:tcPr>
          <w:p w14:paraId="670F4CE1" w14:textId="77777777" w:rsidR="007B3DB2" w:rsidRPr="0063248C" w:rsidRDefault="00000000">
            <w:pPr>
              <w:spacing w:line="240" w:lineRule="exact"/>
              <w:rPr>
                <w:rFonts w:cs="宋体"/>
                <w:sz w:val="18"/>
                <w:szCs w:val="18"/>
              </w:rPr>
            </w:pPr>
            <w:r w:rsidRPr="0063248C">
              <w:rPr>
                <w:rFonts w:cs="宋体"/>
                <w:sz w:val="18"/>
                <w:szCs w:val="18"/>
              </w:rPr>
              <w:t>无</w:t>
            </w:r>
          </w:p>
        </w:tc>
      </w:tr>
      <w:tr w:rsidR="007B3DB2" w:rsidRPr="0063248C" w14:paraId="79B09BFD" w14:textId="77777777" w:rsidTr="000367A6">
        <w:trPr>
          <w:trHeight w:val="240"/>
        </w:trPr>
        <w:tc>
          <w:tcPr>
            <w:tcW w:w="410" w:type="pct"/>
            <w:tcBorders>
              <w:top w:val="single" w:sz="2" w:space="0" w:color="auto"/>
              <w:left w:val="single" w:sz="2" w:space="0" w:color="auto"/>
              <w:bottom w:val="single" w:sz="2" w:space="0" w:color="auto"/>
              <w:right w:val="single" w:sz="2" w:space="0" w:color="auto"/>
            </w:tcBorders>
            <w:vAlign w:val="center"/>
          </w:tcPr>
          <w:p w14:paraId="4F8FAE7B" w14:textId="77777777" w:rsidR="007B3DB2" w:rsidRPr="0063248C" w:rsidRDefault="00000000">
            <w:pPr>
              <w:spacing w:line="240" w:lineRule="exact"/>
              <w:rPr>
                <w:rFonts w:cs="宋体"/>
                <w:sz w:val="18"/>
                <w:szCs w:val="18"/>
              </w:rPr>
            </w:pPr>
            <w:r w:rsidRPr="0063248C">
              <w:rPr>
                <w:rFonts w:cs="宋体"/>
                <w:sz w:val="18"/>
                <w:szCs w:val="18"/>
              </w:rPr>
              <w:t>蓬莱富龙肉食品有限公司</w:t>
            </w:r>
          </w:p>
        </w:tc>
        <w:tc>
          <w:tcPr>
            <w:tcW w:w="465" w:type="pct"/>
            <w:tcBorders>
              <w:top w:val="single" w:sz="2" w:space="0" w:color="auto"/>
              <w:left w:val="single" w:sz="2" w:space="0" w:color="auto"/>
              <w:bottom w:val="single" w:sz="2" w:space="0" w:color="auto"/>
              <w:right w:val="single" w:sz="2" w:space="0" w:color="auto"/>
            </w:tcBorders>
            <w:vAlign w:val="center"/>
          </w:tcPr>
          <w:p w14:paraId="562573A8" w14:textId="77777777" w:rsidR="007B3DB2" w:rsidRPr="0063248C" w:rsidRDefault="00000000">
            <w:pPr>
              <w:spacing w:line="240" w:lineRule="exact"/>
              <w:rPr>
                <w:rFonts w:cs="宋体"/>
                <w:sz w:val="18"/>
                <w:szCs w:val="18"/>
              </w:rPr>
            </w:pPr>
            <w:proofErr w:type="spellStart"/>
            <w:r w:rsidRPr="0063248C">
              <w:rPr>
                <w:rFonts w:cs="宋体"/>
                <w:sz w:val="18"/>
                <w:szCs w:val="18"/>
              </w:rPr>
              <w:t>CODcr</w:t>
            </w:r>
            <w:proofErr w:type="spellEnd"/>
            <w:r w:rsidRPr="0063248C">
              <w:rPr>
                <w:rFonts w:cs="宋体"/>
                <w:sz w:val="18"/>
                <w:szCs w:val="18"/>
              </w:rPr>
              <w:t>、</w:t>
            </w:r>
            <w:r w:rsidRPr="0063248C">
              <w:rPr>
                <w:rFonts w:cs="宋体"/>
                <w:sz w:val="18"/>
                <w:szCs w:val="18"/>
              </w:rPr>
              <w:t>NH3-N</w:t>
            </w:r>
            <w:r w:rsidRPr="0063248C">
              <w:rPr>
                <w:rFonts w:cs="宋体"/>
                <w:sz w:val="18"/>
                <w:szCs w:val="18"/>
              </w:rPr>
              <w:t>、</w:t>
            </w:r>
            <w:r w:rsidRPr="0063248C">
              <w:rPr>
                <w:rFonts w:cs="宋体"/>
                <w:sz w:val="18"/>
                <w:szCs w:val="18"/>
              </w:rPr>
              <w:t>TP</w:t>
            </w:r>
            <w:r w:rsidRPr="0063248C">
              <w:rPr>
                <w:rFonts w:cs="宋体"/>
                <w:sz w:val="18"/>
                <w:szCs w:val="18"/>
              </w:rPr>
              <w:t>、</w:t>
            </w:r>
            <w:r w:rsidRPr="0063248C">
              <w:rPr>
                <w:rFonts w:cs="宋体"/>
                <w:sz w:val="18"/>
                <w:szCs w:val="18"/>
              </w:rPr>
              <w:t>TN</w:t>
            </w:r>
          </w:p>
        </w:tc>
        <w:tc>
          <w:tcPr>
            <w:tcW w:w="475" w:type="pct"/>
            <w:tcBorders>
              <w:top w:val="single" w:sz="2" w:space="0" w:color="auto"/>
              <w:left w:val="single" w:sz="2" w:space="0" w:color="auto"/>
              <w:bottom w:val="single" w:sz="2" w:space="0" w:color="auto"/>
              <w:right w:val="single" w:sz="2" w:space="0" w:color="auto"/>
            </w:tcBorders>
            <w:vAlign w:val="center"/>
          </w:tcPr>
          <w:p w14:paraId="75D2DF1A" w14:textId="77777777" w:rsidR="007B3DB2" w:rsidRPr="0063248C" w:rsidRDefault="00000000">
            <w:pPr>
              <w:spacing w:line="240" w:lineRule="exact"/>
              <w:rPr>
                <w:rFonts w:cs="宋体"/>
                <w:sz w:val="18"/>
                <w:szCs w:val="18"/>
              </w:rPr>
            </w:pPr>
            <w:r w:rsidRPr="0063248C">
              <w:rPr>
                <w:rFonts w:cs="宋体"/>
                <w:sz w:val="18"/>
                <w:szCs w:val="18"/>
              </w:rPr>
              <w:t>化学需氧量、氨氮、总磷、总氮</w:t>
            </w:r>
          </w:p>
        </w:tc>
        <w:tc>
          <w:tcPr>
            <w:tcW w:w="343" w:type="pct"/>
            <w:tcBorders>
              <w:top w:val="single" w:sz="2" w:space="0" w:color="auto"/>
              <w:left w:val="single" w:sz="2" w:space="0" w:color="auto"/>
              <w:bottom w:val="single" w:sz="2" w:space="0" w:color="auto"/>
              <w:right w:val="single" w:sz="2" w:space="0" w:color="auto"/>
            </w:tcBorders>
            <w:vAlign w:val="center"/>
          </w:tcPr>
          <w:p w14:paraId="35C5D7F1" w14:textId="77777777" w:rsidR="007B3DB2" w:rsidRPr="0063248C" w:rsidRDefault="00000000">
            <w:pPr>
              <w:spacing w:line="240" w:lineRule="exact"/>
              <w:rPr>
                <w:rFonts w:cs="宋体"/>
                <w:sz w:val="18"/>
                <w:szCs w:val="18"/>
              </w:rPr>
            </w:pPr>
            <w:r w:rsidRPr="0063248C">
              <w:rPr>
                <w:rFonts w:cs="宋体"/>
                <w:sz w:val="18"/>
                <w:szCs w:val="18"/>
              </w:rPr>
              <w:t>直接排放</w:t>
            </w:r>
          </w:p>
        </w:tc>
        <w:tc>
          <w:tcPr>
            <w:tcW w:w="409" w:type="pct"/>
            <w:tcBorders>
              <w:top w:val="single" w:sz="2" w:space="0" w:color="auto"/>
              <w:left w:val="single" w:sz="2" w:space="0" w:color="auto"/>
              <w:bottom w:val="single" w:sz="2" w:space="0" w:color="auto"/>
              <w:right w:val="single" w:sz="2" w:space="0" w:color="auto"/>
            </w:tcBorders>
            <w:vAlign w:val="center"/>
          </w:tcPr>
          <w:p w14:paraId="01F9F6D2" w14:textId="77777777" w:rsidR="007B3DB2" w:rsidRPr="0063248C" w:rsidRDefault="00000000">
            <w:pPr>
              <w:spacing w:line="240" w:lineRule="exact"/>
              <w:rPr>
                <w:rFonts w:cs="宋体"/>
                <w:sz w:val="18"/>
                <w:szCs w:val="18"/>
              </w:rPr>
            </w:pPr>
            <w:r w:rsidRPr="0063248C">
              <w:rPr>
                <w:rFonts w:cs="宋体"/>
                <w:sz w:val="18"/>
                <w:szCs w:val="18"/>
              </w:rPr>
              <w:t>1</w:t>
            </w:r>
          </w:p>
        </w:tc>
        <w:tc>
          <w:tcPr>
            <w:tcW w:w="409" w:type="pct"/>
            <w:tcBorders>
              <w:top w:val="single" w:sz="2" w:space="0" w:color="auto"/>
              <w:left w:val="single" w:sz="2" w:space="0" w:color="auto"/>
              <w:bottom w:val="single" w:sz="2" w:space="0" w:color="auto"/>
              <w:right w:val="single" w:sz="2" w:space="0" w:color="auto"/>
            </w:tcBorders>
            <w:vAlign w:val="center"/>
          </w:tcPr>
          <w:p w14:paraId="6D7E8797" w14:textId="77777777" w:rsidR="007B3DB2" w:rsidRPr="0063248C" w:rsidRDefault="00000000">
            <w:pPr>
              <w:spacing w:line="240" w:lineRule="exact"/>
              <w:rPr>
                <w:rFonts w:cs="宋体"/>
                <w:sz w:val="18"/>
                <w:szCs w:val="18"/>
              </w:rPr>
            </w:pPr>
            <w:r w:rsidRPr="0063248C">
              <w:rPr>
                <w:rFonts w:cs="宋体"/>
                <w:sz w:val="18"/>
                <w:szCs w:val="18"/>
              </w:rPr>
              <w:t>总排口位于厂区南部</w:t>
            </w:r>
          </w:p>
        </w:tc>
        <w:tc>
          <w:tcPr>
            <w:tcW w:w="650" w:type="pct"/>
            <w:tcBorders>
              <w:top w:val="single" w:sz="2" w:space="0" w:color="auto"/>
              <w:left w:val="single" w:sz="2" w:space="0" w:color="auto"/>
              <w:bottom w:val="single" w:sz="2" w:space="0" w:color="auto"/>
              <w:right w:val="single" w:sz="2" w:space="0" w:color="auto"/>
            </w:tcBorders>
            <w:vAlign w:val="center"/>
          </w:tcPr>
          <w:p w14:paraId="2A2499A1"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19.2mg/L</w:t>
            </w:r>
            <w:r w:rsidRPr="0063248C">
              <w:rPr>
                <w:rFonts w:cs="宋体"/>
                <w:sz w:val="18"/>
                <w:szCs w:val="18"/>
              </w:rPr>
              <w:t>、</w:t>
            </w:r>
            <w:r w:rsidRPr="0063248C">
              <w:rPr>
                <w:rFonts w:cs="宋体"/>
                <w:sz w:val="18"/>
                <w:szCs w:val="18"/>
              </w:rPr>
              <w:t>NH3-N</w:t>
            </w:r>
          </w:p>
          <w:p w14:paraId="592683F0"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0.145mg/L</w:t>
            </w:r>
            <w:r w:rsidRPr="0063248C">
              <w:rPr>
                <w:rFonts w:cs="宋体"/>
                <w:sz w:val="18"/>
                <w:szCs w:val="18"/>
              </w:rPr>
              <w:t>、</w:t>
            </w:r>
            <w:r w:rsidRPr="0063248C">
              <w:rPr>
                <w:rFonts w:cs="宋体"/>
                <w:sz w:val="18"/>
                <w:szCs w:val="18"/>
              </w:rPr>
              <w:t>TP</w:t>
            </w:r>
            <w:r w:rsidRPr="0063248C">
              <w:rPr>
                <w:rFonts w:cs="宋体"/>
                <w:sz w:val="18"/>
                <w:szCs w:val="18"/>
              </w:rPr>
              <w:t>：</w:t>
            </w:r>
            <w:r w:rsidRPr="0063248C">
              <w:rPr>
                <w:rFonts w:cs="宋体"/>
                <w:sz w:val="18"/>
                <w:szCs w:val="18"/>
              </w:rPr>
              <w:t>0.0613 mg/L</w:t>
            </w:r>
            <w:r w:rsidRPr="0063248C">
              <w:rPr>
                <w:rFonts w:cs="宋体"/>
                <w:sz w:val="18"/>
                <w:szCs w:val="18"/>
              </w:rPr>
              <w:t>、</w:t>
            </w:r>
            <w:r w:rsidRPr="0063248C">
              <w:rPr>
                <w:rFonts w:cs="宋体"/>
                <w:sz w:val="18"/>
                <w:szCs w:val="18"/>
              </w:rPr>
              <w:t>TN</w:t>
            </w:r>
            <w:r w:rsidRPr="0063248C">
              <w:rPr>
                <w:rFonts w:cs="宋体"/>
                <w:sz w:val="18"/>
                <w:szCs w:val="18"/>
              </w:rPr>
              <w:t>：</w:t>
            </w:r>
            <w:r w:rsidRPr="0063248C">
              <w:rPr>
                <w:rFonts w:cs="宋体"/>
                <w:sz w:val="18"/>
                <w:szCs w:val="18"/>
              </w:rPr>
              <w:t>8.11 mg/L</w:t>
            </w:r>
          </w:p>
        </w:tc>
        <w:tc>
          <w:tcPr>
            <w:tcW w:w="612" w:type="pct"/>
            <w:tcBorders>
              <w:top w:val="single" w:sz="2" w:space="0" w:color="auto"/>
              <w:left w:val="single" w:sz="2" w:space="0" w:color="auto"/>
              <w:bottom w:val="single" w:sz="2" w:space="0" w:color="auto"/>
              <w:right w:val="single" w:sz="2" w:space="0" w:color="auto"/>
            </w:tcBorders>
            <w:vAlign w:val="center"/>
          </w:tcPr>
          <w:p w14:paraId="35A06ED9" w14:textId="77777777" w:rsidR="007B3DB2" w:rsidRPr="0063248C" w:rsidRDefault="00000000">
            <w:pPr>
              <w:spacing w:line="240" w:lineRule="exact"/>
              <w:rPr>
                <w:rFonts w:cs="宋体"/>
                <w:sz w:val="18"/>
                <w:szCs w:val="18"/>
              </w:rPr>
            </w:pPr>
            <w:r w:rsidRPr="0063248C">
              <w:rPr>
                <w:rFonts w:cs="宋体"/>
                <w:sz w:val="18"/>
                <w:szCs w:val="18"/>
              </w:rPr>
              <w:t>山东省半岛流域水污染</w:t>
            </w:r>
            <w:proofErr w:type="gramStart"/>
            <w:r w:rsidRPr="0063248C">
              <w:rPr>
                <w:rFonts w:cs="宋体"/>
                <w:sz w:val="18"/>
                <w:szCs w:val="18"/>
              </w:rPr>
              <w:t>物综合</w:t>
            </w:r>
            <w:proofErr w:type="gramEnd"/>
            <w:r w:rsidRPr="0063248C">
              <w:rPr>
                <w:rFonts w:cs="宋体"/>
                <w:sz w:val="18"/>
                <w:szCs w:val="18"/>
              </w:rPr>
              <w:t>排放标准（</w:t>
            </w:r>
            <w:r w:rsidRPr="0063248C">
              <w:rPr>
                <w:rFonts w:cs="宋体"/>
                <w:sz w:val="18"/>
                <w:szCs w:val="18"/>
              </w:rPr>
              <w:t>DB37/676-2007</w:t>
            </w:r>
            <w:r w:rsidRPr="0063248C">
              <w:rPr>
                <w:rFonts w:cs="宋体"/>
                <w:sz w:val="18"/>
                <w:szCs w:val="18"/>
              </w:rPr>
              <w:t>）一级标准，肉类加工工业水污染物排放标准（</w:t>
            </w:r>
            <w:r w:rsidRPr="0063248C">
              <w:rPr>
                <w:rFonts w:cs="宋体"/>
                <w:sz w:val="18"/>
                <w:szCs w:val="18"/>
              </w:rPr>
              <w:t>GB13457-1992</w:t>
            </w:r>
            <w:r w:rsidRPr="0063248C">
              <w:rPr>
                <w:rFonts w:cs="宋体"/>
                <w:sz w:val="18"/>
                <w:szCs w:val="18"/>
              </w:rPr>
              <w:t>）一级标准</w:t>
            </w:r>
          </w:p>
        </w:tc>
        <w:tc>
          <w:tcPr>
            <w:tcW w:w="452" w:type="pct"/>
            <w:tcBorders>
              <w:top w:val="single" w:sz="2" w:space="0" w:color="auto"/>
              <w:left w:val="single" w:sz="2" w:space="0" w:color="auto"/>
              <w:bottom w:val="single" w:sz="2" w:space="0" w:color="auto"/>
              <w:right w:val="single" w:sz="2" w:space="0" w:color="auto"/>
            </w:tcBorders>
            <w:vAlign w:val="center"/>
          </w:tcPr>
          <w:p w14:paraId="66C93A72"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0.46</w:t>
            </w:r>
            <w:r w:rsidRPr="0063248C">
              <w:rPr>
                <w:rFonts w:cs="宋体"/>
                <w:sz w:val="18"/>
                <w:szCs w:val="18"/>
              </w:rPr>
              <w:t>吨、</w:t>
            </w:r>
            <w:r w:rsidRPr="0063248C">
              <w:rPr>
                <w:rFonts w:cs="宋体"/>
                <w:sz w:val="18"/>
                <w:szCs w:val="18"/>
              </w:rPr>
              <w:t>NH3-N</w:t>
            </w:r>
            <w:r w:rsidRPr="0063248C">
              <w:rPr>
                <w:rFonts w:cs="宋体"/>
                <w:sz w:val="18"/>
                <w:szCs w:val="18"/>
              </w:rPr>
              <w:t>：</w:t>
            </w:r>
            <w:r w:rsidRPr="0063248C">
              <w:rPr>
                <w:rFonts w:cs="宋体"/>
                <w:sz w:val="18"/>
                <w:szCs w:val="18"/>
              </w:rPr>
              <w:t>0.00277</w:t>
            </w:r>
            <w:r w:rsidRPr="0063248C">
              <w:rPr>
                <w:rFonts w:cs="宋体"/>
                <w:sz w:val="18"/>
                <w:szCs w:val="18"/>
              </w:rPr>
              <w:t>吨、</w:t>
            </w:r>
            <w:r w:rsidRPr="0063248C">
              <w:rPr>
                <w:rFonts w:cs="宋体"/>
                <w:sz w:val="18"/>
                <w:szCs w:val="18"/>
              </w:rPr>
              <w:t>TP</w:t>
            </w:r>
            <w:r w:rsidRPr="0063248C">
              <w:rPr>
                <w:rFonts w:cs="宋体"/>
                <w:sz w:val="18"/>
                <w:szCs w:val="18"/>
              </w:rPr>
              <w:t>：</w:t>
            </w:r>
            <w:r w:rsidRPr="0063248C">
              <w:rPr>
                <w:rFonts w:cs="宋体"/>
                <w:sz w:val="18"/>
                <w:szCs w:val="18"/>
              </w:rPr>
              <w:t>0.00135</w:t>
            </w:r>
            <w:r w:rsidRPr="0063248C">
              <w:rPr>
                <w:rFonts w:cs="宋体"/>
                <w:sz w:val="18"/>
                <w:szCs w:val="18"/>
              </w:rPr>
              <w:t>吨、</w:t>
            </w:r>
            <w:r w:rsidRPr="0063248C">
              <w:rPr>
                <w:rFonts w:cs="宋体"/>
                <w:sz w:val="18"/>
                <w:szCs w:val="18"/>
              </w:rPr>
              <w:t>TN</w:t>
            </w:r>
            <w:r w:rsidRPr="0063248C">
              <w:rPr>
                <w:rFonts w:cs="宋体"/>
                <w:sz w:val="18"/>
                <w:szCs w:val="18"/>
              </w:rPr>
              <w:t>：</w:t>
            </w:r>
            <w:r w:rsidRPr="0063248C">
              <w:rPr>
                <w:rFonts w:cs="宋体"/>
                <w:sz w:val="18"/>
                <w:szCs w:val="18"/>
              </w:rPr>
              <w:t>0.199</w:t>
            </w:r>
            <w:r w:rsidRPr="0063248C">
              <w:rPr>
                <w:rFonts w:cs="宋体"/>
                <w:sz w:val="18"/>
                <w:szCs w:val="18"/>
              </w:rPr>
              <w:t>吨</w:t>
            </w:r>
          </w:p>
        </w:tc>
        <w:tc>
          <w:tcPr>
            <w:tcW w:w="394" w:type="pct"/>
            <w:tcBorders>
              <w:top w:val="single" w:sz="2" w:space="0" w:color="auto"/>
              <w:left w:val="single" w:sz="2" w:space="0" w:color="auto"/>
              <w:bottom w:val="single" w:sz="2" w:space="0" w:color="auto"/>
              <w:right w:val="single" w:sz="2" w:space="0" w:color="auto"/>
            </w:tcBorders>
            <w:vAlign w:val="center"/>
          </w:tcPr>
          <w:p w14:paraId="50D4096B"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3.89</w:t>
            </w:r>
            <w:r w:rsidRPr="0063248C">
              <w:rPr>
                <w:rFonts w:cs="宋体"/>
                <w:sz w:val="18"/>
                <w:szCs w:val="18"/>
              </w:rPr>
              <w:t>吨、</w:t>
            </w:r>
            <w:r w:rsidRPr="0063248C">
              <w:rPr>
                <w:rFonts w:cs="宋体"/>
                <w:sz w:val="18"/>
                <w:szCs w:val="18"/>
              </w:rPr>
              <w:t>NH3-N</w:t>
            </w:r>
            <w:r w:rsidRPr="0063248C">
              <w:rPr>
                <w:rFonts w:cs="宋体"/>
                <w:sz w:val="18"/>
                <w:szCs w:val="18"/>
              </w:rPr>
              <w:t>：</w:t>
            </w:r>
            <w:r w:rsidRPr="0063248C">
              <w:rPr>
                <w:rFonts w:cs="宋体"/>
                <w:sz w:val="18"/>
                <w:szCs w:val="18"/>
              </w:rPr>
              <w:t>0.39</w:t>
            </w:r>
            <w:r w:rsidRPr="0063248C">
              <w:rPr>
                <w:rFonts w:cs="宋体"/>
                <w:sz w:val="18"/>
                <w:szCs w:val="18"/>
              </w:rPr>
              <w:t>吨、总氮：</w:t>
            </w:r>
            <w:r w:rsidRPr="0063248C">
              <w:rPr>
                <w:rFonts w:cs="宋体"/>
                <w:sz w:val="18"/>
                <w:szCs w:val="18"/>
              </w:rPr>
              <w:t>1.716</w:t>
            </w:r>
            <w:r w:rsidRPr="0063248C">
              <w:rPr>
                <w:rFonts w:cs="宋体"/>
                <w:sz w:val="18"/>
                <w:szCs w:val="18"/>
              </w:rPr>
              <w:t>吨</w:t>
            </w:r>
          </w:p>
        </w:tc>
        <w:tc>
          <w:tcPr>
            <w:tcW w:w="381" w:type="pct"/>
            <w:tcBorders>
              <w:top w:val="single" w:sz="2" w:space="0" w:color="auto"/>
              <w:left w:val="single" w:sz="2" w:space="0" w:color="auto"/>
              <w:bottom w:val="single" w:sz="2" w:space="0" w:color="auto"/>
              <w:right w:val="single" w:sz="2" w:space="0" w:color="auto"/>
            </w:tcBorders>
            <w:vAlign w:val="center"/>
          </w:tcPr>
          <w:p w14:paraId="717A3E30" w14:textId="77777777" w:rsidR="007B3DB2" w:rsidRPr="0063248C" w:rsidRDefault="00000000">
            <w:pPr>
              <w:spacing w:line="240" w:lineRule="exact"/>
              <w:rPr>
                <w:rFonts w:cs="宋体"/>
                <w:sz w:val="18"/>
                <w:szCs w:val="18"/>
              </w:rPr>
            </w:pPr>
            <w:r w:rsidRPr="0063248C">
              <w:rPr>
                <w:rFonts w:cs="宋体"/>
                <w:sz w:val="18"/>
                <w:szCs w:val="18"/>
              </w:rPr>
              <w:t>无</w:t>
            </w:r>
          </w:p>
        </w:tc>
      </w:tr>
      <w:tr w:rsidR="007B3DB2" w:rsidRPr="0063248C" w14:paraId="5CCEB39F" w14:textId="77777777" w:rsidTr="000367A6">
        <w:trPr>
          <w:trHeight w:val="240"/>
        </w:trPr>
        <w:tc>
          <w:tcPr>
            <w:tcW w:w="410" w:type="pct"/>
            <w:tcBorders>
              <w:top w:val="single" w:sz="2" w:space="0" w:color="auto"/>
              <w:left w:val="single" w:sz="2" w:space="0" w:color="auto"/>
              <w:bottom w:val="single" w:sz="2" w:space="0" w:color="auto"/>
              <w:right w:val="single" w:sz="2" w:space="0" w:color="auto"/>
            </w:tcBorders>
            <w:vAlign w:val="center"/>
          </w:tcPr>
          <w:p w14:paraId="075D3020"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465" w:type="pct"/>
            <w:tcBorders>
              <w:top w:val="single" w:sz="2" w:space="0" w:color="auto"/>
              <w:left w:val="single" w:sz="2" w:space="0" w:color="auto"/>
              <w:bottom w:val="single" w:sz="2" w:space="0" w:color="auto"/>
              <w:right w:val="single" w:sz="2" w:space="0" w:color="auto"/>
            </w:tcBorders>
            <w:vAlign w:val="center"/>
          </w:tcPr>
          <w:p w14:paraId="1D0BEECE" w14:textId="77777777" w:rsidR="007B3DB2" w:rsidRPr="0063248C" w:rsidRDefault="00000000">
            <w:pPr>
              <w:spacing w:line="240" w:lineRule="exact"/>
              <w:rPr>
                <w:rFonts w:cs="宋体"/>
                <w:sz w:val="18"/>
                <w:szCs w:val="18"/>
              </w:rPr>
            </w:pPr>
            <w:proofErr w:type="spellStart"/>
            <w:r w:rsidRPr="0063248C">
              <w:rPr>
                <w:rFonts w:cs="宋体"/>
                <w:sz w:val="18"/>
                <w:szCs w:val="18"/>
              </w:rPr>
              <w:t>CODcr</w:t>
            </w:r>
            <w:proofErr w:type="spellEnd"/>
            <w:r w:rsidRPr="0063248C">
              <w:rPr>
                <w:rFonts w:cs="宋体"/>
                <w:sz w:val="18"/>
                <w:szCs w:val="18"/>
              </w:rPr>
              <w:t>、</w:t>
            </w:r>
            <w:r w:rsidRPr="0063248C">
              <w:rPr>
                <w:rFonts w:cs="宋体"/>
                <w:sz w:val="18"/>
                <w:szCs w:val="18"/>
              </w:rPr>
              <w:t>NH3-N</w:t>
            </w:r>
          </w:p>
        </w:tc>
        <w:tc>
          <w:tcPr>
            <w:tcW w:w="475" w:type="pct"/>
            <w:tcBorders>
              <w:top w:val="single" w:sz="2" w:space="0" w:color="auto"/>
              <w:left w:val="single" w:sz="2" w:space="0" w:color="auto"/>
              <w:bottom w:val="single" w:sz="2" w:space="0" w:color="auto"/>
              <w:right w:val="single" w:sz="2" w:space="0" w:color="auto"/>
            </w:tcBorders>
            <w:vAlign w:val="center"/>
          </w:tcPr>
          <w:p w14:paraId="6DD50AA2" w14:textId="77777777" w:rsidR="007B3DB2" w:rsidRPr="0063248C" w:rsidRDefault="00000000">
            <w:pPr>
              <w:spacing w:line="240" w:lineRule="exact"/>
              <w:rPr>
                <w:rFonts w:cs="宋体"/>
                <w:sz w:val="18"/>
                <w:szCs w:val="18"/>
              </w:rPr>
            </w:pPr>
            <w:r w:rsidRPr="0063248C">
              <w:rPr>
                <w:rFonts w:cs="宋体"/>
                <w:sz w:val="18"/>
                <w:szCs w:val="18"/>
              </w:rPr>
              <w:t>化学需氧量、氨氮</w:t>
            </w:r>
          </w:p>
        </w:tc>
        <w:tc>
          <w:tcPr>
            <w:tcW w:w="343" w:type="pct"/>
            <w:tcBorders>
              <w:top w:val="single" w:sz="2" w:space="0" w:color="auto"/>
              <w:left w:val="single" w:sz="2" w:space="0" w:color="auto"/>
              <w:bottom w:val="single" w:sz="2" w:space="0" w:color="auto"/>
              <w:right w:val="single" w:sz="2" w:space="0" w:color="auto"/>
            </w:tcBorders>
            <w:vAlign w:val="center"/>
          </w:tcPr>
          <w:p w14:paraId="2105D2BA" w14:textId="77777777" w:rsidR="007B3DB2" w:rsidRPr="0063248C" w:rsidRDefault="00000000">
            <w:pPr>
              <w:spacing w:line="240" w:lineRule="exact"/>
              <w:rPr>
                <w:rFonts w:cs="宋体"/>
                <w:sz w:val="18"/>
                <w:szCs w:val="18"/>
              </w:rPr>
            </w:pPr>
            <w:r w:rsidRPr="0063248C">
              <w:rPr>
                <w:rFonts w:cs="宋体"/>
                <w:sz w:val="18"/>
                <w:szCs w:val="18"/>
              </w:rPr>
              <w:t>间接排放</w:t>
            </w:r>
          </w:p>
        </w:tc>
        <w:tc>
          <w:tcPr>
            <w:tcW w:w="409" w:type="pct"/>
            <w:tcBorders>
              <w:top w:val="single" w:sz="2" w:space="0" w:color="auto"/>
              <w:left w:val="single" w:sz="2" w:space="0" w:color="auto"/>
              <w:bottom w:val="single" w:sz="2" w:space="0" w:color="auto"/>
              <w:right w:val="single" w:sz="2" w:space="0" w:color="auto"/>
            </w:tcBorders>
            <w:vAlign w:val="center"/>
          </w:tcPr>
          <w:p w14:paraId="7771F65E" w14:textId="77777777" w:rsidR="007B3DB2" w:rsidRPr="0063248C" w:rsidRDefault="00000000">
            <w:pPr>
              <w:spacing w:line="240" w:lineRule="exact"/>
              <w:rPr>
                <w:rFonts w:cs="宋体"/>
                <w:sz w:val="18"/>
                <w:szCs w:val="18"/>
              </w:rPr>
            </w:pPr>
            <w:r w:rsidRPr="0063248C">
              <w:rPr>
                <w:rFonts w:cs="宋体"/>
                <w:sz w:val="18"/>
                <w:szCs w:val="18"/>
              </w:rPr>
              <w:t>1</w:t>
            </w:r>
          </w:p>
        </w:tc>
        <w:tc>
          <w:tcPr>
            <w:tcW w:w="409" w:type="pct"/>
            <w:tcBorders>
              <w:top w:val="single" w:sz="2" w:space="0" w:color="auto"/>
              <w:left w:val="single" w:sz="2" w:space="0" w:color="auto"/>
              <w:bottom w:val="single" w:sz="2" w:space="0" w:color="auto"/>
              <w:right w:val="single" w:sz="2" w:space="0" w:color="auto"/>
            </w:tcBorders>
            <w:vAlign w:val="center"/>
          </w:tcPr>
          <w:p w14:paraId="6A057B51" w14:textId="77777777" w:rsidR="007B3DB2" w:rsidRPr="0063248C" w:rsidRDefault="00000000">
            <w:pPr>
              <w:spacing w:line="240" w:lineRule="exact"/>
              <w:rPr>
                <w:rFonts w:cs="宋体"/>
                <w:sz w:val="18"/>
                <w:szCs w:val="18"/>
              </w:rPr>
            </w:pPr>
            <w:r w:rsidRPr="0063248C">
              <w:rPr>
                <w:rFonts w:cs="宋体"/>
                <w:sz w:val="18"/>
                <w:szCs w:val="18"/>
              </w:rPr>
              <w:t>总排口位于厂区东北角</w:t>
            </w:r>
          </w:p>
        </w:tc>
        <w:tc>
          <w:tcPr>
            <w:tcW w:w="650" w:type="pct"/>
            <w:tcBorders>
              <w:top w:val="single" w:sz="2" w:space="0" w:color="auto"/>
              <w:left w:val="single" w:sz="2" w:space="0" w:color="auto"/>
              <w:bottom w:val="single" w:sz="2" w:space="0" w:color="auto"/>
              <w:right w:val="single" w:sz="2" w:space="0" w:color="auto"/>
            </w:tcBorders>
            <w:vAlign w:val="center"/>
          </w:tcPr>
          <w:p w14:paraId="6F58C656"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49.962mg/L</w:t>
            </w:r>
            <w:r w:rsidRPr="0063248C">
              <w:rPr>
                <w:rFonts w:cs="宋体"/>
                <w:sz w:val="18"/>
                <w:szCs w:val="18"/>
              </w:rPr>
              <w:t>、氨氮：</w:t>
            </w:r>
            <w:r w:rsidRPr="0063248C">
              <w:rPr>
                <w:rFonts w:cs="宋体"/>
                <w:sz w:val="18"/>
                <w:szCs w:val="18"/>
              </w:rPr>
              <w:t>0.13mg/L</w:t>
            </w:r>
          </w:p>
        </w:tc>
        <w:tc>
          <w:tcPr>
            <w:tcW w:w="612" w:type="pct"/>
            <w:tcBorders>
              <w:top w:val="single" w:sz="2" w:space="0" w:color="auto"/>
              <w:left w:val="single" w:sz="2" w:space="0" w:color="auto"/>
              <w:bottom w:val="single" w:sz="2" w:space="0" w:color="auto"/>
              <w:right w:val="single" w:sz="2" w:space="0" w:color="auto"/>
            </w:tcBorders>
            <w:vAlign w:val="center"/>
          </w:tcPr>
          <w:p w14:paraId="3BBDD15F" w14:textId="77777777" w:rsidR="007B3DB2" w:rsidRPr="0063248C" w:rsidRDefault="00000000">
            <w:pPr>
              <w:spacing w:line="240" w:lineRule="exact"/>
              <w:rPr>
                <w:rFonts w:cs="宋体"/>
                <w:sz w:val="18"/>
                <w:szCs w:val="18"/>
              </w:rPr>
            </w:pPr>
            <w:r w:rsidRPr="0063248C">
              <w:rPr>
                <w:rFonts w:cs="宋体"/>
                <w:sz w:val="18"/>
                <w:szCs w:val="18"/>
              </w:rPr>
              <w:t>肉类加工工业水污染物排放标准</w:t>
            </w:r>
            <w:r w:rsidRPr="0063248C">
              <w:rPr>
                <w:rFonts w:cs="宋体"/>
                <w:sz w:val="18"/>
                <w:szCs w:val="18"/>
              </w:rPr>
              <w:t>GB 13457-92</w:t>
            </w:r>
          </w:p>
        </w:tc>
        <w:tc>
          <w:tcPr>
            <w:tcW w:w="452" w:type="pct"/>
            <w:tcBorders>
              <w:top w:val="single" w:sz="2" w:space="0" w:color="auto"/>
              <w:left w:val="single" w:sz="2" w:space="0" w:color="auto"/>
              <w:bottom w:val="single" w:sz="2" w:space="0" w:color="auto"/>
              <w:right w:val="single" w:sz="2" w:space="0" w:color="auto"/>
            </w:tcBorders>
            <w:vAlign w:val="center"/>
          </w:tcPr>
          <w:p w14:paraId="7C15F45D"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2.505</w:t>
            </w:r>
            <w:r w:rsidRPr="0063248C">
              <w:rPr>
                <w:rFonts w:cs="宋体"/>
                <w:sz w:val="18"/>
                <w:szCs w:val="18"/>
              </w:rPr>
              <w:t>吨、</w:t>
            </w:r>
            <w:r w:rsidRPr="0063248C">
              <w:rPr>
                <w:rFonts w:cs="宋体"/>
                <w:sz w:val="18"/>
                <w:szCs w:val="18"/>
              </w:rPr>
              <w:t>NH3-N</w:t>
            </w:r>
            <w:r w:rsidRPr="0063248C">
              <w:rPr>
                <w:rFonts w:cs="宋体"/>
                <w:sz w:val="18"/>
                <w:szCs w:val="18"/>
              </w:rPr>
              <w:t>：</w:t>
            </w:r>
            <w:r w:rsidRPr="0063248C">
              <w:rPr>
                <w:rFonts w:cs="宋体"/>
                <w:sz w:val="18"/>
                <w:szCs w:val="18"/>
              </w:rPr>
              <w:t>0.006357</w:t>
            </w:r>
            <w:r w:rsidRPr="0063248C">
              <w:rPr>
                <w:rFonts w:cs="宋体"/>
                <w:sz w:val="18"/>
                <w:szCs w:val="18"/>
              </w:rPr>
              <w:t>吨</w:t>
            </w:r>
          </w:p>
        </w:tc>
        <w:tc>
          <w:tcPr>
            <w:tcW w:w="394" w:type="pct"/>
            <w:tcBorders>
              <w:top w:val="single" w:sz="2" w:space="0" w:color="auto"/>
              <w:left w:val="single" w:sz="2" w:space="0" w:color="auto"/>
              <w:bottom w:val="single" w:sz="2" w:space="0" w:color="auto"/>
              <w:right w:val="single" w:sz="2" w:space="0" w:color="auto"/>
            </w:tcBorders>
            <w:vAlign w:val="center"/>
          </w:tcPr>
          <w:p w14:paraId="714C7F3B"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227.5</w:t>
            </w:r>
            <w:r w:rsidRPr="0063248C">
              <w:rPr>
                <w:rFonts w:cs="宋体"/>
                <w:sz w:val="18"/>
                <w:szCs w:val="18"/>
              </w:rPr>
              <w:t>吨、</w:t>
            </w:r>
            <w:r w:rsidRPr="0063248C">
              <w:rPr>
                <w:rFonts w:cs="宋体"/>
                <w:sz w:val="18"/>
                <w:szCs w:val="18"/>
              </w:rPr>
              <w:t>NH3-N</w:t>
            </w:r>
            <w:r w:rsidRPr="0063248C">
              <w:rPr>
                <w:rFonts w:cs="宋体"/>
                <w:sz w:val="18"/>
                <w:szCs w:val="18"/>
              </w:rPr>
              <w:t>：</w:t>
            </w:r>
            <w:r w:rsidRPr="0063248C">
              <w:rPr>
                <w:rFonts w:cs="宋体"/>
                <w:sz w:val="18"/>
                <w:szCs w:val="18"/>
              </w:rPr>
              <w:t>22.75</w:t>
            </w:r>
            <w:r w:rsidRPr="0063248C">
              <w:rPr>
                <w:rFonts w:cs="宋体"/>
                <w:sz w:val="18"/>
                <w:szCs w:val="18"/>
              </w:rPr>
              <w:t>吨</w:t>
            </w:r>
          </w:p>
        </w:tc>
        <w:tc>
          <w:tcPr>
            <w:tcW w:w="381" w:type="pct"/>
            <w:tcBorders>
              <w:top w:val="single" w:sz="2" w:space="0" w:color="auto"/>
              <w:left w:val="single" w:sz="2" w:space="0" w:color="auto"/>
              <w:bottom w:val="single" w:sz="2" w:space="0" w:color="auto"/>
              <w:right w:val="single" w:sz="2" w:space="0" w:color="auto"/>
            </w:tcBorders>
            <w:vAlign w:val="center"/>
          </w:tcPr>
          <w:p w14:paraId="1EB9E68F" w14:textId="77777777" w:rsidR="007B3DB2" w:rsidRPr="0063248C" w:rsidRDefault="00000000">
            <w:pPr>
              <w:spacing w:line="240" w:lineRule="exact"/>
              <w:rPr>
                <w:rFonts w:cs="宋体"/>
                <w:sz w:val="18"/>
                <w:szCs w:val="18"/>
              </w:rPr>
            </w:pPr>
            <w:r w:rsidRPr="0063248C">
              <w:rPr>
                <w:rFonts w:cs="宋体"/>
                <w:sz w:val="18"/>
                <w:szCs w:val="18"/>
              </w:rPr>
              <w:t>无</w:t>
            </w:r>
          </w:p>
        </w:tc>
      </w:tr>
      <w:tr w:rsidR="007B3DB2" w:rsidRPr="0063248C" w14:paraId="2E744010" w14:textId="77777777" w:rsidTr="000367A6">
        <w:trPr>
          <w:trHeight w:val="240"/>
        </w:trPr>
        <w:tc>
          <w:tcPr>
            <w:tcW w:w="410" w:type="pct"/>
            <w:tcBorders>
              <w:top w:val="single" w:sz="2" w:space="0" w:color="auto"/>
              <w:left w:val="single" w:sz="2" w:space="0" w:color="auto"/>
              <w:bottom w:val="single" w:sz="2" w:space="0" w:color="auto"/>
              <w:right w:val="single" w:sz="2" w:space="0" w:color="auto"/>
            </w:tcBorders>
            <w:vAlign w:val="center"/>
          </w:tcPr>
          <w:p w14:paraId="00CDB308" w14:textId="77777777" w:rsidR="007B3DB2" w:rsidRPr="0063248C" w:rsidRDefault="00000000">
            <w:pPr>
              <w:spacing w:line="240" w:lineRule="exact"/>
              <w:rPr>
                <w:rFonts w:cs="宋体"/>
                <w:sz w:val="18"/>
                <w:szCs w:val="18"/>
              </w:rPr>
            </w:pPr>
            <w:r w:rsidRPr="0063248C">
              <w:rPr>
                <w:rFonts w:cs="宋体"/>
                <w:sz w:val="18"/>
                <w:szCs w:val="18"/>
              </w:rPr>
              <w:t>巴中龙大肉食品有限公司</w:t>
            </w:r>
          </w:p>
        </w:tc>
        <w:tc>
          <w:tcPr>
            <w:tcW w:w="465" w:type="pct"/>
            <w:tcBorders>
              <w:top w:val="single" w:sz="2" w:space="0" w:color="auto"/>
              <w:left w:val="single" w:sz="2" w:space="0" w:color="auto"/>
              <w:bottom w:val="single" w:sz="2" w:space="0" w:color="auto"/>
              <w:right w:val="single" w:sz="2" w:space="0" w:color="auto"/>
            </w:tcBorders>
            <w:vAlign w:val="center"/>
          </w:tcPr>
          <w:p w14:paraId="6E59EC55" w14:textId="77777777" w:rsidR="007B3DB2" w:rsidRPr="0063248C" w:rsidRDefault="00000000">
            <w:pPr>
              <w:spacing w:line="240" w:lineRule="exact"/>
              <w:rPr>
                <w:rFonts w:cs="宋体"/>
                <w:sz w:val="18"/>
                <w:szCs w:val="18"/>
              </w:rPr>
            </w:pPr>
            <w:proofErr w:type="spellStart"/>
            <w:r w:rsidRPr="0063248C">
              <w:rPr>
                <w:rFonts w:cs="宋体"/>
                <w:sz w:val="18"/>
                <w:szCs w:val="18"/>
              </w:rPr>
              <w:t>CODcr</w:t>
            </w:r>
            <w:proofErr w:type="spellEnd"/>
            <w:r w:rsidRPr="0063248C">
              <w:rPr>
                <w:rFonts w:cs="宋体"/>
                <w:sz w:val="18"/>
                <w:szCs w:val="18"/>
              </w:rPr>
              <w:t>、</w:t>
            </w:r>
            <w:r w:rsidRPr="0063248C">
              <w:rPr>
                <w:rFonts w:cs="宋体"/>
                <w:sz w:val="18"/>
                <w:szCs w:val="18"/>
              </w:rPr>
              <w:t>NH3-N</w:t>
            </w:r>
            <w:r w:rsidRPr="0063248C">
              <w:rPr>
                <w:rFonts w:cs="宋体"/>
                <w:sz w:val="18"/>
                <w:szCs w:val="18"/>
              </w:rPr>
              <w:t>、</w:t>
            </w:r>
            <w:r w:rsidRPr="0063248C">
              <w:rPr>
                <w:rFonts w:cs="宋体"/>
                <w:sz w:val="18"/>
                <w:szCs w:val="18"/>
              </w:rPr>
              <w:t>TN</w:t>
            </w:r>
            <w:r w:rsidRPr="0063248C">
              <w:rPr>
                <w:rFonts w:cs="宋体"/>
                <w:sz w:val="18"/>
                <w:szCs w:val="18"/>
              </w:rPr>
              <w:t>、</w:t>
            </w:r>
            <w:r w:rsidRPr="0063248C">
              <w:rPr>
                <w:rFonts w:cs="宋体"/>
                <w:sz w:val="18"/>
                <w:szCs w:val="18"/>
              </w:rPr>
              <w:t>TP</w:t>
            </w:r>
            <w:r w:rsidRPr="0063248C">
              <w:rPr>
                <w:rFonts w:cs="宋体"/>
                <w:sz w:val="18"/>
                <w:szCs w:val="18"/>
              </w:rPr>
              <w:t>、</w:t>
            </w:r>
          </w:p>
        </w:tc>
        <w:tc>
          <w:tcPr>
            <w:tcW w:w="475" w:type="pct"/>
            <w:tcBorders>
              <w:top w:val="single" w:sz="2" w:space="0" w:color="auto"/>
              <w:left w:val="single" w:sz="2" w:space="0" w:color="auto"/>
              <w:bottom w:val="single" w:sz="2" w:space="0" w:color="auto"/>
              <w:right w:val="single" w:sz="2" w:space="0" w:color="auto"/>
            </w:tcBorders>
            <w:vAlign w:val="center"/>
          </w:tcPr>
          <w:p w14:paraId="0ACC5C17" w14:textId="77777777" w:rsidR="007B3DB2" w:rsidRPr="0063248C" w:rsidRDefault="00000000">
            <w:pPr>
              <w:spacing w:line="240" w:lineRule="exact"/>
              <w:rPr>
                <w:rFonts w:cs="宋体"/>
                <w:sz w:val="18"/>
                <w:szCs w:val="18"/>
              </w:rPr>
            </w:pPr>
            <w:r w:rsidRPr="0063248C">
              <w:rPr>
                <w:rFonts w:cs="宋体"/>
                <w:sz w:val="18"/>
                <w:szCs w:val="18"/>
              </w:rPr>
              <w:t>化学需氧量、氨氮、总氮、总磷</w:t>
            </w:r>
          </w:p>
        </w:tc>
        <w:tc>
          <w:tcPr>
            <w:tcW w:w="343" w:type="pct"/>
            <w:tcBorders>
              <w:top w:val="single" w:sz="2" w:space="0" w:color="auto"/>
              <w:left w:val="single" w:sz="2" w:space="0" w:color="auto"/>
              <w:bottom w:val="single" w:sz="2" w:space="0" w:color="auto"/>
              <w:right w:val="single" w:sz="2" w:space="0" w:color="auto"/>
            </w:tcBorders>
            <w:vAlign w:val="center"/>
          </w:tcPr>
          <w:p w14:paraId="5CF589E3" w14:textId="77777777" w:rsidR="007B3DB2" w:rsidRPr="0063248C" w:rsidRDefault="00000000">
            <w:pPr>
              <w:spacing w:line="240" w:lineRule="exact"/>
              <w:rPr>
                <w:rFonts w:cs="宋体"/>
                <w:sz w:val="18"/>
                <w:szCs w:val="18"/>
              </w:rPr>
            </w:pPr>
            <w:r w:rsidRPr="0063248C">
              <w:rPr>
                <w:rFonts w:cs="宋体"/>
                <w:sz w:val="18"/>
                <w:szCs w:val="18"/>
              </w:rPr>
              <w:t>间接排放</w:t>
            </w:r>
          </w:p>
        </w:tc>
        <w:tc>
          <w:tcPr>
            <w:tcW w:w="409" w:type="pct"/>
            <w:tcBorders>
              <w:top w:val="single" w:sz="2" w:space="0" w:color="auto"/>
              <w:left w:val="single" w:sz="2" w:space="0" w:color="auto"/>
              <w:bottom w:val="single" w:sz="2" w:space="0" w:color="auto"/>
              <w:right w:val="single" w:sz="2" w:space="0" w:color="auto"/>
            </w:tcBorders>
            <w:vAlign w:val="center"/>
          </w:tcPr>
          <w:p w14:paraId="52B7B7C2" w14:textId="77777777" w:rsidR="007B3DB2" w:rsidRPr="0063248C" w:rsidRDefault="00000000">
            <w:pPr>
              <w:spacing w:line="240" w:lineRule="exact"/>
              <w:rPr>
                <w:rFonts w:cs="宋体"/>
                <w:sz w:val="18"/>
                <w:szCs w:val="18"/>
              </w:rPr>
            </w:pPr>
            <w:r w:rsidRPr="0063248C">
              <w:rPr>
                <w:rFonts w:cs="宋体"/>
                <w:sz w:val="18"/>
                <w:szCs w:val="18"/>
              </w:rPr>
              <w:t>1</w:t>
            </w:r>
          </w:p>
        </w:tc>
        <w:tc>
          <w:tcPr>
            <w:tcW w:w="409" w:type="pct"/>
            <w:tcBorders>
              <w:top w:val="single" w:sz="2" w:space="0" w:color="auto"/>
              <w:left w:val="single" w:sz="2" w:space="0" w:color="auto"/>
              <w:bottom w:val="single" w:sz="2" w:space="0" w:color="auto"/>
              <w:right w:val="single" w:sz="2" w:space="0" w:color="auto"/>
            </w:tcBorders>
            <w:vAlign w:val="center"/>
          </w:tcPr>
          <w:p w14:paraId="6D1175B3" w14:textId="77777777" w:rsidR="007B3DB2" w:rsidRPr="0063248C" w:rsidRDefault="00000000">
            <w:pPr>
              <w:spacing w:line="240" w:lineRule="exact"/>
              <w:rPr>
                <w:rFonts w:cs="宋体"/>
                <w:sz w:val="18"/>
                <w:szCs w:val="18"/>
              </w:rPr>
            </w:pPr>
            <w:r w:rsidRPr="0063248C">
              <w:rPr>
                <w:rFonts w:cs="宋体"/>
                <w:sz w:val="18"/>
                <w:szCs w:val="18"/>
              </w:rPr>
              <w:t>总排口位于厂区东南角</w:t>
            </w:r>
          </w:p>
        </w:tc>
        <w:tc>
          <w:tcPr>
            <w:tcW w:w="650" w:type="pct"/>
            <w:tcBorders>
              <w:top w:val="single" w:sz="2" w:space="0" w:color="auto"/>
              <w:left w:val="single" w:sz="2" w:space="0" w:color="auto"/>
              <w:bottom w:val="single" w:sz="2" w:space="0" w:color="auto"/>
              <w:right w:val="single" w:sz="2" w:space="0" w:color="auto"/>
            </w:tcBorders>
            <w:vAlign w:val="center"/>
          </w:tcPr>
          <w:p w14:paraId="51DD4744" w14:textId="77777777" w:rsidR="007B3DB2" w:rsidRPr="0063248C" w:rsidRDefault="00000000">
            <w:pPr>
              <w:spacing w:line="240" w:lineRule="exact"/>
              <w:rPr>
                <w:rFonts w:cs="宋体"/>
                <w:sz w:val="18"/>
                <w:szCs w:val="18"/>
              </w:rPr>
            </w:pPr>
            <w:r w:rsidRPr="0063248C">
              <w:rPr>
                <w:rFonts w:cs="宋体"/>
                <w:sz w:val="18"/>
                <w:szCs w:val="18"/>
              </w:rPr>
              <w:t>COD</w:t>
            </w:r>
            <w:r w:rsidRPr="0063248C">
              <w:rPr>
                <w:rFonts w:cs="宋体"/>
                <w:sz w:val="18"/>
                <w:szCs w:val="18"/>
              </w:rPr>
              <w:t>：</w:t>
            </w:r>
            <w:r w:rsidRPr="0063248C">
              <w:rPr>
                <w:rFonts w:cs="宋体"/>
                <w:sz w:val="18"/>
                <w:szCs w:val="18"/>
              </w:rPr>
              <w:t>13.249mg/L</w:t>
            </w:r>
            <w:r w:rsidRPr="0063248C">
              <w:rPr>
                <w:rFonts w:cs="宋体"/>
                <w:sz w:val="18"/>
                <w:szCs w:val="18"/>
              </w:rPr>
              <w:t>、</w:t>
            </w:r>
            <w:r w:rsidRPr="0063248C">
              <w:rPr>
                <w:rFonts w:cs="宋体"/>
                <w:sz w:val="18"/>
                <w:szCs w:val="18"/>
              </w:rPr>
              <w:t xml:space="preserve">NH3-N </w:t>
            </w:r>
            <w:r w:rsidRPr="0063248C">
              <w:rPr>
                <w:rFonts w:cs="宋体"/>
                <w:sz w:val="18"/>
                <w:szCs w:val="18"/>
              </w:rPr>
              <w:t>：</w:t>
            </w:r>
            <w:r w:rsidRPr="0063248C">
              <w:rPr>
                <w:rFonts w:cs="宋体"/>
                <w:sz w:val="18"/>
                <w:szCs w:val="18"/>
              </w:rPr>
              <w:t>9.257mg/L</w:t>
            </w:r>
          </w:p>
          <w:p w14:paraId="3103E3A1" w14:textId="77777777" w:rsidR="007B3DB2" w:rsidRPr="0063248C" w:rsidRDefault="00000000">
            <w:pPr>
              <w:spacing w:line="240" w:lineRule="exact"/>
              <w:rPr>
                <w:rFonts w:cs="宋体"/>
                <w:sz w:val="18"/>
                <w:szCs w:val="18"/>
              </w:rPr>
            </w:pPr>
            <w:r w:rsidRPr="0063248C">
              <w:rPr>
                <w:rFonts w:cs="宋体"/>
                <w:sz w:val="18"/>
                <w:szCs w:val="18"/>
              </w:rPr>
              <w:t>TN</w:t>
            </w:r>
            <w:r w:rsidRPr="0063248C">
              <w:rPr>
                <w:rFonts w:cs="宋体"/>
                <w:sz w:val="18"/>
                <w:szCs w:val="18"/>
              </w:rPr>
              <w:t>：</w:t>
            </w:r>
            <w:r w:rsidRPr="0063248C">
              <w:rPr>
                <w:rFonts w:cs="宋体"/>
                <w:sz w:val="18"/>
                <w:szCs w:val="18"/>
              </w:rPr>
              <w:t xml:space="preserve">23.046 </w:t>
            </w:r>
            <w:r w:rsidRPr="0063248C">
              <w:rPr>
                <w:rFonts w:cs="宋体"/>
                <w:sz w:val="18"/>
                <w:szCs w:val="18"/>
              </w:rPr>
              <w:lastRenderedPageBreak/>
              <w:t>mg/L</w:t>
            </w:r>
            <w:r w:rsidRPr="0063248C">
              <w:rPr>
                <w:rFonts w:cs="宋体"/>
                <w:sz w:val="18"/>
                <w:szCs w:val="18"/>
              </w:rPr>
              <w:t>、</w:t>
            </w:r>
          </w:p>
          <w:p w14:paraId="7D406EDA" w14:textId="77777777" w:rsidR="007B3DB2" w:rsidRPr="0063248C" w:rsidRDefault="00000000">
            <w:pPr>
              <w:spacing w:line="240" w:lineRule="exact"/>
              <w:rPr>
                <w:rFonts w:cs="宋体"/>
                <w:sz w:val="18"/>
                <w:szCs w:val="18"/>
              </w:rPr>
            </w:pPr>
            <w:r w:rsidRPr="0063248C">
              <w:rPr>
                <w:rFonts w:cs="宋体"/>
                <w:sz w:val="18"/>
                <w:szCs w:val="18"/>
              </w:rPr>
              <w:t>TP:2.991mg/L</w:t>
            </w:r>
          </w:p>
        </w:tc>
        <w:tc>
          <w:tcPr>
            <w:tcW w:w="612" w:type="pct"/>
            <w:tcBorders>
              <w:top w:val="single" w:sz="2" w:space="0" w:color="auto"/>
              <w:left w:val="single" w:sz="2" w:space="0" w:color="auto"/>
              <w:bottom w:val="single" w:sz="2" w:space="0" w:color="auto"/>
              <w:right w:val="single" w:sz="2" w:space="0" w:color="auto"/>
            </w:tcBorders>
            <w:vAlign w:val="center"/>
          </w:tcPr>
          <w:p w14:paraId="2BE99975" w14:textId="77777777" w:rsidR="007B3DB2" w:rsidRPr="0063248C" w:rsidRDefault="00000000">
            <w:pPr>
              <w:spacing w:line="240" w:lineRule="exact"/>
              <w:rPr>
                <w:rFonts w:cs="宋体"/>
                <w:sz w:val="18"/>
                <w:szCs w:val="18"/>
              </w:rPr>
            </w:pPr>
            <w:r w:rsidRPr="0063248C">
              <w:rPr>
                <w:rFonts w:cs="宋体"/>
                <w:sz w:val="18"/>
                <w:szCs w:val="18"/>
              </w:rPr>
              <w:lastRenderedPageBreak/>
              <w:t>肉类加工工业水污染物排放标准（</w:t>
            </w:r>
            <w:r w:rsidRPr="0063248C">
              <w:rPr>
                <w:rFonts w:cs="宋体"/>
                <w:sz w:val="18"/>
                <w:szCs w:val="18"/>
              </w:rPr>
              <w:t>GB 13457-92</w:t>
            </w:r>
            <w:r w:rsidRPr="0063248C">
              <w:rPr>
                <w:rFonts w:cs="宋体"/>
                <w:sz w:val="18"/>
                <w:szCs w:val="18"/>
              </w:rPr>
              <w:t>））表</w:t>
            </w:r>
            <w:r w:rsidRPr="0063248C">
              <w:rPr>
                <w:rFonts w:cs="宋体"/>
                <w:sz w:val="18"/>
                <w:szCs w:val="18"/>
              </w:rPr>
              <w:t>3</w:t>
            </w:r>
            <w:r w:rsidRPr="0063248C">
              <w:rPr>
                <w:rFonts w:cs="宋体"/>
                <w:sz w:val="18"/>
                <w:szCs w:val="18"/>
              </w:rPr>
              <w:t>中</w:t>
            </w:r>
            <w:r w:rsidRPr="0063248C">
              <w:rPr>
                <w:rFonts w:cs="宋体"/>
                <w:sz w:val="18"/>
                <w:szCs w:val="18"/>
              </w:rPr>
              <w:lastRenderedPageBreak/>
              <w:t>畜类屠宰三级标准限值</w:t>
            </w:r>
          </w:p>
        </w:tc>
        <w:tc>
          <w:tcPr>
            <w:tcW w:w="452" w:type="pct"/>
            <w:tcBorders>
              <w:top w:val="single" w:sz="2" w:space="0" w:color="auto"/>
              <w:left w:val="single" w:sz="2" w:space="0" w:color="auto"/>
              <w:bottom w:val="single" w:sz="2" w:space="0" w:color="auto"/>
              <w:right w:val="single" w:sz="2" w:space="0" w:color="auto"/>
            </w:tcBorders>
            <w:vAlign w:val="center"/>
          </w:tcPr>
          <w:p w14:paraId="3BB0E583" w14:textId="77777777" w:rsidR="007B3DB2" w:rsidRPr="0063248C" w:rsidRDefault="00000000">
            <w:pPr>
              <w:spacing w:line="240" w:lineRule="exact"/>
              <w:rPr>
                <w:rFonts w:cs="宋体"/>
                <w:sz w:val="18"/>
                <w:szCs w:val="18"/>
              </w:rPr>
            </w:pPr>
            <w:r w:rsidRPr="0063248C">
              <w:rPr>
                <w:rFonts w:cs="宋体"/>
                <w:sz w:val="18"/>
                <w:szCs w:val="18"/>
              </w:rPr>
              <w:lastRenderedPageBreak/>
              <w:t>COD</w:t>
            </w:r>
            <w:r w:rsidRPr="0063248C">
              <w:rPr>
                <w:rFonts w:cs="宋体"/>
                <w:sz w:val="18"/>
                <w:szCs w:val="18"/>
              </w:rPr>
              <w:t>：</w:t>
            </w:r>
            <w:r w:rsidRPr="0063248C">
              <w:rPr>
                <w:rFonts w:cs="宋体"/>
                <w:sz w:val="18"/>
                <w:szCs w:val="18"/>
              </w:rPr>
              <w:t>1.691</w:t>
            </w:r>
            <w:r w:rsidRPr="0063248C">
              <w:rPr>
                <w:rFonts w:cs="宋体"/>
                <w:sz w:val="18"/>
                <w:szCs w:val="18"/>
              </w:rPr>
              <w:t>吨、</w:t>
            </w:r>
            <w:r w:rsidRPr="0063248C">
              <w:rPr>
                <w:rFonts w:cs="宋体"/>
                <w:sz w:val="18"/>
                <w:szCs w:val="18"/>
              </w:rPr>
              <w:t xml:space="preserve">NH3-N </w:t>
            </w:r>
            <w:r w:rsidRPr="0063248C">
              <w:rPr>
                <w:rFonts w:cs="宋体"/>
                <w:sz w:val="18"/>
                <w:szCs w:val="18"/>
              </w:rPr>
              <w:t>：</w:t>
            </w:r>
            <w:r w:rsidRPr="0063248C">
              <w:rPr>
                <w:rFonts w:cs="宋体"/>
                <w:sz w:val="18"/>
                <w:szCs w:val="18"/>
              </w:rPr>
              <w:lastRenderedPageBreak/>
              <w:t>1.506</w:t>
            </w:r>
            <w:r w:rsidRPr="0063248C">
              <w:rPr>
                <w:rFonts w:cs="宋体"/>
                <w:sz w:val="18"/>
                <w:szCs w:val="18"/>
              </w:rPr>
              <w:t>吨、</w:t>
            </w:r>
            <w:r w:rsidRPr="0063248C">
              <w:rPr>
                <w:rFonts w:cs="宋体"/>
                <w:sz w:val="18"/>
                <w:szCs w:val="18"/>
              </w:rPr>
              <w:t>TN</w:t>
            </w:r>
            <w:r w:rsidRPr="0063248C">
              <w:rPr>
                <w:rFonts w:cs="宋体"/>
                <w:sz w:val="18"/>
                <w:szCs w:val="18"/>
              </w:rPr>
              <w:t>：</w:t>
            </w:r>
            <w:r w:rsidRPr="0063248C">
              <w:rPr>
                <w:rFonts w:cs="宋体"/>
                <w:sz w:val="18"/>
                <w:szCs w:val="18"/>
              </w:rPr>
              <w:t>3.264</w:t>
            </w:r>
            <w:r w:rsidRPr="0063248C">
              <w:rPr>
                <w:rFonts w:cs="宋体"/>
                <w:sz w:val="18"/>
                <w:szCs w:val="18"/>
              </w:rPr>
              <w:t>吨、</w:t>
            </w:r>
            <w:r w:rsidRPr="0063248C">
              <w:rPr>
                <w:rFonts w:cs="宋体"/>
                <w:sz w:val="18"/>
                <w:szCs w:val="18"/>
              </w:rPr>
              <w:t>TP</w:t>
            </w:r>
            <w:r w:rsidRPr="0063248C">
              <w:rPr>
                <w:rFonts w:cs="宋体"/>
                <w:sz w:val="18"/>
                <w:szCs w:val="18"/>
              </w:rPr>
              <w:t>：</w:t>
            </w:r>
            <w:r w:rsidRPr="0063248C">
              <w:rPr>
                <w:rFonts w:cs="宋体"/>
                <w:sz w:val="18"/>
                <w:szCs w:val="18"/>
              </w:rPr>
              <w:t>0.427</w:t>
            </w:r>
            <w:r w:rsidRPr="0063248C">
              <w:rPr>
                <w:rFonts w:cs="宋体"/>
                <w:sz w:val="18"/>
                <w:szCs w:val="18"/>
              </w:rPr>
              <w:t>吨</w:t>
            </w:r>
          </w:p>
        </w:tc>
        <w:tc>
          <w:tcPr>
            <w:tcW w:w="394" w:type="pct"/>
            <w:tcBorders>
              <w:top w:val="single" w:sz="2" w:space="0" w:color="auto"/>
              <w:left w:val="single" w:sz="2" w:space="0" w:color="auto"/>
              <w:bottom w:val="single" w:sz="2" w:space="0" w:color="auto"/>
              <w:right w:val="single" w:sz="2" w:space="0" w:color="auto"/>
            </w:tcBorders>
            <w:vAlign w:val="center"/>
          </w:tcPr>
          <w:p w14:paraId="0C619B6C" w14:textId="77777777" w:rsidR="007B3DB2" w:rsidRPr="0063248C" w:rsidRDefault="00000000">
            <w:pPr>
              <w:spacing w:line="240" w:lineRule="exact"/>
              <w:rPr>
                <w:rFonts w:cs="宋体"/>
                <w:sz w:val="18"/>
                <w:szCs w:val="18"/>
              </w:rPr>
            </w:pPr>
            <w:r w:rsidRPr="0063248C">
              <w:rPr>
                <w:rFonts w:cs="宋体"/>
                <w:sz w:val="18"/>
                <w:szCs w:val="18"/>
              </w:rPr>
              <w:lastRenderedPageBreak/>
              <w:t>COD</w:t>
            </w:r>
            <w:r w:rsidRPr="0063248C">
              <w:rPr>
                <w:rFonts w:cs="宋体"/>
                <w:sz w:val="18"/>
                <w:szCs w:val="18"/>
              </w:rPr>
              <w:t>：</w:t>
            </w:r>
            <w:r w:rsidRPr="0063248C">
              <w:rPr>
                <w:rFonts w:cs="宋体"/>
                <w:sz w:val="18"/>
                <w:szCs w:val="18"/>
              </w:rPr>
              <w:t>129.29</w:t>
            </w:r>
            <w:r w:rsidRPr="0063248C">
              <w:rPr>
                <w:rFonts w:cs="宋体"/>
                <w:sz w:val="18"/>
                <w:szCs w:val="18"/>
              </w:rPr>
              <w:t>吨、</w:t>
            </w:r>
            <w:r w:rsidRPr="0063248C">
              <w:rPr>
                <w:rFonts w:cs="宋体"/>
                <w:sz w:val="18"/>
                <w:szCs w:val="18"/>
              </w:rPr>
              <w:t>NH3-N</w:t>
            </w:r>
            <w:r w:rsidRPr="0063248C">
              <w:rPr>
                <w:rFonts w:cs="宋体"/>
                <w:sz w:val="18"/>
                <w:szCs w:val="18"/>
              </w:rPr>
              <w:t>：</w:t>
            </w:r>
            <w:r w:rsidRPr="0063248C">
              <w:rPr>
                <w:rFonts w:cs="宋体"/>
                <w:sz w:val="18"/>
                <w:szCs w:val="18"/>
              </w:rPr>
              <w:lastRenderedPageBreak/>
              <w:t>11.31</w:t>
            </w:r>
            <w:r w:rsidRPr="0063248C">
              <w:rPr>
                <w:rFonts w:cs="宋体"/>
                <w:sz w:val="18"/>
                <w:szCs w:val="18"/>
              </w:rPr>
              <w:t>吨</w:t>
            </w:r>
          </w:p>
        </w:tc>
        <w:tc>
          <w:tcPr>
            <w:tcW w:w="381" w:type="pct"/>
            <w:tcBorders>
              <w:top w:val="single" w:sz="2" w:space="0" w:color="auto"/>
              <w:left w:val="single" w:sz="2" w:space="0" w:color="auto"/>
              <w:bottom w:val="single" w:sz="2" w:space="0" w:color="auto"/>
              <w:right w:val="single" w:sz="2" w:space="0" w:color="auto"/>
            </w:tcBorders>
            <w:vAlign w:val="center"/>
          </w:tcPr>
          <w:p w14:paraId="179446FE" w14:textId="77777777" w:rsidR="007B3DB2" w:rsidRPr="0063248C" w:rsidRDefault="00000000">
            <w:pPr>
              <w:spacing w:line="240" w:lineRule="exact"/>
              <w:rPr>
                <w:rFonts w:cs="宋体"/>
                <w:sz w:val="18"/>
                <w:szCs w:val="18"/>
              </w:rPr>
            </w:pPr>
            <w:r w:rsidRPr="0063248C">
              <w:rPr>
                <w:rFonts w:cs="宋体"/>
                <w:sz w:val="18"/>
                <w:szCs w:val="18"/>
              </w:rPr>
              <w:lastRenderedPageBreak/>
              <w:t>无</w:t>
            </w:r>
          </w:p>
        </w:tc>
      </w:tr>
    </w:tbl>
    <w:p w14:paraId="3CCA6BB9" w14:textId="77777777" w:rsidR="007B3DB2" w:rsidRPr="0063248C" w:rsidRDefault="00000000">
      <w:pPr>
        <w:spacing w:before="100" w:after="100" w:line="240" w:lineRule="exact"/>
        <w:rPr>
          <w:rFonts w:cs="宋体"/>
          <w:sz w:val="18"/>
          <w:szCs w:val="18"/>
        </w:rPr>
      </w:pPr>
      <w:r w:rsidRPr="0063248C">
        <w:rPr>
          <w:rFonts w:cs="宋体"/>
          <w:sz w:val="18"/>
          <w:szCs w:val="18"/>
        </w:rPr>
        <w:t>对污染物的处理</w:t>
      </w:r>
    </w:p>
    <w:p w14:paraId="3C935DBE" w14:textId="77777777" w:rsidR="00517D34" w:rsidRPr="0063248C" w:rsidRDefault="00000000">
      <w:pPr>
        <w:pStyle w:val="a3"/>
        <w:ind w:firstLine="360"/>
        <w:jc w:val="both"/>
        <w:divId w:val="2069650342"/>
        <w:rPr>
          <w:rFonts w:ascii="Times New Roman" w:hAnsi="Times New Roman"/>
        </w:rPr>
      </w:pPr>
      <w:r w:rsidRPr="0063248C">
        <w:rPr>
          <w:rFonts w:ascii="Times New Roman" w:hAnsi="Times New Roman" w:hint="eastAsia"/>
          <w:sz w:val="18"/>
          <w:szCs w:val="18"/>
        </w:rPr>
        <w:t>山东龙大美食股份有限公司主要污染物为废水，对于废水处理，按照“雨污分流”原则，污水进入污水站经预处理系统、气浮、</w:t>
      </w:r>
      <w:r w:rsidRPr="0063248C">
        <w:rPr>
          <w:rFonts w:ascii="Times New Roman" w:hAnsi="Times New Roman" w:hint="eastAsia"/>
          <w:sz w:val="18"/>
          <w:szCs w:val="18"/>
        </w:rPr>
        <w:t>A/O</w:t>
      </w:r>
      <w:r w:rsidRPr="0063248C">
        <w:rPr>
          <w:rFonts w:ascii="Times New Roman" w:hAnsi="Times New Roman" w:hint="eastAsia"/>
          <w:sz w:val="18"/>
          <w:szCs w:val="18"/>
        </w:rPr>
        <w:t>工艺处理后，经排口排入莱阳市食品工业园污水处理厂。山东龙大美食股份有限公司废水排放口安装在线监测设施，</w:t>
      </w:r>
      <w:r w:rsidRPr="0063248C">
        <w:rPr>
          <w:rFonts w:ascii="Times New Roman" w:hAnsi="Times New Roman" w:hint="eastAsia"/>
          <w:sz w:val="18"/>
          <w:szCs w:val="18"/>
        </w:rPr>
        <w:t>2024</w:t>
      </w:r>
      <w:r w:rsidRPr="0063248C">
        <w:rPr>
          <w:rFonts w:ascii="Times New Roman" w:hAnsi="Times New Roman" w:hint="eastAsia"/>
          <w:sz w:val="18"/>
          <w:szCs w:val="18"/>
        </w:rPr>
        <w:t>年上半年山东龙大美食股份有限公司环保设施运行稳定。</w:t>
      </w:r>
    </w:p>
    <w:p w14:paraId="7C800B13" w14:textId="77777777" w:rsidR="00517D34" w:rsidRPr="0063248C" w:rsidRDefault="00000000">
      <w:pPr>
        <w:pStyle w:val="a3"/>
        <w:ind w:firstLine="360"/>
        <w:jc w:val="both"/>
        <w:divId w:val="2069650342"/>
        <w:rPr>
          <w:rFonts w:ascii="Times New Roman" w:hAnsi="Times New Roman"/>
        </w:rPr>
      </w:pPr>
      <w:r w:rsidRPr="0063248C">
        <w:rPr>
          <w:rFonts w:ascii="Times New Roman" w:hAnsi="Times New Roman" w:hint="eastAsia"/>
          <w:sz w:val="18"/>
          <w:szCs w:val="18"/>
        </w:rPr>
        <w:t>潍坊振</w:t>
      </w:r>
      <w:proofErr w:type="gramStart"/>
      <w:r w:rsidRPr="0063248C">
        <w:rPr>
          <w:rFonts w:ascii="Times New Roman" w:hAnsi="Times New Roman" w:hint="eastAsia"/>
          <w:sz w:val="18"/>
          <w:szCs w:val="18"/>
        </w:rPr>
        <w:t>祥</w:t>
      </w:r>
      <w:proofErr w:type="gramEnd"/>
      <w:r w:rsidRPr="0063248C">
        <w:rPr>
          <w:rFonts w:ascii="Times New Roman" w:hAnsi="Times New Roman" w:hint="eastAsia"/>
          <w:sz w:val="18"/>
          <w:szCs w:val="18"/>
        </w:rPr>
        <w:t>食品有限公司主要污染物为废水，废水经预处理系统、气浮、</w:t>
      </w:r>
      <w:r w:rsidRPr="0063248C">
        <w:rPr>
          <w:rFonts w:ascii="Times New Roman" w:hAnsi="Times New Roman" w:hint="eastAsia"/>
          <w:sz w:val="18"/>
          <w:szCs w:val="18"/>
        </w:rPr>
        <w:t>SBR</w:t>
      </w:r>
      <w:r w:rsidRPr="0063248C">
        <w:rPr>
          <w:rFonts w:ascii="Times New Roman" w:hAnsi="Times New Roman" w:hint="eastAsia"/>
          <w:sz w:val="18"/>
          <w:szCs w:val="18"/>
        </w:rPr>
        <w:t>工艺处理后经污水管网进入安丘市景芝镇污水处理厂（潍坊安凯节能环保科技有限公司）。潍坊振</w:t>
      </w:r>
      <w:proofErr w:type="gramStart"/>
      <w:r w:rsidRPr="0063248C">
        <w:rPr>
          <w:rFonts w:ascii="Times New Roman" w:hAnsi="Times New Roman" w:hint="eastAsia"/>
          <w:sz w:val="18"/>
          <w:szCs w:val="18"/>
        </w:rPr>
        <w:t>祥</w:t>
      </w:r>
      <w:proofErr w:type="gramEnd"/>
      <w:r w:rsidRPr="0063248C">
        <w:rPr>
          <w:rFonts w:ascii="Times New Roman" w:hAnsi="Times New Roman" w:hint="eastAsia"/>
          <w:sz w:val="18"/>
          <w:szCs w:val="18"/>
        </w:rPr>
        <w:t>食品有限公司废水排放口安装在线监测设施，</w:t>
      </w:r>
      <w:r w:rsidRPr="0063248C">
        <w:rPr>
          <w:rFonts w:ascii="Times New Roman" w:hAnsi="Times New Roman" w:hint="eastAsia"/>
          <w:sz w:val="18"/>
          <w:szCs w:val="18"/>
        </w:rPr>
        <w:t>2024</w:t>
      </w:r>
      <w:r w:rsidRPr="0063248C">
        <w:rPr>
          <w:rFonts w:ascii="Times New Roman" w:hAnsi="Times New Roman" w:hint="eastAsia"/>
          <w:sz w:val="18"/>
          <w:szCs w:val="18"/>
        </w:rPr>
        <w:t>年上半年环保设施运行稳定。</w:t>
      </w:r>
    </w:p>
    <w:p w14:paraId="5735DBED" w14:textId="77777777" w:rsidR="00517D34" w:rsidRPr="0063248C" w:rsidRDefault="00000000">
      <w:pPr>
        <w:pStyle w:val="a3"/>
        <w:ind w:firstLine="360"/>
        <w:jc w:val="both"/>
        <w:divId w:val="2069650342"/>
        <w:rPr>
          <w:rFonts w:ascii="Times New Roman" w:hAnsi="Times New Roman"/>
        </w:rPr>
      </w:pPr>
      <w:r w:rsidRPr="0063248C">
        <w:rPr>
          <w:rFonts w:ascii="Times New Roman" w:hAnsi="Times New Roman" w:hint="eastAsia"/>
          <w:sz w:val="18"/>
          <w:szCs w:val="18"/>
        </w:rPr>
        <w:t>河南龙大牧原肉食品有限公司主要污染物为废水，生产生活废水经厂内污水处理站采用“预处理</w:t>
      </w:r>
      <w:r w:rsidRPr="0063248C">
        <w:rPr>
          <w:rFonts w:ascii="Times New Roman" w:hAnsi="Times New Roman" w:hint="eastAsia"/>
          <w:sz w:val="18"/>
          <w:szCs w:val="18"/>
        </w:rPr>
        <w:t>+</w:t>
      </w:r>
      <w:r w:rsidRPr="0063248C">
        <w:rPr>
          <w:rFonts w:ascii="Times New Roman" w:hAnsi="Times New Roman" w:hint="eastAsia"/>
          <w:sz w:val="18"/>
          <w:szCs w:val="18"/>
        </w:rPr>
        <w:t>水解酸化</w:t>
      </w:r>
      <w:r w:rsidRPr="0063248C">
        <w:rPr>
          <w:rFonts w:ascii="Times New Roman" w:hAnsi="Times New Roman" w:hint="eastAsia"/>
          <w:sz w:val="18"/>
          <w:szCs w:val="18"/>
        </w:rPr>
        <w:t>+</w:t>
      </w:r>
      <w:r w:rsidRPr="0063248C">
        <w:rPr>
          <w:rFonts w:ascii="Times New Roman" w:hAnsi="Times New Roman" w:hint="eastAsia"/>
          <w:sz w:val="18"/>
          <w:szCs w:val="18"/>
        </w:rPr>
        <w:t>气浮</w:t>
      </w:r>
      <w:r w:rsidRPr="0063248C">
        <w:rPr>
          <w:rFonts w:ascii="Times New Roman" w:hAnsi="Times New Roman" w:hint="eastAsia"/>
          <w:sz w:val="18"/>
          <w:szCs w:val="18"/>
        </w:rPr>
        <w:t>+SBR+</w:t>
      </w:r>
      <w:r w:rsidRPr="0063248C">
        <w:rPr>
          <w:rFonts w:ascii="Times New Roman" w:hAnsi="Times New Roman" w:hint="eastAsia"/>
          <w:sz w:val="18"/>
          <w:szCs w:val="18"/>
        </w:rPr>
        <w:t>深度处理”处理工艺处理后直接排放，河南龙大牧原肉食品有限公司废水排放口安装在线监测设施，</w:t>
      </w:r>
      <w:r w:rsidRPr="0063248C">
        <w:rPr>
          <w:rFonts w:ascii="Times New Roman" w:hAnsi="Times New Roman" w:hint="eastAsia"/>
          <w:sz w:val="18"/>
          <w:szCs w:val="18"/>
        </w:rPr>
        <w:t>2024</w:t>
      </w:r>
      <w:r w:rsidRPr="0063248C">
        <w:rPr>
          <w:rFonts w:ascii="Times New Roman" w:hAnsi="Times New Roman" w:hint="eastAsia"/>
          <w:sz w:val="18"/>
          <w:szCs w:val="18"/>
        </w:rPr>
        <w:t>年上半年环保设施运行稳定。</w:t>
      </w:r>
    </w:p>
    <w:p w14:paraId="4842EF09" w14:textId="77777777" w:rsidR="00517D34" w:rsidRPr="0063248C" w:rsidRDefault="00000000">
      <w:pPr>
        <w:pStyle w:val="a3"/>
        <w:ind w:firstLine="360"/>
        <w:jc w:val="both"/>
        <w:divId w:val="2069650342"/>
        <w:rPr>
          <w:rFonts w:ascii="Times New Roman" w:hAnsi="Times New Roman"/>
        </w:rPr>
      </w:pPr>
      <w:r w:rsidRPr="0063248C">
        <w:rPr>
          <w:rFonts w:ascii="Times New Roman" w:hAnsi="Times New Roman" w:hint="eastAsia"/>
          <w:sz w:val="18"/>
          <w:szCs w:val="18"/>
        </w:rPr>
        <w:t>聊城龙大肉食品有限公司主要污染物为废水，对于废水处理，按照“雨污分流”原则，污水接入聊城龙大肉食品有限公司污水站经预处理系统、气浮、</w:t>
      </w:r>
      <w:r w:rsidRPr="0063248C">
        <w:rPr>
          <w:rFonts w:ascii="Times New Roman" w:hAnsi="Times New Roman" w:hint="eastAsia"/>
          <w:sz w:val="18"/>
          <w:szCs w:val="18"/>
        </w:rPr>
        <w:t>SBR</w:t>
      </w:r>
      <w:r w:rsidRPr="0063248C">
        <w:rPr>
          <w:rFonts w:ascii="Times New Roman" w:hAnsi="Times New Roman" w:hint="eastAsia"/>
          <w:sz w:val="18"/>
          <w:szCs w:val="18"/>
        </w:rPr>
        <w:t>工艺处理后，经排口接入市政管网，排入东昌府区嘉明康达污水处理有限公司。聊城龙大肉食品有限公司废水排放口安装在线监测设施。</w:t>
      </w:r>
      <w:r w:rsidRPr="0063248C">
        <w:rPr>
          <w:rFonts w:ascii="Times New Roman" w:hAnsi="Times New Roman" w:hint="eastAsia"/>
          <w:sz w:val="18"/>
          <w:szCs w:val="18"/>
        </w:rPr>
        <w:t>2024</w:t>
      </w:r>
      <w:r w:rsidRPr="0063248C">
        <w:rPr>
          <w:rFonts w:ascii="Times New Roman" w:hAnsi="Times New Roman" w:hint="eastAsia"/>
          <w:sz w:val="18"/>
          <w:szCs w:val="18"/>
        </w:rPr>
        <w:t>年上半年聊城龙大肉食品有限公司环保设施运行稳定。</w:t>
      </w:r>
    </w:p>
    <w:p w14:paraId="4AD9013D" w14:textId="77777777" w:rsidR="00517D34" w:rsidRPr="0063248C" w:rsidRDefault="00000000">
      <w:pPr>
        <w:pStyle w:val="a3"/>
        <w:ind w:firstLine="360"/>
        <w:jc w:val="both"/>
        <w:divId w:val="2069650342"/>
        <w:rPr>
          <w:rFonts w:ascii="Times New Roman" w:hAnsi="Times New Roman"/>
        </w:rPr>
      </w:pPr>
      <w:r w:rsidRPr="0063248C">
        <w:rPr>
          <w:rFonts w:ascii="Times New Roman" w:hAnsi="Times New Roman" w:hint="eastAsia"/>
          <w:sz w:val="18"/>
          <w:szCs w:val="18"/>
        </w:rPr>
        <w:t>蓬莱富龙肉食品有限公司主要污染物为废水，按照“雨污分流”原则，污水进入污水站经预处理系统、气浮</w:t>
      </w:r>
      <w:r w:rsidRPr="0063248C">
        <w:rPr>
          <w:rFonts w:ascii="Times New Roman" w:hAnsi="Times New Roman" w:hint="eastAsia"/>
          <w:sz w:val="18"/>
          <w:szCs w:val="18"/>
        </w:rPr>
        <w:t>+A2O+</w:t>
      </w:r>
      <w:r w:rsidRPr="0063248C">
        <w:rPr>
          <w:rFonts w:ascii="Times New Roman" w:hAnsi="Times New Roman" w:hint="eastAsia"/>
          <w:sz w:val="18"/>
          <w:szCs w:val="18"/>
        </w:rPr>
        <w:t>过滤工艺处理后，经排口排入蓬莱市</w:t>
      </w:r>
      <w:proofErr w:type="gramStart"/>
      <w:r w:rsidRPr="0063248C">
        <w:rPr>
          <w:rFonts w:ascii="Times New Roman" w:hAnsi="Times New Roman" w:hint="eastAsia"/>
          <w:sz w:val="18"/>
          <w:szCs w:val="18"/>
        </w:rPr>
        <w:t>小门家</w:t>
      </w:r>
      <w:proofErr w:type="gramEnd"/>
      <w:r w:rsidRPr="0063248C">
        <w:rPr>
          <w:rFonts w:ascii="Times New Roman" w:hAnsi="Times New Roman" w:hint="eastAsia"/>
          <w:sz w:val="18"/>
          <w:szCs w:val="18"/>
        </w:rPr>
        <w:t>镇政府建设的人工湿地。蓬莱富龙肉食品有限公司废水排放口安装在线监测设施，</w:t>
      </w:r>
      <w:r w:rsidRPr="0063248C">
        <w:rPr>
          <w:rFonts w:ascii="Times New Roman" w:hAnsi="Times New Roman" w:hint="eastAsia"/>
          <w:sz w:val="18"/>
          <w:szCs w:val="18"/>
        </w:rPr>
        <w:t>2024</w:t>
      </w:r>
      <w:r w:rsidRPr="0063248C">
        <w:rPr>
          <w:rFonts w:ascii="Times New Roman" w:hAnsi="Times New Roman" w:hint="eastAsia"/>
          <w:sz w:val="18"/>
          <w:szCs w:val="18"/>
        </w:rPr>
        <w:t>年上半年蓬莱富龙肉食品有限公司环保设施运行稳定。</w:t>
      </w:r>
    </w:p>
    <w:p w14:paraId="02115A41" w14:textId="77777777" w:rsidR="00517D34" w:rsidRPr="0063248C" w:rsidRDefault="00000000">
      <w:pPr>
        <w:pStyle w:val="a3"/>
        <w:spacing w:before="40" w:beforeAutospacing="0" w:after="40" w:afterAutospacing="0"/>
        <w:ind w:firstLine="360"/>
        <w:jc w:val="both"/>
        <w:divId w:val="2069650342"/>
        <w:rPr>
          <w:rFonts w:ascii="Times New Roman" w:hAnsi="Times New Roman"/>
        </w:rPr>
      </w:pPr>
      <w:r w:rsidRPr="0063248C">
        <w:rPr>
          <w:rFonts w:ascii="Times New Roman" w:hAnsi="Times New Roman" w:hint="eastAsia"/>
          <w:sz w:val="18"/>
          <w:szCs w:val="18"/>
        </w:rPr>
        <w:t>黑龙江龙大肉食品有限公司主要污染物为废水，废水经气浮</w:t>
      </w:r>
      <w:r w:rsidRPr="0063248C">
        <w:rPr>
          <w:rFonts w:ascii="Times New Roman" w:hAnsi="Times New Roman" w:hint="eastAsia"/>
          <w:sz w:val="18"/>
          <w:szCs w:val="18"/>
        </w:rPr>
        <w:t>+AO</w:t>
      </w:r>
      <w:r w:rsidRPr="0063248C">
        <w:rPr>
          <w:rFonts w:ascii="Times New Roman" w:hAnsi="Times New Roman" w:hint="eastAsia"/>
          <w:sz w:val="18"/>
          <w:szCs w:val="18"/>
        </w:rPr>
        <w:t>工艺处理后，排口接入市政管网，排入安达市污水处理厂。黑龙江龙大肉食品有限公司废水排放口安装在线监测设施，</w:t>
      </w:r>
      <w:r w:rsidRPr="0063248C">
        <w:rPr>
          <w:rFonts w:ascii="Times New Roman" w:hAnsi="Times New Roman" w:hint="eastAsia"/>
          <w:sz w:val="18"/>
          <w:szCs w:val="18"/>
        </w:rPr>
        <w:t>2024</w:t>
      </w:r>
      <w:r w:rsidRPr="0063248C">
        <w:rPr>
          <w:rFonts w:ascii="Times New Roman" w:hAnsi="Times New Roman" w:hint="eastAsia"/>
          <w:sz w:val="18"/>
          <w:szCs w:val="18"/>
        </w:rPr>
        <w:t>年上半年黑龙江龙大肉食品有限公司环保设施运行稳定。</w:t>
      </w:r>
    </w:p>
    <w:p w14:paraId="6EC021F6" w14:textId="77777777" w:rsidR="00517D34" w:rsidRPr="0063248C" w:rsidRDefault="00000000">
      <w:pPr>
        <w:pStyle w:val="a3"/>
        <w:spacing w:before="40" w:beforeAutospacing="0" w:after="40" w:afterAutospacing="0"/>
        <w:ind w:firstLine="360"/>
        <w:jc w:val="both"/>
        <w:divId w:val="2069650342"/>
        <w:rPr>
          <w:rFonts w:ascii="Times New Roman" w:hAnsi="Times New Roman"/>
        </w:rPr>
      </w:pPr>
      <w:r w:rsidRPr="0063248C">
        <w:rPr>
          <w:rFonts w:ascii="Times New Roman" w:hAnsi="Times New Roman" w:hint="eastAsia"/>
          <w:sz w:val="18"/>
          <w:szCs w:val="18"/>
        </w:rPr>
        <w:t>巴中龙大肉食品有限公司生活污水和生产废水经污水处理站（采用格栅</w:t>
      </w:r>
      <w:r w:rsidRPr="0063248C">
        <w:rPr>
          <w:rFonts w:ascii="Times New Roman" w:hAnsi="Times New Roman" w:hint="eastAsia"/>
          <w:sz w:val="18"/>
          <w:szCs w:val="18"/>
        </w:rPr>
        <w:t>+</w:t>
      </w:r>
      <w:r w:rsidRPr="0063248C">
        <w:rPr>
          <w:rFonts w:ascii="Times New Roman" w:hAnsi="Times New Roman" w:hint="eastAsia"/>
          <w:sz w:val="18"/>
          <w:szCs w:val="18"/>
        </w:rPr>
        <w:t>隔油调节池</w:t>
      </w:r>
      <w:r w:rsidRPr="0063248C">
        <w:rPr>
          <w:rFonts w:ascii="Times New Roman" w:hAnsi="Times New Roman" w:hint="eastAsia"/>
          <w:sz w:val="18"/>
          <w:szCs w:val="18"/>
        </w:rPr>
        <w:t>+</w:t>
      </w:r>
      <w:r w:rsidRPr="0063248C">
        <w:rPr>
          <w:rFonts w:ascii="Times New Roman" w:hAnsi="Times New Roman" w:hint="eastAsia"/>
          <w:sz w:val="18"/>
          <w:szCs w:val="18"/>
        </w:rPr>
        <w:t>气浮</w:t>
      </w:r>
      <w:r w:rsidRPr="0063248C">
        <w:rPr>
          <w:rFonts w:ascii="Times New Roman" w:hAnsi="Times New Roman" w:hint="eastAsia"/>
          <w:sz w:val="18"/>
          <w:szCs w:val="18"/>
        </w:rPr>
        <w:t>+</w:t>
      </w:r>
      <w:r w:rsidRPr="0063248C">
        <w:rPr>
          <w:rFonts w:ascii="Times New Roman" w:hAnsi="Times New Roman" w:hint="eastAsia"/>
          <w:sz w:val="18"/>
          <w:szCs w:val="18"/>
        </w:rPr>
        <w:t>水解酸化</w:t>
      </w:r>
      <w:r w:rsidRPr="0063248C">
        <w:rPr>
          <w:rFonts w:ascii="Times New Roman" w:hAnsi="Times New Roman" w:hint="eastAsia"/>
          <w:sz w:val="18"/>
          <w:szCs w:val="18"/>
        </w:rPr>
        <w:t>+</w:t>
      </w:r>
      <w:r w:rsidRPr="0063248C">
        <w:rPr>
          <w:rFonts w:ascii="Times New Roman" w:hAnsi="Times New Roman" w:hint="eastAsia"/>
          <w:sz w:val="18"/>
          <w:szCs w:val="18"/>
        </w:rPr>
        <w:t>两级</w:t>
      </w:r>
      <w:r w:rsidRPr="0063248C">
        <w:rPr>
          <w:rFonts w:ascii="Times New Roman" w:hAnsi="Times New Roman" w:hint="eastAsia"/>
          <w:sz w:val="18"/>
          <w:szCs w:val="18"/>
        </w:rPr>
        <w:t>A/O+</w:t>
      </w:r>
      <w:r w:rsidRPr="0063248C">
        <w:rPr>
          <w:rFonts w:ascii="Times New Roman" w:hAnsi="Times New Roman" w:hint="eastAsia"/>
          <w:sz w:val="18"/>
          <w:szCs w:val="18"/>
        </w:rPr>
        <w:t>沉淀</w:t>
      </w:r>
      <w:r w:rsidRPr="0063248C">
        <w:rPr>
          <w:rFonts w:ascii="Times New Roman" w:hAnsi="Times New Roman" w:hint="eastAsia"/>
          <w:sz w:val="18"/>
          <w:szCs w:val="18"/>
        </w:rPr>
        <w:t>+</w:t>
      </w:r>
      <w:r w:rsidRPr="0063248C">
        <w:rPr>
          <w:rFonts w:ascii="Times New Roman" w:hAnsi="Times New Roman" w:hint="eastAsia"/>
          <w:sz w:val="18"/>
          <w:szCs w:val="18"/>
        </w:rPr>
        <w:t>消毒工艺）达标处理后一起进入园区污水管网，污水处理站设计处理能力为</w:t>
      </w:r>
      <w:r w:rsidRPr="0063248C">
        <w:rPr>
          <w:rFonts w:ascii="Times New Roman" w:hAnsi="Times New Roman" w:hint="eastAsia"/>
          <w:sz w:val="18"/>
          <w:szCs w:val="18"/>
        </w:rPr>
        <w:t>1500m3/d</w:t>
      </w:r>
      <w:r w:rsidRPr="0063248C">
        <w:rPr>
          <w:rFonts w:ascii="Times New Roman" w:hAnsi="Times New Roman" w:hint="eastAsia"/>
          <w:sz w:val="18"/>
          <w:szCs w:val="18"/>
        </w:rPr>
        <w:t>。巴中龙大肉食品有限公司</w:t>
      </w:r>
      <w:r w:rsidRPr="0063248C">
        <w:rPr>
          <w:rFonts w:ascii="Times New Roman" w:hAnsi="Times New Roman" w:hint="eastAsia"/>
          <w:sz w:val="18"/>
          <w:szCs w:val="18"/>
        </w:rPr>
        <w:t>2024</w:t>
      </w:r>
      <w:r w:rsidRPr="0063248C">
        <w:rPr>
          <w:rFonts w:ascii="Times New Roman" w:hAnsi="Times New Roman" w:hint="eastAsia"/>
          <w:sz w:val="18"/>
          <w:szCs w:val="18"/>
        </w:rPr>
        <w:t>年废水排放口安装在线监测设施，</w:t>
      </w:r>
      <w:r w:rsidRPr="0063248C">
        <w:rPr>
          <w:rFonts w:ascii="Times New Roman" w:hAnsi="Times New Roman" w:hint="eastAsia"/>
          <w:sz w:val="18"/>
          <w:szCs w:val="18"/>
        </w:rPr>
        <w:t>2024</w:t>
      </w:r>
      <w:r w:rsidRPr="0063248C">
        <w:rPr>
          <w:rFonts w:ascii="Times New Roman" w:hAnsi="Times New Roman" w:hint="eastAsia"/>
          <w:sz w:val="18"/>
          <w:szCs w:val="18"/>
        </w:rPr>
        <w:t>年上半年巴中龙大肉食品有限公司环保设施调试运行中。</w:t>
      </w:r>
    </w:p>
    <w:p w14:paraId="5BE3DCF8" w14:textId="77777777" w:rsidR="007B3DB2" w:rsidRPr="0063248C" w:rsidRDefault="00000000">
      <w:pPr>
        <w:spacing w:before="100" w:after="100" w:line="240" w:lineRule="exact"/>
        <w:rPr>
          <w:rFonts w:cs="宋体"/>
          <w:sz w:val="18"/>
          <w:szCs w:val="18"/>
        </w:rPr>
      </w:pPr>
      <w:r w:rsidRPr="0063248C">
        <w:rPr>
          <w:rFonts w:cs="宋体"/>
          <w:sz w:val="18"/>
          <w:szCs w:val="18"/>
        </w:rPr>
        <w:t>突发环境事件应急预案</w:t>
      </w:r>
    </w:p>
    <w:p w14:paraId="4FA0F793" w14:textId="77777777" w:rsidR="00517D34" w:rsidRPr="0063248C" w:rsidRDefault="00000000">
      <w:pPr>
        <w:pStyle w:val="a3"/>
        <w:spacing w:before="40" w:beforeAutospacing="0" w:after="40" w:afterAutospacing="0"/>
        <w:ind w:firstLine="360"/>
        <w:jc w:val="both"/>
        <w:divId w:val="398670385"/>
        <w:rPr>
          <w:rFonts w:ascii="Times New Roman" w:hAnsi="Times New Roman"/>
          <w:sz w:val="21"/>
          <w:szCs w:val="21"/>
        </w:rPr>
      </w:pPr>
      <w:r w:rsidRPr="0063248C">
        <w:rPr>
          <w:rFonts w:ascii="Times New Roman" w:hAnsi="Times New Roman" w:hint="eastAsia"/>
          <w:sz w:val="18"/>
          <w:szCs w:val="18"/>
        </w:rPr>
        <w:t>山东龙大美食股份有限公司、潍坊振</w:t>
      </w:r>
      <w:proofErr w:type="gramStart"/>
      <w:r w:rsidRPr="0063248C">
        <w:rPr>
          <w:rFonts w:ascii="Times New Roman" w:hAnsi="Times New Roman" w:hint="eastAsia"/>
          <w:sz w:val="18"/>
          <w:szCs w:val="18"/>
        </w:rPr>
        <w:t>祥</w:t>
      </w:r>
      <w:proofErr w:type="gramEnd"/>
      <w:r w:rsidRPr="0063248C">
        <w:rPr>
          <w:rFonts w:ascii="Times New Roman" w:hAnsi="Times New Roman" w:hint="eastAsia"/>
          <w:sz w:val="18"/>
          <w:szCs w:val="18"/>
        </w:rPr>
        <w:t>食品有限公司、聊城龙大肉食品有限公司、河南龙大牧原肉食品有限公司、蓬莱富龙肉食品有限公司、黑龙江龙大肉食品有限公司、江苏龙大沁侬食品有限公司灌云生猪屠宰项目、巴中龙大肉食品有限公司均编制了《突发环境事件应急预案》，对突发环境事件的应急措施进行了详细的表述，并定期组织开展预案的培训和演练，切实提高了企业应对突发环境污染事件的应急响应能力和处置能力。均已备案。</w:t>
      </w:r>
    </w:p>
    <w:p w14:paraId="6D46A84D" w14:textId="77777777" w:rsidR="007B3DB2" w:rsidRPr="0063248C" w:rsidRDefault="00000000">
      <w:pPr>
        <w:spacing w:before="100" w:after="100" w:line="240" w:lineRule="exact"/>
        <w:rPr>
          <w:rFonts w:cs="宋体"/>
          <w:sz w:val="18"/>
          <w:szCs w:val="18"/>
        </w:rPr>
      </w:pPr>
      <w:r w:rsidRPr="0063248C">
        <w:rPr>
          <w:rFonts w:cs="宋体"/>
          <w:sz w:val="18"/>
          <w:szCs w:val="18"/>
        </w:rPr>
        <w:t>环境治理和保护的投入及缴纳环境保护税的相关情况</w:t>
      </w:r>
    </w:p>
    <w:p w14:paraId="56165371" w14:textId="77777777" w:rsidR="000367A6" w:rsidRDefault="00000000" w:rsidP="000367A6">
      <w:pPr>
        <w:pStyle w:val="a3"/>
        <w:spacing w:before="40" w:beforeAutospacing="0" w:after="40" w:afterAutospacing="0"/>
        <w:ind w:firstLine="360"/>
        <w:jc w:val="both"/>
        <w:divId w:val="1899634379"/>
        <w:rPr>
          <w:rFonts w:ascii="Times New Roman" w:hAnsi="Times New Roman"/>
        </w:rPr>
      </w:pPr>
      <w:r w:rsidRPr="0063248C">
        <w:rPr>
          <w:rFonts w:ascii="Times New Roman" w:hAnsi="Times New Roman" w:hint="eastAsia"/>
          <w:sz w:val="18"/>
          <w:szCs w:val="18"/>
        </w:rPr>
        <w:t>蓬莱富龙肉食品有限公司为了做到污水达标排放，于</w:t>
      </w:r>
      <w:r w:rsidRPr="0063248C">
        <w:rPr>
          <w:rFonts w:ascii="Times New Roman" w:hAnsi="Times New Roman" w:hint="eastAsia"/>
          <w:sz w:val="18"/>
          <w:szCs w:val="18"/>
        </w:rPr>
        <w:t>4</w:t>
      </w:r>
      <w:r w:rsidRPr="0063248C">
        <w:rPr>
          <w:rFonts w:ascii="Times New Roman" w:hAnsi="Times New Roman" w:hint="eastAsia"/>
          <w:sz w:val="18"/>
          <w:szCs w:val="18"/>
        </w:rPr>
        <w:t>月</w:t>
      </w:r>
      <w:r w:rsidRPr="0063248C">
        <w:rPr>
          <w:rFonts w:ascii="Times New Roman" w:hAnsi="Times New Roman" w:hint="eastAsia"/>
          <w:sz w:val="18"/>
          <w:szCs w:val="18"/>
        </w:rPr>
        <w:t>25</w:t>
      </w:r>
      <w:r w:rsidRPr="0063248C">
        <w:rPr>
          <w:rFonts w:ascii="Times New Roman" w:hAnsi="Times New Roman" w:hint="eastAsia"/>
          <w:sz w:val="18"/>
          <w:szCs w:val="18"/>
        </w:rPr>
        <w:t>日投资</w:t>
      </w:r>
      <w:r w:rsidRPr="0063248C">
        <w:rPr>
          <w:rFonts w:ascii="Times New Roman" w:hAnsi="Times New Roman" w:hint="eastAsia"/>
          <w:sz w:val="18"/>
          <w:szCs w:val="18"/>
        </w:rPr>
        <w:t>26</w:t>
      </w:r>
      <w:r w:rsidRPr="0063248C">
        <w:rPr>
          <w:rFonts w:ascii="Times New Roman" w:hAnsi="Times New Roman" w:hint="eastAsia"/>
          <w:sz w:val="18"/>
          <w:szCs w:val="18"/>
        </w:rPr>
        <w:t>万元，施工建造了一个长</w:t>
      </w:r>
      <w:r w:rsidRPr="0063248C">
        <w:rPr>
          <w:rFonts w:ascii="Times New Roman" w:hAnsi="Times New Roman" w:hint="eastAsia"/>
          <w:sz w:val="18"/>
          <w:szCs w:val="18"/>
        </w:rPr>
        <w:t>45</w:t>
      </w:r>
      <w:r w:rsidRPr="0063248C">
        <w:rPr>
          <w:rFonts w:ascii="Times New Roman" w:hAnsi="Times New Roman" w:hint="eastAsia"/>
          <w:sz w:val="18"/>
          <w:szCs w:val="18"/>
        </w:rPr>
        <w:t>米、宽</w:t>
      </w:r>
      <w:r w:rsidRPr="0063248C">
        <w:rPr>
          <w:rFonts w:ascii="Times New Roman" w:hAnsi="Times New Roman" w:hint="eastAsia"/>
          <w:sz w:val="18"/>
          <w:szCs w:val="18"/>
        </w:rPr>
        <w:t>25</w:t>
      </w:r>
      <w:r w:rsidRPr="0063248C">
        <w:rPr>
          <w:rFonts w:ascii="Times New Roman" w:hAnsi="Times New Roman" w:hint="eastAsia"/>
          <w:sz w:val="18"/>
          <w:szCs w:val="18"/>
        </w:rPr>
        <w:t>米、深</w:t>
      </w:r>
      <w:r w:rsidRPr="0063248C">
        <w:rPr>
          <w:rFonts w:ascii="Times New Roman" w:hAnsi="Times New Roman" w:hint="eastAsia"/>
          <w:sz w:val="18"/>
          <w:szCs w:val="18"/>
        </w:rPr>
        <w:t>2</w:t>
      </w:r>
      <w:r w:rsidRPr="0063248C">
        <w:rPr>
          <w:rFonts w:ascii="Times New Roman" w:hAnsi="Times New Roman" w:hint="eastAsia"/>
          <w:sz w:val="18"/>
          <w:szCs w:val="18"/>
        </w:rPr>
        <w:t>米，能够容纳</w:t>
      </w:r>
      <w:r w:rsidRPr="0063248C">
        <w:rPr>
          <w:rFonts w:ascii="Times New Roman" w:hAnsi="Times New Roman" w:hint="eastAsia"/>
          <w:sz w:val="18"/>
          <w:szCs w:val="18"/>
        </w:rPr>
        <w:t>2200</w:t>
      </w:r>
      <w:r w:rsidRPr="0063248C">
        <w:rPr>
          <w:rFonts w:ascii="Times New Roman" w:hAnsi="Times New Roman" w:hint="eastAsia"/>
          <w:sz w:val="18"/>
          <w:szCs w:val="18"/>
        </w:rPr>
        <w:t>立方水的四级稳定池，在紧急情况下也可以作为应急池使用，</w:t>
      </w:r>
      <w:proofErr w:type="gramStart"/>
      <w:r w:rsidRPr="0063248C">
        <w:rPr>
          <w:rFonts w:ascii="Times New Roman" w:hAnsi="Times New Roman" w:hint="eastAsia"/>
          <w:sz w:val="18"/>
          <w:szCs w:val="18"/>
        </w:rPr>
        <w:t>该稳定池</w:t>
      </w:r>
      <w:proofErr w:type="gramEnd"/>
      <w:r w:rsidRPr="0063248C">
        <w:rPr>
          <w:rFonts w:ascii="Times New Roman" w:hAnsi="Times New Roman" w:hint="eastAsia"/>
          <w:sz w:val="18"/>
          <w:szCs w:val="18"/>
        </w:rPr>
        <w:t>已</w:t>
      </w:r>
      <w:r w:rsidR="000367A6">
        <w:rPr>
          <w:rFonts w:ascii="Times New Roman" w:hAnsi="Times New Roman" w:hint="eastAsia"/>
          <w:sz w:val="18"/>
          <w:szCs w:val="18"/>
        </w:rPr>
        <w:t>于</w:t>
      </w:r>
      <w:r w:rsidRPr="0063248C">
        <w:rPr>
          <w:rFonts w:ascii="Times New Roman" w:hAnsi="Times New Roman" w:hint="eastAsia"/>
          <w:sz w:val="18"/>
          <w:szCs w:val="18"/>
        </w:rPr>
        <w:t>5</w:t>
      </w:r>
      <w:r w:rsidRPr="0063248C">
        <w:rPr>
          <w:rFonts w:ascii="Times New Roman" w:hAnsi="Times New Roman" w:hint="eastAsia"/>
          <w:sz w:val="18"/>
          <w:szCs w:val="18"/>
        </w:rPr>
        <w:t>月</w:t>
      </w:r>
      <w:r w:rsidRPr="0063248C">
        <w:rPr>
          <w:rFonts w:ascii="Times New Roman" w:hAnsi="Times New Roman" w:hint="eastAsia"/>
          <w:sz w:val="18"/>
          <w:szCs w:val="18"/>
        </w:rPr>
        <w:t>11</w:t>
      </w:r>
      <w:r w:rsidRPr="0063248C">
        <w:rPr>
          <w:rFonts w:ascii="Times New Roman" w:hAnsi="Times New Roman" w:hint="eastAsia"/>
          <w:sz w:val="18"/>
          <w:szCs w:val="18"/>
        </w:rPr>
        <w:t>日建成投入使用。</w:t>
      </w:r>
    </w:p>
    <w:p w14:paraId="66299806" w14:textId="0E330368" w:rsidR="00517D34" w:rsidRPr="0063248C" w:rsidRDefault="00000000" w:rsidP="000367A6">
      <w:pPr>
        <w:pStyle w:val="a3"/>
        <w:spacing w:before="40" w:beforeAutospacing="0" w:after="40" w:afterAutospacing="0"/>
        <w:ind w:firstLine="360"/>
        <w:jc w:val="both"/>
        <w:divId w:val="1899634379"/>
        <w:rPr>
          <w:rFonts w:ascii="Times New Roman" w:hAnsi="Times New Roman"/>
        </w:rPr>
      </w:pPr>
      <w:r w:rsidRPr="0063248C">
        <w:rPr>
          <w:rFonts w:ascii="Times New Roman" w:hAnsi="Times New Roman" w:hint="eastAsia"/>
          <w:sz w:val="18"/>
          <w:szCs w:val="18"/>
        </w:rPr>
        <w:lastRenderedPageBreak/>
        <w:t>山东龙大美食股份有限公司、河南龙大牧原肉食品有限公司、聊城龙大肉食品有限公司、潍坊振</w:t>
      </w:r>
      <w:proofErr w:type="gramStart"/>
      <w:r w:rsidRPr="0063248C">
        <w:rPr>
          <w:rFonts w:ascii="Times New Roman" w:hAnsi="Times New Roman" w:hint="eastAsia"/>
          <w:sz w:val="18"/>
          <w:szCs w:val="18"/>
        </w:rPr>
        <w:t>祥</w:t>
      </w:r>
      <w:proofErr w:type="gramEnd"/>
      <w:r w:rsidRPr="0063248C">
        <w:rPr>
          <w:rFonts w:ascii="Times New Roman" w:hAnsi="Times New Roman" w:hint="eastAsia"/>
          <w:sz w:val="18"/>
          <w:szCs w:val="18"/>
        </w:rPr>
        <w:t>食品有限公司、黑龙江龙大肉食品有限公司、巴中龙大肉食品有限公司、蓬莱富龙肉食品有限公司</w:t>
      </w:r>
      <w:r w:rsidRPr="0063248C">
        <w:rPr>
          <w:rFonts w:ascii="Times New Roman" w:hAnsi="Times New Roman" w:hint="eastAsia"/>
          <w:sz w:val="18"/>
          <w:szCs w:val="18"/>
        </w:rPr>
        <w:t>2024</w:t>
      </w:r>
      <w:r w:rsidRPr="0063248C">
        <w:rPr>
          <w:rFonts w:ascii="Times New Roman" w:hAnsi="Times New Roman" w:hint="eastAsia"/>
          <w:sz w:val="18"/>
          <w:szCs w:val="18"/>
        </w:rPr>
        <w:t>年上半年均已按相关规定足额缴纳环境保护税。</w:t>
      </w:r>
    </w:p>
    <w:p w14:paraId="64BA0953" w14:textId="77777777" w:rsidR="007B3DB2" w:rsidRPr="0063248C" w:rsidRDefault="00000000">
      <w:pPr>
        <w:spacing w:before="100" w:after="100" w:line="240" w:lineRule="exact"/>
        <w:rPr>
          <w:rFonts w:cs="宋体"/>
          <w:sz w:val="18"/>
          <w:szCs w:val="18"/>
        </w:rPr>
      </w:pPr>
      <w:r w:rsidRPr="0063248C">
        <w:rPr>
          <w:rFonts w:cs="宋体"/>
          <w:sz w:val="18"/>
          <w:szCs w:val="18"/>
        </w:rPr>
        <w:t>环境自行监测方案</w:t>
      </w:r>
    </w:p>
    <w:p w14:paraId="5004AB9D" w14:textId="77777777" w:rsidR="00517D34" w:rsidRPr="0063248C" w:rsidRDefault="00000000">
      <w:pPr>
        <w:pStyle w:val="a3"/>
        <w:spacing w:before="0" w:beforeAutospacing="0" w:after="0" w:afterAutospacing="0"/>
        <w:ind w:firstLine="360"/>
        <w:divId w:val="1586374249"/>
        <w:rPr>
          <w:rFonts w:ascii="Times New Roman" w:hAnsi="Times New Roman"/>
          <w:sz w:val="21"/>
          <w:szCs w:val="21"/>
        </w:rPr>
      </w:pPr>
      <w:r w:rsidRPr="0063248C">
        <w:rPr>
          <w:rFonts w:ascii="Times New Roman" w:hAnsi="Times New Roman" w:hint="eastAsia"/>
          <w:sz w:val="18"/>
          <w:szCs w:val="18"/>
        </w:rPr>
        <w:t>山东龙大美食股份有限公司、潍坊振</w:t>
      </w:r>
      <w:proofErr w:type="gramStart"/>
      <w:r w:rsidRPr="0063248C">
        <w:rPr>
          <w:rFonts w:ascii="Times New Roman" w:hAnsi="Times New Roman" w:hint="eastAsia"/>
          <w:sz w:val="18"/>
          <w:szCs w:val="18"/>
        </w:rPr>
        <w:t>祥</w:t>
      </w:r>
      <w:proofErr w:type="gramEnd"/>
      <w:r w:rsidRPr="0063248C">
        <w:rPr>
          <w:rFonts w:ascii="Times New Roman" w:hAnsi="Times New Roman" w:hint="eastAsia"/>
          <w:sz w:val="18"/>
          <w:szCs w:val="18"/>
        </w:rPr>
        <w:t>食品有限公司、聊城龙大肉食品有限公司、河南龙大牧原肉食品有限公司、蓬莱富龙肉食品有限公司、黑龙江龙大肉食品有限公司、江苏龙大沁侬食品有限公司灌云生猪屠宰项目、巴中龙大肉食品有限公司均严格遵守国家及地方法律、法规和相关规定，并由公司委托第三方定期对公司排放污染物进行监测，均设置有污水排口污染源在线监测监控系统。</w:t>
      </w:r>
    </w:p>
    <w:p w14:paraId="5E38868B" w14:textId="77777777" w:rsidR="007B3DB2" w:rsidRPr="0063248C" w:rsidRDefault="00000000">
      <w:pPr>
        <w:spacing w:before="100" w:after="100" w:line="240" w:lineRule="exact"/>
        <w:rPr>
          <w:rFonts w:cs="宋体"/>
          <w:sz w:val="18"/>
          <w:szCs w:val="18"/>
        </w:rPr>
      </w:pPr>
      <w:r w:rsidRPr="0063248C">
        <w:rPr>
          <w:rFonts w:cs="宋体"/>
          <w:sz w:val="18"/>
          <w:szCs w:val="18"/>
        </w:rPr>
        <w:t>报告期内因环境问题受到行政处罚的情况</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firstRow="0" w:lastRow="0" w:firstColumn="0" w:lastColumn="0" w:noHBand="0" w:noVBand="0"/>
      </w:tblPr>
      <w:tblGrid>
        <w:gridCol w:w="1641"/>
        <w:gridCol w:w="1642"/>
        <w:gridCol w:w="1642"/>
        <w:gridCol w:w="1643"/>
        <w:gridCol w:w="1643"/>
        <w:gridCol w:w="1642"/>
      </w:tblGrid>
      <w:tr w:rsidR="007B3DB2" w:rsidRPr="0063248C" w14:paraId="6C7BFFEE" w14:textId="77777777" w:rsidTr="006709E7">
        <w:trPr>
          <w:trHeight w:val="240"/>
        </w:trPr>
        <w:tc>
          <w:tcPr>
            <w:tcW w:w="833" w:type="pct"/>
            <w:tcBorders>
              <w:top w:val="single" w:sz="2" w:space="0" w:color="auto"/>
              <w:left w:val="single" w:sz="2" w:space="0" w:color="auto"/>
              <w:bottom w:val="single" w:sz="2" w:space="0" w:color="auto"/>
              <w:right w:val="single" w:sz="2" w:space="0" w:color="auto"/>
            </w:tcBorders>
            <w:shd w:val="clear" w:color="auto" w:fill="D3D3D3"/>
            <w:vAlign w:val="center"/>
          </w:tcPr>
          <w:p w14:paraId="398E5A8A" w14:textId="77777777" w:rsidR="007B3DB2" w:rsidRPr="0063248C" w:rsidRDefault="00000000">
            <w:pPr>
              <w:spacing w:before="40" w:after="40" w:line="240" w:lineRule="exact"/>
              <w:jc w:val="center"/>
              <w:rPr>
                <w:rFonts w:cs="宋体"/>
                <w:sz w:val="18"/>
                <w:szCs w:val="18"/>
              </w:rPr>
            </w:pPr>
            <w:r w:rsidRPr="0063248C">
              <w:rPr>
                <w:rFonts w:cs="宋体"/>
                <w:sz w:val="18"/>
                <w:szCs w:val="18"/>
              </w:rPr>
              <w:t>公司或子公司名称</w:t>
            </w:r>
          </w:p>
        </w:tc>
        <w:tc>
          <w:tcPr>
            <w:tcW w:w="833" w:type="pct"/>
            <w:tcBorders>
              <w:top w:val="single" w:sz="2" w:space="0" w:color="auto"/>
              <w:left w:val="single" w:sz="2" w:space="0" w:color="auto"/>
              <w:bottom w:val="single" w:sz="2" w:space="0" w:color="auto"/>
              <w:right w:val="single" w:sz="2" w:space="0" w:color="auto"/>
            </w:tcBorders>
            <w:shd w:val="clear" w:color="auto" w:fill="D3D3D3"/>
            <w:vAlign w:val="center"/>
          </w:tcPr>
          <w:p w14:paraId="25342405" w14:textId="77777777" w:rsidR="007B3DB2" w:rsidRPr="0063248C" w:rsidRDefault="00000000">
            <w:pPr>
              <w:spacing w:before="40" w:after="40" w:line="240" w:lineRule="exact"/>
              <w:jc w:val="center"/>
              <w:rPr>
                <w:rFonts w:cs="宋体"/>
                <w:sz w:val="18"/>
                <w:szCs w:val="18"/>
              </w:rPr>
            </w:pPr>
            <w:r w:rsidRPr="0063248C">
              <w:rPr>
                <w:rFonts w:cs="宋体"/>
                <w:sz w:val="18"/>
                <w:szCs w:val="18"/>
              </w:rPr>
              <w:t>处罚原因</w:t>
            </w:r>
          </w:p>
        </w:tc>
        <w:tc>
          <w:tcPr>
            <w:tcW w:w="833" w:type="pct"/>
            <w:tcBorders>
              <w:top w:val="single" w:sz="2" w:space="0" w:color="auto"/>
              <w:left w:val="single" w:sz="2" w:space="0" w:color="auto"/>
              <w:bottom w:val="single" w:sz="2" w:space="0" w:color="auto"/>
              <w:right w:val="single" w:sz="2" w:space="0" w:color="auto"/>
            </w:tcBorders>
            <w:shd w:val="clear" w:color="auto" w:fill="D3D3D3"/>
            <w:vAlign w:val="center"/>
          </w:tcPr>
          <w:p w14:paraId="5C569D05" w14:textId="77777777" w:rsidR="007B3DB2" w:rsidRPr="0063248C" w:rsidRDefault="00000000">
            <w:pPr>
              <w:spacing w:before="40" w:after="40" w:line="240" w:lineRule="exact"/>
              <w:jc w:val="center"/>
              <w:rPr>
                <w:rFonts w:cs="宋体"/>
                <w:sz w:val="18"/>
                <w:szCs w:val="18"/>
              </w:rPr>
            </w:pPr>
            <w:r w:rsidRPr="0063248C">
              <w:rPr>
                <w:rFonts w:cs="宋体"/>
                <w:sz w:val="18"/>
                <w:szCs w:val="18"/>
              </w:rPr>
              <w:t>违规情形</w:t>
            </w:r>
          </w:p>
        </w:tc>
        <w:tc>
          <w:tcPr>
            <w:tcW w:w="834" w:type="pct"/>
            <w:tcBorders>
              <w:top w:val="single" w:sz="2" w:space="0" w:color="auto"/>
              <w:left w:val="single" w:sz="2" w:space="0" w:color="auto"/>
              <w:bottom w:val="single" w:sz="2" w:space="0" w:color="auto"/>
              <w:right w:val="single" w:sz="2" w:space="0" w:color="auto"/>
            </w:tcBorders>
            <w:shd w:val="clear" w:color="auto" w:fill="D3D3D3"/>
            <w:vAlign w:val="center"/>
          </w:tcPr>
          <w:p w14:paraId="01D2B46B" w14:textId="77777777" w:rsidR="007B3DB2" w:rsidRPr="0063248C" w:rsidRDefault="00000000">
            <w:pPr>
              <w:spacing w:before="40" w:after="40" w:line="240" w:lineRule="exact"/>
              <w:jc w:val="center"/>
              <w:rPr>
                <w:rFonts w:cs="宋体"/>
                <w:sz w:val="18"/>
                <w:szCs w:val="18"/>
              </w:rPr>
            </w:pPr>
            <w:r w:rsidRPr="0063248C">
              <w:rPr>
                <w:rFonts w:cs="宋体"/>
                <w:sz w:val="18"/>
                <w:szCs w:val="18"/>
              </w:rPr>
              <w:t>处罚结果</w:t>
            </w:r>
          </w:p>
        </w:tc>
        <w:tc>
          <w:tcPr>
            <w:tcW w:w="834" w:type="pct"/>
            <w:tcBorders>
              <w:top w:val="single" w:sz="2" w:space="0" w:color="auto"/>
              <w:left w:val="single" w:sz="2" w:space="0" w:color="auto"/>
              <w:bottom w:val="single" w:sz="2" w:space="0" w:color="auto"/>
              <w:right w:val="single" w:sz="2" w:space="0" w:color="auto"/>
            </w:tcBorders>
            <w:shd w:val="clear" w:color="auto" w:fill="D3D3D3"/>
            <w:vAlign w:val="center"/>
          </w:tcPr>
          <w:p w14:paraId="0B601A0E" w14:textId="77777777" w:rsidR="007B3DB2" w:rsidRPr="0063248C" w:rsidRDefault="00000000">
            <w:pPr>
              <w:spacing w:before="40" w:after="40" w:line="240" w:lineRule="exact"/>
              <w:jc w:val="center"/>
              <w:rPr>
                <w:rFonts w:cs="宋体"/>
                <w:sz w:val="18"/>
                <w:szCs w:val="18"/>
              </w:rPr>
            </w:pPr>
            <w:r w:rsidRPr="0063248C">
              <w:rPr>
                <w:rFonts w:cs="宋体"/>
                <w:sz w:val="18"/>
                <w:szCs w:val="18"/>
              </w:rPr>
              <w:t>对上市公司生产经营的影响</w:t>
            </w:r>
          </w:p>
        </w:tc>
        <w:tc>
          <w:tcPr>
            <w:tcW w:w="834" w:type="pct"/>
            <w:tcBorders>
              <w:top w:val="single" w:sz="2" w:space="0" w:color="auto"/>
              <w:left w:val="single" w:sz="2" w:space="0" w:color="auto"/>
              <w:bottom w:val="single" w:sz="2" w:space="0" w:color="auto"/>
              <w:right w:val="single" w:sz="2" w:space="0" w:color="auto"/>
            </w:tcBorders>
            <w:shd w:val="clear" w:color="auto" w:fill="D3D3D3"/>
            <w:vAlign w:val="center"/>
          </w:tcPr>
          <w:p w14:paraId="00D452E0" w14:textId="77777777" w:rsidR="007B3DB2" w:rsidRPr="0063248C" w:rsidRDefault="00000000">
            <w:pPr>
              <w:spacing w:before="40" w:after="40" w:line="240" w:lineRule="exact"/>
              <w:jc w:val="center"/>
              <w:rPr>
                <w:rFonts w:cs="宋体"/>
                <w:sz w:val="18"/>
                <w:szCs w:val="18"/>
              </w:rPr>
            </w:pPr>
            <w:r w:rsidRPr="0063248C">
              <w:rPr>
                <w:rFonts w:cs="宋体"/>
                <w:sz w:val="18"/>
                <w:szCs w:val="18"/>
              </w:rPr>
              <w:t>公司的整改措施</w:t>
            </w:r>
          </w:p>
        </w:tc>
      </w:tr>
      <w:tr w:rsidR="007B3DB2" w:rsidRPr="0063248C" w14:paraId="26DFFD15" w14:textId="77777777" w:rsidTr="006709E7">
        <w:trPr>
          <w:trHeight w:val="240"/>
        </w:trPr>
        <w:tc>
          <w:tcPr>
            <w:tcW w:w="833" w:type="pct"/>
            <w:tcBorders>
              <w:top w:val="single" w:sz="2" w:space="0" w:color="auto"/>
              <w:left w:val="single" w:sz="2" w:space="0" w:color="auto"/>
              <w:bottom w:val="single" w:sz="2" w:space="0" w:color="auto"/>
              <w:right w:val="single" w:sz="2" w:space="0" w:color="auto"/>
            </w:tcBorders>
            <w:vAlign w:val="center"/>
          </w:tcPr>
          <w:p w14:paraId="6C16309E" w14:textId="77777777" w:rsidR="007B3DB2" w:rsidRPr="0063248C" w:rsidRDefault="00000000">
            <w:pPr>
              <w:spacing w:line="240" w:lineRule="exact"/>
              <w:rPr>
                <w:rFonts w:cs="宋体"/>
                <w:sz w:val="18"/>
                <w:szCs w:val="18"/>
              </w:rPr>
            </w:pPr>
            <w:r w:rsidRPr="0063248C">
              <w:rPr>
                <w:rFonts w:cs="宋体"/>
                <w:sz w:val="18"/>
                <w:szCs w:val="18"/>
              </w:rPr>
              <w:t>蓬莱富龙肉食品有限公司</w:t>
            </w:r>
          </w:p>
        </w:tc>
        <w:tc>
          <w:tcPr>
            <w:tcW w:w="833" w:type="pct"/>
            <w:tcBorders>
              <w:top w:val="single" w:sz="2" w:space="0" w:color="auto"/>
              <w:left w:val="single" w:sz="2" w:space="0" w:color="auto"/>
              <w:bottom w:val="single" w:sz="2" w:space="0" w:color="auto"/>
              <w:right w:val="single" w:sz="2" w:space="0" w:color="auto"/>
            </w:tcBorders>
            <w:vAlign w:val="center"/>
          </w:tcPr>
          <w:p w14:paraId="2A54161C" w14:textId="77777777" w:rsidR="007B3DB2" w:rsidRPr="0063248C" w:rsidRDefault="00000000">
            <w:pPr>
              <w:spacing w:line="240" w:lineRule="exact"/>
              <w:rPr>
                <w:rFonts w:cs="宋体"/>
                <w:sz w:val="18"/>
                <w:szCs w:val="18"/>
              </w:rPr>
            </w:pPr>
            <w:r w:rsidRPr="0063248C">
              <w:rPr>
                <w:rFonts w:cs="宋体"/>
                <w:sz w:val="18"/>
                <w:szCs w:val="18"/>
              </w:rPr>
              <w:t>排污监测设备监测数据不准确</w:t>
            </w:r>
          </w:p>
        </w:tc>
        <w:tc>
          <w:tcPr>
            <w:tcW w:w="833" w:type="pct"/>
            <w:tcBorders>
              <w:top w:val="single" w:sz="2" w:space="0" w:color="auto"/>
              <w:left w:val="single" w:sz="2" w:space="0" w:color="auto"/>
              <w:bottom w:val="single" w:sz="2" w:space="0" w:color="auto"/>
              <w:right w:val="single" w:sz="2" w:space="0" w:color="auto"/>
            </w:tcBorders>
            <w:vAlign w:val="center"/>
          </w:tcPr>
          <w:p w14:paraId="76E0FB9F" w14:textId="77777777" w:rsidR="007B3DB2" w:rsidRPr="0063248C" w:rsidRDefault="00000000">
            <w:pPr>
              <w:spacing w:line="240" w:lineRule="exact"/>
              <w:rPr>
                <w:rFonts w:cs="宋体"/>
                <w:sz w:val="18"/>
                <w:szCs w:val="18"/>
              </w:rPr>
            </w:pPr>
            <w:r w:rsidRPr="0063248C">
              <w:rPr>
                <w:rFonts w:cs="宋体"/>
                <w:sz w:val="18"/>
                <w:szCs w:val="18"/>
              </w:rPr>
              <w:t>违反了《中华人民共和国水污染防治法》第三十九条的规定</w:t>
            </w:r>
          </w:p>
        </w:tc>
        <w:tc>
          <w:tcPr>
            <w:tcW w:w="834" w:type="pct"/>
            <w:tcBorders>
              <w:top w:val="single" w:sz="2" w:space="0" w:color="auto"/>
              <w:left w:val="single" w:sz="2" w:space="0" w:color="auto"/>
              <w:bottom w:val="single" w:sz="2" w:space="0" w:color="auto"/>
              <w:right w:val="single" w:sz="2" w:space="0" w:color="auto"/>
            </w:tcBorders>
            <w:vAlign w:val="center"/>
          </w:tcPr>
          <w:p w14:paraId="3021FF98" w14:textId="77777777" w:rsidR="007B3DB2" w:rsidRPr="0063248C" w:rsidRDefault="00000000">
            <w:pPr>
              <w:spacing w:line="240" w:lineRule="exact"/>
              <w:rPr>
                <w:rFonts w:cs="宋体"/>
                <w:sz w:val="18"/>
                <w:szCs w:val="18"/>
              </w:rPr>
            </w:pPr>
            <w:r w:rsidRPr="0063248C">
              <w:rPr>
                <w:rFonts w:cs="宋体"/>
                <w:sz w:val="18"/>
                <w:szCs w:val="18"/>
              </w:rPr>
              <w:t>责令改正</w:t>
            </w:r>
          </w:p>
        </w:tc>
        <w:tc>
          <w:tcPr>
            <w:tcW w:w="834" w:type="pct"/>
            <w:tcBorders>
              <w:top w:val="single" w:sz="2" w:space="0" w:color="auto"/>
              <w:left w:val="single" w:sz="2" w:space="0" w:color="auto"/>
              <w:bottom w:val="single" w:sz="2" w:space="0" w:color="auto"/>
              <w:right w:val="single" w:sz="2" w:space="0" w:color="auto"/>
            </w:tcBorders>
            <w:vAlign w:val="center"/>
          </w:tcPr>
          <w:p w14:paraId="23573560" w14:textId="77777777" w:rsidR="007B3DB2" w:rsidRPr="0063248C" w:rsidRDefault="00000000">
            <w:pPr>
              <w:spacing w:line="240" w:lineRule="exact"/>
              <w:rPr>
                <w:rFonts w:cs="宋体"/>
                <w:sz w:val="18"/>
                <w:szCs w:val="18"/>
              </w:rPr>
            </w:pPr>
            <w:r w:rsidRPr="0063248C">
              <w:rPr>
                <w:rFonts w:cs="宋体"/>
                <w:sz w:val="18"/>
                <w:szCs w:val="18"/>
              </w:rPr>
              <w:t>无重大影响</w:t>
            </w:r>
          </w:p>
        </w:tc>
        <w:tc>
          <w:tcPr>
            <w:tcW w:w="834" w:type="pct"/>
            <w:tcBorders>
              <w:top w:val="single" w:sz="2" w:space="0" w:color="auto"/>
              <w:left w:val="single" w:sz="2" w:space="0" w:color="auto"/>
              <w:bottom w:val="single" w:sz="2" w:space="0" w:color="auto"/>
              <w:right w:val="single" w:sz="2" w:space="0" w:color="auto"/>
            </w:tcBorders>
            <w:vAlign w:val="center"/>
          </w:tcPr>
          <w:p w14:paraId="63A75E78" w14:textId="77777777" w:rsidR="007B3DB2" w:rsidRPr="0063248C" w:rsidRDefault="00000000">
            <w:pPr>
              <w:spacing w:line="240" w:lineRule="exact"/>
              <w:rPr>
                <w:rFonts w:cs="宋体"/>
                <w:sz w:val="18"/>
                <w:szCs w:val="18"/>
              </w:rPr>
            </w:pPr>
            <w:r w:rsidRPr="0063248C">
              <w:rPr>
                <w:rFonts w:cs="宋体"/>
                <w:sz w:val="18"/>
                <w:szCs w:val="18"/>
              </w:rPr>
              <w:t>对工厂生产运营的环保设备及环保设备相关设施进行检修、维护、升级，并增设了四级稳定塘，确保废水的排放水平符合国家和地方的标准。</w:t>
            </w:r>
          </w:p>
        </w:tc>
      </w:tr>
    </w:tbl>
    <w:p w14:paraId="79FCE026" w14:textId="77777777" w:rsidR="007B3DB2" w:rsidRPr="0063248C" w:rsidRDefault="00000000">
      <w:pPr>
        <w:spacing w:before="100" w:after="100" w:line="240" w:lineRule="exact"/>
        <w:rPr>
          <w:rFonts w:cs="宋体"/>
          <w:sz w:val="18"/>
          <w:szCs w:val="18"/>
        </w:rPr>
      </w:pPr>
      <w:r w:rsidRPr="0063248C">
        <w:rPr>
          <w:rFonts w:cs="宋体"/>
          <w:sz w:val="18"/>
          <w:szCs w:val="18"/>
        </w:rPr>
        <w:t>其他应当公开的环境信息</w:t>
      </w:r>
    </w:p>
    <w:p w14:paraId="7530039E" w14:textId="77777777" w:rsidR="00517D34" w:rsidRPr="0063248C" w:rsidRDefault="00000000">
      <w:pPr>
        <w:pStyle w:val="a3"/>
        <w:divId w:val="464586877"/>
        <w:rPr>
          <w:rFonts w:ascii="Times New Roman" w:hAnsi="Times New Roman"/>
          <w:sz w:val="18"/>
          <w:szCs w:val="18"/>
        </w:rPr>
      </w:pPr>
      <w:r w:rsidRPr="0063248C">
        <w:rPr>
          <w:rFonts w:ascii="Times New Roman" w:hAnsi="Times New Roman" w:hint="eastAsia"/>
          <w:sz w:val="18"/>
          <w:szCs w:val="18"/>
        </w:rPr>
        <w:t>无</w:t>
      </w:r>
    </w:p>
    <w:p w14:paraId="4E07C14E" w14:textId="77777777" w:rsidR="007B3DB2" w:rsidRPr="0063248C" w:rsidRDefault="00000000">
      <w:pPr>
        <w:spacing w:before="100" w:after="100" w:line="240" w:lineRule="exact"/>
        <w:rPr>
          <w:rFonts w:cs="宋体"/>
          <w:sz w:val="18"/>
          <w:szCs w:val="18"/>
        </w:rPr>
      </w:pPr>
      <w:r w:rsidRPr="0063248C">
        <w:rPr>
          <w:rFonts w:cs="宋体"/>
          <w:sz w:val="18"/>
          <w:szCs w:val="18"/>
        </w:rPr>
        <w:t>在报告期内为减少其碳排放所采取的措施及效果</w:t>
      </w:r>
    </w:p>
    <w:p w14:paraId="1A8F9F63"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12E24879" w14:textId="5523967B" w:rsidR="00517D34" w:rsidRPr="0063248C" w:rsidRDefault="00000000">
      <w:pPr>
        <w:pStyle w:val="a3"/>
        <w:spacing w:before="40" w:beforeAutospacing="0" w:after="40" w:afterAutospacing="0"/>
        <w:ind w:firstLine="360"/>
        <w:jc w:val="both"/>
        <w:divId w:val="483862633"/>
        <w:rPr>
          <w:rFonts w:ascii="Times New Roman" w:hAnsi="Times New Roman"/>
        </w:rPr>
      </w:pPr>
      <w:r w:rsidRPr="0063248C">
        <w:rPr>
          <w:rFonts w:ascii="Times New Roman" w:hAnsi="Times New Roman" w:hint="eastAsia"/>
          <w:sz w:val="18"/>
          <w:szCs w:val="18"/>
        </w:rPr>
        <w:t>潍坊振</w:t>
      </w:r>
      <w:proofErr w:type="gramStart"/>
      <w:r w:rsidRPr="0063248C">
        <w:rPr>
          <w:rFonts w:ascii="Times New Roman" w:hAnsi="Times New Roman" w:hint="eastAsia"/>
          <w:sz w:val="18"/>
          <w:szCs w:val="18"/>
        </w:rPr>
        <w:t>祥</w:t>
      </w:r>
      <w:proofErr w:type="gramEnd"/>
      <w:r w:rsidRPr="0063248C">
        <w:rPr>
          <w:rFonts w:ascii="Times New Roman" w:hAnsi="Times New Roman" w:hint="eastAsia"/>
          <w:sz w:val="18"/>
          <w:szCs w:val="18"/>
        </w:rPr>
        <w:t>食品有限公司利用车间屋面等安装光伏发电设备，装机容量</w:t>
      </w:r>
      <w:r w:rsidRPr="0063248C">
        <w:rPr>
          <w:rFonts w:ascii="Times New Roman" w:hAnsi="Times New Roman" w:hint="eastAsia"/>
          <w:sz w:val="18"/>
          <w:szCs w:val="18"/>
        </w:rPr>
        <w:t>520kW</w:t>
      </w:r>
      <w:r w:rsidRPr="0063248C">
        <w:rPr>
          <w:rFonts w:ascii="Times New Roman" w:hAnsi="Times New Roman" w:hint="eastAsia"/>
          <w:sz w:val="18"/>
          <w:szCs w:val="18"/>
        </w:rPr>
        <w:t>，</w:t>
      </w:r>
      <w:r w:rsidRPr="0063248C">
        <w:rPr>
          <w:rFonts w:ascii="Times New Roman" w:hAnsi="Times New Roman" w:hint="eastAsia"/>
          <w:sz w:val="18"/>
          <w:szCs w:val="18"/>
        </w:rPr>
        <w:t>2024</w:t>
      </w:r>
      <w:r w:rsidRPr="0063248C">
        <w:rPr>
          <w:rFonts w:ascii="Times New Roman" w:hAnsi="Times New Roman" w:hint="eastAsia"/>
          <w:sz w:val="18"/>
          <w:szCs w:val="18"/>
        </w:rPr>
        <w:t>年上半年光伏发电量</w:t>
      </w:r>
      <w:r w:rsidRPr="0063248C">
        <w:rPr>
          <w:rFonts w:ascii="Times New Roman" w:hAnsi="Times New Roman" w:hint="eastAsia"/>
          <w:sz w:val="18"/>
          <w:szCs w:val="18"/>
        </w:rPr>
        <w:t>319</w:t>
      </w:r>
      <w:r w:rsidR="000367A6">
        <w:rPr>
          <w:rFonts w:ascii="Times New Roman" w:hAnsi="Times New Roman" w:hint="eastAsia"/>
          <w:sz w:val="18"/>
          <w:szCs w:val="18"/>
        </w:rPr>
        <w:t>,</w:t>
      </w:r>
      <w:r w:rsidRPr="0063248C">
        <w:rPr>
          <w:rFonts w:ascii="Times New Roman" w:hAnsi="Times New Roman" w:hint="eastAsia"/>
          <w:sz w:val="18"/>
          <w:szCs w:val="18"/>
        </w:rPr>
        <w:t>812 kwh</w:t>
      </w:r>
      <w:r w:rsidRPr="0063248C">
        <w:rPr>
          <w:rFonts w:ascii="Times New Roman" w:hAnsi="Times New Roman" w:hint="eastAsia"/>
          <w:sz w:val="18"/>
          <w:szCs w:val="18"/>
        </w:rPr>
        <w:t>；河南龙大牧原肉食品有限公司光伏发电装机容量</w:t>
      </w:r>
      <w:r w:rsidRPr="0063248C">
        <w:rPr>
          <w:rFonts w:ascii="Times New Roman" w:hAnsi="Times New Roman" w:hint="eastAsia"/>
          <w:sz w:val="18"/>
          <w:szCs w:val="18"/>
        </w:rPr>
        <w:t>2.290MW</w:t>
      </w:r>
      <w:r w:rsidRPr="0063248C">
        <w:rPr>
          <w:rFonts w:ascii="Times New Roman" w:hAnsi="Times New Roman" w:hint="eastAsia"/>
          <w:sz w:val="18"/>
          <w:szCs w:val="18"/>
        </w:rPr>
        <w:t>，</w:t>
      </w:r>
      <w:r w:rsidRPr="0063248C">
        <w:rPr>
          <w:rFonts w:ascii="Times New Roman" w:hAnsi="Times New Roman" w:hint="eastAsia"/>
          <w:sz w:val="18"/>
          <w:szCs w:val="18"/>
        </w:rPr>
        <w:t>2024</w:t>
      </w:r>
      <w:r w:rsidRPr="0063248C">
        <w:rPr>
          <w:rFonts w:ascii="Times New Roman" w:hAnsi="Times New Roman" w:hint="eastAsia"/>
          <w:sz w:val="18"/>
          <w:szCs w:val="18"/>
        </w:rPr>
        <w:t>年上半年</w:t>
      </w:r>
      <w:r w:rsidRPr="0063248C">
        <w:rPr>
          <w:rFonts w:ascii="Times New Roman" w:hAnsi="Times New Roman" w:hint="eastAsia"/>
          <w:sz w:val="18"/>
          <w:szCs w:val="18"/>
        </w:rPr>
        <w:t>1</w:t>
      </w:r>
      <w:r w:rsidRPr="0063248C">
        <w:rPr>
          <w:rFonts w:ascii="Times New Roman" w:hAnsi="Times New Roman" w:hint="eastAsia"/>
          <w:sz w:val="18"/>
          <w:szCs w:val="18"/>
        </w:rPr>
        <w:t>～</w:t>
      </w:r>
      <w:r w:rsidRPr="0063248C">
        <w:rPr>
          <w:rFonts w:ascii="Times New Roman" w:hAnsi="Times New Roman" w:hint="eastAsia"/>
          <w:sz w:val="18"/>
          <w:szCs w:val="18"/>
        </w:rPr>
        <w:t>6</w:t>
      </w:r>
      <w:r w:rsidRPr="0063248C">
        <w:rPr>
          <w:rFonts w:ascii="Times New Roman" w:hAnsi="Times New Roman" w:hint="eastAsia"/>
          <w:sz w:val="18"/>
          <w:szCs w:val="18"/>
        </w:rPr>
        <w:t>月份光伏发电量</w:t>
      </w:r>
      <w:r w:rsidRPr="0063248C">
        <w:rPr>
          <w:rFonts w:ascii="Times New Roman" w:hAnsi="Times New Roman" w:hint="eastAsia"/>
          <w:sz w:val="18"/>
          <w:szCs w:val="18"/>
        </w:rPr>
        <w:t>1</w:t>
      </w:r>
      <w:r w:rsidR="000367A6">
        <w:rPr>
          <w:rFonts w:ascii="Times New Roman" w:hAnsi="Times New Roman" w:hint="eastAsia"/>
          <w:sz w:val="18"/>
          <w:szCs w:val="18"/>
        </w:rPr>
        <w:t>,</w:t>
      </w:r>
      <w:r w:rsidRPr="0063248C">
        <w:rPr>
          <w:rFonts w:ascii="Times New Roman" w:hAnsi="Times New Roman" w:hint="eastAsia"/>
          <w:sz w:val="18"/>
          <w:szCs w:val="18"/>
        </w:rPr>
        <w:t>196</w:t>
      </w:r>
      <w:r w:rsidR="000367A6">
        <w:rPr>
          <w:rFonts w:ascii="Times New Roman" w:hAnsi="Times New Roman" w:hint="eastAsia"/>
          <w:sz w:val="18"/>
          <w:szCs w:val="18"/>
        </w:rPr>
        <w:t>,</w:t>
      </w:r>
      <w:r w:rsidRPr="0063248C">
        <w:rPr>
          <w:rFonts w:ascii="Times New Roman" w:hAnsi="Times New Roman" w:hint="eastAsia"/>
          <w:sz w:val="18"/>
          <w:szCs w:val="18"/>
        </w:rPr>
        <w:t>572.8kWh</w:t>
      </w:r>
      <w:r w:rsidRPr="0063248C">
        <w:rPr>
          <w:rFonts w:ascii="Times New Roman" w:hAnsi="Times New Roman" w:hint="eastAsia"/>
          <w:sz w:val="18"/>
          <w:szCs w:val="18"/>
        </w:rPr>
        <w:t>；聊城龙大肉食品有限公司利用车间屋面等安装光伏发电设备，装机容量</w:t>
      </w:r>
      <w:r w:rsidRPr="0063248C">
        <w:rPr>
          <w:rFonts w:ascii="Times New Roman" w:hAnsi="Times New Roman" w:hint="eastAsia"/>
          <w:sz w:val="18"/>
          <w:szCs w:val="18"/>
        </w:rPr>
        <w:t>1.2</w:t>
      </w:r>
      <w:r w:rsidRPr="0063248C">
        <w:rPr>
          <w:rFonts w:ascii="Times New Roman" w:hAnsi="Times New Roman" w:hint="eastAsia"/>
          <w:sz w:val="18"/>
          <w:szCs w:val="18"/>
        </w:rPr>
        <w:t>兆瓦，</w:t>
      </w:r>
      <w:r w:rsidRPr="0063248C">
        <w:rPr>
          <w:rFonts w:ascii="Times New Roman" w:hAnsi="Times New Roman" w:hint="eastAsia"/>
          <w:sz w:val="18"/>
          <w:szCs w:val="18"/>
        </w:rPr>
        <w:t>2024</w:t>
      </w:r>
      <w:r w:rsidRPr="0063248C">
        <w:rPr>
          <w:rFonts w:ascii="Times New Roman" w:hAnsi="Times New Roman" w:hint="eastAsia"/>
          <w:sz w:val="18"/>
          <w:szCs w:val="18"/>
        </w:rPr>
        <w:t>上半年年光伏发电量为</w:t>
      </w:r>
      <w:r w:rsidRPr="0063248C">
        <w:rPr>
          <w:rFonts w:ascii="Times New Roman" w:hAnsi="Times New Roman" w:hint="eastAsia"/>
          <w:sz w:val="18"/>
          <w:szCs w:val="18"/>
        </w:rPr>
        <w:t>494</w:t>
      </w:r>
      <w:r w:rsidR="000367A6">
        <w:rPr>
          <w:rFonts w:ascii="Times New Roman" w:hAnsi="Times New Roman" w:hint="eastAsia"/>
          <w:sz w:val="18"/>
          <w:szCs w:val="18"/>
        </w:rPr>
        <w:t>,</w:t>
      </w:r>
      <w:r w:rsidRPr="0063248C">
        <w:rPr>
          <w:rFonts w:ascii="Times New Roman" w:hAnsi="Times New Roman" w:hint="eastAsia"/>
          <w:sz w:val="18"/>
          <w:szCs w:val="18"/>
        </w:rPr>
        <w:t>520kWh</w:t>
      </w:r>
      <w:r w:rsidRPr="0063248C">
        <w:rPr>
          <w:rFonts w:ascii="Times New Roman" w:hAnsi="Times New Roman" w:hint="eastAsia"/>
          <w:sz w:val="18"/>
          <w:szCs w:val="18"/>
        </w:rPr>
        <w:t>，</w:t>
      </w:r>
      <w:r w:rsidRPr="0063248C">
        <w:rPr>
          <w:rFonts w:ascii="Times New Roman" w:hAnsi="Times New Roman" w:hint="eastAsia"/>
          <w:sz w:val="18"/>
          <w:szCs w:val="18"/>
        </w:rPr>
        <w:t>2024</w:t>
      </w:r>
      <w:r w:rsidRPr="0063248C">
        <w:rPr>
          <w:rFonts w:ascii="Times New Roman" w:hAnsi="Times New Roman" w:hint="eastAsia"/>
          <w:sz w:val="18"/>
          <w:szCs w:val="18"/>
        </w:rPr>
        <w:t>年</w:t>
      </w:r>
      <w:r w:rsidRPr="0063248C">
        <w:rPr>
          <w:rFonts w:ascii="Times New Roman" w:hAnsi="Times New Roman" w:hint="eastAsia"/>
          <w:sz w:val="18"/>
          <w:szCs w:val="18"/>
        </w:rPr>
        <w:t>1</w:t>
      </w:r>
      <w:r w:rsidRPr="0063248C">
        <w:rPr>
          <w:rFonts w:ascii="Times New Roman" w:hAnsi="Times New Roman" w:hint="eastAsia"/>
          <w:sz w:val="18"/>
          <w:szCs w:val="18"/>
        </w:rPr>
        <w:t>月</w:t>
      </w:r>
      <w:r w:rsidRPr="0063248C">
        <w:rPr>
          <w:rFonts w:ascii="Times New Roman" w:hAnsi="Times New Roman" w:hint="eastAsia"/>
          <w:sz w:val="18"/>
          <w:szCs w:val="18"/>
        </w:rPr>
        <w:t>8</w:t>
      </w:r>
      <w:r w:rsidRPr="0063248C">
        <w:rPr>
          <w:rFonts w:ascii="Times New Roman" w:hAnsi="Times New Roman" w:hint="eastAsia"/>
          <w:sz w:val="18"/>
          <w:szCs w:val="18"/>
        </w:rPr>
        <w:t>日投入使用。</w:t>
      </w:r>
    </w:p>
    <w:p w14:paraId="0E030395" w14:textId="77777777" w:rsidR="007B3DB2" w:rsidRPr="0063248C" w:rsidRDefault="00000000">
      <w:pPr>
        <w:spacing w:before="100" w:after="100" w:line="240" w:lineRule="exact"/>
        <w:rPr>
          <w:rFonts w:cs="宋体"/>
          <w:sz w:val="18"/>
          <w:szCs w:val="18"/>
        </w:rPr>
      </w:pPr>
      <w:r w:rsidRPr="0063248C">
        <w:rPr>
          <w:rFonts w:cs="宋体"/>
          <w:sz w:val="18"/>
          <w:szCs w:val="18"/>
        </w:rPr>
        <w:t>其他环保相关信息</w:t>
      </w:r>
    </w:p>
    <w:p w14:paraId="24AD1265" w14:textId="77777777" w:rsidR="00517D34" w:rsidRPr="0063248C" w:rsidRDefault="00000000">
      <w:pPr>
        <w:pStyle w:val="a3"/>
        <w:divId w:val="1209995311"/>
        <w:rPr>
          <w:rFonts w:ascii="Times New Roman" w:hAnsi="Times New Roman"/>
          <w:sz w:val="18"/>
          <w:szCs w:val="18"/>
        </w:rPr>
      </w:pPr>
      <w:r w:rsidRPr="0063248C">
        <w:rPr>
          <w:rFonts w:ascii="Times New Roman" w:hAnsi="Times New Roman" w:hint="eastAsia"/>
          <w:sz w:val="18"/>
          <w:szCs w:val="18"/>
        </w:rPr>
        <w:t>无</w:t>
      </w:r>
    </w:p>
    <w:p w14:paraId="1EA76710" w14:textId="77777777" w:rsidR="007B3DB2" w:rsidRPr="0063248C" w:rsidRDefault="00000000">
      <w:pPr>
        <w:pStyle w:val="2"/>
        <w:spacing w:before="300" w:after="300" w:line="320" w:lineRule="exact"/>
        <w:rPr>
          <w:rFonts w:cs="宋体"/>
          <w:b/>
          <w:bCs/>
          <w:sz w:val="24"/>
          <w:szCs w:val="24"/>
        </w:rPr>
      </w:pPr>
      <w:bookmarkStart w:id="50" w:name="_Toc988939"/>
      <w:r w:rsidRPr="0063248C">
        <w:rPr>
          <w:rFonts w:cs="宋体"/>
          <w:b/>
          <w:bCs/>
          <w:sz w:val="24"/>
          <w:szCs w:val="24"/>
        </w:rPr>
        <w:t>二、社会责任情况</w:t>
      </w:r>
      <w:bookmarkEnd w:id="50"/>
    </w:p>
    <w:p w14:paraId="17299766" w14:textId="77777777" w:rsidR="00517D34" w:rsidRPr="0063248C" w:rsidRDefault="00000000">
      <w:pPr>
        <w:pStyle w:val="a3"/>
        <w:spacing w:before="0" w:beforeAutospacing="0" w:after="0" w:afterAutospacing="0"/>
        <w:ind w:firstLine="360"/>
        <w:divId w:val="1996763452"/>
        <w:rPr>
          <w:rFonts w:ascii="Times New Roman" w:hAnsi="Times New Roman"/>
        </w:rPr>
      </w:pPr>
      <w:r w:rsidRPr="0063248C">
        <w:rPr>
          <w:rFonts w:ascii="Times New Roman" w:hAnsi="Times New Roman" w:hint="eastAsia"/>
          <w:sz w:val="18"/>
          <w:szCs w:val="18"/>
        </w:rPr>
        <w:t>报告期内，公司不断优化生产经营管理，积极开拓市场，在公司发展壮大的同时，积极履行社会责任。</w:t>
      </w:r>
    </w:p>
    <w:p w14:paraId="31A1DB94"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cs="Times New Roman"/>
          <w:sz w:val="18"/>
          <w:szCs w:val="18"/>
        </w:rPr>
        <w:t> 1</w:t>
      </w:r>
      <w:r w:rsidRPr="0063248C">
        <w:rPr>
          <w:rFonts w:ascii="Times New Roman" w:hAnsi="Times New Roman" w:hint="eastAsia"/>
          <w:sz w:val="18"/>
          <w:szCs w:val="18"/>
        </w:rPr>
        <w:t>、公司治理</w:t>
      </w:r>
    </w:p>
    <w:p w14:paraId="29718719"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t>公司按照《中华人民共和国公司法》、《中华人民共和国证券法》、《上市公司治理准则》和《深圳证券交易所股票上市规则》等法律、法规和规章的要求，建立了规范的公司治理结构，制定了符合公司发展的规则和制度，明确决策、执行、监督等方面的职责权限，形成了有效的职责分工和制衡机制，并不断完善和优化公司治理结构。股东大会、董事会和监事会，以及董事会下设的战略委员会、审计委员会、薪酬与考核委员会、提名委员会分别按其职责行使决策权、执行权和监督权。</w:t>
      </w:r>
    </w:p>
    <w:p w14:paraId="035884C1"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lastRenderedPageBreak/>
        <w:t>加强内部控制体系建设，积极推进内控管理变革，推动公司各领域的关键内控点建设工作，优化了公司管理流程，完善了风险机制，提升了风险防范能力，为公司经营管理合法合</w:t>
      </w:r>
      <w:proofErr w:type="gramStart"/>
      <w:r w:rsidRPr="0063248C">
        <w:rPr>
          <w:rFonts w:ascii="Times New Roman" w:hAnsi="Times New Roman" w:hint="eastAsia"/>
          <w:sz w:val="18"/>
          <w:szCs w:val="18"/>
        </w:rPr>
        <w:t>规</w:t>
      </w:r>
      <w:proofErr w:type="gramEnd"/>
      <w:r w:rsidRPr="0063248C">
        <w:rPr>
          <w:rFonts w:ascii="Times New Roman" w:hAnsi="Times New Roman" w:hint="eastAsia"/>
          <w:sz w:val="18"/>
          <w:szCs w:val="18"/>
        </w:rPr>
        <w:t>、资产安全、财务报告及相关信息的真实、完整提供了合理保障。</w:t>
      </w:r>
    </w:p>
    <w:p w14:paraId="75E99C34"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t>公司制定了信息披露基本制度，切实履行信息披露义务，严格按照公平、公正、及时的信息披露原则，通过业绩说明会、投资者互动平台、路演等方式，与投资者保持良好沟通，并根据中国证监会和深圳证券交易所的有关要求不断完善信息披露制度，更好地履行信息披露义务。</w:t>
      </w:r>
    </w:p>
    <w:p w14:paraId="1E1A6AA8"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cs="Times New Roman"/>
          <w:sz w:val="18"/>
          <w:szCs w:val="18"/>
        </w:rPr>
        <w:t> 2</w:t>
      </w:r>
      <w:r w:rsidRPr="0063248C">
        <w:rPr>
          <w:rFonts w:ascii="Times New Roman" w:hAnsi="Times New Roman" w:hint="eastAsia"/>
          <w:sz w:val="18"/>
          <w:szCs w:val="18"/>
        </w:rPr>
        <w:t>、安全生产</w:t>
      </w:r>
    </w:p>
    <w:p w14:paraId="767A7AEE"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t>报告期内，公司未发生重大生产安全事故。公司对生产岗位新进员工进行安全培训，帮助员工树立安全意识，并制定了一系列安全生产管理方面的规章制度，重点要求员工在工作期间必须穿戴好劳动防护用品；公司成立安全管理委员会，实行信息报告制度，要求各单位安全管理机构须每天、每月向安全管理委员会汇报安全管理工作开展情况，对工作中发现的安全隐患，必须同时向各单位负责人和安全管理委员会反馈，确保以合理的方案快速解决。设备安全管理方面，公司采取多种形式对生产设备进行保护，并及时维修设备，排除安全生产隐患；消防安全方面，定期组织消防值班人员及员工进行消防器械操练实</w:t>
      </w:r>
      <w:proofErr w:type="gramStart"/>
      <w:r w:rsidRPr="0063248C">
        <w:rPr>
          <w:rFonts w:ascii="Times New Roman" w:hAnsi="Times New Roman" w:hint="eastAsia"/>
          <w:sz w:val="18"/>
          <w:szCs w:val="18"/>
        </w:rPr>
        <w:t>训以及</w:t>
      </w:r>
      <w:proofErr w:type="gramEnd"/>
      <w:r w:rsidRPr="0063248C">
        <w:rPr>
          <w:rFonts w:ascii="Times New Roman" w:hAnsi="Times New Roman" w:hint="eastAsia"/>
          <w:sz w:val="18"/>
          <w:szCs w:val="18"/>
        </w:rPr>
        <w:t>紧急应急演练，确保厂区紧急事件能及时快速处理；同时，不定期组织公司员工进行消防紧急疏散、自救逃生等应急培训及演练，提升员工的消防应急处置能力，维护员工的健康安全权利。</w:t>
      </w:r>
    </w:p>
    <w:p w14:paraId="53CAFCBD"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cs="Times New Roman"/>
          <w:sz w:val="18"/>
          <w:szCs w:val="18"/>
        </w:rPr>
        <w:t>3</w:t>
      </w:r>
      <w:r w:rsidRPr="0063248C">
        <w:rPr>
          <w:rFonts w:ascii="Times New Roman" w:hAnsi="Times New Roman" w:hint="eastAsia"/>
          <w:sz w:val="18"/>
          <w:szCs w:val="18"/>
        </w:rPr>
        <w:t>、环境保护</w:t>
      </w:r>
    </w:p>
    <w:p w14:paraId="2D4EB74D"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t>报告期内，公司重视环保投入，建设节约型企业，积极推动节能减排工作，力争把环境保护工作做到最优。公司严格遵守国家和地方法规的规定，废水、废气、噪声达标排放、工业固废处置符合环保规定要求，并加强对相关责任部门人员的环保法律法规培训。</w:t>
      </w:r>
    </w:p>
    <w:p w14:paraId="3FDADA3E"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t>积极进行环保技术创新，例如为满足待宰圈和猪场无害化处理方面的环保要求，实施了生食待宰圈雾化除臭项目和焚烧炉代替发酵棚项目，极大的改善了厂区周围的大气环境。探索和打造生态农业循环经济，猪场采取源头减排、过程控制、综合利用的生态发展模式，采用现代化养殖设施最大程度控制污水产生。光山猪场的粪污处理实行了种养结合的新模式，不仅使粪污处理无害化、资源化，而且改良了土壤、培育了地力，提高了农产品品质，实现了经济效益和生态效益的双丰收，达到农业生产和环境保护相融的理想状态。</w:t>
      </w:r>
    </w:p>
    <w:p w14:paraId="49F34B1F"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t>广泛采用新技术推进碳中和实现落地，例如通过引进人工智能技术，使用母猪智能化饲喂系统进行实时监测管理，满足猪群动态营养需求，实现低碳养殖。在原料端，</w:t>
      </w:r>
      <w:proofErr w:type="gramStart"/>
      <w:r w:rsidRPr="0063248C">
        <w:rPr>
          <w:rFonts w:ascii="Times New Roman" w:hAnsi="Times New Roman" w:hint="eastAsia"/>
          <w:sz w:val="18"/>
          <w:szCs w:val="18"/>
        </w:rPr>
        <w:t>加大低</w:t>
      </w:r>
      <w:proofErr w:type="gramEnd"/>
      <w:r w:rsidRPr="0063248C">
        <w:rPr>
          <w:rFonts w:ascii="Times New Roman" w:hAnsi="Times New Roman" w:hint="eastAsia"/>
          <w:sz w:val="18"/>
          <w:szCs w:val="18"/>
        </w:rPr>
        <w:t>蛋白日粮研发力度，力争减少猪排泄物中</w:t>
      </w:r>
      <w:r w:rsidRPr="0063248C">
        <w:rPr>
          <w:rFonts w:ascii="Times New Roman" w:hAnsi="Times New Roman" w:cs="Times New Roman"/>
          <w:sz w:val="18"/>
          <w:szCs w:val="18"/>
        </w:rPr>
        <w:t>10%-15%</w:t>
      </w:r>
      <w:r w:rsidRPr="0063248C">
        <w:rPr>
          <w:rFonts w:ascii="Times New Roman" w:hAnsi="Times New Roman" w:hint="eastAsia"/>
          <w:sz w:val="18"/>
          <w:szCs w:val="18"/>
        </w:rPr>
        <w:t>的氮排放。</w:t>
      </w:r>
    </w:p>
    <w:p w14:paraId="1595D2DC"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cs="Times New Roman"/>
          <w:sz w:val="18"/>
          <w:szCs w:val="18"/>
        </w:rPr>
        <w:t>4</w:t>
      </w:r>
      <w:r w:rsidRPr="0063248C">
        <w:rPr>
          <w:rFonts w:ascii="Times New Roman" w:hAnsi="Times New Roman" w:hint="eastAsia"/>
          <w:sz w:val="18"/>
          <w:szCs w:val="18"/>
        </w:rPr>
        <w:t>、尊重员工</w:t>
      </w:r>
    </w:p>
    <w:p w14:paraId="2FC6F94C"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t>公司规定招聘、晋升、薪酬等方面没有种族、性别、国籍、年龄、怀孕或残疾等方面的歧视，自公司成立至今，未发生歧视事件，亦未收到歧视方面的投诉。同时，建立和实施了较科学的聘用、培训、轮岗、考核、晋升等人事管理制度，完善员工激励机制，并定期开展优秀团队、优秀员工评选活动，挖掘贡献卓越的优秀团队和员工，提高员工工作积极性，实现员工与企业共同发展、共同成长。</w:t>
      </w:r>
    </w:p>
    <w:p w14:paraId="7F5694FF"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t>公司针对员工的能力发展需求，创新员工学习模式，通过龙大美食网络学院搭建起完善的人才培养体系，为员工提供全方位、系统化的培训，促进员工专业技能和素质能力的提升，增强员工和企业的核心竞争力。加强企业文化建设，举办了一系列如</w:t>
      </w:r>
      <w:r w:rsidRPr="0063248C">
        <w:rPr>
          <w:rFonts w:ascii="Times New Roman" w:hAnsi="Times New Roman" w:cs="Times New Roman"/>
          <w:sz w:val="18"/>
          <w:szCs w:val="18"/>
        </w:rPr>
        <w:t>“</w:t>
      </w:r>
      <w:r w:rsidRPr="0063248C">
        <w:rPr>
          <w:rFonts w:ascii="Times New Roman" w:hAnsi="Times New Roman" w:hint="eastAsia"/>
          <w:sz w:val="18"/>
          <w:szCs w:val="18"/>
        </w:rPr>
        <w:t>凝心聚力、共赴山海</w:t>
      </w:r>
      <w:r w:rsidRPr="0063248C">
        <w:rPr>
          <w:rFonts w:ascii="Times New Roman" w:hAnsi="Times New Roman" w:cs="Times New Roman"/>
          <w:sz w:val="18"/>
          <w:szCs w:val="18"/>
        </w:rPr>
        <w:t>”</w:t>
      </w:r>
      <w:r w:rsidRPr="0063248C">
        <w:rPr>
          <w:rFonts w:ascii="Times New Roman" w:hAnsi="Times New Roman" w:hint="eastAsia"/>
          <w:sz w:val="18"/>
          <w:szCs w:val="18"/>
        </w:rPr>
        <w:t>等丰富多彩的拓展培训活动，丰富了员工的业余生活。时刻关心员工心理健康建设，营造良好的工作舆论环境，帮助员工克服焦虑心理，建立良好心态，凝聚起全员健康向上的</w:t>
      </w:r>
      <w:proofErr w:type="gramStart"/>
      <w:r w:rsidRPr="0063248C">
        <w:rPr>
          <w:rFonts w:ascii="Times New Roman" w:hAnsi="Times New Roman" w:hint="eastAsia"/>
          <w:sz w:val="18"/>
          <w:szCs w:val="18"/>
        </w:rPr>
        <w:t>的</w:t>
      </w:r>
      <w:proofErr w:type="gramEnd"/>
      <w:r w:rsidRPr="0063248C">
        <w:rPr>
          <w:rFonts w:ascii="Times New Roman" w:hAnsi="Times New Roman" w:hint="eastAsia"/>
          <w:sz w:val="18"/>
          <w:szCs w:val="18"/>
        </w:rPr>
        <w:t>强大正能量。</w:t>
      </w:r>
    </w:p>
    <w:p w14:paraId="379F0A46"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cs="Times New Roman"/>
          <w:sz w:val="18"/>
          <w:szCs w:val="18"/>
        </w:rPr>
        <w:t>5</w:t>
      </w:r>
      <w:r w:rsidRPr="0063248C">
        <w:rPr>
          <w:rFonts w:ascii="Times New Roman" w:hAnsi="Times New Roman" w:hint="eastAsia"/>
          <w:sz w:val="18"/>
          <w:szCs w:val="18"/>
        </w:rPr>
        <w:t>、食品安全</w:t>
      </w:r>
    </w:p>
    <w:p w14:paraId="6B5A0135"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t>在保障食品安全方面，公司建立了一系列标准化制度和技术规范，实现标准化管理，并建立了严格的食品安全保障体系和</w:t>
      </w:r>
      <w:proofErr w:type="gramStart"/>
      <w:r w:rsidRPr="0063248C">
        <w:rPr>
          <w:rFonts w:ascii="Times New Roman" w:hAnsi="Times New Roman" w:hint="eastAsia"/>
          <w:sz w:val="18"/>
          <w:szCs w:val="18"/>
        </w:rPr>
        <w:t>可</w:t>
      </w:r>
      <w:proofErr w:type="gramEnd"/>
      <w:r w:rsidRPr="0063248C">
        <w:rPr>
          <w:rFonts w:ascii="Times New Roman" w:hAnsi="Times New Roman" w:hint="eastAsia"/>
          <w:sz w:val="18"/>
          <w:szCs w:val="18"/>
        </w:rPr>
        <w:t>追溯体系。公司在生产过程中严格落实</w:t>
      </w:r>
      <w:r w:rsidRPr="0063248C">
        <w:rPr>
          <w:rFonts w:ascii="Times New Roman" w:hAnsi="Times New Roman" w:cs="Times New Roman"/>
          <w:sz w:val="18"/>
          <w:szCs w:val="18"/>
        </w:rPr>
        <w:t>HACCP</w:t>
      </w:r>
      <w:r w:rsidRPr="0063248C">
        <w:rPr>
          <w:rFonts w:ascii="Times New Roman" w:hAnsi="Times New Roman" w:hint="eastAsia"/>
          <w:sz w:val="18"/>
          <w:szCs w:val="18"/>
        </w:rPr>
        <w:t>、</w:t>
      </w:r>
      <w:r w:rsidRPr="0063248C">
        <w:rPr>
          <w:rFonts w:ascii="Times New Roman" w:hAnsi="Times New Roman" w:cs="Times New Roman"/>
          <w:sz w:val="18"/>
          <w:szCs w:val="18"/>
        </w:rPr>
        <w:t>ISO9001</w:t>
      </w:r>
      <w:r w:rsidRPr="0063248C">
        <w:rPr>
          <w:rFonts w:ascii="Times New Roman" w:hAnsi="Times New Roman" w:hint="eastAsia"/>
          <w:sz w:val="18"/>
          <w:szCs w:val="18"/>
        </w:rPr>
        <w:t>质量控制体系要求，全面系统分析全</w:t>
      </w:r>
      <w:proofErr w:type="gramStart"/>
      <w:r w:rsidRPr="0063248C">
        <w:rPr>
          <w:rFonts w:ascii="Times New Roman" w:hAnsi="Times New Roman" w:hint="eastAsia"/>
          <w:sz w:val="18"/>
          <w:szCs w:val="18"/>
        </w:rPr>
        <w:t>产业链各主要</w:t>
      </w:r>
      <w:proofErr w:type="gramEnd"/>
      <w:r w:rsidRPr="0063248C">
        <w:rPr>
          <w:rFonts w:ascii="Times New Roman" w:hAnsi="Times New Roman" w:hint="eastAsia"/>
          <w:sz w:val="18"/>
          <w:szCs w:val="18"/>
        </w:rPr>
        <w:t>环节，重点控制食品安全的关键影响点。通过建立三级质量管控体系，形成严谨完善的食品安全管理机制，实现了全</w:t>
      </w:r>
      <w:proofErr w:type="gramStart"/>
      <w:r w:rsidRPr="0063248C">
        <w:rPr>
          <w:rFonts w:ascii="Times New Roman" w:hAnsi="Times New Roman" w:hint="eastAsia"/>
          <w:sz w:val="18"/>
          <w:szCs w:val="18"/>
        </w:rPr>
        <w:t>产业链全过程</w:t>
      </w:r>
      <w:proofErr w:type="gramEnd"/>
      <w:r w:rsidRPr="0063248C">
        <w:rPr>
          <w:rFonts w:ascii="Times New Roman" w:hAnsi="Times New Roman" w:hint="eastAsia"/>
          <w:sz w:val="18"/>
          <w:szCs w:val="18"/>
        </w:rPr>
        <w:t>的品质把关。面对非洲猪瘟等危险因素，公司实行严格的检验检疫，由驻场官方兽医和屠宰场肉检员同步进行检疫和检验，全程紧盯监督，切断并杜绝非洲猪瘟病毒传播途径与扩散风险，确保为消费者提供</w:t>
      </w:r>
      <w:r w:rsidRPr="0063248C">
        <w:rPr>
          <w:rFonts w:ascii="Times New Roman" w:hAnsi="Times New Roman" w:cs="Times New Roman"/>
          <w:sz w:val="18"/>
          <w:szCs w:val="18"/>
        </w:rPr>
        <w:t>“</w:t>
      </w:r>
      <w:r w:rsidRPr="0063248C">
        <w:rPr>
          <w:rFonts w:ascii="Times New Roman" w:hAnsi="Times New Roman" w:hint="eastAsia"/>
          <w:sz w:val="18"/>
          <w:szCs w:val="18"/>
        </w:rPr>
        <w:t>安全、放心、健康、新鲜</w:t>
      </w:r>
      <w:r w:rsidRPr="0063248C">
        <w:rPr>
          <w:rFonts w:ascii="Times New Roman" w:hAnsi="Times New Roman" w:cs="Times New Roman"/>
          <w:sz w:val="18"/>
          <w:szCs w:val="18"/>
        </w:rPr>
        <w:t>”</w:t>
      </w:r>
      <w:r w:rsidRPr="0063248C">
        <w:rPr>
          <w:rFonts w:ascii="Times New Roman" w:hAnsi="Times New Roman" w:hint="eastAsia"/>
          <w:sz w:val="18"/>
          <w:szCs w:val="18"/>
        </w:rPr>
        <w:t>的产品。</w:t>
      </w:r>
    </w:p>
    <w:p w14:paraId="76ED5007"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t>下属全资子公司烟台杰科检测服务有限公司，在严格按照国家检疫流程和国际标准下，提供从原料到成品全方位的检测服务，实现了对原料、生产、产品的全过程品质把关，包括饲料检验、兽药检验、出栏检验、加工过程中的十八道</w:t>
      </w:r>
      <w:r w:rsidRPr="0063248C">
        <w:rPr>
          <w:rFonts w:ascii="Times New Roman" w:hAnsi="Times New Roman" w:hint="eastAsia"/>
          <w:sz w:val="18"/>
          <w:szCs w:val="18"/>
        </w:rPr>
        <w:lastRenderedPageBreak/>
        <w:t>检验、配送车辆</w:t>
      </w:r>
      <w:r w:rsidRPr="0063248C">
        <w:rPr>
          <w:rFonts w:ascii="Times New Roman" w:hAnsi="Times New Roman" w:cs="Times New Roman"/>
          <w:sz w:val="18"/>
          <w:szCs w:val="18"/>
        </w:rPr>
        <w:t>GPS</w:t>
      </w:r>
      <w:r w:rsidRPr="0063248C">
        <w:rPr>
          <w:rFonts w:ascii="Times New Roman" w:hAnsi="Times New Roman" w:hint="eastAsia"/>
          <w:sz w:val="18"/>
          <w:szCs w:val="18"/>
        </w:rPr>
        <w:t>温度控制、终端官能检验等各重要环节，并通过批次管理和报表记录做到可追溯，真正实现全程可控、全程追溯，</w:t>
      </w:r>
      <w:r w:rsidRPr="0063248C">
        <w:rPr>
          <w:rFonts w:ascii="Times New Roman" w:hAnsi="Times New Roman" w:cs="Times New Roman"/>
          <w:sz w:val="18"/>
          <w:szCs w:val="18"/>
        </w:rPr>
        <w:t xml:space="preserve"> </w:t>
      </w:r>
      <w:r w:rsidRPr="0063248C">
        <w:rPr>
          <w:rFonts w:ascii="Times New Roman" w:hAnsi="Times New Roman" w:hint="eastAsia"/>
          <w:sz w:val="18"/>
          <w:szCs w:val="18"/>
        </w:rPr>
        <w:t>确保终端产品的食品安全，让老百姓的</w:t>
      </w:r>
      <w:r w:rsidRPr="0063248C">
        <w:rPr>
          <w:rFonts w:ascii="Times New Roman" w:hAnsi="Times New Roman" w:cs="Times New Roman"/>
          <w:sz w:val="18"/>
          <w:szCs w:val="18"/>
        </w:rPr>
        <w:t>“</w:t>
      </w:r>
      <w:r w:rsidRPr="0063248C">
        <w:rPr>
          <w:rFonts w:ascii="Times New Roman" w:hAnsi="Times New Roman" w:hint="eastAsia"/>
          <w:sz w:val="18"/>
          <w:szCs w:val="18"/>
        </w:rPr>
        <w:t>菜篮子</w:t>
      </w:r>
      <w:r w:rsidRPr="0063248C">
        <w:rPr>
          <w:rFonts w:ascii="Times New Roman" w:hAnsi="Times New Roman" w:cs="Times New Roman"/>
          <w:sz w:val="18"/>
          <w:szCs w:val="18"/>
        </w:rPr>
        <w:t>”</w:t>
      </w:r>
      <w:r w:rsidRPr="0063248C">
        <w:rPr>
          <w:rFonts w:ascii="Times New Roman" w:hAnsi="Times New Roman" w:hint="eastAsia"/>
          <w:sz w:val="18"/>
          <w:szCs w:val="18"/>
        </w:rPr>
        <w:t>更加安全、放心。</w:t>
      </w:r>
    </w:p>
    <w:p w14:paraId="09240D77"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cs="Times New Roman"/>
          <w:sz w:val="18"/>
          <w:szCs w:val="18"/>
        </w:rPr>
        <w:t>6</w:t>
      </w:r>
      <w:r w:rsidRPr="0063248C">
        <w:rPr>
          <w:rFonts w:ascii="Times New Roman" w:hAnsi="Times New Roman" w:hint="eastAsia"/>
          <w:sz w:val="18"/>
          <w:szCs w:val="18"/>
        </w:rPr>
        <w:t>、人才引进</w:t>
      </w:r>
    </w:p>
    <w:p w14:paraId="47253784"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t>公司每年从高校引进大批锐意创新、追求卓越的新兴力量，一方面为公司的中长期发展注入了新鲜的血液，另一方面也为大学生提供了更多的就业岗位，缓解社会就业难的问题。公司未来将持续加强创新人才模式建设，通过人才前瞻性布局，为公司培养更多高技能、高素质人才，为未来发展提供充足的人力保障。</w:t>
      </w:r>
    </w:p>
    <w:p w14:paraId="79CFA003" w14:textId="77777777" w:rsidR="00517D34" w:rsidRPr="0063248C" w:rsidRDefault="00000000">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cs="Times New Roman"/>
          <w:sz w:val="18"/>
          <w:szCs w:val="18"/>
        </w:rPr>
        <w:t>7</w:t>
      </w:r>
      <w:r w:rsidRPr="0063248C">
        <w:rPr>
          <w:rFonts w:ascii="Times New Roman" w:hAnsi="Times New Roman" w:hint="eastAsia"/>
          <w:sz w:val="18"/>
          <w:szCs w:val="18"/>
        </w:rPr>
        <w:t>、巩固拓展脱贫攻坚成果、乡村振兴的情况</w:t>
      </w:r>
      <w:r w:rsidRPr="0063248C">
        <w:rPr>
          <w:rFonts w:ascii="Times New Roman" w:hAnsi="Times New Roman" w:cs="Times New Roman"/>
          <w:sz w:val="18"/>
          <w:szCs w:val="18"/>
        </w:rPr>
        <w:t> </w:t>
      </w:r>
    </w:p>
    <w:p w14:paraId="38E150A2" w14:textId="7B263822" w:rsidR="00517D34" w:rsidRPr="0063248C" w:rsidRDefault="00000000" w:rsidP="006709E7">
      <w:pPr>
        <w:pStyle w:val="a3"/>
        <w:spacing w:before="0" w:beforeAutospacing="0" w:after="0" w:afterAutospacing="0"/>
        <w:ind w:firstLine="360"/>
        <w:jc w:val="both"/>
        <w:divId w:val="1996763452"/>
        <w:rPr>
          <w:rFonts w:ascii="Times New Roman" w:hAnsi="Times New Roman"/>
        </w:rPr>
      </w:pPr>
      <w:r w:rsidRPr="0063248C">
        <w:rPr>
          <w:rFonts w:ascii="Times New Roman" w:hAnsi="Times New Roman" w:hint="eastAsia"/>
          <w:sz w:val="18"/>
          <w:szCs w:val="18"/>
        </w:rPr>
        <w:t>通过</w:t>
      </w:r>
      <w:r w:rsidRPr="0063248C">
        <w:rPr>
          <w:rFonts w:ascii="Times New Roman" w:hAnsi="Times New Roman" w:cs="Times New Roman"/>
          <w:sz w:val="18"/>
          <w:szCs w:val="18"/>
        </w:rPr>
        <w:t>“</w:t>
      </w:r>
      <w:r w:rsidRPr="0063248C">
        <w:rPr>
          <w:rFonts w:ascii="Times New Roman" w:hAnsi="Times New Roman" w:hint="eastAsia"/>
          <w:sz w:val="18"/>
          <w:szCs w:val="18"/>
        </w:rPr>
        <w:t>公司</w:t>
      </w:r>
      <w:r w:rsidRPr="0063248C">
        <w:rPr>
          <w:rFonts w:ascii="Times New Roman" w:hAnsi="Times New Roman" w:cs="Times New Roman"/>
          <w:sz w:val="18"/>
          <w:szCs w:val="18"/>
        </w:rPr>
        <w:t>+</w:t>
      </w:r>
      <w:r w:rsidRPr="0063248C">
        <w:rPr>
          <w:rFonts w:ascii="Times New Roman" w:hAnsi="Times New Roman" w:hint="eastAsia"/>
          <w:sz w:val="18"/>
          <w:szCs w:val="18"/>
        </w:rPr>
        <w:t>农户</w:t>
      </w:r>
      <w:r w:rsidRPr="0063248C">
        <w:rPr>
          <w:rFonts w:ascii="Times New Roman" w:hAnsi="Times New Roman" w:cs="Times New Roman"/>
          <w:sz w:val="18"/>
          <w:szCs w:val="18"/>
        </w:rPr>
        <w:t>”</w:t>
      </w:r>
      <w:r w:rsidRPr="0063248C">
        <w:rPr>
          <w:rFonts w:ascii="Times New Roman" w:hAnsi="Times New Roman" w:hint="eastAsia"/>
          <w:sz w:val="18"/>
          <w:szCs w:val="18"/>
        </w:rPr>
        <w:t>的生猪养殖模式，有效地将公司的业务和农户增收相结合。为深入推进乡村振兴与生猪稳产保供，公司建立了</w:t>
      </w:r>
      <w:r w:rsidRPr="0063248C">
        <w:rPr>
          <w:rFonts w:ascii="Times New Roman" w:hAnsi="Times New Roman" w:cs="Times New Roman"/>
          <w:sz w:val="18"/>
          <w:szCs w:val="18"/>
        </w:rPr>
        <w:t>“</w:t>
      </w:r>
      <w:r w:rsidRPr="0063248C">
        <w:rPr>
          <w:rFonts w:ascii="Times New Roman" w:hAnsi="Times New Roman" w:hint="eastAsia"/>
          <w:sz w:val="18"/>
          <w:szCs w:val="18"/>
        </w:rPr>
        <w:t>三提供</w:t>
      </w:r>
      <w:r w:rsidRPr="0063248C">
        <w:rPr>
          <w:rFonts w:ascii="Times New Roman" w:hAnsi="Times New Roman" w:cs="Times New Roman"/>
          <w:sz w:val="18"/>
          <w:szCs w:val="18"/>
        </w:rPr>
        <w:t>+</w:t>
      </w:r>
      <w:r w:rsidRPr="0063248C">
        <w:rPr>
          <w:rFonts w:ascii="Times New Roman" w:hAnsi="Times New Roman" w:hint="eastAsia"/>
          <w:sz w:val="18"/>
          <w:szCs w:val="18"/>
        </w:rPr>
        <w:t>两担保</w:t>
      </w:r>
      <w:r w:rsidRPr="0063248C">
        <w:rPr>
          <w:rFonts w:ascii="Times New Roman" w:hAnsi="Times New Roman" w:cs="Times New Roman"/>
          <w:sz w:val="18"/>
          <w:szCs w:val="18"/>
        </w:rPr>
        <w:t>”</w:t>
      </w:r>
      <w:r w:rsidRPr="0063248C">
        <w:rPr>
          <w:rFonts w:ascii="Times New Roman" w:hAnsi="Times New Roman" w:hint="eastAsia"/>
          <w:sz w:val="18"/>
          <w:szCs w:val="18"/>
        </w:rPr>
        <w:t>的</w:t>
      </w:r>
      <w:proofErr w:type="gramStart"/>
      <w:r w:rsidRPr="0063248C">
        <w:rPr>
          <w:rFonts w:ascii="Times New Roman" w:hAnsi="Times New Roman" w:hint="eastAsia"/>
          <w:sz w:val="18"/>
          <w:szCs w:val="18"/>
        </w:rPr>
        <w:t>养殖扶贫</w:t>
      </w:r>
      <w:proofErr w:type="gramEnd"/>
      <w:r w:rsidRPr="0063248C">
        <w:rPr>
          <w:rFonts w:ascii="Times New Roman" w:hAnsi="Times New Roman" w:hint="eastAsia"/>
          <w:sz w:val="18"/>
          <w:szCs w:val="18"/>
        </w:rPr>
        <w:t>模式，叠加政府一系列助</w:t>
      </w:r>
      <w:proofErr w:type="gramStart"/>
      <w:r w:rsidRPr="0063248C">
        <w:rPr>
          <w:rFonts w:ascii="Times New Roman" w:hAnsi="Times New Roman" w:hint="eastAsia"/>
          <w:sz w:val="18"/>
          <w:szCs w:val="18"/>
        </w:rPr>
        <w:t>农扶贫</w:t>
      </w:r>
      <w:proofErr w:type="gramEnd"/>
      <w:r w:rsidRPr="0063248C">
        <w:rPr>
          <w:rFonts w:ascii="Times New Roman" w:hAnsi="Times New Roman" w:hint="eastAsia"/>
          <w:sz w:val="18"/>
          <w:szCs w:val="18"/>
        </w:rPr>
        <w:t>政策，带动农户增收致富。</w:t>
      </w:r>
      <w:r w:rsidRPr="0063248C">
        <w:rPr>
          <w:rFonts w:ascii="Times New Roman" w:hAnsi="Times New Roman" w:cs="Times New Roman"/>
          <w:sz w:val="18"/>
          <w:szCs w:val="18"/>
        </w:rPr>
        <w:t xml:space="preserve"> “</w:t>
      </w:r>
      <w:r w:rsidRPr="0063248C">
        <w:rPr>
          <w:rFonts w:ascii="Times New Roman" w:hAnsi="Times New Roman" w:hint="eastAsia"/>
          <w:sz w:val="18"/>
          <w:szCs w:val="18"/>
        </w:rPr>
        <w:t>三提供</w:t>
      </w:r>
      <w:r w:rsidRPr="0063248C">
        <w:rPr>
          <w:rFonts w:ascii="Times New Roman" w:hAnsi="Times New Roman" w:cs="Times New Roman"/>
          <w:sz w:val="18"/>
          <w:szCs w:val="18"/>
        </w:rPr>
        <w:t>”</w:t>
      </w:r>
      <w:r w:rsidRPr="0063248C">
        <w:rPr>
          <w:rFonts w:ascii="Times New Roman" w:hAnsi="Times New Roman" w:hint="eastAsia"/>
          <w:sz w:val="18"/>
          <w:szCs w:val="18"/>
        </w:rPr>
        <w:t>是通过引进国内外优质种猪经自我繁育，性状改良优化后，提供品质优良的三元猪猪苗；通过建立完善的供给体系，</w:t>
      </w:r>
      <w:r w:rsidRPr="0063248C">
        <w:rPr>
          <w:rFonts w:ascii="Times New Roman" w:hAnsi="Times New Roman" w:cs="Times New Roman"/>
          <w:sz w:val="18"/>
          <w:szCs w:val="18"/>
        </w:rPr>
        <w:t>100%</w:t>
      </w:r>
      <w:r w:rsidRPr="0063248C">
        <w:rPr>
          <w:rFonts w:ascii="Times New Roman" w:hAnsi="Times New Roman" w:hint="eastAsia"/>
          <w:sz w:val="18"/>
          <w:szCs w:val="18"/>
        </w:rPr>
        <w:t>统一提供饲料并配送到家；深入农户上门走访，及时提供技术帮带与药品等服务支持，驻场帮助农户改善养殖环境，促进健康养殖。</w:t>
      </w:r>
      <w:r w:rsidRPr="0063248C">
        <w:rPr>
          <w:rFonts w:ascii="Times New Roman" w:hAnsi="Times New Roman" w:cs="Times New Roman"/>
          <w:sz w:val="18"/>
          <w:szCs w:val="18"/>
        </w:rPr>
        <w:t>“</w:t>
      </w:r>
      <w:r w:rsidRPr="0063248C">
        <w:rPr>
          <w:rFonts w:ascii="Times New Roman" w:hAnsi="Times New Roman" w:hint="eastAsia"/>
          <w:sz w:val="18"/>
          <w:szCs w:val="18"/>
        </w:rPr>
        <w:t>两担保</w:t>
      </w:r>
      <w:r w:rsidRPr="0063248C">
        <w:rPr>
          <w:rFonts w:ascii="Times New Roman" w:hAnsi="Times New Roman" w:cs="Times New Roman"/>
          <w:sz w:val="18"/>
          <w:szCs w:val="18"/>
        </w:rPr>
        <w:t>”</w:t>
      </w:r>
      <w:r w:rsidRPr="0063248C">
        <w:rPr>
          <w:rFonts w:ascii="Times New Roman" w:hAnsi="Times New Roman" w:hint="eastAsia"/>
          <w:sz w:val="18"/>
          <w:szCs w:val="18"/>
        </w:rPr>
        <w:t>是通过回收担保，对养殖场户实行生猪</w:t>
      </w:r>
      <w:r w:rsidRPr="0063248C">
        <w:rPr>
          <w:rFonts w:ascii="Times New Roman" w:hAnsi="Times New Roman" w:cs="Times New Roman"/>
          <w:sz w:val="18"/>
          <w:szCs w:val="18"/>
        </w:rPr>
        <w:t>100%</w:t>
      </w:r>
      <w:r w:rsidRPr="0063248C">
        <w:rPr>
          <w:rFonts w:ascii="Times New Roman" w:hAnsi="Times New Roman" w:hint="eastAsia"/>
          <w:sz w:val="18"/>
          <w:szCs w:val="18"/>
        </w:rPr>
        <w:t>回购，并以全产业协同发展的优势，立足于产业资源统筹，充分打通了生产加工、物流运输与终端销售服务等环节，在做好农产品产销对接的基础上，突出消费扶贫的作用，让养殖户无后顾之忧的同时，也带动农业升级增效，促进农民增收创收。面对农业养殖行业融资难、融资渠道窄等问题，为切实帮助养殖户解决资金需求，公司积极了解农户发展生猪养殖方面的资金需求，助力农户对接银行，有效解决了农产业发展中资金短缺的问题。</w:t>
      </w:r>
    </w:p>
    <w:p w14:paraId="36DF3C28" w14:textId="77777777" w:rsidR="007B3DB2" w:rsidRPr="0063248C" w:rsidRDefault="00000000">
      <w:r w:rsidRPr="0063248C">
        <w:br w:type="page"/>
      </w:r>
    </w:p>
    <w:p w14:paraId="2D139430" w14:textId="77777777" w:rsidR="007B3DB2" w:rsidRPr="0063248C" w:rsidRDefault="00000000">
      <w:pPr>
        <w:pStyle w:val="headingh1"/>
        <w:spacing w:before="340" w:after="330" w:line="773" w:lineRule="exact"/>
        <w:jc w:val="center"/>
        <w:rPr>
          <w:rFonts w:cs="宋体"/>
          <w:b/>
          <w:bCs/>
          <w:sz w:val="32"/>
          <w:szCs w:val="32"/>
        </w:rPr>
      </w:pPr>
      <w:bookmarkStart w:id="51" w:name="_Toc988940"/>
      <w:r w:rsidRPr="0063248C">
        <w:rPr>
          <w:rFonts w:cs="宋体"/>
          <w:b/>
          <w:bCs/>
          <w:sz w:val="32"/>
          <w:szCs w:val="32"/>
        </w:rPr>
        <w:lastRenderedPageBreak/>
        <w:t>第六节</w:t>
      </w:r>
      <w:r w:rsidRPr="0063248C">
        <w:rPr>
          <w:rFonts w:cs="宋体"/>
          <w:b/>
          <w:bCs/>
          <w:sz w:val="32"/>
          <w:szCs w:val="32"/>
        </w:rPr>
        <w:t xml:space="preserve"> </w:t>
      </w:r>
      <w:r w:rsidRPr="0063248C">
        <w:rPr>
          <w:rFonts w:cs="宋体"/>
          <w:b/>
          <w:bCs/>
          <w:sz w:val="32"/>
          <w:szCs w:val="32"/>
        </w:rPr>
        <w:t>重要事项</w:t>
      </w:r>
      <w:bookmarkEnd w:id="51"/>
    </w:p>
    <w:p w14:paraId="6328BE1E" w14:textId="77777777" w:rsidR="007B3DB2" w:rsidRPr="0063248C" w:rsidRDefault="00000000">
      <w:pPr>
        <w:pStyle w:val="2"/>
        <w:spacing w:before="300" w:after="300" w:line="320" w:lineRule="exact"/>
        <w:rPr>
          <w:rFonts w:cs="宋体"/>
          <w:b/>
          <w:bCs/>
          <w:sz w:val="24"/>
          <w:szCs w:val="24"/>
        </w:rPr>
      </w:pPr>
      <w:bookmarkStart w:id="52" w:name="_Toc988941"/>
      <w:r w:rsidRPr="0063248C">
        <w:rPr>
          <w:rFonts w:cs="宋体"/>
          <w:b/>
          <w:bCs/>
          <w:sz w:val="24"/>
          <w:szCs w:val="24"/>
        </w:rPr>
        <w:t>一、公司实际控制人、股东、关联方、收购人以及公司等承诺相关方在报告期内履行完毕及截至报告期末超期未履行完毕的承诺事项</w:t>
      </w:r>
      <w:bookmarkEnd w:id="52"/>
    </w:p>
    <w:p w14:paraId="2D126615"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57" w:type="dxa"/>
          <w:right w:w="57" w:type="dxa"/>
        </w:tblCellMar>
        <w:tblLook w:val="0000" w:firstRow="0" w:lastRow="0" w:firstColumn="0" w:lastColumn="0" w:noHBand="0" w:noVBand="0"/>
      </w:tblPr>
      <w:tblGrid>
        <w:gridCol w:w="1393"/>
        <w:gridCol w:w="1392"/>
        <w:gridCol w:w="1392"/>
        <w:gridCol w:w="2683"/>
        <w:gridCol w:w="995"/>
        <w:gridCol w:w="993"/>
        <w:gridCol w:w="903"/>
      </w:tblGrid>
      <w:tr w:rsidR="006709E7" w:rsidRPr="0063248C" w14:paraId="6CCCC99F" w14:textId="77777777" w:rsidTr="006709E7">
        <w:trPr>
          <w:trHeight w:val="240"/>
        </w:trPr>
        <w:tc>
          <w:tcPr>
            <w:tcW w:w="714" w:type="pct"/>
            <w:tcBorders>
              <w:top w:val="single" w:sz="2" w:space="0" w:color="auto"/>
              <w:left w:val="single" w:sz="2" w:space="0" w:color="auto"/>
              <w:bottom w:val="single" w:sz="2" w:space="0" w:color="auto"/>
              <w:right w:val="single" w:sz="2" w:space="0" w:color="auto"/>
            </w:tcBorders>
            <w:shd w:val="clear" w:color="auto" w:fill="D3D3D3"/>
            <w:vAlign w:val="center"/>
          </w:tcPr>
          <w:p w14:paraId="35E2FDA9" w14:textId="77777777" w:rsidR="007B3DB2" w:rsidRPr="0063248C" w:rsidRDefault="00000000">
            <w:pPr>
              <w:spacing w:before="40" w:after="40" w:line="240" w:lineRule="exact"/>
              <w:jc w:val="center"/>
              <w:rPr>
                <w:rFonts w:cs="宋体"/>
                <w:sz w:val="18"/>
                <w:szCs w:val="18"/>
              </w:rPr>
            </w:pPr>
            <w:r w:rsidRPr="0063248C">
              <w:rPr>
                <w:rFonts w:cs="宋体"/>
                <w:sz w:val="18"/>
                <w:szCs w:val="18"/>
              </w:rPr>
              <w:t>承诺事由</w:t>
            </w:r>
          </w:p>
        </w:tc>
        <w:tc>
          <w:tcPr>
            <w:tcW w:w="714" w:type="pct"/>
            <w:tcBorders>
              <w:top w:val="single" w:sz="2" w:space="0" w:color="auto"/>
              <w:left w:val="single" w:sz="2" w:space="0" w:color="auto"/>
              <w:bottom w:val="single" w:sz="2" w:space="0" w:color="auto"/>
              <w:right w:val="single" w:sz="2" w:space="0" w:color="auto"/>
            </w:tcBorders>
            <w:shd w:val="clear" w:color="auto" w:fill="D3D3D3"/>
            <w:vAlign w:val="center"/>
          </w:tcPr>
          <w:p w14:paraId="602A018D" w14:textId="77777777" w:rsidR="007B3DB2" w:rsidRPr="0063248C" w:rsidRDefault="00000000">
            <w:pPr>
              <w:spacing w:before="40" w:after="40" w:line="240" w:lineRule="exact"/>
              <w:jc w:val="center"/>
              <w:rPr>
                <w:rFonts w:cs="宋体"/>
                <w:sz w:val="18"/>
                <w:szCs w:val="18"/>
              </w:rPr>
            </w:pPr>
            <w:r w:rsidRPr="0063248C">
              <w:rPr>
                <w:rFonts w:cs="宋体"/>
                <w:sz w:val="18"/>
                <w:szCs w:val="18"/>
              </w:rPr>
              <w:t>承诺方</w:t>
            </w:r>
          </w:p>
        </w:tc>
        <w:tc>
          <w:tcPr>
            <w:tcW w:w="714" w:type="pct"/>
            <w:tcBorders>
              <w:top w:val="single" w:sz="2" w:space="0" w:color="auto"/>
              <w:left w:val="single" w:sz="2" w:space="0" w:color="auto"/>
              <w:bottom w:val="single" w:sz="2" w:space="0" w:color="auto"/>
              <w:right w:val="single" w:sz="2" w:space="0" w:color="auto"/>
            </w:tcBorders>
            <w:shd w:val="clear" w:color="auto" w:fill="D3D3D3"/>
            <w:vAlign w:val="center"/>
          </w:tcPr>
          <w:p w14:paraId="468A712A" w14:textId="77777777" w:rsidR="007B3DB2" w:rsidRPr="0063248C" w:rsidRDefault="00000000">
            <w:pPr>
              <w:spacing w:before="40" w:after="40" w:line="240" w:lineRule="exact"/>
              <w:jc w:val="center"/>
              <w:rPr>
                <w:rFonts w:cs="宋体"/>
                <w:sz w:val="18"/>
                <w:szCs w:val="18"/>
              </w:rPr>
            </w:pPr>
            <w:r w:rsidRPr="0063248C">
              <w:rPr>
                <w:rFonts w:cs="宋体"/>
                <w:sz w:val="18"/>
                <w:szCs w:val="18"/>
              </w:rPr>
              <w:t>承诺类型</w:t>
            </w:r>
          </w:p>
        </w:tc>
        <w:tc>
          <w:tcPr>
            <w:tcW w:w="1376" w:type="pct"/>
            <w:tcBorders>
              <w:top w:val="single" w:sz="2" w:space="0" w:color="auto"/>
              <w:left w:val="single" w:sz="2" w:space="0" w:color="auto"/>
              <w:bottom w:val="single" w:sz="2" w:space="0" w:color="auto"/>
              <w:right w:val="single" w:sz="2" w:space="0" w:color="auto"/>
            </w:tcBorders>
            <w:shd w:val="clear" w:color="auto" w:fill="D3D3D3"/>
            <w:vAlign w:val="center"/>
          </w:tcPr>
          <w:p w14:paraId="48242429" w14:textId="77777777" w:rsidR="007B3DB2" w:rsidRPr="0063248C" w:rsidRDefault="00000000">
            <w:pPr>
              <w:spacing w:before="40" w:after="40" w:line="240" w:lineRule="exact"/>
              <w:jc w:val="center"/>
              <w:rPr>
                <w:rFonts w:cs="宋体"/>
                <w:sz w:val="18"/>
                <w:szCs w:val="18"/>
              </w:rPr>
            </w:pPr>
            <w:r w:rsidRPr="0063248C">
              <w:rPr>
                <w:rFonts w:cs="宋体"/>
                <w:sz w:val="18"/>
                <w:szCs w:val="18"/>
              </w:rPr>
              <w:t>承诺内容</w:t>
            </w:r>
          </w:p>
        </w:tc>
        <w:tc>
          <w:tcPr>
            <w:tcW w:w="510" w:type="pct"/>
            <w:tcBorders>
              <w:top w:val="single" w:sz="2" w:space="0" w:color="auto"/>
              <w:left w:val="single" w:sz="2" w:space="0" w:color="auto"/>
              <w:bottom w:val="single" w:sz="2" w:space="0" w:color="auto"/>
              <w:right w:val="single" w:sz="2" w:space="0" w:color="auto"/>
            </w:tcBorders>
            <w:shd w:val="clear" w:color="auto" w:fill="D3D3D3"/>
            <w:vAlign w:val="center"/>
          </w:tcPr>
          <w:p w14:paraId="2D8C12CF" w14:textId="77777777" w:rsidR="007B3DB2" w:rsidRPr="0063248C" w:rsidRDefault="00000000">
            <w:pPr>
              <w:spacing w:before="40" w:after="40" w:line="240" w:lineRule="exact"/>
              <w:jc w:val="center"/>
              <w:rPr>
                <w:rFonts w:cs="宋体"/>
                <w:sz w:val="18"/>
                <w:szCs w:val="18"/>
              </w:rPr>
            </w:pPr>
            <w:r w:rsidRPr="0063248C">
              <w:rPr>
                <w:rFonts w:cs="宋体"/>
                <w:sz w:val="18"/>
                <w:szCs w:val="18"/>
              </w:rPr>
              <w:t>承诺时间</w:t>
            </w:r>
          </w:p>
        </w:tc>
        <w:tc>
          <w:tcPr>
            <w:tcW w:w="509" w:type="pct"/>
            <w:tcBorders>
              <w:top w:val="single" w:sz="2" w:space="0" w:color="auto"/>
              <w:left w:val="single" w:sz="2" w:space="0" w:color="auto"/>
              <w:bottom w:val="single" w:sz="2" w:space="0" w:color="auto"/>
              <w:right w:val="single" w:sz="2" w:space="0" w:color="auto"/>
            </w:tcBorders>
            <w:shd w:val="clear" w:color="auto" w:fill="D3D3D3"/>
            <w:vAlign w:val="center"/>
          </w:tcPr>
          <w:p w14:paraId="71BA67D6" w14:textId="77777777" w:rsidR="007B3DB2" w:rsidRPr="0063248C" w:rsidRDefault="00000000">
            <w:pPr>
              <w:spacing w:before="40" w:after="40" w:line="240" w:lineRule="exact"/>
              <w:jc w:val="center"/>
              <w:rPr>
                <w:rFonts w:cs="宋体"/>
                <w:sz w:val="18"/>
                <w:szCs w:val="18"/>
              </w:rPr>
            </w:pPr>
            <w:r w:rsidRPr="0063248C">
              <w:rPr>
                <w:rFonts w:cs="宋体"/>
                <w:sz w:val="18"/>
                <w:szCs w:val="18"/>
              </w:rPr>
              <w:t>承诺期限</w:t>
            </w:r>
          </w:p>
        </w:tc>
        <w:tc>
          <w:tcPr>
            <w:tcW w:w="463" w:type="pct"/>
            <w:tcBorders>
              <w:top w:val="single" w:sz="2" w:space="0" w:color="auto"/>
              <w:left w:val="single" w:sz="2" w:space="0" w:color="auto"/>
              <w:bottom w:val="single" w:sz="2" w:space="0" w:color="auto"/>
              <w:right w:val="single" w:sz="2" w:space="0" w:color="auto"/>
            </w:tcBorders>
            <w:shd w:val="clear" w:color="auto" w:fill="D3D3D3"/>
            <w:vAlign w:val="center"/>
          </w:tcPr>
          <w:p w14:paraId="172E7860" w14:textId="77777777" w:rsidR="007B3DB2" w:rsidRPr="0063248C" w:rsidRDefault="00000000">
            <w:pPr>
              <w:spacing w:before="40" w:after="40" w:line="240" w:lineRule="exact"/>
              <w:jc w:val="center"/>
              <w:rPr>
                <w:rFonts w:cs="宋体"/>
                <w:sz w:val="18"/>
                <w:szCs w:val="18"/>
              </w:rPr>
            </w:pPr>
            <w:r w:rsidRPr="0063248C">
              <w:rPr>
                <w:rFonts w:cs="宋体"/>
                <w:sz w:val="18"/>
                <w:szCs w:val="18"/>
              </w:rPr>
              <w:t>履行情况</w:t>
            </w:r>
          </w:p>
        </w:tc>
      </w:tr>
      <w:tr w:rsidR="006709E7" w:rsidRPr="0063248C" w14:paraId="257058A6" w14:textId="77777777" w:rsidTr="006709E7">
        <w:trPr>
          <w:trHeight w:val="240"/>
        </w:trPr>
        <w:tc>
          <w:tcPr>
            <w:tcW w:w="714" w:type="pct"/>
            <w:tcBorders>
              <w:top w:val="single" w:sz="2" w:space="0" w:color="auto"/>
              <w:left w:val="single" w:sz="2" w:space="0" w:color="auto"/>
              <w:bottom w:val="single" w:sz="2" w:space="0" w:color="auto"/>
              <w:right w:val="single" w:sz="2" w:space="0" w:color="auto"/>
            </w:tcBorders>
            <w:shd w:val="clear" w:color="auto" w:fill="D3D3D3"/>
            <w:vAlign w:val="center"/>
          </w:tcPr>
          <w:p w14:paraId="075FD54C" w14:textId="77777777" w:rsidR="007B3DB2" w:rsidRPr="0063248C" w:rsidRDefault="00000000">
            <w:pPr>
              <w:spacing w:before="40" w:after="40" w:line="240" w:lineRule="exact"/>
              <w:rPr>
                <w:rFonts w:cs="宋体"/>
                <w:sz w:val="18"/>
                <w:szCs w:val="18"/>
              </w:rPr>
            </w:pPr>
            <w:r w:rsidRPr="0063248C">
              <w:rPr>
                <w:rFonts w:cs="宋体"/>
                <w:sz w:val="18"/>
                <w:szCs w:val="18"/>
              </w:rPr>
              <w:t>收购报告书或权益变动报告书中所作承诺</w:t>
            </w:r>
          </w:p>
        </w:tc>
        <w:tc>
          <w:tcPr>
            <w:tcW w:w="714" w:type="pct"/>
            <w:tcBorders>
              <w:top w:val="single" w:sz="2" w:space="0" w:color="auto"/>
              <w:left w:val="single" w:sz="2" w:space="0" w:color="auto"/>
              <w:bottom w:val="single" w:sz="2" w:space="0" w:color="auto"/>
              <w:right w:val="single" w:sz="2" w:space="0" w:color="auto"/>
            </w:tcBorders>
            <w:vAlign w:val="center"/>
          </w:tcPr>
          <w:p w14:paraId="028673E5" w14:textId="77777777" w:rsidR="007B3DB2" w:rsidRPr="0063248C" w:rsidRDefault="00000000">
            <w:pPr>
              <w:spacing w:line="240" w:lineRule="exact"/>
              <w:rPr>
                <w:rFonts w:cs="宋体"/>
                <w:sz w:val="18"/>
                <w:szCs w:val="18"/>
              </w:rPr>
            </w:pPr>
            <w:r w:rsidRPr="0063248C">
              <w:rPr>
                <w:rFonts w:cs="宋体"/>
                <w:sz w:val="18"/>
                <w:szCs w:val="18"/>
              </w:rPr>
              <w:t>戴学斌</w:t>
            </w:r>
            <w:r w:rsidRPr="0063248C">
              <w:rPr>
                <w:rFonts w:cs="宋体"/>
                <w:sz w:val="18"/>
                <w:szCs w:val="18"/>
              </w:rPr>
              <w:t>;</w:t>
            </w:r>
            <w:r w:rsidRPr="0063248C">
              <w:rPr>
                <w:rFonts w:cs="宋体"/>
                <w:sz w:val="18"/>
                <w:szCs w:val="18"/>
              </w:rPr>
              <w:t>董翔</w:t>
            </w:r>
            <w:r w:rsidRPr="0063248C">
              <w:rPr>
                <w:rFonts w:cs="宋体"/>
                <w:sz w:val="18"/>
                <w:szCs w:val="18"/>
              </w:rPr>
              <w:t>;</w:t>
            </w:r>
            <w:r w:rsidRPr="0063248C">
              <w:rPr>
                <w:rFonts w:cs="宋体"/>
                <w:sz w:val="18"/>
                <w:szCs w:val="18"/>
              </w:rPr>
              <w:t>蓝润发展控股集团有限公司</w:t>
            </w:r>
          </w:p>
        </w:tc>
        <w:tc>
          <w:tcPr>
            <w:tcW w:w="714" w:type="pct"/>
            <w:tcBorders>
              <w:top w:val="single" w:sz="2" w:space="0" w:color="auto"/>
              <w:left w:val="single" w:sz="2" w:space="0" w:color="auto"/>
              <w:bottom w:val="single" w:sz="2" w:space="0" w:color="auto"/>
              <w:right w:val="single" w:sz="2" w:space="0" w:color="auto"/>
            </w:tcBorders>
            <w:vAlign w:val="center"/>
          </w:tcPr>
          <w:p w14:paraId="7B18BCE7" w14:textId="77777777" w:rsidR="007B3DB2" w:rsidRPr="0063248C" w:rsidRDefault="00000000">
            <w:pPr>
              <w:spacing w:line="240" w:lineRule="exact"/>
              <w:rPr>
                <w:rFonts w:cs="宋体"/>
                <w:sz w:val="18"/>
                <w:szCs w:val="18"/>
              </w:rPr>
            </w:pPr>
            <w:r w:rsidRPr="0063248C">
              <w:rPr>
                <w:rFonts w:cs="宋体"/>
                <w:sz w:val="18"/>
                <w:szCs w:val="18"/>
              </w:rPr>
              <w:t>关于同业竞争、关联交易、资金占用方面的承诺</w:t>
            </w:r>
          </w:p>
        </w:tc>
        <w:tc>
          <w:tcPr>
            <w:tcW w:w="1376" w:type="pct"/>
            <w:tcBorders>
              <w:top w:val="single" w:sz="2" w:space="0" w:color="auto"/>
              <w:left w:val="single" w:sz="2" w:space="0" w:color="auto"/>
              <w:bottom w:val="single" w:sz="2" w:space="0" w:color="auto"/>
              <w:right w:val="single" w:sz="2" w:space="0" w:color="auto"/>
            </w:tcBorders>
            <w:vAlign w:val="center"/>
          </w:tcPr>
          <w:p w14:paraId="7F13EA45" w14:textId="77777777" w:rsidR="007B3DB2" w:rsidRPr="0063248C" w:rsidRDefault="00000000">
            <w:pPr>
              <w:spacing w:line="240" w:lineRule="exact"/>
              <w:rPr>
                <w:rFonts w:cs="宋体"/>
                <w:sz w:val="18"/>
                <w:szCs w:val="18"/>
              </w:rPr>
            </w:pPr>
            <w:r w:rsidRPr="0063248C">
              <w:rPr>
                <w:rFonts w:cs="宋体"/>
                <w:sz w:val="18"/>
                <w:szCs w:val="18"/>
              </w:rPr>
              <w:t>1</w:t>
            </w:r>
            <w:r w:rsidRPr="0063248C">
              <w:rPr>
                <w:rFonts w:cs="宋体"/>
                <w:sz w:val="18"/>
                <w:szCs w:val="18"/>
              </w:rPr>
              <w:t>、本公司</w:t>
            </w:r>
            <w:r w:rsidRPr="0063248C">
              <w:rPr>
                <w:rFonts w:cs="宋体"/>
                <w:sz w:val="18"/>
                <w:szCs w:val="18"/>
              </w:rPr>
              <w:t>/</w:t>
            </w:r>
            <w:r w:rsidRPr="0063248C">
              <w:rPr>
                <w:rFonts w:cs="宋体"/>
                <w:sz w:val="18"/>
                <w:szCs w:val="18"/>
              </w:rPr>
              <w:t>本人承诺未来从事的与上市公司存在同业竞争的项目将仅限于四川省巴中市、达州市、南充市三市的生猪养殖项目；</w:t>
            </w:r>
          </w:p>
          <w:p w14:paraId="3A0F4FAE" w14:textId="77777777" w:rsidR="007B3DB2" w:rsidRPr="0063248C" w:rsidRDefault="00000000">
            <w:pPr>
              <w:spacing w:line="240" w:lineRule="exact"/>
              <w:rPr>
                <w:rFonts w:cs="宋体"/>
                <w:sz w:val="18"/>
                <w:szCs w:val="18"/>
              </w:rPr>
            </w:pPr>
            <w:r w:rsidRPr="0063248C">
              <w:rPr>
                <w:rFonts w:cs="宋体"/>
                <w:sz w:val="18"/>
                <w:szCs w:val="18"/>
              </w:rPr>
              <w:t>2</w:t>
            </w:r>
            <w:r w:rsidRPr="0063248C">
              <w:rPr>
                <w:rFonts w:cs="宋体"/>
                <w:sz w:val="18"/>
                <w:szCs w:val="18"/>
              </w:rPr>
              <w:t>、上述生猪养殖项目实施过程中，资金来源为自有资金或自筹资金，不会占用上市公司及其控股子公司资金，亦不会让上市公司及其控股子公司提供担保；</w:t>
            </w:r>
          </w:p>
          <w:p w14:paraId="78708E5D" w14:textId="77777777" w:rsidR="007B3DB2" w:rsidRPr="0063248C" w:rsidRDefault="00000000">
            <w:pPr>
              <w:spacing w:line="240" w:lineRule="exact"/>
              <w:rPr>
                <w:rFonts w:cs="宋体"/>
                <w:sz w:val="18"/>
                <w:szCs w:val="18"/>
              </w:rPr>
            </w:pPr>
            <w:r w:rsidRPr="0063248C">
              <w:rPr>
                <w:rFonts w:cs="宋体"/>
                <w:sz w:val="18"/>
                <w:szCs w:val="18"/>
              </w:rPr>
              <w:t>3</w:t>
            </w:r>
            <w:r w:rsidRPr="0063248C">
              <w:rPr>
                <w:rFonts w:cs="宋体"/>
                <w:sz w:val="18"/>
                <w:szCs w:val="18"/>
              </w:rPr>
              <w:t>、上述项目建成投产后，本公司</w:t>
            </w:r>
            <w:r w:rsidRPr="0063248C">
              <w:rPr>
                <w:rFonts w:cs="宋体"/>
                <w:sz w:val="18"/>
                <w:szCs w:val="18"/>
              </w:rPr>
              <w:t>/</w:t>
            </w:r>
            <w:r w:rsidRPr="0063248C">
              <w:rPr>
                <w:rFonts w:cs="宋体"/>
                <w:sz w:val="18"/>
                <w:szCs w:val="18"/>
              </w:rPr>
              <w:t>本人将尽量避免上述生猪养殖项目实施主体与上市公司之间的关联交易；对于无法避免或者有合理原因而发生的关联交易，上述生猪养殖项目实施主体将根据有关法律、法规和规范性文件以及公司章程的规定，遵循平等、自愿、等价和有偿的一般商业原则，与上市公司签订关联交易协议，并确保关联交易的价格公允，原则上不偏离市场</w:t>
            </w:r>
            <w:proofErr w:type="gramStart"/>
            <w:r w:rsidRPr="0063248C">
              <w:rPr>
                <w:rFonts w:cs="宋体"/>
                <w:sz w:val="18"/>
                <w:szCs w:val="18"/>
              </w:rPr>
              <w:t>独立第三</w:t>
            </w:r>
            <w:proofErr w:type="gramEnd"/>
            <w:r w:rsidRPr="0063248C">
              <w:rPr>
                <w:rFonts w:cs="宋体"/>
                <w:sz w:val="18"/>
                <w:szCs w:val="18"/>
              </w:rPr>
              <w:t>方的价</w:t>
            </w:r>
          </w:p>
          <w:p w14:paraId="111282EB" w14:textId="77777777" w:rsidR="007B3DB2" w:rsidRPr="0063248C" w:rsidRDefault="00000000">
            <w:pPr>
              <w:spacing w:line="240" w:lineRule="exact"/>
              <w:rPr>
                <w:rFonts w:cs="宋体"/>
                <w:sz w:val="18"/>
                <w:szCs w:val="18"/>
              </w:rPr>
            </w:pPr>
            <w:r w:rsidRPr="0063248C">
              <w:rPr>
                <w:rFonts w:cs="宋体"/>
                <w:sz w:val="18"/>
                <w:szCs w:val="18"/>
              </w:rPr>
              <w:t>格或收费的标准，以维护上市公司及其中小股东的利益；</w:t>
            </w:r>
          </w:p>
          <w:p w14:paraId="29CD53BF" w14:textId="27F7FC22" w:rsidR="007B3DB2" w:rsidRPr="0063248C" w:rsidRDefault="00000000">
            <w:pPr>
              <w:spacing w:line="240" w:lineRule="exact"/>
              <w:rPr>
                <w:rFonts w:cs="宋体"/>
                <w:sz w:val="18"/>
                <w:szCs w:val="18"/>
              </w:rPr>
            </w:pPr>
            <w:r w:rsidRPr="0063248C">
              <w:rPr>
                <w:rFonts w:cs="宋体"/>
                <w:sz w:val="18"/>
                <w:szCs w:val="18"/>
              </w:rPr>
              <w:t>4</w:t>
            </w:r>
            <w:r w:rsidRPr="0063248C">
              <w:rPr>
                <w:rFonts w:cs="宋体"/>
                <w:sz w:val="18"/>
                <w:szCs w:val="18"/>
              </w:rPr>
              <w:t>、上述生猪养殖项目的经营主体</w:t>
            </w:r>
            <w:proofErr w:type="gramStart"/>
            <w:r w:rsidRPr="0063248C">
              <w:rPr>
                <w:rFonts w:cs="宋体"/>
                <w:sz w:val="18"/>
                <w:szCs w:val="18"/>
              </w:rPr>
              <w:t>为五仓农牧</w:t>
            </w:r>
            <w:proofErr w:type="gramEnd"/>
            <w:r w:rsidRPr="0063248C">
              <w:rPr>
                <w:rFonts w:cs="宋体"/>
                <w:sz w:val="18"/>
                <w:szCs w:val="18"/>
              </w:rPr>
              <w:t>集团有限公司及其下属各地子公司。在上述项目建设完成，且项目经营</w:t>
            </w:r>
            <w:proofErr w:type="gramStart"/>
            <w:r w:rsidRPr="0063248C">
              <w:rPr>
                <w:rFonts w:cs="宋体"/>
                <w:sz w:val="18"/>
                <w:szCs w:val="18"/>
              </w:rPr>
              <w:t>主体五仓农牧</w:t>
            </w:r>
            <w:proofErr w:type="gramEnd"/>
            <w:r w:rsidRPr="0063248C">
              <w:rPr>
                <w:rFonts w:cs="宋体"/>
                <w:sz w:val="18"/>
                <w:szCs w:val="18"/>
              </w:rPr>
              <w:t>符合注入上市公司条件后</w:t>
            </w:r>
            <w:r w:rsidRPr="0063248C">
              <w:rPr>
                <w:rFonts w:cs="宋体"/>
                <w:sz w:val="18"/>
                <w:szCs w:val="18"/>
              </w:rPr>
              <w:t xml:space="preserve"> 1 </w:t>
            </w:r>
            <w:r w:rsidRPr="0063248C">
              <w:rPr>
                <w:rFonts w:cs="宋体"/>
                <w:sz w:val="18"/>
                <w:szCs w:val="18"/>
              </w:rPr>
              <w:t>年内，本公司</w:t>
            </w:r>
            <w:r w:rsidRPr="0063248C">
              <w:rPr>
                <w:rFonts w:cs="宋体"/>
                <w:sz w:val="18"/>
                <w:szCs w:val="18"/>
              </w:rPr>
              <w:t>/</w:t>
            </w:r>
            <w:r w:rsidRPr="0063248C">
              <w:rPr>
                <w:rFonts w:cs="宋体"/>
                <w:sz w:val="18"/>
                <w:szCs w:val="18"/>
              </w:rPr>
              <w:t>本人承诺</w:t>
            </w:r>
            <w:proofErr w:type="gramStart"/>
            <w:r w:rsidRPr="0063248C">
              <w:rPr>
                <w:rFonts w:cs="宋体"/>
                <w:sz w:val="18"/>
                <w:szCs w:val="18"/>
              </w:rPr>
              <w:t>将五仓农牧</w:t>
            </w:r>
            <w:proofErr w:type="gramEnd"/>
            <w:r w:rsidRPr="0063248C">
              <w:rPr>
                <w:rFonts w:cs="宋体"/>
                <w:sz w:val="18"/>
                <w:szCs w:val="18"/>
              </w:rPr>
              <w:t>按法定程序以市场公允价格注入上市公司，若上市公司明确放弃上述收购权利，则本公司</w:t>
            </w:r>
            <w:r w:rsidRPr="0063248C">
              <w:rPr>
                <w:rFonts w:cs="宋体"/>
                <w:sz w:val="18"/>
                <w:szCs w:val="18"/>
              </w:rPr>
              <w:t>/</w:t>
            </w:r>
            <w:r w:rsidRPr="0063248C">
              <w:rPr>
                <w:rFonts w:cs="宋体"/>
                <w:sz w:val="18"/>
                <w:szCs w:val="18"/>
              </w:rPr>
              <w:t>本人将采取向无关联第三方</w:t>
            </w:r>
            <w:proofErr w:type="gramStart"/>
            <w:r w:rsidRPr="0063248C">
              <w:rPr>
                <w:rFonts w:cs="宋体"/>
                <w:sz w:val="18"/>
                <w:szCs w:val="18"/>
              </w:rPr>
              <w:t>转让五仓农牧</w:t>
            </w:r>
            <w:proofErr w:type="gramEnd"/>
            <w:r w:rsidRPr="0063248C">
              <w:rPr>
                <w:rFonts w:cs="宋体"/>
                <w:sz w:val="18"/>
                <w:szCs w:val="18"/>
              </w:rPr>
              <w:t>股权等方式妥善解决同业竞争；当同时满足以下条件时，</w:t>
            </w:r>
            <w:proofErr w:type="gramStart"/>
            <w:r w:rsidRPr="0063248C">
              <w:rPr>
                <w:rFonts w:cs="宋体"/>
                <w:sz w:val="18"/>
                <w:szCs w:val="18"/>
              </w:rPr>
              <w:t>五仓农牧</w:t>
            </w:r>
            <w:proofErr w:type="gramEnd"/>
            <w:r w:rsidRPr="0063248C">
              <w:rPr>
                <w:rFonts w:cs="宋体"/>
                <w:sz w:val="18"/>
                <w:szCs w:val="18"/>
              </w:rPr>
              <w:t>将视为符合前述所约定的资产注入条件：</w:t>
            </w:r>
          </w:p>
          <w:p w14:paraId="6101EEF8" w14:textId="77777777" w:rsidR="000367A6" w:rsidRDefault="00000000">
            <w:pPr>
              <w:spacing w:line="240" w:lineRule="exact"/>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）生产经营符合法律、行政法规和公司章程的规定，符合国家产业政策和有关环境保护、土地管理、反垄断等法律和行政法规的规定；</w:t>
            </w:r>
          </w:p>
          <w:p w14:paraId="45127D02" w14:textId="25A5B448"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）所涉及的股权权属清晰，股权过户或者转移不存在法律障碍，相关债权债务处理合法；</w:t>
            </w:r>
          </w:p>
          <w:p w14:paraId="71529F86" w14:textId="77777777" w:rsidR="007B3DB2" w:rsidRPr="0063248C" w:rsidRDefault="00000000">
            <w:pPr>
              <w:spacing w:line="240" w:lineRule="exact"/>
              <w:rPr>
                <w:rFonts w:cs="宋体"/>
                <w:sz w:val="18"/>
                <w:szCs w:val="18"/>
              </w:rPr>
            </w:pPr>
            <w:r w:rsidRPr="0063248C">
              <w:rPr>
                <w:rFonts w:cs="宋体"/>
                <w:sz w:val="18"/>
                <w:szCs w:val="18"/>
              </w:rPr>
              <w:lastRenderedPageBreak/>
              <w:t>（</w:t>
            </w:r>
            <w:r w:rsidRPr="0063248C">
              <w:rPr>
                <w:rFonts w:cs="宋体"/>
                <w:sz w:val="18"/>
                <w:szCs w:val="18"/>
              </w:rPr>
              <w:t>3</w:t>
            </w:r>
            <w:r w:rsidRPr="0063248C">
              <w:rPr>
                <w:rFonts w:cs="宋体"/>
                <w:sz w:val="18"/>
                <w:szCs w:val="18"/>
              </w:rPr>
              <w:t>）</w:t>
            </w:r>
            <w:proofErr w:type="gramStart"/>
            <w:r w:rsidRPr="0063248C">
              <w:rPr>
                <w:rFonts w:cs="宋体"/>
                <w:sz w:val="18"/>
                <w:szCs w:val="18"/>
              </w:rPr>
              <w:t>五仓农牧</w:t>
            </w:r>
            <w:proofErr w:type="gramEnd"/>
            <w:r w:rsidRPr="0063248C">
              <w:rPr>
                <w:rFonts w:cs="宋体"/>
                <w:sz w:val="18"/>
                <w:szCs w:val="18"/>
              </w:rPr>
              <w:t>最近一年实现的扣除非经常性损益后归属于母公司股东净利润（合并口径）为正，上述财务数据需经具有证券资格的会计师事务所审计；</w:t>
            </w:r>
          </w:p>
          <w:p w14:paraId="766A6D81" w14:textId="5150D91B"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4</w:t>
            </w:r>
            <w:r w:rsidRPr="0063248C">
              <w:rPr>
                <w:rFonts w:cs="宋体"/>
                <w:sz w:val="18"/>
                <w:szCs w:val="18"/>
              </w:rPr>
              <w:t>）符合相关法律法规及规范性文件、证券监管机构的相关监管要求；本公司</w:t>
            </w:r>
            <w:r w:rsidRPr="0063248C">
              <w:rPr>
                <w:rFonts w:cs="宋体"/>
                <w:sz w:val="18"/>
                <w:szCs w:val="18"/>
              </w:rPr>
              <w:t>/</w:t>
            </w:r>
            <w:r w:rsidRPr="0063248C">
              <w:rPr>
                <w:rFonts w:cs="宋体"/>
                <w:sz w:val="18"/>
                <w:szCs w:val="18"/>
              </w:rPr>
              <w:t>本人承诺最迟不超过</w:t>
            </w:r>
            <w:r w:rsidRPr="0063248C">
              <w:rPr>
                <w:rFonts w:cs="宋体"/>
                <w:sz w:val="18"/>
                <w:szCs w:val="18"/>
              </w:rPr>
              <w:t xml:space="preserve"> 2025 </w:t>
            </w:r>
            <w:r w:rsidRPr="0063248C">
              <w:rPr>
                <w:rFonts w:cs="宋体"/>
                <w:sz w:val="18"/>
                <w:szCs w:val="18"/>
              </w:rPr>
              <w:t>年</w:t>
            </w:r>
            <w:r w:rsidRPr="0063248C">
              <w:rPr>
                <w:rFonts w:cs="宋体"/>
                <w:sz w:val="18"/>
                <w:szCs w:val="18"/>
              </w:rPr>
              <w:t xml:space="preserve"> 12 </w:t>
            </w:r>
            <w:r w:rsidRPr="0063248C">
              <w:rPr>
                <w:rFonts w:cs="宋体"/>
                <w:sz w:val="18"/>
                <w:szCs w:val="18"/>
              </w:rPr>
              <w:t>月</w:t>
            </w:r>
            <w:r w:rsidRPr="0063248C">
              <w:rPr>
                <w:rFonts w:cs="宋体"/>
                <w:sz w:val="18"/>
                <w:szCs w:val="18"/>
              </w:rPr>
              <w:t xml:space="preserve">31 </w:t>
            </w:r>
            <w:r w:rsidRPr="0063248C">
              <w:rPr>
                <w:rFonts w:cs="宋体"/>
                <w:sz w:val="18"/>
                <w:szCs w:val="18"/>
              </w:rPr>
              <w:t>日前完成</w:t>
            </w:r>
            <w:proofErr w:type="gramStart"/>
            <w:r w:rsidRPr="0063248C">
              <w:rPr>
                <w:rFonts w:cs="宋体"/>
                <w:sz w:val="18"/>
                <w:szCs w:val="18"/>
              </w:rPr>
              <w:t>将五仓农牧</w:t>
            </w:r>
            <w:proofErr w:type="gramEnd"/>
            <w:r w:rsidRPr="0063248C">
              <w:rPr>
                <w:rFonts w:cs="宋体"/>
                <w:sz w:val="18"/>
                <w:szCs w:val="18"/>
              </w:rPr>
              <w:t>的股权注入上市公司的协议签署，在上市公司明确放弃上述收购权利时，最迟不超过</w:t>
            </w:r>
            <w:r w:rsidRPr="0063248C">
              <w:rPr>
                <w:rFonts w:cs="宋体"/>
                <w:sz w:val="18"/>
                <w:szCs w:val="18"/>
              </w:rPr>
              <w:t xml:space="preserve"> 2025 </w:t>
            </w:r>
            <w:r w:rsidRPr="0063248C">
              <w:rPr>
                <w:rFonts w:cs="宋体"/>
                <w:sz w:val="18"/>
                <w:szCs w:val="18"/>
              </w:rPr>
              <w:t>年</w:t>
            </w:r>
            <w:r w:rsidRPr="0063248C">
              <w:rPr>
                <w:rFonts w:cs="宋体"/>
                <w:sz w:val="18"/>
                <w:szCs w:val="18"/>
              </w:rPr>
              <w:t xml:space="preserve"> 12 </w:t>
            </w:r>
            <w:r w:rsidRPr="0063248C">
              <w:rPr>
                <w:rFonts w:cs="宋体"/>
                <w:sz w:val="18"/>
                <w:szCs w:val="18"/>
              </w:rPr>
              <w:t>月</w:t>
            </w:r>
            <w:r w:rsidRPr="0063248C">
              <w:rPr>
                <w:rFonts w:cs="宋体"/>
                <w:sz w:val="18"/>
                <w:szCs w:val="18"/>
              </w:rPr>
              <w:t xml:space="preserve"> 31</w:t>
            </w:r>
            <w:r w:rsidRPr="0063248C">
              <w:rPr>
                <w:rFonts w:cs="宋体"/>
                <w:sz w:val="18"/>
                <w:szCs w:val="18"/>
              </w:rPr>
              <w:t>日前向无关联第三方</w:t>
            </w:r>
            <w:proofErr w:type="gramStart"/>
            <w:r w:rsidRPr="0063248C">
              <w:rPr>
                <w:rFonts w:cs="宋体"/>
                <w:sz w:val="18"/>
                <w:szCs w:val="18"/>
              </w:rPr>
              <w:t>转让五仓农牧</w:t>
            </w:r>
            <w:proofErr w:type="gramEnd"/>
            <w:r w:rsidRPr="0063248C">
              <w:rPr>
                <w:rFonts w:cs="宋体"/>
                <w:sz w:val="18"/>
                <w:szCs w:val="18"/>
              </w:rPr>
              <w:t>股权；</w:t>
            </w:r>
          </w:p>
          <w:p w14:paraId="6BF7EC7D" w14:textId="77777777" w:rsidR="007B3DB2" w:rsidRPr="0063248C" w:rsidRDefault="00000000">
            <w:pPr>
              <w:spacing w:line="240" w:lineRule="exact"/>
              <w:rPr>
                <w:rFonts w:cs="宋体"/>
                <w:sz w:val="18"/>
                <w:szCs w:val="18"/>
              </w:rPr>
            </w:pPr>
            <w:r w:rsidRPr="0063248C">
              <w:rPr>
                <w:rFonts w:cs="宋体"/>
                <w:sz w:val="18"/>
                <w:szCs w:val="18"/>
              </w:rPr>
              <w:t>5</w:t>
            </w:r>
            <w:r w:rsidRPr="0063248C">
              <w:rPr>
                <w:rFonts w:cs="宋体"/>
                <w:sz w:val="18"/>
                <w:szCs w:val="18"/>
              </w:rPr>
              <w:t>、本公司</w:t>
            </w:r>
            <w:r w:rsidRPr="0063248C">
              <w:rPr>
                <w:rFonts w:cs="宋体"/>
                <w:sz w:val="18"/>
                <w:szCs w:val="18"/>
              </w:rPr>
              <w:t>/</w:t>
            </w:r>
            <w:r w:rsidRPr="0063248C">
              <w:rPr>
                <w:rFonts w:cs="宋体"/>
                <w:sz w:val="18"/>
                <w:szCs w:val="18"/>
              </w:rPr>
              <w:t>本人及本公司</w:t>
            </w:r>
            <w:r w:rsidRPr="0063248C">
              <w:rPr>
                <w:rFonts w:cs="宋体"/>
                <w:sz w:val="18"/>
                <w:szCs w:val="18"/>
              </w:rPr>
              <w:t>/</w:t>
            </w:r>
            <w:r w:rsidRPr="0063248C">
              <w:rPr>
                <w:rFonts w:cs="宋体"/>
                <w:sz w:val="18"/>
                <w:szCs w:val="18"/>
              </w:rPr>
              <w:t>本人控制的除上市公司外的其他成员因违反前述声明、承诺而获得的收益由上市公司享有，如造成上市公司经济损失的，本公司</w:t>
            </w:r>
            <w:r w:rsidRPr="0063248C">
              <w:rPr>
                <w:rFonts w:cs="宋体"/>
                <w:sz w:val="18"/>
                <w:szCs w:val="18"/>
              </w:rPr>
              <w:t>/</w:t>
            </w:r>
            <w:r w:rsidRPr="0063248C">
              <w:rPr>
                <w:rFonts w:cs="宋体"/>
                <w:sz w:val="18"/>
                <w:szCs w:val="18"/>
              </w:rPr>
              <w:t>本人同意赔偿上市公司相应损失；</w:t>
            </w:r>
          </w:p>
          <w:p w14:paraId="213876B7" w14:textId="77777777" w:rsidR="007B3DB2" w:rsidRPr="0063248C" w:rsidRDefault="00000000">
            <w:pPr>
              <w:spacing w:line="240" w:lineRule="exact"/>
              <w:rPr>
                <w:rFonts w:cs="宋体"/>
                <w:sz w:val="18"/>
                <w:szCs w:val="18"/>
              </w:rPr>
            </w:pPr>
            <w:r w:rsidRPr="0063248C">
              <w:rPr>
                <w:rFonts w:cs="宋体"/>
                <w:sz w:val="18"/>
                <w:szCs w:val="18"/>
              </w:rPr>
              <w:t>6</w:t>
            </w:r>
            <w:r w:rsidRPr="0063248C">
              <w:rPr>
                <w:rFonts w:cs="宋体"/>
                <w:sz w:val="18"/>
                <w:szCs w:val="18"/>
              </w:rPr>
              <w:t>、本公司</w:t>
            </w:r>
            <w:r w:rsidRPr="0063248C">
              <w:rPr>
                <w:rFonts w:cs="宋体"/>
                <w:sz w:val="18"/>
                <w:szCs w:val="18"/>
              </w:rPr>
              <w:t>/</w:t>
            </w:r>
            <w:r w:rsidRPr="0063248C">
              <w:rPr>
                <w:rFonts w:cs="宋体"/>
                <w:sz w:val="18"/>
                <w:szCs w:val="18"/>
              </w:rPr>
              <w:t>本人分别于</w:t>
            </w:r>
            <w:r w:rsidRPr="0063248C">
              <w:rPr>
                <w:rFonts w:cs="宋体"/>
                <w:sz w:val="18"/>
                <w:szCs w:val="18"/>
              </w:rPr>
              <w:t>2019</w:t>
            </w:r>
            <w:r w:rsidRPr="0063248C">
              <w:rPr>
                <w:rFonts w:cs="宋体"/>
                <w:sz w:val="18"/>
                <w:szCs w:val="18"/>
              </w:rPr>
              <w:t>年</w:t>
            </w:r>
            <w:r w:rsidRPr="0063248C">
              <w:rPr>
                <w:rFonts w:cs="宋体"/>
                <w:sz w:val="18"/>
                <w:szCs w:val="18"/>
              </w:rPr>
              <w:t>5</w:t>
            </w:r>
            <w:r w:rsidRPr="0063248C">
              <w:rPr>
                <w:rFonts w:cs="宋体"/>
                <w:sz w:val="18"/>
                <w:szCs w:val="18"/>
              </w:rPr>
              <w:t>月</w:t>
            </w:r>
            <w:r w:rsidRPr="0063248C">
              <w:rPr>
                <w:rFonts w:cs="宋体"/>
                <w:sz w:val="18"/>
                <w:szCs w:val="18"/>
              </w:rPr>
              <w:t>24</w:t>
            </w:r>
            <w:r w:rsidRPr="0063248C">
              <w:rPr>
                <w:rFonts w:cs="宋体"/>
                <w:sz w:val="18"/>
                <w:szCs w:val="18"/>
              </w:rPr>
              <w:t>日、</w:t>
            </w:r>
            <w:r w:rsidRPr="0063248C">
              <w:rPr>
                <w:rFonts w:cs="宋体"/>
                <w:sz w:val="18"/>
                <w:szCs w:val="18"/>
              </w:rPr>
              <w:t>2019</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15</w:t>
            </w:r>
            <w:r w:rsidRPr="0063248C">
              <w:rPr>
                <w:rFonts w:cs="宋体"/>
                <w:sz w:val="18"/>
                <w:szCs w:val="18"/>
              </w:rPr>
              <w:t>日、</w:t>
            </w:r>
            <w:r w:rsidRPr="0063248C">
              <w:rPr>
                <w:rFonts w:cs="宋体"/>
                <w:sz w:val="18"/>
                <w:szCs w:val="18"/>
              </w:rPr>
              <w:t>2019</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20</w:t>
            </w:r>
            <w:r w:rsidRPr="0063248C">
              <w:rPr>
                <w:rFonts w:cs="宋体"/>
                <w:sz w:val="18"/>
                <w:szCs w:val="18"/>
              </w:rPr>
              <w:t>日、</w:t>
            </w:r>
            <w:r w:rsidRPr="0063248C">
              <w:rPr>
                <w:rFonts w:cs="宋体"/>
                <w:sz w:val="18"/>
                <w:szCs w:val="18"/>
              </w:rPr>
              <w:t>2020</w:t>
            </w:r>
            <w:r w:rsidRPr="0063248C">
              <w:rPr>
                <w:rFonts w:cs="宋体"/>
                <w:sz w:val="18"/>
                <w:szCs w:val="18"/>
              </w:rPr>
              <w:t>年</w:t>
            </w:r>
            <w:r w:rsidRPr="0063248C">
              <w:rPr>
                <w:rFonts w:cs="宋体"/>
                <w:sz w:val="18"/>
                <w:szCs w:val="18"/>
              </w:rPr>
              <w:t>4</w:t>
            </w:r>
            <w:r w:rsidRPr="0063248C">
              <w:rPr>
                <w:rFonts w:cs="宋体"/>
                <w:sz w:val="18"/>
                <w:szCs w:val="18"/>
              </w:rPr>
              <w:t>月</w:t>
            </w:r>
            <w:r w:rsidRPr="0063248C">
              <w:rPr>
                <w:rFonts w:cs="宋体"/>
                <w:sz w:val="18"/>
                <w:szCs w:val="18"/>
              </w:rPr>
              <w:t>17</w:t>
            </w:r>
            <w:r w:rsidRPr="0063248C">
              <w:rPr>
                <w:rFonts w:cs="宋体"/>
                <w:sz w:val="18"/>
                <w:szCs w:val="18"/>
              </w:rPr>
              <w:t>日、</w:t>
            </w:r>
            <w:r w:rsidRPr="0063248C">
              <w:rPr>
                <w:rFonts w:cs="宋体"/>
                <w:sz w:val="18"/>
                <w:szCs w:val="18"/>
              </w:rPr>
              <w:t>2021</w:t>
            </w:r>
            <w:r w:rsidRPr="0063248C">
              <w:rPr>
                <w:rFonts w:cs="宋体"/>
                <w:sz w:val="18"/>
                <w:szCs w:val="18"/>
              </w:rPr>
              <w:t>年</w:t>
            </w:r>
            <w:r w:rsidRPr="0063248C">
              <w:rPr>
                <w:rFonts w:cs="宋体"/>
                <w:sz w:val="18"/>
                <w:szCs w:val="18"/>
              </w:rPr>
              <w:t>8</w:t>
            </w:r>
            <w:r w:rsidRPr="0063248C">
              <w:rPr>
                <w:rFonts w:cs="宋体"/>
                <w:sz w:val="18"/>
                <w:szCs w:val="18"/>
              </w:rPr>
              <w:t>月</w:t>
            </w:r>
            <w:r w:rsidRPr="0063248C">
              <w:rPr>
                <w:rFonts w:cs="宋体"/>
                <w:sz w:val="18"/>
                <w:szCs w:val="18"/>
              </w:rPr>
              <w:t xml:space="preserve"> 25</w:t>
            </w:r>
            <w:r w:rsidRPr="0063248C">
              <w:rPr>
                <w:rFonts w:cs="宋体"/>
                <w:sz w:val="18"/>
                <w:szCs w:val="18"/>
              </w:rPr>
              <w:t>日</w:t>
            </w:r>
            <w:proofErr w:type="gramStart"/>
            <w:r w:rsidRPr="0063248C">
              <w:rPr>
                <w:rFonts w:cs="宋体"/>
                <w:sz w:val="18"/>
                <w:szCs w:val="18"/>
              </w:rPr>
              <w:t>作出</w:t>
            </w:r>
            <w:proofErr w:type="gramEnd"/>
            <w:r w:rsidRPr="0063248C">
              <w:rPr>
                <w:rFonts w:cs="宋体"/>
                <w:sz w:val="18"/>
                <w:szCs w:val="18"/>
              </w:rPr>
              <w:t>的《关于避免同业竞争的承诺》中与</w:t>
            </w:r>
            <w:proofErr w:type="gramStart"/>
            <w:r w:rsidRPr="0063248C">
              <w:rPr>
                <w:rFonts w:cs="宋体"/>
                <w:sz w:val="18"/>
                <w:szCs w:val="18"/>
              </w:rPr>
              <w:t>本承诺</w:t>
            </w:r>
            <w:proofErr w:type="gramEnd"/>
            <w:r w:rsidRPr="0063248C">
              <w:rPr>
                <w:rFonts w:cs="宋体"/>
                <w:sz w:val="18"/>
                <w:szCs w:val="18"/>
              </w:rPr>
              <w:t>内容不一致的，以</w:t>
            </w:r>
            <w:proofErr w:type="gramStart"/>
            <w:r w:rsidRPr="0063248C">
              <w:rPr>
                <w:rFonts w:cs="宋体"/>
                <w:sz w:val="18"/>
                <w:szCs w:val="18"/>
              </w:rPr>
              <w:t>本承诺</w:t>
            </w:r>
            <w:proofErr w:type="gramEnd"/>
            <w:r w:rsidRPr="0063248C">
              <w:rPr>
                <w:rFonts w:cs="宋体"/>
                <w:sz w:val="18"/>
                <w:szCs w:val="18"/>
              </w:rPr>
              <w:t>内容为准；除上述情况外，其余承诺内容均继续履行。</w:t>
            </w:r>
          </w:p>
        </w:tc>
        <w:tc>
          <w:tcPr>
            <w:tcW w:w="510" w:type="pct"/>
            <w:tcBorders>
              <w:top w:val="single" w:sz="2" w:space="0" w:color="auto"/>
              <w:left w:val="single" w:sz="2" w:space="0" w:color="auto"/>
              <w:bottom w:val="single" w:sz="2" w:space="0" w:color="auto"/>
              <w:right w:val="single" w:sz="2" w:space="0" w:color="auto"/>
            </w:tcBorders>
            <w:vAlign w:val="center"/>
          </w:tcPr>
          <w:p w14:paraId="0E2F1556" w14:textId="77777777" w:rsidR="007B3DB2" w:rsidRPr="0063248C" w:rsidRDefault="00000000">
            <w:pPr>
              <w:spacing w:line="240" w:lineRule="exact"/>
              <w:rPr>
                <w:rFonts w:cs="宋体"/>
                <w:sz w:val="18"/>
                <w:szCs w:val="18"/>
              </w:rPr>
            </w:pPr>
            <w:r w:rsidRPr="0063248C">
              <w:rPr>
                <w:rFonts w:cs="宋体"/>
                <w:sz w:val="18"/>
                <w:szCs w:val="18"/>
              </w:rPr>
              <w:lastRenderedPageBreak/>
              <w:t>2023</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01</w:t>
            </w:r>
            <w:r w:rsidRPr="0063248C">
              <w:rPr>
                <w:rFonts w:cs="宋体"/>
                <w:sz w:val="18"/>
                <w:szCs w:val="18"/>
              </w:rPr>
              <w:t>日</w:t>
            </w:r>
          </w:p>
        </w:tc>
        <w:tc>
          <w:tcPr>
            <w:tcW w:w="509" w:type="pct"/>
            <w:tcBorders>
              <w:top w:val="single" w:sz="2" w:space="0" w:color="auto"/>
              <w:left w:val="single" w:sz="2" w:space="0" w:color="auto"/>
              <w:bottom w:val="single" w:sz="2" w:space="0" w:color="auto"/>
              <w:right w:val="single" w:sz="2" w:space="0" w:color="auto"/>
            </w:tcBorders>
            <w:vAlign w:val="center"/>
          </w:tcPr>
          <w:p w14:paraId="3F524954" w14:textId="77777777" w:rsidR="007B3DB2" w:rsidRPr="0063248C" w:rsidRDefault="00000000">
            <w:pPr>
              <w:spacing w:line="240" w:lineRule="exact"/>
              <w:rPr>
                <w:rFonts w:cs="宋体"/>
                <w:sz w:val="18"/>
                <w:szCs w:val="18"/>
              </w:rPr>
            </w:pPr>
            <w:r w:rsidRPr="0063248C">
              <w:rPr>
                <w:rFonts w:cs="宋体"/>
                <w:sz w:val="18"/>
                <w:szCs w:val="18"/>
              </w:rPr>
              <w:t>长期</w:t>
            </w:r>
          </w:p>
        </w:tc>
        <w:tc>
          <w:tcPr>
            <w:tcW w:w="463" w:type="pct"/>
            <w:tcBorders>
              <w:top w:val="single" w:sz="2" w:space="0" w:color="auto"/>
              <w:left w:val="single" w:sz="2" w:space="0" w:color="auto"/>
              <w:bottom w:val="single" w:sz="2" w:space="0" w:color="auto"/>
              <w:right w:val="single" w:sz="2" w:space="0" w:color="auto"/>
            </w:tcBorders>
            <w:vAlign w:val="center"/>
          </w:tcPr>
          <w:p w14:paraId="52D3E120" w14:textId="77777777" w:rsidR="007B3DB2" w:rsidRPr="0063248C" w:rsidRDefault="00000000">
            <w:pPr>
              <w:spacing w:line="240" w:lineRule="exact"/>
              <w:rPr>
                <w:rFonts w:cs="宋体"/>
                <w:sz w:val="18"/>
                <w:szCs w:val="18"/>
              </w:rPr>
            </w:pPr>
            <w:r w:rsidRPr="0063248C">
              <w:rPr>
                <w:rFonts w:cs="宋体"/>
                <w:sz w:val="18"/>
                <w:szCs w:val="18"/>
              </w:rPr>
              <w:t>正常履行中</w:t>
            </w:r>
          </w:p>
        </w:tc>
      </w:tr>
      <w:tr w:rsidR="006709E7" w:rsidRPr="0063248C" w14:paraId="5D9416EA" w14:textId="77777777" w:rsidTr="006709E7">
        <w:trPr>
          <w:trHeight w:val="240"/>
        </w:trPr>
        <w:tc>
          <w:tcPr>
            <w:tcW w:w="714" w:type="pct"/>
            <w:tcBorders>
              <w:top w:val="single" w:sz="2" w:space="0" w:color="auto"/>
              <w:left w:val="single" w:sz="2" w:space="0" w:color="auto"/>
              <w:bottom w:val="single" w:sz="2" w:space="0" w:color="auto"/>
              <w:right w:val="single" w:sz="2" w:space="0" w:color="auto"/>
            </w:tcBorders>
            <w:shd w:val="clear" w:color="auto" w:fill="D3D3D3"/>
            <w:vAlign w:val="center"/>
          </w:tcPr>
          <w:p w14:paraId="6205B1D8" w14:textId="77777777" w:rsidR="007B3DB2" w:rsidRPr="0063248C" w:rsidRDefault="00000000">
            <w:pPr>
              <w:spacing w:before="40" w:after="40" w:line="240" w:lineRule="exact"/>
              <w:rPr>
                <w:rFonts w:cs="宋体"/>
                <w:sz w:val="18"/>
                <w:szCs w:val="18"/>
              </w:rPr>
            </w:pPr>
            <w:r w:rsidRPr="0063248C">
              <w:rPr>
                <w:rFonts w:cs="宋体"/>
                <w:sz w:val="18"/>
                <w:szCs w:val="18"/>
              </w:rPr>
              <w:t>收购报告书或权益变动报告书中所作承诺</w:t>
            </w:r>
          </w:p>
        </w:tc>
        <w:tc>
          <w:tcPr>
            <w:tcW w:w="714" w:type="pct"/>
            <w:tcBorders>
              <w:top w:val="single" w:sz="2" w:space="0" w:color="auto"/>
              <w:left w:val="single" w:sz="2" w:space="0" w:color="auto"/>
              <w:bottom w:val="single" w:sz="2" w:space="0" w:color="auto"/>
              <w:right w:val="single" w:sz="2" w:space="0" w:color="auto"/>
            </w:tcBorders>
            <w:vAlign w:val="center"/>
          </w:tcPr>
          <w:p w14:paraId="0F8487A2"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714" w:type="pct"/>
            <w:tcBorders>
              <w:top w:val="single" w:sz="2" w:space="0" w:color="auto"/>
              <w:left w:val="single" w:sz="2" w:space="0" w:color="auto"/>
              <w:bottom w:val="single" w:sz="2" w:space="0" w:color="auto"/>
              <w:right w:val="single" w:sz="2" w:space="0" w:color="auto"/>
            </w:tcBorders>
            <w:vAlign w:val="center"/>
          </w:tcPr>
          <w:p w14:paraId="6A54155C" w14:textId="77777777" w:rsidR="007B3DB2" w:rsidRPr="0063248C" w:rsidRDefault="00000000">
            <w:pPr>
              <w:spacing w:line="240" w:lineRule="exact"/>
              <w:rPr>
                <w:rFonts w:cs="宋体"/>
                <w:sz w:val="18"/>
                <w:szCs w:val="18"/>
              </w:rPr>
            </w:pPr>
            <w:r w:rsidRPr="0063248C">
              <w:rPr>
                <w:rFonts w:cs="宋体"/>
                <w:sz w:val="18"/>
                <w:szCs w:val="18"/>
              </w:rPr>
              <w:t>关于同业竞争、关联交易、资金占用方面的承诺</w:t>
            </w:r>
          </w:p>
        </w:tc>
        <w:tc>
          <w:tcPr>
            <w:tcW w:w="1376" w:type="pct"/>
            <w:tcBorders>
              <w:top w:val="single" w:sz="2" w:space="0" w:color="auto"/>
              <w:left w:val="single" w:sz="2" w:space="0" w:color="auto"/>
              <w:bottom w:val="single" w:sz="2" w:space="0" w:color="auto"/>
              <w:right w:val="single" w:sz="2" w:space="0" w:color="auto"/>
            </w:tcBorders>
            <w:vAlign w:val="center"/>
          </w:tcPr>
          <w:p w14:paraId="36C45D83" w14:textId="77777777" w:rsidR="007B3DB2" w:rsidRPr="0063248C" w:rsidRDefault="00000000">
            <w:pPr>
              <w:spacing w:line="240" w:lineRule="exact"/>
              <w:rPr>
                <w:rFonts w:cs="宋体"/>
                <w:sz w:val="18"/>
                <w:szCs w:val="18"/>
              </w:rPr>
            </w:pPr>
            <w:r w:rsidRPr="0063248C">
              <w:rPr>
                <w:rFonts w:cs="宋体"/>
                <w:sz w:val="18"/>
                <w:szCs w:val="18"/>
              </w:rPr>
              <w:t>为减少和规范未来可能存在的关联交易，本公司</w:t>
            </w:r>
            <w:proofErr w:type="gramStart"/>
            <w:r w:rsidRPr="0063248C">
              <w:rPr>
                <w:rFonts w:cs="宋体"/>
                <w:sz w:val="18"/>
                <w:szCs w:val="18"/>
              </w:rPr>
              <w:t>作出</w:t>
            </w:r>
            <w:proofErr w:type="gramEnd"/>
            <w:r w:rsidRPr="0063248C">
              <w:rPr>
                <w:rFonts w:cs="宋体"/>
                <w:sz w:val="18"/>
                <w:szCs w:val="18"/>
              </w:rPr>
              <w:t>如下承诺：</w:t>
            </w:r>
          </w:p>
          <w:p w14:paraId="240201A3" w14:textId="6F906F5A" w:rsidR="007B3DB2" w:rsidRPr="0063248C" w:rsidRDefault="00000000">
            <w:pPr>
              <w:spacing w:line="240" w:lineRule="exact"/>
              <w:rPr>
                <w:rFonts w:cs="宋体"/>
                <w:sz w:val="18"/>
                <w:szCs w:val="18"/>
              </w:rPr>
            </w:pPr>
            <w:r w:rsidRPr="0063248C">
              <w:rPr>
                <w:rFonts w:cs="宋体"/>
                <w:sz w:val="18"/>
                <w:szCs w:val="18"/>
              </w:rPr>
              <w:t>本公司将尽量减少并规范与上市公司之间的关联交易。对于无法避免或有合理原因而发生的关联交易，本公司及本公司的关联方将在严格遵循市场公开、公平、公正的原则基础上以公允、合理的市场价格进行，并根据有关法律、法规及规范性文件的规定履行关联交易决策程序，依法履行信息披露义务，以保证上市公司的利益不受损害。如违反上述承诺，本公司愿意承担由此产生的全部责任，充分赔偿或补偿由此给上市公司造成的所有直接或间接损失。</w:t>
            </w:r>
          </w:p>
        </w:tc>
        <w:tc>
          <w:tcPr>
            <w:tcW w:w="510" w:type="pct"/>
            <w:tcBorders>
              <w:top w:val="single" w:sz="2" w:space="0" w:color="auto"/>
              <w:left w:val="single" w:sz="2" w:space="0" w:color="auto"/>
              <w:bottom w:val="single" w:sz="2" w:space="0" w:color="auto"/>
              <w:right w:val="single" w:sz="2" w:space="0" w:color="auto"/>
            </w:tcBorders>
            <w:vAlign w:val="center"/>
          </w:tcPr>
          <w:p w14:paraId="7C057D3D" w14:textId="77777777" w:rsidR="007B3DB2" w:rsidRPr="0063248C" w:rsidRDefault="00000000">
            <w:pPr>
              <w:spacing w:line="240" w:lineRule="exact"/>
              <w:rPr>
                <w:rFonts w:cs="宋体"/>
                <w:sz w:val="18"/>
                <w:szCs w:val="18"/>
              </w:rPr>
            </w:pPr>
            <w:r w:rsidRPr="0063248C">
              <w:rPr>
                <w:rFonts w:cs="宋体"/>
                <w:sz w:val="18"/>
                <w:szCs w:val="18"/>
              </w:rPr>
              <w:t>2019</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17</w:t>
            </w:r>
            <w:r w:rsidRPr="0063248C">
              <w:rPr>
                <w:rFonts w:cs="宋体"/>
                <w:sz w:val="18"/>
                <w:szCs w:val="18"/>
              </w:rPr>
              <w:t>日</w:t>
            </w:r>
          </w:p>
        </w:tc>
        <w:tc>
          <w:tcPr>
            <w:tcW w:w="509" w:type="pct"/>
            <w:tcBorders>
              <w:top w:val="single" w:sz="2" w:space="0" w:color="auto"/>
              <w:left w:val="single" w:sz="2" w:space="0" w:color="auto"/>
              <w:bottom w:val="single" w:sz="2" w:space="0" w:color="auto"/>
              <w:right w:val="single" w:sz="2" w:space="0" w:color="auto"/>
            </w:tcBorders>
            <w:vAlign w:val="center"/>
          </w:tcPr>
          <w:p w14:paraId="79A281BF" w14:textId="77777777" w:rsidR="007B3DB2" w:rsidRPr="0063248C" w:rsidRDefault="00000000">
            <w:pPr>
              <w:spacing w:line="240" w:lineRule="exact"/>
              <w:rPr>
                <w:rFonts w:cs="宋体"/>
                <w:sz w:val="18"/>
                <w:szCs w:val="18"/>
              </w:rPr>
            </w:pPr>
            <w:r w:rsidRPr="0063248C">
              <w:rPr>
                <w:rFonts w:cs="宋体"/>
                <w:sz w:val="18"/>
                <w:szCs w:val="18"/>
              </w:rPr>
              <w:t>长期</w:t>
            </w:r>
          </w:p>
        </w:tc>
        <w:tc>
          <w:tcPr>
            <w:tcW w:w="463" w:type="pct"/>
            <w:tcBorders>
              <w:top w:val="single" w:sz="2" w:space="0" w:color="auto"/>
              <w:left w:val="single" w:sz="2" w:space="0" w:color="auto"/>
              <w:bottom w:val="single" w:sz="2" w:space="0" w:color="auto"/>
              <w:right w:val="single" w:sz="2" w:space="0" w:color="auto"/>
            </w:tcBorders>
            <w:vAlign w:val="center"/>
          </w:tcPr>
          <w:p w14:paraId="6A586E80" w14:textId="77777777" w:rsidR="007B3DB2" w:rsidRPr="0063248C" w:rsidRDefault="00000000">
            <w:pPr>
              <w:spacing w:line="240" w:lineRule="exact"/>
              <w:rPr>
                <w:rFonts w:cs="宋体"/>
                <w:sz w:val="18"/>
                <w:szCs w:val="18"/>
              </w:rPr>
            </w:pPr>
            <w:r w:rsidRPr="0063248C">
              <w:rPr>
                <w:rFonts w:cs="宋体"/>
                <w:sz w:val="18"/>
                <w:szCs w:val="18"/>
              </w:rPr>
              <w:t>正常履行中</w:t>
            </w:r>
          </w:p>
        </w:tc>
      </w:tr>
      <w:tr w:rsidR="006709E7" w:rsidRPr="0063248C" w14:paraId="6F1496E2" w14:textId="77777777" w:rsidTr="006709E7">
        <w:trPr>
          <w:trHeight w:val="240"/>
        </w:trPr>
        <w:tc>
          <w:tcPr>
            <w:tcW w:w="714" w:type="pct"/>
            <w:tcBorders>
              <w:top w:val="single" w:sz="2" w:space="0" w:color="auto"/>
              <w:left w:val="single" w:sz="2" w:space="0" w:color="auto"/>
              <w:bottom w:val="single" w:sz="2" w:space="0" w:color="auto"/>
              <w:right w:val="single" w:sz="2" w:space="0" w:color="auto"/>
            </w:tcBorders>
            <w:shd w:val="clear" w:color="auto" w:fill="D3D3D3"/>
            <w:vAlign w:val="center"/>
          </w:tcPr>
          <w:p w14:paraId="153FF6DD" w14:textId="77777777" w:rsidR="007B3DB2" w:rsidRPr="0063248C" w:rsidRDefault="00000000">
            <w:pPr>
              <w:spacing w:before="40" w:after="40" w:line="240" w:lineRule="exact"/>
              <w:rPr>
                <w:rFonts w:cs="宋体"/>
                <w:sz w:val="18"/>
                <w:szCs w:val="18"/>
              </w:rPr>
            </w:pPr>
            <w:r w:rsidRPr="0063248C">
              <w:rPr>
                <w:rFonts w:cs="宋体"/>
                <w:sz w:val="18"/>
                <w:szCs w:val="18"/>
              </w:rPr>
              <w:t>收购报告书或权益变动报告书中所作承诺</w:t>
            </w:r>
          </w:p>
        </w:tc>
        <w:tc>
          <w:tcPr>
            <w:tcW w:w="714" w:type="pct"/>
            <w:tcBorders>
              <w:top w:val="single" w:sz="2" w:space="0" w:color="auto"/>
              <w:left w:val="single" w:sz="2" w:space="0" w:color="auto"/>
              <w:bottom w:val="single" w:sz="2" w:space="0" w:color="auto"/>
              <w:right w:val="single" w:sz="2" w:space="0" w:color="auto"/>
            </w:tcBorders>
            <w:vAlign w:val="center"/>
          </w:tcPr>
          <w:p w14:paraId="51EE2652"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714" w:type="pct"/>
            <w:tcBorders>
              <w:top w:val="single" w:sz="2" w:space="0" w:color="auto"/>
              <w:left w:val="single" w:sz="2" w:space="0" w:color="auto"/>
              <w:bottom w:val="single" w:sz="2" w:space="0" w:color="auto"/>
              <w:right w:val="single" w:sz="2" w:space="0" w:color="auto"/>
            </w:tcBorders>
            <w:vAlign w:val="center"/>
          </w:tcPr>
          <w:p w14:paraId="3840EDCF" w14:textId="77777777" w:rsidR="007B3DB2" w:rsidRPr="0063248C" w:rsidRDefault="00000000">
            <w:pPr>
              <w:spacing w:line="240" w:lineRule="exact"/>
              <w:rPr>
                <w:rFonts w:cs="宋体"/>
                <w:sz w:val="18"/>
                <w:szCs w:val="18"/>
              </w:rPr>
            </w:pPr>
            <w:r w:rsidRPr="0063248C">
              <w:rPr>
                <w:rFonts w:cs="宋体"/>
                <w:sz w:val="18"/>
                <w:szCs w:val="18"/>
              </w:rPr>
              <w:t>其他承诺</w:t>
            </w:r>
          </w:p>
        </w:tc>
        <w:tc>
          <w:tcPr>
            <w:tcW w:w="1376" w:type="pct"/>
            <w:tcBorders>
              <w:top w:val="single" w:sz="2" w:space="0" w:color="auto"/>
              <w:left w:val="single" w:sz="2" w:space="0" w:color="auto"/>
              <w:bottom w:val="single" w:sz="2" w:space="0" w:color="auto"/>
              <w:right w:val="single" w:sz="2" w:space="0" w:color="auto"/>
            </w:tcBorders>
            <w:vAlign w:val="center"/>
          </w:tcPr>
          <w:p w14:paraId="2DEFE5C2" w14:textId="77777777" w:rsidR="007B3DB2" w:rsidRPr="0063248C" w:rsidRDefault="00000000">
            <w:pPr>
              <w:spacing w:line="240" w:lineRule="exact"/>
              <w:rPr>
                <w:rFonts w:cs="宋体"/>
                <w:sz w:val="18"/>
                <w:szCs w:val="18"/>
              </w:rPr>
            </w:pPr>
            <w:r w:rsidRPr="0063248C">
              <w:rPr>
                <w:rFonts w:cs="宋体"/>
                <w:sz w:val="18"/>
                <w:szCs w:val="18"/>
              </w:rPr>
              <w:t>本公司取得龙大肉食股份后，为了保持上市公司独立性，本公司</w:t>
            </w:r>
            <w:proofErr w:type="gramStart"/>
            <w:r w:rsidRPr="0063248C">
              <w:rPr>
                <w:rFonts w:cs="宋体"/>
                <w:sz w:val="18"/>
                <w:szCs w:val="18"/>
              </w:rPr>
              <w:t>作出</w:t>
            </w:r>
            <w:proofErr w:type="gramEnd"/>
            <w:r w:rsidRPr="0063248C">
              <w:rPr>
                <w:rFonts w:cs="宋体"/>
                <w:sz w:val="18"/>
                <w:szCs w:val="18"/>
              </w:rPr>
              <w:t>以下承诺：</w:t>
            </w:r>
            <w:r w:rsidRPr="0063248C">
              <w:rPr>
                <w:rFonts w:cs="宋体"/>
                <w:sz w:val="18"/>
                <w:szCs w:val="18"/>
              </w:rPr>
              <w:t xml:space="preserve"> </w:t>
            </w:r>
          </w:p>
          <w:p w14:paraId="674E08DC" w14:textId="77777777" w:rsidR="007B3DB2" w:rsidRPr="0063248C" w:rsidRDefault="00000000">
            <w:pPr>
              <w:spacing w:line="240" w:lineRule="exact"/>
              <w:rPr>
                <w:rFonts w:cs="宋体"/>
                <w:sz w:val="18"/>
                <w:szCs w:val="18"/>
              </w:rPr>
            </w:pPr>
            <w:r w:rsidRPr="0063248C">
              <w:rPr>
                <w:rFonts w:cs="宋体"/>
                <w:sz w:val="18"/>
                <w:szCs w:val="18"/>
              </w:rPr>
              <w:t>1</w:t>
            </w:r>
            <w:r w:rsidRPr="0063248C">
              <w:rPr>
                <w:rFonts w:cs="宋体"/>
                <w:sz w:val="18"/>
                <w:szCs w:val="18"/>
              </w:rPr>
              <w:t>、人员独立</w:t>
            </w:r>
            <w:r w:rsidRPr="0063248C">
              <w:rPr>
                <w:rFonts w:cs="宋体"/>
                <w:sz w:val="18"/>
                <w:szCs w:val="18"/>
              </w:rPr>
              <w:t xml:space="preserve"> </w:t>
            </w:r>
          </w:p>
          <w:p w14:paraId="37B6C168"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）保证上市公司总经理、副总经理、财务负责人、董事会秘书等高级管理人员</w:t>
            </w:r>
            <w:proofErr w:type="gramStart"/>
            <w:r w:rsidRPr="0063248C">
              <w:rPr>
                <w:rFonts w:cs="宋体"/>
                <w:sz w:val="18"/>
                <w:szCs w:val="18"/>
              </w:rPr>
              <w:t>专职在</w:t>
            </w:r>
            <w:proofErr w:type="gramEnd"/>
            <w:r w:rsidRPr="0063248C">
              <w:rPr>
                <w:rFonts w:cs="宋体"/>
                <w:sz w:val="18"/>
                <w:szCs w:val="18"/>
              </w:rPr>
              <w:t>上市公司工作，并在上市公司领取薪酬，不在本公司及本公司控制的其他企业兼职担任高级管理人员。</w:t>
            </w:r>
          </w:p>
          <w:p w14:paraId="79267251"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）保证上市公司的财务人员独立，不在本公司及本公司控制</w:t>
            </w:r>
            <w:r w:rsidRPr="0063248C">
              <w:rPr>
                <w:rFonts w:cs="宋体"/>
                <w:sz w:val="18"/>
                <w:szCs w:val="18"/>
              </w:rPr>
              <w:lastRenderedPageBreak/>
              <w:t>的其他企业中兼职或领取报酬。</w:t>
            </w:r>
          </w:p>
          <w:p w14:paraId="52FC8ED3"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3</w:t>
            </w:r>
            <w:r w:rsidRPr="0063248C">
              <w:rPr>
                <w:rFonts w:cs="宋体"/>
                <w:sz w:val="18"/>
                <w:szCs w:val="18"/>
              </w:rPr>
              <w:t>）保证上市公司拥有完整独立的劳动、人事及薪酬管理体系，该等体系和本公司及本公司控制的其他企业之间完全独立。</w:t>
            </w:r>
          </w:p>
          <w:p w14:paraId="3E00292B"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4</w:t>
            </w:r>
            <w:r w:rsidRPr="0063248C">
              <w:rPr>
                <w:rFonts w:cs="宋体"/>
                <w:sz w:val="18"/>
                <w:szCs w:val="18"/>
              </w:rPr>
              <w:t>）保证本公司未来推荐出任上市公司董事、监事和高级管理人员的人选均通过合法程序进行，本公司不干预上市公司董事会和股东大会做出的人事任免决定。</w:t>
            </w:r>
          </w:p>
          <w:p w14:paraId="27381B68" w14:textId="77777777" w:rsidR="007B3DB2" w:rsidRPr="0063248C" w:rsidRDefault="00000000">
            <w:pPr>
              <w:spacing w:line="240" w:lineRule="exact"/>
              <w:rPr>
                <w:rFonts w:cs="宋体"/>
                <w:sz w:val="18"/>
                <w:szCs w:val="18"/>
              </w:rPr>
            </w:pPr>
            <w:r w:rsidRPr="0063248C">
              <w:rPr>
                <w:rFonts w:cs="宋体"/>
                <w:sz w:val="18"/>
                <w:szCs w:val="18"/>
              </w:rPr>
              <w:t>2</w:t>
            </w:r>
            <w:r w:rsidRPr="0063248C">
              <w:rPr>
                <w:rFonts w:cs="宋体"/>
                <w:sz w:val="18"/>
                <w:szCs w:val="18"/>
              </w:rPr>
              <w:t>、资产独立</w:t>
            </w:r>
            <w:r w:rsidRPr="0063248C">
              <w:rPr>
                <w:rFonts w:cs="宋体"/>
                <w:sz w:val="18"/>
                <w:szCs w:val="18"/>
              </w:rPr>
              <w:t xml:space="preserve"> </w:t>
            </w:r>
          </w:p>
          <w:p w14:paraId="2E8034E2"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）保证上市公司及其子公司资产的独立完整。</w:t>
            </w:r>
          </w:p>
          <w:p w14:paraId="07797C40"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）保证本公司及本公司控制的其他企业</w:t>
            </w:r>
            <w:proofErr w:type="gramStart"/>
            <w:r w:rsidRPr="0063248C">
              <w:rPr>
                <w:rFonts w:cs="宋体"/>
                <w:sz w:val="18"/>
                <w:szCs w:val="18"/>
              </w:rPr>
              <w:t>不</w:t>
            </w:r>
            <w:proofErr w:type="gramEnd"/>
            <w:r w:rsidRPr="0063248C">
              <w:rPr>
                <w:rFonts w:cs="宋体"/>
                <w:sz w:val="18"/>
                <w:szCs w:val="18"/>
              </w:rPr>
              <w:t>违规占用上市公司及其子公司资产、资金及其他资源。</w:t>
            </w:r>
          </w:p>
          <w:p w14:paraId="5AA054ED"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3</w:t>
            </w:r>
            <w:r w:rsidRPr="0063248C">
              <w:rPr>
                <w:rFonts w:cs="宋体"/>
                <w:sz w:val="18"/>
                <w:szCs w:val="18"/>
              </w:rPr>
              <w:t>）保证不以上市公司的资产为本公司及本公司控制的其他企业的债务违规提供担保。</w:t>
            </w:r>
          </w:p>
          <w:p w14:paraId="53E6F258" w14:textId="77777777" w:rsidR="007B3DB2" w:rsidRPr="0063248C" w:rsidRDefault="00000000">
            <w:pPr>
              <w:spacing w:line="240" w:lineRule="exact"/>
              <w:rPr>
                <w:rFonts w:cs="宋体"/>
                <w:sz w:val="18"/>
                <w:szCs w:val="18"/>
              </w:rPr>
            </w:pPr>
            <w:r w:rsidRPr="0063248C">
              <w:rPr>
                <w:rFonts w:cs="宋体"/>
                <w:sz w:val="18"/>
                <w:szCs w:val="18"/>
              </w:rPr>
              <w:t>3</w:t>
            </w:r>
            <w:r w:rsidRPr="0063248C">
              <w:rPr>
                <w:rFonts w:cs="宋体"/>
                <w:sz w:val="18"/>
                <w:szCs w:val="18"/>
              </w:rPr>
              <w:t>、财务独立</w:t>
            </w:r>
            <w:r w:rsidRPr="0063248C">
              <w:rPr>
                <w:rFonts w:cs="宋体"/>
                <w:sz w:val="18"/>
                <w:szCs w:val="18"/>
              </w:rPr>
              <w:t xml:space="preserve"> </w:t>
            </w:r>
          </w:p>
          <w:p w14:paraId="5DEC0989"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）保证上市公司及其子公司设置独立的财务会计部门和拥有独立的财务核算体系和财务管理制度。</w:t>
            </w:r>
            <w:r w:rsidRPr="0063248C">
              <w:rPr>
                <w:rFonts w:cs="宋体"/>
                <w:sz w:val="18"/>
                <w:szCs w:val="18"/>
              </w:rPr>
              <w:t xml:space="preserve"> </w:t>
            </w:r>
          </w:p>
          <w:p w14:paraId="4336B85E"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）保证上市公司及其子公司在财务决策方面保持独立，本公司及本公司控制的其他企业不干涉上市公司及其子公司的资金使用。</w:t>
            </w:r>
            <w:r w:rsidRPr="0063248C">
              <w:rPr>
                <w:rFonts w:cs="宋体"/>
                <w:sz w:val="18"/>
                <w:szCs w:val="18"/>
              </w:rPr>
              <w:t xml:space="preserve"> </w:t>
            </w:r>
          </w:p>
          <w:p w14:paraId="254BC1B2"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3</w:t>
            </w:r>
            <w:r w:rsidRPr="0063248C">
              <w:rPr>
                <w:rFonts w:cs="宋体"/>
                <w:sz w:val="18"/>
                <w:szCs w:val="18"/>
              </w:rPr>
              <w:t>）保证上市公司及其子公司保持自己独立的银行账户，不与本公司及本公司控制的其他企业共用一个银行账户。</w:t>
            </w:r>
            <w:r w:rsidRPr="0063248C">
              <w:rPr>
                <w:rFonts w:cs="宋体"/>
                <w:sz w:val="18"/>
                <w:szCs w:val="18"/>
              </w:rPr>
              <w:t xml:space="preserve"> </w:t>
            </w:r>
          </w:p>
          <w:p w14:paraId="66529171" w14:textId="77777777" w:rsidR="007B3DB2" w:rsidRPr="0063248C" w:rsidRDefault="00000000">
            <w:pPr>
              <w:spacing w:line="240" w:lineRule="exact"/>
              <w:rPr>
                <w:rFonts w:cs="宋体"/>
                <w:sz w:val="18"/>
                <w:szCs w:val="18"/>
              </w:rPr>
            </w:pPr>
            <w:r w:rsidRPr="0063248C">
              <w:rPr>
                <w:rFonts w:cs="宋体"/>
                <w:sz w:val="18"/>
                <w:szCs w:val="18"/>
              </w:rPr>
              <w:t>4</w:t>
            </w:r>
            <w:r w:rsidRPr="0063248C">
              <w:rPr>
                <w:rFonts w:cs="宋体"/>
                <w:sz w:val="18"/>
                <w:szCs w:val="18"/>
              </w:rPr>
              <w:t>、机构独立</w:t>
            </w:r>
            <w:r w:rsidRPr="0063248C">
              <w:rPr>
                <w:rFonts w:cs="宋体"/>
                <w:sz w:val="18"/>
                <w:szCs w:val="18"/>
              </w:rPr>
              <w:t xml:space="preserve"> </w:t>
            </w:r>
          </w:p>
          <w:p w14:paraId="08A29CB5"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保证上市公司及其子公司已经建立和完善法人治理结构，并与本公司及本公司控制的其他企业的机构完全分开；保证上市公司及其子公司与本公司及本公司控制的其他企业之间在办公机构和生产经营场所等方面完全分开。</w:t>
            </w:r>
          </w:p>
          <w:p w14:paraId="61627A82"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）保证上市公司及其子公司独立自主运作，保证上市公司的股东大会、董事会、独立董事、监事会、高级管理人员等依照法律、法规和公司章程独立行使职权。</w:t>
            </w:r>
          </w:p>
          <w:p w14:paraId="1A02B441" w14:textId="77777777" w:rsidR="007B3DB2" w:rsidRPr="0063248C" w:rsidRDefault="00000000">
            <w:pPr>
              <w:spacing w:line="240" w:lineRule="exact"/>
              <w:rPr>
                <w:rFonts w:cs="宋体"/>
                <w:sz w:val="18"/>
                <w:szCs w:val="18"/>
              </w:rPr>
            </w:pPr>
            <w:r w:rsidRPr="0063248C">
              <w:rPr>
                <w:rFonts w:cs="宋体"/>
                <w:sz w:val="18"/>
                <w:szCs w:val="18"/>
              </w:rPr>
              <w:t>5</w:t>
            </w:r>
            <w:r w:rsidRPr="0063248C">
              <w:rPr>
                <w:rFonts w:cs="宋体"/>
                <w:sz w:val="18"/>
                <w:szCs w:val="18"/>
              </w:rPr>
              <w:t>、业务独立</w:t>
            </w:r>
            <w:r w:rsidRPr="0063248C">
              <w:rPr>
                <w:rFonts w:cs="宋体"/>
                <w:sz w:val="18"/>
                <w:szCs w:val="18"/>
              </w:rPr>
              <w:t xml:space="preserve"> </w:t>
            </w:r>
          </w:p>
          <w:p w14:paraId="74C9F215"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保证上市公司及其子公司拥有独立的生产和销售体系；在本次权益变动后拥有独立开展经营活动的资产、人员、资质及已具有独立面向市场自主经营的能力，在产、供、销环节不依赖于本公司及本公司控制的其他企</w:t>
            </w:r>
            <w:r w:rsidRPr="0063248C">
              <w:rPr>
                <w:rFonts w:cs="宋体"/>
                <w:sz w:val="18"/>
                <w:szCs w:val="18"/>
              </w:rPr>
              <w:lastRenderedPageBreak/>
              <w:t>业。</w:t>
            </w:r>
            <w:r w:rsidRPr="0063248C">
              <w:rPr>
                <w:rFonts w:cs="宋体"/>
                <w:sz w:val="18"/>
                <w:szCs w:val="18"/>
              </w:rPr>
              <w:t xml:space="preserve"> </w:t>
            </w:r>
          </w:p>
          <w:p w14:paraId="025912FB"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保证严格控制关联交易事项，尽可能减少上市公司及其子公司与本公司控制的其他企业之间的关联交易。杜绝非法占用上市公司资金、资产的行为，并不要求上市公司及其子公司向本公司及本公司控制的其他企业提供任何形式的担保。对于无法避免的关联交易将本着</w:t>
            </w:r>
            <w:r w:rsidRPr="0063248C">
              <w:rPr>
                <w:rFonts w:cs="宋体"/>
                <w:sz w:val="18"/>
                <w:szCs w:val="18"/>
              </w:rPr>
              <w:t>“</w:t>
            </w:r>
            <w:r w:rsidRPr="0063248C">
              <w:rPr>
                <w:rFonts w:cs="宋体"/>
                <w:sz w:val="18"/>
                <w:szCs w:val="18"/>
              </w:rPr>
              <w:t>公平、公正、公开</w:t>
            </w:r>
            <w:r w:rsidRPr="0063248C">
              <w:rPr>
                <w:rFonts w:cs="宋体"/>
                <w:sz w:val="18"/>
                <w:szCs w:val="18"/>
              </w:rPr>
              <w:t>”</w:t>
            </w:r>
            <w:r w:rsidRPr="0063248C">
              <w:rPr>
                <w:rFonts w:cs="宋体"/>
                <w:sz w:val="18"/>
                <w:szCs w:val="18"/>
              </w:rPr>
              <w:t>的原则，与对非关联企业的交易价格保持一致，并及时进行信息披露。确保上市公司与控股股东、实际控制人及其控制的其他企业间不存在显失公平的关联交易。</w:t>
            </w:r>
          </w:p>
          <w:p w14:paraId="2E39EAB2"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3</w:t>
            </w:r>
            <w:r w:rsidRPr="0063248C">
              <w:rPr>
                <w:rFonts w:cs="宋体"/>
                <w:sz w:val="18"/>
                <w:szCs w:val="18"/>
              </w:rPr>
              <w:t>）保证不通过单独或一致行动途径，以依法行使股东权利以外的任何方式，干预上市公司的重大决策事项，影响上市公司资产、人员、财务、机构、业务的独立性。</w:t>
            </w:r>
          </w:p>
        </w:tc>
        <w:tc>
          <w:tcPr>
            <w:tcW w:w="510" w:type="pct"/>
            <w:tcBorders>
              <w:top w:val="single" w:sz="2" w:space="0" w:color="auto"/>
              <w:left w:val="single" w:sz="2" w:space="0" w:color="auto"/>
              <w:bottom w:val="single" w:sz="2" w:space="0" w:color="auto"/>
              <w:right w:val="single" w:sz="2" w:space="0" w:color="auto"/>
            </w:tcBorders>
            <w:vAlign w:val="center"/>
          </w:tcPr>
          <w:p w14:paraId="7EED7B64" w14:textId="77777777" w:rsidR="007B3DB2" w:rsidRPr="0063248C" w:rsidRDefault="00000000">
            <w:pPr>
              <w:spacing w:line="240" w:lineRule="exact"/>
              <w:rPr>
                <w:rFonts w:cs="宋体"/>
                <w:sz w:val="18"/>
                <w:szCs w:val="18"/>
              </w:rPr>
            </w:pPr>
            <w:r w:rsidRPr="0063248C">
              <w:rPr>
                <w:rFonts w:cs="宋体"/>
                <w:sz w:val="18"/>
                <w:szCs w:val="18"/>
              </w:rPr>
              <w:lastRenderedPageBreak/>
              <w:t>2019</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17</w:t>
            </w:r>
            <w:r w:rsidRPr="0063248C">
              <w:rPr>
                <w:rFonts w:cs="宋体"/>
                <w:sz w:val="18"/>
                <w:szCs w:val="18"/>
              </w:rPr>
              <w:t>日</w:t>
            </w:r>
          </w:p>
        </w:tc>
        <w:tc>
          <w:tcPr>
            <w:tcW w:w="509" w:type="pct"/>
            <w:tcBorders>
              <w:top w:val="single" w:sz="2" w:space="0" w:color="auto"/>
              <w:left w:val="single" w:sz="2" w:space="0" w:color="auto"/>
              <w:bottom w:val="single" w:sz="2" w:space="0" w:color="auto"/>
              <w:right w:val="single" w:sz="2" w:space="0" w:color="auto"/>
            </w:tcBorders>
            <w:vAlign w:val="center"/>
          </w:tcPr>
          <w:p w14:paraId="77A39C2B" w14:textId="77777777" w:rsidR="007B3DB2" w:rsidRPr="0063248C" w:rsidRDefault="00000000">
            <w:pPr>
              <w:spacing w:line="240" w:lineRule="exact"/>
              <w:rPr>
                <w:rFonts w:cs="宋体"/>
                <w:sz w:val="18"/>
                <w:szCs w:val="18"/>
              </w:rPr>
            </w:pPr>
            <w:r w:rsidRPr="0063248C">
              <w:rPr>
                <w:rFonts w:cs="宋体"/>
                <w:sz w:val="18"/>
                <w:szCs w:val="18"/>
              </w:rPr>
              <w:t>长期</w:t>
            </w:r>
          </w:p>
        </w:tc>
        <w:tc>
          <w:tcPr>
            <w:tcW w:w="463" w:type="pct"/>
            <w:tcBorders>
              <w:top w:val="single" w:sz="2" w:space="0" w:color="auto"/>
              <w:left w:val="single" w:sz="2" w:space="0" w:color="auto"/>
              <w:bottom w:val="single" w:sz="2" w:space="0" w:color="auto"/>
              <w:right w:val="single" w:sz="2" w:space="0" w:color="auto"/>
            </w:tcBorders>
            <w:vAlign w:val="center"/>
          </w:tcPr>
          <w:p w14:paraId="5AAB0CBD" w14:textId="77777777" w:rsidR="007B3DB2" w:rsidRPr="0063248C" w:rsidRDefault="00000000">
            <w:pPr>
              <w:spacing w:line="240" w:lineRule="exact"/>
              <w:rPr>
                <w:rFonts w:cs="宋体"/>
                <w:sz w:val="18"/>
                <w:szCs w:val="18"/>
              </w:rPr>
            </w:pPr>
            <w:r w:rsidRPr="0063248C">
              <w:rPr>
                <w:rFonts w:cs="宋体"/>
                <w:sz w:val="18"/>
                <w:szCs w:val="18"/>
              </w:rPr>
              <w:t>正常履行</w:t>
            </w:r>
          </w:p>
        </w:tc>
      </w:tr>
      <w:tr w:rsidR="006709E7" w:rsidRPr="0063248C" w14:paraId="54AF700B" w14:textId="77777777" w:rsidTr="006709E7">
        <w:trPr>
          <w:trHeight w:val="240"/>
        </w:trPr>
        <w:tc>
          <w:tcPr>
            <w:tcW w:w="714" w:type="pct"/>
            <w:tcBorders>
              <w:top w:val="single" w:sz="2" w:space="0" w:color="auto"/>
              <w:left w:val="single" w:sz="2" w:space="0" w:color="auto"/>
              <w:bottom w:val="single" w:sz="2" w:space="0" w:color="auto"/>
              <w:right w:val="single" w:sz="2" w:space="0" w:color="auto"/>
            </w:tcBorders>
            <w:shd w:val="clear" w:color="auto" w:fill="D3D3D3"/>
            <w:vAlign w:val="center"/>
          </w:tcPr>
          <w:p w14:paraId="03ED4F58"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首次公开发行或再融资时所作承诺</w:t>
            </w:r>
          </w:p>
        </w:tc>
        <w:tc>
          <w:tcPr>
            <w:tcW w:w="714" w:type="pct"/>
            <w:tcBorders>
              <w:top w:val="single" w:sz="2" w:space="0" w:color="auto"/>
              <w:left w:val="single" w:sz="2" w:space="0" w:color="auto"/>
              <w:bottom w:val="single" w:sz="2" w:space="0" w:color="auto"/>
              <w:right w:val="single" w:sz="2" w:space="0" w:color="auto"/>
            </w:tcBorders>
            <w:vAlign w:val="center"/>
          </w:tcPr>
          <w:p w14:paraId="4209A488" w14:textId="77777777" w:rsidR="007B3DB2" w:rsidRPr="0063248C" w:rsidRDefault="00000000">
            <w:pPr>
              <w:spacing w:line="240" w:lineRule="exact"/>
              <w:rPr>
                <w:rFonts w:cs="宋体"/>
                <w:sz w:val="18"/>
                <w:szCs w:val="18"/>
              </w:rPr>
            </w:pPr>
            <w:r w:rsidRPr="0063248C">
              <w:rPr>
                <w:rFonts w:cs="宋体"/>
                <w:sz w:val="18"/>
                <w:szCs w:val="18"/>
              </w:rPr>
              <w:t>龙大食品集团有限公司</w:t>
            </w:r>
          </w:p>
        </w:tc>
        <w:tc>
          <w:tcPr>
            <w:tcW w:w="714" w:type="pct"/>
            <w:tcBorders>
              <w:top w:val="single" w:sz="2" w:space="0" w:color="auto"/>
              <w:left w:val="single" w:sz="2" w:space="0" w:color="auto"/>
              <w:bottom w:val="single" w:sz="2" w:space="0" w:color="auto"/>
              <w:right w:val="single" w:sz="2" w:space="0" w:color="auto"/>
            </w:tcBorders>
            <w:vAlign w:val="center"/>
          </w:tcPr>
          <w:p w14:paraId="06F9CCC7" w14:textId="77777777" w:rsidR="007B3DB2" w:rsidRPr="0063248C" w:rsidRDefault="00000000">
            <w:pPr>
              <w:spacing w:line="240" w:lineRule="exact"/>
              <w:rPr>
                <w:rFonts w:cs="宋体"/>
                <w:sz w:val="18"/>
                <w:szCs w:val="18"/>
              </w:rPr>
            </w:pPr>
            <w:r w:rsidRPr="0063248C">
              <w:rPr>
                <w:rFonts w:cs="宋体"/>
                <w:sz w:val="18"/>
                <w:szCs w:val="18"/>
              </w:rPr>
              <w:t>股份回购承诺</w:t>
            </w:r>
          </w:p>
        </w:tc>
        <w:tc>
          <w:tcPr>
            <w:tcW w:w="1376" w:type="pct"/>
            <w:tcBorders>
              <w:top w:val="single" w:sz="2" w:space="0" w:color="auto"/>
              <w:left w:val="single" w:sz="2" w:space="0" w:color="auto"/>
              <w:bottom w:val="single" w:sz="2" w:space="0" w:color="auto"/>
              <w:right w:val="single" w:sz="2" w:space="0" w:color="auto"/>
            </w:tcBorders>
            <w:vAlign w:val="center"/>
          </w:tcPr>
          <w:p w14:paraId="383199D4" w14:textId="77777777" w:rsidR="007B3DB2" w:rsidRPr="0063248C" w:rsidRDefault="00000000">
            <w:pPr>
              <w:spacing w:line="240" w:lineRule="exact"/>
              <w:rPr>
                <w:rFonts w:cs="宋体"/>
                <w:sz w:val="18"/>
                <w:szCs w:val="18"/>
              </w:rPr>
            </w:pPr>
            <w:r w:rsidRPr="0063248C">
              <w:rPr>
                <w:rFonts w:cs="宋体"/>
                <w:sz w:val="18"/>
                <w:szCs w:val="18"/>
              </w:rPr>
              <w:t>股份回购承诺内容如下：如发行人招股说明书有虚假记载、误导性陈述或者重大遗漏，对判断发行人是否符合法律规定的发行条件构成重大、实质影响的，本公司将督促发行人依法回购首次公开发行的全部新股，并且本公司将依法购回发行人首次公开发行股票时本公司公开发售的股份。本公司将在中国证监会认定有关违法事实的当日通过公司进行公告，并在上述事项认定后</w:t>
            </w:r>
            <w:r w:rsidRPr="0063248C">
              <w:rPr>
                <w:rFonts w:cs="宋体"/>
                <w:sz w:val="18"/>
                <w:szCs w:val="18"/>
              </w:rPr>
              <w:t>15</w:t>
            </w:r>
            <w:r w:rsidRPr="0063248C">
              <w:rPr>
                <w:rFonts w:cs="宋体"/>
                <w:sz w:val="18"/>
                <w:szCs w:val="18"/>
              </w:rPr>
              <w:t>个交易日内启动购回事项，采用二级市场集中竞价交易、大宗交易、协议转让或要约收购等方式购回发行人首次公开发行股票时本公司公开发售的股份。本公司承诺按市场价格且不低于发行价格进行回购，如因中国证监会认定有关违法事实导致公司启动股份回购措施时公司股票已经停牌，则回购价格为公司股票停牌前一个交易日平均交易价格（平均交易价格</w:t>
            </w:r>
            <w:r w:rsidRPr="0063248C">
              <w:rPr>
                <w:rFonts w:cs="宋体"/>
                <w:sz w:val="18"/>
                <w:szCs w:val="18"/>
              </w:rPr>
              <w:t>=</w:t>
            </w:r>
            <w:r w:rsidRPr="0063248C">
              <w:rPr>
                <w:rFonts w:cs="宋体"/>
                <w:sz w:val="18"/>
                <w:szCs w:val="18"/>
              </w:rPr>
              <w:t>当日总成交额</w:t>
            </w:r>
            <w:r w:rsidRPr="0063248C">
              <w:rPr>
                <w:rFonts w:cs="宋体"/>
                <w:sz w:val="18"/>
                <w:szCs w:val="18"/>
              </w:rPr>
              <w:t>/</w:t>
            </w:r>
            <w:r w:rsidRPr="0063248C">
              <w:rPr>
                <w:rFonts w:cs="宋体"/>
                <w:sz w:val="18"/>
                <w:szCs w:val="18"/>
              </w:rPr>
              <w:t>当日总成交量）且不低于发行价格。公司上市后发生除权除息事项的，上述购回价格及购回股份数量应做相应调整。</w:t>
            </w:r>
          </w:p>
          <w:p w14:paraId="61E721F2" w14:textId="77777777" w:rsidR="007B3DB2" w:rsidRPr="0063248C" w:rsidRDefault="00000000">
            <w:pPr>
              <w:spacing w:line="240" w:lineRule="exact"/>
              <w:rPr>
                <w:rFonts w:cs="宋体"/>
                <w:sz w:val="18"/>
                <w:szCs w:val="18"/>
              </w:rPr>
            </w:pPr>
            <w:r w:rsidRPr="0063248C">
              <w:rPr>
                <w:rFonts w:cs="宋体"/>
                <w:sz w:val="18"/>
                <w:szCs w:val="18"/>
              </w:rPr>
              <w:t>如发行人招股说明书有虚假记载、误导性陈述或者重大遗漏，致使投资者在证券交易中遭受损失的，本公司将依法赔偿投资者损失。在该等违法事实被中国证监会、证券交易所或司法机关认定后，将本着简化程序、积极协商、先行赔付、切实保障投资者</w:t>
            </w:r>
            <w:r w:rsidRPr="0063248C">
              <w:rPr>
                <w:rFonts w:cs="宋体"/>
                <w:sz w:val="18"/>
                <w:szCs w:val="18"/>
              </w:rPr>
              <w:lastRenderedPageBreak/>
              <w:t>特别是中小投资者利益的原则，按照投资者直接遭受的可测算的经济损失选择与投资者和解、通过第三方与投资者调解及设立投资者赔偿基金等方式积极赔偿投资者由此遭受的直接经济损失。</w:t>
            </w:r>
          </w:p>
        </w:tc>
        <w:tc>
          <w:tcPr>
            <w:tcW w:w="510" w:type="pct"/>
            <w:tcBorders>
              <w:top w:val="single" w:sz="2" w:space="0" w:color="auto"/>
              <w:left w:val="single" w:sz="2" w:space="0" w:color="auto"/>
              <w:bottom w:val="single" w:sz="2" w:space="0" w:color="auto"/>
              <w:right w:val="single" w:sz="2" w:space="0" w:color="auto"/>
            </w:tcBorders>
            <w:vAlign w:val="center"/>
          </w:tcPr>
          <w:p w14:paraId="7B0E2923" w14:textId="77777777" w:rsidR="007B3DB2" w:rsidRPr="0063248C" w:rsidRDefault="00000000">
            <w:pPr>
              <w:spacing w:line="240" w:lineRule="exact"/>
              <w:rPr>
                <w:rFonts w:cs="宋体"/>
                <w:sz w:val="18"/>
                <w:szCs w:val="18"/>
              </w:rPr>
            </w:pPr>
            <w:r w:rsidRPr="0063248C">
              <w:rPr>
                <w:rFonts w:cs="宋体"/>
                <w:sz w:val="18"/>
                <w:szCs w:val="18"/>
              </w:rPr>
              <w:lastRenderedPageBreak/>
              <w:t>2014</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16</w:t>
            </w:r>
            <w:r w:rsidRPr="0063248C">
              <w:rPr>
                <w:rFonts w:cs="宋体"/>
                <w:sz w:val="18"/>
                <w:szCs w:val="18"/>
              </w:rPr>
              <w:t>日</w:t>
            </w:r>
          </w:p>
        </w:tc>
        <w:tc>
          <w:tcPr>
            <w:tcW w:w="509" w:type="pct"/>
            <w:tcBorders>
              <w:top w:val="single" w:sz="2" w:space="0" w:color="auto"/>
              <w:left w:val="single" w:sz="2" w:space="0" w:color="auto"/>
              <w:bottom w:val="single" w:sz="2" w:space="0" w:color="auto"/>
              <w:right w:val="single" w:sz="2" w:space="0" w:color="auto"/>
            </w:tcBorders>
            <w:vAlign w:val="center"/>
          </w:tcPr>
          <w:p w14:paraId="694D16F4" w14:textId="77777777" w:rsidR="007B3DB2" w:rsidRPr="0063248C" w:rsidRDefault="00000000">
            <w:pPr>
              <w:spacing w:line="240" w:lineRule="exact"/>
              <w:rPr>
                <w:rFonts w:cs="宋体"/>
                <w:sz w:val="18"/>
                <w:szCs w:val="18"/>
              </w:rPr>
            </w:pPr>
            <w:r w:rsidRPr="0063248C">
              <w:rPr>
                <w:rFonts w:cs="宋体"/>
                <w:sz w:val="18"/>
                <w:szCs w:val="18"/>
              </w:rPr>
              <w:t>长期</w:t>
            </w:r>
          </w:p>
        </w:tc>
        <w:tc>
          <w:tcPr>
            <w:tcW w:w="463" w:type="pct"/>
            <w:tcBorders>
              <w:top w:val="single" w:sz="2" w:space="0" w:color="auto"/>
              <w:left w:val="single" w:sz="2" w:space="0" w:color="auto"/>
              <w:bottom w:val="single" w:sz="2" w:space="0" w:color="auto"/>
              <w:right w:val="single" w:sz="2" w:space="0" w:color="auto"/>
            </w:tcBorders>
            <w:vAlign w:val="center"/>
          </w:tcPr>
          <w:p w14:paraId="4D767691" w14:textId="77777777" w:rsidR="007B3DB2" w:rsidRPr="0063248C" w:rsidRDefault="00000000">
            <w:pPr>
              <w:spacing w:line="240" w:lineRule="exact"/>
              <w:rPr>
                <w:rFonts w:cs="宋体"/>
                <w:sz w:val="18"/>
                <w:szCs w:val="18"/>
              </w:rPr>
            </w:pPr>
            <w:r w:rsidRPr="0063248C">
              <w:rPr>
                <w:rFonts w:cs="宋体"/>
                <w:sz w:val="18"/>
                <w:szCs w:val="18"/>
              </w:rPr>
              <w:t>正常履行中</w:t>
            </w:r>
          </w:p>
        </w:tc>
      </w:tr>
      <w:tr w:rsidR="006709E7" w:rsidRPr="0063248C" w14:paraId="4A6A93A5" w14:textId="77777777" w:rsidTr="006709E7">
        <w:trPr>
          <w:trHeight w:val="240"/>
        </w:trPr>
        <w:tc>
          <w:tcPr>
            <w:tcW w:w="714" w:type="pct"/>
            <w:tcBorders>
              <w:top w:val="single" w:sz="2" w:space="0" w:color="auto"/>
              <w:left w:val="single" w:sz="2" w:space="0" w:color="auto"/>
              <w:bottom w:val="single" w:sz="2" w:space="0" w:color="auto"/>
              <w:right w:val="single" w:sz="2" w:space="0" w:color="auto"/>
            </w:tcBorders>
            <w:shd w:val="clear" w:color="auto" w:fill="D3D3D3"/>
            <w:vAlign w:val="center"/>
          </w:tcPr>
          <w:p w14:paraId="696A27E4" w14:textId="77777777" w:rsidR="007B3DB2" w:rsidRPr="0063248C" w:rsidRDefault="00000000">
            <w:pPr>
              <w:spacing w:before="40" w:after="40" w:line="240" w:lineRule="exact"/>
              <w:rPr>
                <w:rFonts w:cs="宋体"/>
                <w:sz w:val="18"/>
                <w:szCs w:val="18"/>
              </w:rPr>
            </w:pPr>
            <w:r w:rsidRPr="0063248C">
              <w:rPr>
                <w:rFonts w:cs="宋体"/>
                <w:sz w:val="18"/>
                <w:szCs w:val="18"/>
              </w:rPr>
              <w:t>首次公开发行或再融资时所作承诺</w:t>
            </w:r>
          </w:p>
        </w:tc>
        <w:tc>
          <w:tcPr>
            <w:tcW w:w="714" w:type="pct"/>
            <w:tcBorders>
              <w:top w:val="single" w:sz="2" w:space="0" w:color="auto"/>
              <w:left w:val="single" w:sz="2" w:space="0" w:color="auto"/>
              <w:bottom w:val="single" w:sz="2" w:space="0" w:color="auto"/>
              <w:right w:val="single" w:sz="2" w:space="0" w:color="auto"/>
            </w:tcBorders>
            <w:vAlign w:val="center"/>
          </w:tcPr>
          <w:p w14:paraId="28894420" w14:textId="77777777" w:rsidR="007B3DB2" w:rsidRPr="0063248C" w:rsidRDefault="00000000">
            <w:pPr>
              <w:spacing w:line="240" w:lineRule="exact"/>
              <w:rPr>
                <w:rFonts w:cs="宋体"/>
                <w:sz w:val="18"/>
                <w:szCs w:val="18"/>
              </w:rPr>
            </w:pPr>
            <w:proofErr w:type="gramStart"/>
            <w:r w:rsidRPr="0063248C">
              <w:rPr>
                <w:rFonts w:cs="宋体"/>
                <w:sz w:val="18"/>
                <w:szCs w:val="18"/>
              </w:rPr>
              <w:t>董瑞旭</w:t>
            </w:r>
            <w:proofErr w:type="gramEnd"/>
            <w:r w:rsidRPr="0063248C">
              <w:rPr>
                <w:rFonts w:cs="宋体"/>
                <w:sz w:val="18"/>
                <w:szCs w:val="18"/>
              </w:rPr>
              <w:t>;</w:t>
            </w:r>
            <w:r w:rsidRPr="0063248C">
              <w:rPr>
                <w:rFonts w:cs="宋体"/>
                <w:sz w:val="18"/>
                <w:szCs w:val="18"/>
              </w:rPr>
              <w:t>宫明杰</w:t>
            </w:r>
            <w:r w:rsidRPr="0063248C">
              <w:rPr>
                <w:rFonts w:cs="宋体"/>
                <w:sz w:val="18"/>
                <w:szCs w:val="18"/>
              </w:rPr>
              <w:t>;</w:t>
            </w:r>
            <w:proofErr w:type="gramStart"/>
            <w:r w:rsidRPr="0063248C">
              <w:rPr>
                <w:rFonts w:cs="宋体"/>
                <w:sz w:val="18"/>
                <w:szCs w:val="18"/>
              </w:rPr>
              <w:t>宫旭杰</w:t>
            </w:r>
            <w:proofErr w:type="gramEnd"/>
            <w:r w:rsidRPr="0063248C">
              <w:rPr>
                <w:rFonts w:cs="宋体"/>
                <w:sz w:val="18"/>
                <w:szCs w:val="18"/>
              </w:rPr>
              <w:t>;</w:t>
            </w:r>
            <w:r w:rsidRPr="0063248C">
              <w:rPr>
                <w:rFonts w:cs="宋体"/>
                <w:sz w:val="18"/>
                <w:szCs w:val="18"/>
              </w:rPr>
              <w:t>宫学斌</w:t>
            </w:r>
            <w:r w:rsidRPr="0063248C">
              <w:rPr>
                <w:rFonts w:cs="宋体"/>
                <w:sz w:val="18"/>
                <w:szCs w:val="18"/>
              </w:rPr>
              <w:t>;</w:t>
            </w:r>
            <w:r w:rsidRPr="0063248C">
              <w:rPr>
                <w:rFonts w:cs="宋体"/>
                <w:sz w:val="18"/>
                <w:szCs w:val="18"/>
              </w:rPr>
              <w:t>郭延亮</w:t>
            </w:r>
            <w:r w:rsidRPr="0063248C">
              <w:rPr>
                <w:rFonts w:cs="宋体"/>
                <w:sz w:val="18"/>
                <w:szCs w:val="18"/>
              </w:rPr>
              <w:t>;</w:t>
            </w:r>
            <w:r w:rsidRPr="0063248C">
              <w:rPr>
                <w:rFonts w:cs="宋体"/>
                <w:sz w:val="18"/>
                <w:szCs w:val="18"/>
              </w:rPr>
              <w:t>纪鹏斌</w:t>
            </w:r>
            <w:r w:rsidRPr="0063248C">
              <w:rPr>
                <w:rFonts w:cs="宋体"/>
                <w:sz w:val="18"/>
                <w:szCs w:val="18"/>
              </w:rPr>
              <w:t>;</w:t>
            </w:r>
            <w:r w:rsidRPr="0063248C">
              <w:rPr>
                <w:rFonts w:cs="宋体"/>
                <w:sz w:val="18"/>
                <w:szCs w:val="18"/>
              </w:rPr>
              <w:t>刘惠荣</w:t>
            </w:r>
            <w:r w:rsidRPr="0063248C">
              <w:rPr>
                <w:rFonts w:cs="宋体"/>
                <w:sz w:val="18"/>
                <w:szCs w:val="18"/>
              </w:rPr>
              <w:t>;</w:t>
            </w:r>
            <w:proofErr w:type="gramStart"/>
            <w:r w:rsidRPr="0063248C">
              <w:rPr>
                <w:rFonts w:cs="宋体"/>
                <w:sz w:val="18"/>
                <w:szCs w:val="18"/>
              </w:rPr>
              <w:t>刘克连</w:t>
            </w:r>
            <w:proofErr w:type="gramEnd"/>
            <w:r w:rsidRPr="0063248C">
              <w:rPr>
                <w:rFonts w:cs="宋体"/>
                <w:sz w:val="18"/>
                <w:szCs w:val="18"/>
              </w:rPr>
              <w:t>;</w:t>
            </w:r>
            <w:proofErr w:type="gramStart"/>
            <w:r w:rsidRPr="0063248C">
              <w:rPr>
                <w:rFonts w:cs="宋体"/>
                <w:sz w:val="18"/>
                <w:szCs w:val="18"/>
              </w:rPr>
              <w:t>秋山刚</w:t>
            </w:r>
            <w:proofErr w:type="gramEnd"/>
            <w:r w:rsidRPr="0063248C">
              <w:rPr>
                <w:rFonts w:cs="宋体"/>
                <w:sz w:val="18"/>
                <w:szCs w:val="18"/>
              </w:rPr>
              <w:t>;</w:t>
            </w:r>
            <w:proofErr w:type="gramStart"/>
            <w:r w:rsidRPr="0063248C">
              <w:rPr>
                <w:rFonts w:cs="宋体"/>
                <w:sz w:val="18"/>
                <w:szCs w:val="18"/>
              </w:rPr>
              <w:t>谭喆</w:t>
            </w:r>
            <w:proofErr w:type="gramEnd"/>
            <w:r w:rsidRPr="0063248C">
              <w:rPr>
                <w:rFonts w:cs="宋体"/>
                <w:sz w:val="18"/>
                <w:szCs w:val="18"/>
              </w:rPr>
              <w:t>夫</w:t>
            </w:r>
            <w:r w:rsidRPr="0063248C">
              <w:rPr>
                <w:rFonts w:cs="宋体"/>
                <w:sz w:val="18"/>
                <w:szCs w:val="18"/>
              </w:rPr>
              <w:t>;</w:t>
            </w:r>
            <w:r w:rsidRPr="0063248C">
              <w:rPr>
                <w:rFonts w:cs="宋体"/>
                <w:sz w:val="18"/>
                <w:szCs w:val="18"/>
              </w:rPr>
              <w:t>土桥晃</w:t>
            </w:r>
            <w:r w:rsidRPr="0063248C">
              <w:rPr>
                <w:rFonts w:cs="宋体"/>
                <w:sz w:val="18"/>
                <w:szCs w:val="18"/>
              </w:rPr>
              <w:t>;</w:t>
            </w:r>
            <w:r w:rsidRPr="0063248C">
              <w:rPr>
                <w:rFonts w:cs="宋体"/>
                <w:sz w:val="18"/>
                <w:szCs w:val="18"/>
              </w:rPr>
              <w:t>王辉</w:t>
            </w:r>
            <w:r w:rsidRPr="0063248C">
              <w:rPr>
                <w:rFonts w:cs="宋体"/>
                <w:sz w:val="18"/>
                <w:szCs w:val="18"/>
              </w:rPr>
              <w:t>;</w:t>
            </w:r>
            <w:proofErr w:type="gramStart"/>
            <w:r w:rsidRPr="0063248C">
              <w:rPr>
                <w:rFonts w:cs="宋体"/>
                <w:sz w:val="18"/>
                <w:szCs w:val="18"/>
              </w:rPr>
              <w:t>王蔚松</w:t>
            </w:r>
            <w:proofErr w:type="gramEnd"/>
            <w:r w:rsidRPr="0063248C">
              <w:rPr>
                <w:rFonts w:cs="宋体"/>
                <w:sz w:val="18"/>
                <w:szCs w:val="18"/>
              </w:rPr>
              <w:t>;</w:t>
            </w:r>
            <w:r w:rsidRPr="0063248C">
              <w:rPr>
                <w:rFonts w:cs="宋体"/>
                <w:sz w:val="18"/>
                <w:szCs w:val="18"/>
              </w:rPr>
              <w:t>张德润</w:t>
            </w:r>
            <w:r w:rsidRPr="0063248C">
              <w:rPr>
                <w:rFonts w:cs="宋体"/>
                <w:sz w:val="18"/>
                <w:szCs w:val="18"/>
              </w:rPr>
              <w:t>;</w:t>
            </w:r>
            <w:proofErr w:type="gramStart"/>
            <w:r w:rsidRPr="0063248C">
              <w:rPr>
                <w:rFonts w:cs="宋体"/>
                <w:sz w:val="18"/>
                <w:szCs w:val="18"/>
              </w:rPr>
              <w:t>赵方胜</w:t>
            </w:r>
            <w:proofErr w:type="gramEnd"/>
          </w:p>
        </w:tc>
        <w:tc>
          <w:tcPr>
            <w:tcW w:w="714" w:type="pct"/>
            <w:tcBorders>
              <w:top w:val="single" w:sz="2" w:space="0" w:color="auto"/>
              <w:left w:val="single" w:sz="2" w:space="0" w:color="auto"/>
              <w:bottom w:val="single" w:sz="2" w:space="0" w:color="auto"/>
              <w:right w:val="single" w:sz="2" w:space="0" w:color="auto"/>
            </w:tcBorders>
            <w:vAlign w:val="center"/>
          </w:tcPr>
          <w:p w14:paraId="3507417D" w14:textId="77777777" w:rsidR="007B3DB2" w:rsidRPr="0063248C" w:rsidRDefault="00000000">
            <w:pPr>
              <w:spacing w:line="240" w:lineRule="exact"/>
              <w:rPr>
                <w:rFonts w:cs="宋体"/>
                <w:sz w:val="18"/>
                <w:szCs w:val="18"/>
              </w:rPr>
            </w:pPr>
            <w:r w:rsidRPr="0063248C">
              <w:rPr>
                <w:rFonts w:cs="宋体"/>
                <w:sz w:val="18"/>
                <w:szCs w:val="18"/>
              </w:rPr>
              <w:t>其他承诺</w:t>
            </w:r>
          </w:p>
        </w:tc>
        <w:tc>
          <w:tcPr>
            <w:tcW w:w="1376" w:type="pct"/>
            <w:tcBorders>
              <w:top w:val="single" w:sz="2" w:space="0" w:color="auto"/>
              <w:left w:val="single" w:sz="2" w:space="0" w:color="auto"/>
              <w:bottom w:val="single" w:sz="2" w:space="0" w:color="auto"/>
              <w:right w:val="single" w:sz="2" w:space="0" w:color="auto"/>
            </w:tcBorders>
            <w:vAlign w:val="center"/>
          </w:tcPr>
          <w:p w14:paraId="72682549" w14:textId="77777777" w:rsidR="007B3DB2" w:rsidRPr="0063248C" w:rsidRDefault="00000000">
            <w:pPr>
              <w:spacing w:line="240" w:lineRule="exact"/>
              <w:rPr>
                <w:rFonts w:cs="宋体"/>
                <w:sz w:val="18"/>
                <w:szCs w:val="18"/>
              </w:rPr>
            </w:pPr>
            <w:r w:rsidRPr="0063248C">
              <w:rPr>
                <w:rFonts w:cs="宋体"/>
                <w:sz w:val="18"/>
                <w:szCs w:val="18"/>
              </w:rPr>
              <w:t>关于发行人招股书披露瑕疵致使投资者在证券交易中遭受损失的赔偿承诺：如发行人招股说明书有虚假记载、误导性陈述或者重大遗漏，致使投资者在证券交易中遭受损失的，本人将依法赔偿投资者损失。在该等违法事实被中国证监会、证券交易所或司法机关认定后，将本着简化程序、积极协商、先行赔付、切实保障投资者特别是中小投资者利益的原则，按照投资者直接遭受的可测算的经济损失选择与投资者和解、通过第三方与投资者调解及设立投资者赔偿基金等方式积极赔偿投资者由此遭受的直接经济损失。</w:t>
            </w:r>
          </w:p>
          <w:p w14:paraId="206B494C" w14:textId="77777777" w:rsidR="007B3DB2" w:rsidRPr="0063248C" w:rsidRDefault="00000000">
            <w:pPr>
              <w:spacing w:line="240" w:lineRule="exact"/>
              <w:rPr>
                <w:rFonts w:cs="宋体"/>
                <w:sz w:val="18"/>
                <w:szCs w:val="18"/>
              </w:rPr>
            </w:pPr>
            <w:r w:rsidRPr="0063248C">
              <w:rPr>
                <w:rFonts w:cs="宋体"/>
                <w:sz w:val="18"/>
                <w:szCs w:val="18"/>
              </w:rPr>
              <w:t>若本人违反上述承诺，则将在发行人股东大会及中国证监会指定报刊上公开就未履行上述赔偿措施向发行人股东和社会公众投资者道歉，并在违反上述赔偿措施发生之日起</w:t>
            </w:r>
            <w:r w:rsidRPr="0063248C">
              <w:rPr>
                <w:rFonts w:cs="宋体"/>
                <w:sz w:val="18"/>
                <w:szCs w:val="18"/>
              </w:rPr>
              <w:t>5</w:t>
            </w:r>
            <w:r w:rsidRPr="0063248C">
              <w:rPr>
                <w:rFonts w:cs="宋体"/>
                <w:sz w:val="18"/>
                <w:szCs w:val="18"/>
              </w:rPr>
              <w:t>个工作日内，停止在发行人处领取薪酬（或津贴）及股东分红（如有），同时本人持有的发行人股份（如有）将不得转让，直至本人按上述承诺采取相应的赔偿措施并实施完毕时为止。</w:t>
            </w:r>
          </w:p>
        </w:tc>
        <w:tc>
          <w:tcPr>
            <w:tcW w:w="510" w:type="pct"/>
            <w:tcBorders>
              <w:top w:val="single" w:sz="2" w:space="0" w:color="auto"/>
              <w:left w:val="single" w:sz="2" w:space="0" w:color="auto"/>
              <w:bottom w:val="single" w:sz="2" w:space="0" w:color="auto"/>
              <w:right w:val="single" w:sz="2" w:space="0" w:color="auto"/>
            </w:tcBorders>
            <w:vAlign w:val="center"/>
          </w:tcPr>
          <w:p w14:paraId="4EE7B21D" w14:textId="77777777" w:rsidR="007B3DB2" w:rsidRPr="0063248C" w:rsidRDefault="00000000">
            <w:pPr>
              <w:spacing w:line="240" w:lineRule="exact"/>
              <w:rPr>
                <w:rFonts w:cs="宋体"/>
                <w:sz w:val="18"/>
                <w:szCs w:val="18"/>
              </w:rPr>
            </w:pPr>
            <w:r w:rsidRPr="0063248C">
              <w:rPr>
                <w:rFonts w:cs="宋体"/>
                <w:sz w:val="18"/>
                <w:szCs w:val="18"/>
              </w:rPr>
              <w:t>2014</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26</w:t>
            </w:r>
            <w:r w:rsidRPr="0063248C">
              <w:rPr>
                <w:rFonts w:cs="宋体"/>
                <w:sz w:val="18"/>
                <w:szCs w:val="18"/>
              </w:rPr>
              <w:t>日</w:t>
            </w:r>
          </w:p>
        </w:tc>
        <w:tc>
          <w:tcPr>
            <w:tcW w:w="509" w:type="pct"/>
            <w:tcBorders>
              <w:top w:val="single" w:sz="2" w:space="0" w:color="auto"/>
              <w:left w:val="single" w:sz="2" w:space="0" w:color="auto"/>
              <w:bottom w:val="single" w:sz="2" w:space="0" w:color="auto"/>
              <w:right w:val="single" w:sz="2" w:space="0" w:color="auto"/>
            </w:tcBorders>
            <w:vAlign w:val="center"/>
          </w:tcPr>
          <w:p w14:paraId="29A8E3A5" w14:textId="77777777" w:rsidR="007B3DB2" w:rsidRPr="0063248C" w:rsidRDefault="00000000">
            <w:pPr>
              <w:spacing w:line="240" w:lineRule="exact"/>
              <w:rPr>
                <w:rFonts w:cs="宋体"/>
                <w:sz w:val="18"/>
                <w:szCs w:val="18"/>
              </w:rPr>
            </w:pPr>
            <w:r w:rsidRPr="0063248C">
              <w:rPr>
                <w:rFonts w:cs="宋体"/>
                <w:sz w:val="18"/>
                <w:szCs w:val="18"/>
              </w:rPr>
              <w:t>长期</w:t>
            </w:r>
          </w:p>
        </w:tc>
        <w:tc>
          <w:tcPr>
            <w:tcW w:w="463" w:type="pct"/>
            <w:tcBorders>
              <w:top w:val="single" w:sz="2" w:space="0" w:color="auto"/>
              <w:left w:val="single" w:sz="2" w:space="0" w:color="auto"/>
              <w:bottom w:val="single" w:sz="2" w:space="0" w:color="auto"/>
              <w:right w:val="single" w:sz="2" w:space="0" w:color="auto"/>
            </w:tcBorders>
            <w:vAlign w:val="center"/>
          </w:tcPr>
          <w:p w14:paraId="4F31F400" w14:textId="77777777" w:rsidR="007B3DB2" w:rsidRPr="0063248C" w:rsidRDefault="00000000">
            <w:pPr>
              <w:spacing w:line="240" w:lineRule="exact"/>
              <w:rPr>
                <w:rFonts w:cs="宋体"/>
                <w:sz w:val="18"/>
                <w:szCs w:val="18"/>
              </w:rPr>
            </w:pPr>
            <w:r w:rsidRPr="0063248C">
              <w:rPr>
                <w:rFonts w:cs="宋体"/>
                <w:sz w:val="18"/>
                <w:szCs w:val="18"/>
              </w:rPr>
              <w:t>正常履行中</w:t>
            </w:r>
          </w:p>
        </w:tc>
      </w:tr>
      <w:tr w:rsidR="007B3DB2" w:rsidRPr="0063248C" w14:paraId="0885D3CF" w14:textId="77777777" w:rsidTr="006709E7">
        <w:trPr>
          <w:trHeight w:val="240"/>
        </w:trPr>
        <w:tc>
          <w:tcPr>
            <w:tcW w:w="714" w:type="pct"/>
            <w:tcBorders>
              <w:top w:val="single" w:sz="2" w:space="0" w:color="auto"/>
              <w:left w:val="single" w:sz="2" w:space="0" w:color="auto"/>
              <w:bottom w:val="single" w:sz="2" w:space="0" w:color="auto"/>
              <w:right w:val="single" w:sz="2" w:space="0" w:color="auto"/>
            </w:tcBorders>
            <w:shd w:val="clear" w:color="auto" w:fill="D3D3D3"/>
            <w:vAlign w:val="center"/>
          </w:tcPr>
          <w:p w14:paraId="75AEED24" w14:textId="77777777" w:rsidR="007B3DB2" w:rsidRPr="0063248C" w:rsidRDefault="00000000">
            <w:pPr>
              <w:spacing w:before="40" w:after="40" w:line="240" w:lineRule="exact"/>
              <w:rPr>
                <w:rFonts w:cs="宋体"/>
                <w:sz w:val="18"/>
                <w:szCs w:val="18"/>
              </w:rPr>
            </w:pPr>
            <w:r w:rsidRPr="0063248C">
              <w:rPr>
                <w:rFonts w:cs="宋体"/>
                <w:sz w:val="18"/>
                <w:szCs w:val="18"/>
              </w:rPr>
              <w:t>承诺是否按时履行</w:t>
            </w:r>
          </w:p>
        </w:tc>
        <w:tc>
          <w:tcPr>
            <w:tcW w:w="4286" w:type="pct"/>
            <w:gridSpan w:val="6"/>
            <w:tcBorders>
              <w:top w:val="single" w:sz="2" w:space="0" w:color="auto"/>
              <w:left w:val="single" w:sz="2" w:space="0" w:color="auto"/>
              <w:bottom w:val="single" w:sz="2" w:space="0" w:color="auto"/>
              <w:right w:val="single" w:sz="2" w:space="0" w:color="auto"/>
            </w:tcBorders>
            <w:vAlign w:val="center"/>
          </w:tcPr>
          <w:p w14:paraId="52CC73DD" w14:textId="77777777" w:rsidR="007B3DB2" w:rsidRPr="0063248C" w:rsidRDefault="00000000">
            <w:pPr>
              <w:spacing w:line="240" w:lineRule="exact"/>
              <w:rPr>
                <w:rFonts w:cs="宋体"/>
                <w:sz w:val="18"/>
                <w:szCs w:val="18"/>
              </w:rPr>
            </w:pPr>
            <w:r w:rsidRPr="0063248C">
              <w:rPr>
                <w:rFonts w:cs="宋体"/>
                <w:sz w:val="18"/>
                <w:szCs w:val="18"/>
              </w:rPr>
              <w:t>是</w:t>
            </w:r>
          </w:p>
        </w:tc>
      </w:tr>
    </w:tbl>
    <w:p w14:paraId="111B5C9B" w14:textId="77777777" w:rsidR="007B3DB2" w:rsidRPr="0063248C" w:rsidRDefault="00000000">
      <w:pPr>
        <w:pStyle w:val="2"/>
        <w:spacing w:before="300" w:after="300" w:line="320" w:lineRule="exact"/>
        <w:rPr>
          <w:rFonts w:cs="宋体"/>
          <w:b/>
          <w:bCs/>
          <w:sz w:val="24"/>
          <w:szCs w:val="24"/>
        </w:rPr>
      </w:pPr>
      <w:bookmarkStart w:id="53" w:name="_Toc988942"/>
      <w:r w:rsidRPr="0063248C">
        <w:rPr>
          <w:rFonts w:cs="宋体"/>
          <w:b/>
          <w:bCs/>
          <w:sz w:val="24"/>
          <w:szCs w:val="24"/>
        </w:rPr>
        <w:t>二、控股股东及其他关联方对上市公司的非经营性占用资金情况</w:t>
      </w:r>
      <w:bookmarkEnd w:id="53"/>
    </w:p>
    <w:p w14:paraId="61BC66D2"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3C16F31" w14:textId="77777777" w:rsidR="007B3DB2" w:rsidRPr="0063248C" w:rsidRDefault="00000000">
      <w:pPr>
        <w:spacing w:before="40" w:after="40" w:line="240" w:lineRule="exact"/>
        <w:rPr>
          <w:rFonts w:cs="宋体"/>
          <w:sz w:val="18"/>
          <w:szCs w:val="18"/>
        </w:rPr>
      </w:pPr>
      <w:r w:rsidRPr="0063248C">
        <w:rPr>
          <w:rFonts w:cs="宋体"/>
          <w:sz w:val="18"/>
          <w:szCs w:val="18"/>
        </w:rPr>
        <w:t>公司报告期不存在控股股东及其他关联方对上市公司的非经营性占用资金。</w:t>
      </w:r>
    </w:p>
    <w:p w14:paraId="7ED369AA" w14:textId="77777777" w:rsidR="007B3DB2" w:rsidRPr="0063248C" w:rsidRDefault="00000000">
      <w:pPr>
        <w:pStyle w:val="2"/>
        <w:spacing w:before="300" w:after="300" w:line="320" w:lineRule="exact"/>
        <w:rPr>
          <w:rFonts w:cs="宋体"/>
          <w:b/>
          <w:bCs/>
          <w:sz w:val="24"/>
          <w:szCs w:val="24"/>
        </w:rPr>
      </w:pPr>
      <w:bookmarkStart w:id="54" w:name="_Toc988943"/>
      <w:r w:rsidRPr="0063248C">
        <w:rPr>
          <w:rFonts w:cs="宋体"/>
          <w:b/>
          <w:bCs/>
          <w:sz w:val="24"/>
          <w:szCs w:val="24"/>
        </w:rPr>
        <w:t>三、违规对外担保情况</w:t>
      </w:r>
      <w:bookmarkEnd w:id="54"/>
    </w:p>
    <w:p w14:paraId="0F8987D0"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A2BDD27" w14:textId="77777777" w:rsidR="007B3DB2" w:rsidRPr="0063248C" w:rsidRDefault="00000000">
      <w:pPr>
        <w:spacing w:before="100" w:after="100" w:line="240" w:lineRule="exact"/>
        <w:rPr>
          <w:rFonts w:cs="宋体"/>
          <w:sz w:val="18"/>
          <w:szCs w:val="18"/>
        </w:rPr>
      </w:pPr>
      <w:r w:rsidRPr="0063248C">
        <w:rPr>
          <w:rFonts w:cs="宋体"/>
          <w:sz w:val="18"/>
          <w:szCs w:val="18"/>
        </w:rPr>
        <w:t>公司报告期无违规对外担保情况。</w:t>
      </w:r>
    </w:p>
    <w:p w14:paraId="6FCFE98C" w14:textId="77777777" w:rsidR="007B3DB2" w:rsidRPr="0063248C" w:rsidRDefault="00000000">
      <w:pPr>
        <w:pStyle w:val="2"/>
        <w:spacing w:before="300" w:after="300" w:line="320" w:lineRule="exact"/>
        <w:rPr>
          <w:rFonts w:cs="宋体"/>
          <w:b/>
          <w:bCs/>
          <w:sz w:val="24"/>
          <w:szCs w:val="24"/>
        </w:rPr>
      </w:pPr>
      <w:bookmarkStart w:id="55" w:name="_Toc988944"/>
      <w:r w:rsidRPr="0063248C">
        <w:rPr>
          <w:rFonts w:cs="宋体"/>
          <w:b/>
          <w:bCs/>
          <w:sz w:val="24"/>
          <w:szCs w:val="24"/>
        </w:rPr>
        <w:t>四、聘任、解聘会计师事务所情况</w:t>
      </w:r>
      <w:bookmarkEnd w:id="55"/>
    </w:p>
    <w:p w14:paraId="163F8B89" w14:textId="77777777" w:rsidR="007B3DB2" w:rsidRPr="0063248C" w:rsidRDefault="00000000">
      <w:pPr>
        <w:spacing w:before="100" w:after="100" w:line="240" w:lineRule="exact"/>
        <w:rPr>
          <w:rFonts w:cs="宋体"/>
          <w:sz w:val="18"/>
          <w:szCs w:val="18"/>
        </w:rPr>
      </w:pPr>
      <w:r w:rsidRPr="0063248C">
        <w:rPr>
          <w:rFonts w:cs="宋体"/>
          <w:sz w:val="18"/>
          <w:szCs w:val="18"/>
        </w:rPr>
        <w:t>半年度财务报告是否已经审计</w:t>
      </w:r>
    </w:p>
    <w:p w14:paraId="1ED8BAFF"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是</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否</w:t>
      </w:r>
    </w:p>
    <w:p w14:paraId="7B8A9343" w14:textId="77777777" w:rsidR="007B3DB2" w:rsidRPr="0063248C" w:rsidRDefault="00000000">
      <w:pPr>
        <w:spacing w:before="100" w:after="100" w:line="240" w:lineRule="exact"/>
        <w:rPr>
          <w:rFonts w:cs="宋体"/>
          <w:sz w:val="18"/>
          <w:szCs w:val="18"/>
        </w:rPr>
      </w:pPr>
      <w:r w:rsidRPr="0063248C">
        <w:rPr>
          <w:rFonts w:cs="宋体"/>
          <w:sz w:val="18"/>
          <w:szCs w:val="18"/>
        </w:rPr>
        <w:t>公司半年度报告未经审计。</w:t>
      </w:r>
    </w:p>
    <w:p w14:paraId="0E406E40" w14:textId="77777777" w:rsidR="007B3DB2" w:rsidRPr="0063248C" w:rsidRDefault="00000000">
      <w:pPr>
        <w:pStyle w:val="2"/>
        <w:spacing w:before="300" w:after="300" w:line="320" w:lineRule="exact"/>
        <w:rPr>
          <w:rFonts w:cs="宋体"/>
          <w:b/>
          <w:bCs/>
          <w:sz w:val="24"/>
          <w:szCs w:val="24"/>
        </w:rPr>
      </w:pPr>
      <w:bookmarkStart w:id="56" w:name="_Toc988945"/>
      <w:r w:rsidRPr="0063248C">
        <w:rPr>
          <w:rFonts w:cs="宋体"/>
          <w:b/>
          <w:bCs/>
          <w:sz w:val="24"/>
          <w:szCs w:val="24"/>
        </w:rPr>
        <w:lastRenderedPageBreak/>
        <w:t>五、董事会、监事会对会计师事务所本报告期</w:t>
      </w:r>
      <w:r w:rsidRPr="0063248C">
        <w:rPr>
          <w:rFonts w:cs="宋体"/>
          <w:b/>
          <w:bCs/>
          <w:sz w:val="24"/>
          <w:szCs w:val="24"/>
        </w:rPr>
        <w:t>“</w:t>
      </w:r>
      <w:r w:rsidRPr="0063248C">
        <w:rPr>
          <w:rFonts w:cs="宋体"/>
          <w:b/>
          <w:bCs/>
          <w:sz w:val="24"/>
          <w:szCs w:val="24"/>
        </w:rPr>
        <w:t>非标准审计报告</w:t>
      </w:r>
      <w:r w:rsidRPr="0063248C">
        <w:rPr>
          <w:rFonts w:cs="宋体"/>
          <w:b/>
          <w:bCs/>
          <w:sz w:val="24"/>
          <w:szCs w:val="24"/>
        </w:rPr>
        <w:t>”</w:t>
      </w:r>
      <w:r w:rsidRPr="0063248C">
        <w:rPr>
          <w:rFonts w:cs="宋体"/>
          <w:b/>
          <w:bCs/>
          <w:sz w:val="24"/>
          <w:szCs w:val="24"/>
        </w:rPr>
        <w:t>的说明</w:t>
      </w:r>
      <w:bookmarkEnd w:id="56"/>
    </w:p>
    <w:p w14:paraId="58D238EF"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3DEFEB2" w14:textId="77777777" w:rsidR="007B3DB2" w:rsidRPr="0063248C" w:rsidRDefault="00000000">
      <w:pPr>
        <w:pStyle w:val="2"/>
        <w:spacing w:before="300" w:after="300" w:line="320" w:lineRule="exact"/>
        <w:rPr>
          <w:rFonts w:cs="宋体"/>
          <w:b/>
          <w:bCs/>
          <w:sz w:val="24"/>
          <w:szCs w:val="24"/>
        </w:rPr>
      </w:pPr>
      <w:bookmarkStart w:id="57" w:name="_Toc988946"/>
      <w:r w:rsidRPr="0063248C">
        <w:rPr>
          <w:rFonts w:cs="宋体"/>
          <w:b/>
          <w:bCs/>
          <w:sz w:val="24"/>
          <w:szCs w:val="24"/>
        </w:rPr>
        <w:t>六、董事会对上年度</w:t>
      </w:r>
      <w:r w:rsidRPr="0063248C">
        <w:rPr>
          <w:rFonts w:cs="宋体"/>
          <w:b/>
          <w:bCs/>
          <w:sz w:val="24"/>
          <w:szCs w:val="24"/>
        </w:rPr>
        <w:t>“</w:t>
      </w:r>
      <w:r w:rsidRPr="0063248C">
        <w:rPr>
          <w:rFonts w:cs="宋体"/>
          <w:b/>
          <w:bCs/>
          <w:sz w:val="24"/>
          <w:szCs w:val="24"/>
        </w:rPr>
        <w:t>非标准审计报告</w:t>
      </w:r>
      <w:r w:rsidRPr="0063248C">
        <w:rPr>
          <w:rFonts w:cs="宋体"/>
          <w:b/>
          <w:bCs/>
          <w:sz w:val="24"/>
          <w:szCs w:val="24"/>
        </w:rPr>
        <w:t>”</w:t>
      </w:r>
      <w:r w:rsidRPr="0063248C">
        <w:rPr>
          <w:rFonts w:cs="宋体"/>
          <w:b/>
          <w:bCs/>
          <w:sz w:val="24"/>
          <w:szCs w:val="24"/>
        </w:rPr>
        <w:t>相关情况的说明</w:t>
      </w:r>
      <w:bookmarkEnd w:id="57"/>
    </w:p>
    <w:p w14:paraId="6CDDAC48"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F273A26" w14:textId="77777777" w:rsidR="007B3DB2" w:rsidRPr="0063248C" w:rsidRDefault="00000000">
      <w:pPr>
        <w:pStyle w:val="2"/>
        <w:spacing w:before="300" w:after="300" w:line="320" w:lineRule="exact"/>
        <w:rPr>
          <w:rFonts w:cs="宋体"/>
          <w:b/>
          <w:bCs/>
          <w:sz w:val="24"/>
          <w:szCs w:val="24"/>
        </w:rPr>
      </w:pPr>
      <w:bookmarkStart w:id="58" w:name="_Toc988947"/>
      <w:r w:rsidRPr="0063248C">
        <w:rPr>
          <w:rFonts w:cs="宋体"/>
          <w:b/>
          <w:bCs/>
          <w:sz w:val="24"/>
          <w:szCs w:val="24"/>
        </w:rPr>
        <w:t>七、破产重整相关事项</w:t>
      </w:r>
      <w:bookmarkEnd w:id="58"/>
    </w:p>
    <w:p w14:paraId="6EEE7E2C"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E6B4AEE" w14:textId="77777777" w:rsidR="007B3DB2" w:rsidRPr="0063248C" w:rsidRDefault="00000000">
      <w:pPr>
        <w:spacing w:before="100" w:after="100" w:line="240" w:lineRule="exact"/>
        <w:rPr>
          <w:rFonts w:cs="宋体"/>
          <w:sz w:val="18"/>
          <w:szCs w:val="18"/>
        </w:rPr>
      </w:pPr>
      <w:r w:rsidRPr="0063248C">
        <w:rPr>
          <w:rFonts w:cs="宋体"/>
          <w:sz w:val="18"/>
          <w:szCs w:val="18"/>
        </w:rPr>
        <w:t>公司报告期未发生破产重整相关事项。</w:t>
      </w:r>
    </w:p>
    <w:p w14:paraId="05266A80" w14:textId="77777777" w:rsidR="007B3DB2" w:rsidRPr="0063248C" w:rsidRDefault="00000000">
      <w:pPr>
        <w:pStyle w:val="2"/>
        <w:spacing w:before="300" w:after="300" w:line="320" w:lineRule="exact"/>
        <w:rPr>
          <w:rFonts w:cs="宋体"/>
          <w:b/>
          <w:bCs/>
          <w:sz w:val="24"/>
          <w:szCs w:val="24"/>
        </w:rPr>
      </w:pPr>
      <w:bookmarkStart w:id="59" w:name="_Toc988948"/>
      <w:r w:rsidRPr="0063248C">
        <w:rPr>
          <w:rFonts w:cs="宋体"/>
          <w:b/>
          <w:bCs/>
          <w:sz w:val="24"/>
          <w:szCs w:val="24"/>
        </w:rPr>
        <w:t>八、诉讼事项</w:t>
      </w:r>
      <w:bookmarkEnd w:id="59"/>
    </w:p>
    <w:p w14:paraId="2DD06267" w14:textId="77777777" w:rsidR="007B3DB2" w:rsidRPr="0063248C" w:rsidRDefault="00000000">
      <w:pPr>
        <w:spacing w:before="100" w:after="100" w:line="240" w:lineRule="exact"/>
        <w:rPr>
          <w:rFonts w:cs="宋体"/>
          <w:sz w:val="18"/>
          <w:szCs w:val="18"/>
        </w:rPr>
      </w:pPr>
      <w:r w:rsidRPr="0063248C">
        <w:rPr>
          <w:rFonts w:cs="宋体"/>
          <w:sz w:val="18"/>
          <w:szCs w:val="18"/>
        </w:rPr>
        <w:t>重大诉讼仲裁事项</w:t>
      </w:r>
    </w:p>
    <w:p w14:paraId="2E5BE236"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601EE76" w14:textId="77777777" w:rsidR="007B3DB2" w:rsidRPr="0063248C" w:rsidRDefault="00000000">
      <w:pPr>
        <w:spacing w:before="100" w:after="100" w:line="240" w:lineRule="exact"/>
        <w:rPr>
          <w:rFonts w:cs="宋体"/>
          <w:sz w:val="18"/>
          <w:szCs w:val="18"/>
        </w:rPr>
      </w:pPr>
      <w:r w:rsidRPr="0063248C">
        <w:rPr>
          <w:rFonts w:cs="宋体"/>
          <w:sz w:val="18"/>
          <w:szCs w:val="18"/>
        </w:rPr>
        <w:t>本报告期公司无重大诉讼、仲裁事项。</w:t>
      </w:r>
    </w:p>
    <w:p w14:paraId="6325EB39" w14:textId="77777777" w:rsidR="007B3DB2" w:rsidRPr="0063248C" w:rsidRDefault="00000000">
      <w:pPr>
        <w:spacing w:before="100" w:after="100" w:line="240" w:lineRule="exact"/>
        <w:rPr>
          <w:rFonts w:cs="宋体"/>
          <w:sz w:val="18"/>
          <w:szCs w:val="18"/>
        </w:rPr>
      </w:pPr>
      <w:r w:rsidRPr="0063248C">
        <w:rPr>
          <w:rFonts w:cs="宋体"/>
          <w:sz w:val="18"/>
          <w:szCs w:val="18"/>
        </w:rPr>
        <w:t>其他诉讼事项</w:t>
      </w:r>
    </w:p>
    <w:p w14:paraId="40BDD90D"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E3C9E6A" w14:textId="77777777" w:rsidR="007B3DB2" w:rsidRPr="0063248C" w:rsidRDefault="00000000">
      <w:pPr>
        <w:pStyle w:val="2"/>
        <w:spacing w:before="300" w:after="300" w:line="320" w:lineRule="exact"/>
        <w:rPr>
          <w:rFonts w:cs="宋体"/>
          <w:b/>
          <w:bCs/>
          <w:sz w:val="24"/>
          <w:szCs w:val="24"/>
        </w:rPr>
      </w:pPr>
      <w:bookmarkStart w:id="60" w:name="_Toc988949"/>
      <w:r w:rsidRPr="0063248C">
        <w:rPr>
          <w:rFonts w:cs="宋体"/>
          <w:b/>
          <w:bCs/>
          <w:sz w:val="24"/>
          <w:szCs w:val="24"/>
        </w:rPr>
        <w:t>九、处罚及整改情况</w:t>
      </w:r>
      <w:bookmarkEnd w:id="60"/>
    </w:p>
    <w:p w14:paraId="0696286B"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9995787" w14:textId="77777777" w:rsidR="007B3DB2" w:rsidRPr="0063248C" w:rsidRDefault="00000000">
      <w:pPr>
        <w:spacing w:before="100" w:after="100" w:line="240" w:lineRule="exact"/>
        <w:rPr>
          <w:rFonts w:cs="宋体"/>
          <w:sz w:val="18"/>
          <w:szCs w:val="18"/>
        </w:rPr>
      </w:pPr>
      <w:r w:rsidRPr="0063248C">
        <w:rPr>
          <w:rFonts w:cs="宋体"/>
          <w:sz w:val="18"/>
          <w:szCs w:val="18"/>
        </w:rPr>
        <w:t>公司报告期不存在处罚及整改情况。</w:t>
      </w:r>
    </w:p>
    <w:p w14:paraId="1ABFBAE6" w14:textId="77777777" w:rsidR="007B3DB2" w:rsidRPr="0063248C" w:rsidRDefault="00000000">
      <w:pPr>
        <w:pStyle w:val="2"/>
        <w:spacing w:before="300" w:after="300" w:line="320" w:lineRule="exact"/>
        <w:rPr>
          <w:rFonts w:cs="宋体"/>
          <w:b/>
          <w:bCs/>
          <w:sz w:val="24"/>
          <w:szCs w:val="24"/>
        </w:rPr>
      </w:pPr>
      <w:bookmarkStart w:id="61" w:name="_Toc988950"/>
      <w:r w:rsidRPr="0063248C">
        <w:rPr>
          <w:rFonts w:cs="宋体"/>
          <w:b/>
          <w:bCs/>
          <w:sz w:val="24"/>
          <w:szCs w:val="24"/>
        </w:rPr>
        <w:t>十、公司及其控股股东、实际控制人的诚信状况</w:t>
      </w:r>
      <w:bookmarkEnd w:id="61"/>
    </w:p>
    <w:p w14:paraId="4871CFC3"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513C4D3F" w14:textId="77777777" w:rsidR="007B3DB2" w:rsidRPr="0063248C" w:rsidRDefault="00000000">
      <w:pPr>
        <w:pStyle w:val="2"/>
        <w:spacing w:before="300" w:after="300" w:line="320" w:lineRule="exact"/>
        <w:rPr>
          <w:rFonts w:cs="宋体"/>
          <w:b/>
          <w:bCs/>
          <w:sz w:val="24"/>
          <w:szCs w:val="24"/>
        </w:rPr>
      </w:pPr>
      <w:bookmarkStart w:id="62" w:name="_Toc988951"/>
      <w:r w:rsidRPr="0063248C">
        <w:rPr>
          <w:rFonts w:cs="宋体"/>
          <w:b/>
          <w:bCs/>
          <w:sz w:val="24"/>
          <w:szCs w:val="24"/>
        </w:rPr>
        <w:t>十一、重大关联交易</w:t>
      </w:r>
      <w:bookmarkEnd w:id="62"/>
    </w:p>
    <w:p w14:paraId="116C48D3" w14:textId="77777777" w:rsidR="007B3DB2" w:rsidRPr="0063248C" w:rsidRDefault="00000000">
      <w:pPr>
        <w:pStyle w:val="3"/>
        <w:spacing w:line="280" w:lineRule="exact"/>
        <w:jc w:val="left"/>
        <w:rPr>
          <w:rFonts w:cs="宋体"/>
          <w:b/>
          <w:bCs/>
        </w:rPr>
      </w:pPr>
      <w:bookmarkStart w:id="63" w:name="_Toc988952"/>
      <w:r w:rsidRPr="0063248C">
        <w:rPr>
          <w:rFonts w:cs="宋体"/>
          <w:b/>
          <w:bCs/>
        </w:rPr>
        <w:t>1</w:t>
      </w:r>
      <w:r w:rsidRPr="0063248C">
        <w:rPr>
          <w:rFonts w:cs="宋体"/>
          <w:b/>
          <w:bCs/>
        </w:rPr>
        <w:t>、与日常经营相关的关联交易</w:t>
      </w:r>
      <w:bookmarkEnd w:id="63"/>
    </w:p>
    <w:p w14:paraId="02327F74"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6502C7A" w14:textId="77777777" w:rsidR="007B3DB2" w:rsidRPr="0063248C" w:rsidRDefault="00000000">
      <w:pPr>
        <w:spacing w:before="100" w:after="100" w:line="240" w:lineRule="exact"/>
        <w:rPr>
          <w:rFonts w:cs="宋体"/>
          <w:sz w:val="18"/>
          <w:szCs w:val="18"/>
        </w:rPr>
      </w:pPr>
      <w:r w:rsidRPr="0063248C">
        <w:rPr>
          <w:rFonts w:cs="宋体"/>
          <w:sz w:val="18"/>
          <w:szCs w:val="18"/>
        </w:rPr>
        <w:t>公司报告期未发生与日常经营相关的关联交易。</w:t>
      </w:r>
    </w:p>
    <w:p w14:paraId="2CC72C06" w14:textId="77777777" w:rsidR="007B3DB2" w:rsidRPr="0063248C" w:rsidRDefault="00000000">
      <w:pPr>
        <w:pStyle w:val="3"/>
        <w:spacing w:line="280" w:lineRule="exact"/>
        <w:jc w:val="left"/>
        <w:rPr>
          <w:rFonts w:cs="宋体"/>
          <w:b/>
          <w:bCs/>
        </w:rPr>
      </w:pPr>
      <w:bookmarkStart w:id="64" w:name="_Toc988953"/>
      <w:r w:rsidRPr="0063248C">
        <w:rPr>
          <w:rFonts w:cs="宋体"/>
          <w:b/>
          <w:bCs/>
        </w:rPr>
        <w:t>2</w:t>
      </w:r>
      <w:r w:rsidRPr="0063248C">
        <w:rPr>
          <w:rFonts w:cs="宋体"/>
          <w:b/>
          <w:bCs/>
        </w:rPr>
        <w:t>、资产或股权收购、出售发生的关联交易</w:t>
      </w:r>
      <w:bookmarkEnd w:id="64"/>
    </w:p>
    <w:p w14:paraId="6FF0BBA4"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15B7E24" w14:textId="77777777" w:rsidR="007B3DB2" w:rsidRPr="0063248C" w:rsidRDefault="00000000">
      <w:pPr>
        <w:spacing w:before="100" w:after="100" w:line="240" w:lineRule="exact"/>
        <w:rPr>
          <w:rFonts w:cs="宋体"/>
          <w:sz w:val="18"/>
          <w:szCs w:val="18"/>
        </w:rPr>
      </w:pPr>
      <w:r w:rsidRPr="0063248C">
        <w:rPr>
          <w:rFonts w:cs="宋体"/>
          <w:sz w:val="18"/>
          <w:szCs w:val="18"/>
        </w:rPr>
        <w:t>公司报告期未发生资产或股权收购、出售的关联交易。</w:t>
      </w:r>
    </w:p>
    <w:p w14:paraId="2E02CC6C" w14:textId="77777777" w:rsidR="007B3DB2" w:rsidRPr="0063248C" w:rsidRDefault="00000000">
      <w:pPr>
        <w:pStyle w:val="3"/>
        <w:spacing w:line="280" w:lineRule="exact"/>
        <w:jc w:val="left"/>
        <w:rPr>
          <w:rFonts w:cs="宋体"/>
          <w:b/>
          <w:bCs/>
        </w:rPr>
      </w:pPr>
      <w:bookmarkStart w:id="65" w:name="_Toc988954"/>
      <w:r w:rsidRPr="0063248C">
        <w:rPr>
          <w:rFonts w:cs="宋体"/>
          <w:b/>
          <w:bCs/>
        </w:rPr>
        <w:t>3</w:t>
      </w:r>
      <w:r w:rsidRPr="0063248C">
        <w:rPr>
          <w:rFonts w:cs="宋体"/>
          <w:b/>
          <w:bCs/>
        </w:rPr>
        <w:t>、共同对外投资的关联交易</w:t>
      </w:r>
      <w:bookmarkEnd w:id="65"/>
    </w:p>
    <w:p w14:paraId="3C691E8E"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7C61254" w14:textId="77777777" w:rsidR="007B3DB2" w:rsidRPr="0063248C" w:rsidRDefault="00000000">
      <w:pPr>
        <w:spacing w:before="100" w:after="100" w:line="240" w:lineRule="exact"/>
        <w:rPr>
          <w:rFonts w:cs="宋体"/>
          <w:sz w:val="18"/>
          <w:szCs w:val="18"/>
        </w:rPr>
      </w:pPr>
      <w:r w:rsidRPr="0063248C">
        <w:rPr>
          <w:rFonts w:cs="宋体"/>
          <w:sz w:val="18"/>
          <w:szCs w:val="18"/>
        </w:rPr>
        <w:t>公司报告期未发生共同对外投资的关联交易。</w:t>
      </w:r>
    </w:p>
    <w:p w14:paraId="74B9EF7D" w14:textId="77777777" w:rsidR="007B3DB2" w:rsidRPr="0063248C" w:rsidRDefault="00000000">
      <w:pPr>
        <w:pStyle w:val="3"/>
        <w:spacing w:line="280" w:lineRule="exact"/>
        <w:jc w:val="left"/>
        <w:rPr>
          <w:rFonts w:cs="宋体"/>
          <w:b/>
          <w:bCs/>
        </w:rPr>
      </w:pPr>
      <w:bookmarkStart w:id="66" w:name="_Toc988955"/>
      <w:r w:rsidRPr="0063248C">
        <w:rPr>
          <w:rFonts w:cs="宋体"/>
          <w:b/>
          <w:bCs/>
        </w:rPr>
        <w:lastRenderedPageBreak/>
        <w:t>4</w:t>
      </w:r>
      <w:r w:rsidRPr="0063248C">
        <w:rPr>
          <w:rFonts w:cs="宋体"/>
          <w:b/>
          <w:bCs/>
        </w:rPr>
        <w:t>、关联债权债务往来</w:t>
      </w:r>
      <w:bookmarkEnd w:id="66"/>
    </w:p>
    <w:p w14:paraId="1C25797C"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4B25340" w14:textId="77777777" w:rsidR="007B3DB2" w:rsidRPr="0063248C" w:rsidRDefault="00000000">
      <w:pPr>
        <w:spacing w:before="100" w:after="100" w:line="240" w:lineRule="exact"/>
        <w:rPr>
          <w:rFonts w:cs="宋体"/>
          <w:sz w:val="18"/>
          <w:szCs w:val="18"/>
        </w:rPr>
      </w:pPr>
      <w:r w:rsidRPr="0063248C">
        <w:rPr>
          <w:rFonts w:cs="宋体"/>
          <w:sz w:val="18"/>
          <w:szCs w:val="18"/>
        </w:rPr>
        <w:t>公司报告期不存在关联债权债务往来。</w:t>
      </w:r>
    </w:p>
    <w:p w14:paraId="2830A9D9" w14:textId="77777777" w:rsidR="007B3DB2" w:rsidRPr="0063248C" w:rsidRDefault="00000000">
      <w:pPr>
        <w:pStyle w:val="3"/>
        <w:spacing w:line="280" w:lineRule="exact"/>
        <w:jc w:val="left"/>
        <w:rPr>
          <w:rFonts w:cs="宋体"/>
          <w:b/>
          <w:bCs/>
        </w:rPr>
      </w:pPr>
      <w:bookmarkStart w:id="67" w:name="_Toc988956"/>
      <w:r w:rsidRPr="0063248C">
        <w:rPr>
          <w:rFonts w:cs="宋体"/>
          <w:b/>
          <w:bCs/>
        </w:rPr>
        <w:t>5</w:t>
      </w:r>
      <w:r w:rsidRPr="0063248C">
        <w:rPr>
          <w:rFonts w:cs="宋体"/>
          <w:b/>
          <w:bCs/>
        </w:rPr>
        <w:t>、与存在关联关系的财务公司的往来情况</w:t>
      </w:r>
      <w:bookmarkEnd w:id="67"/>
    </w:p>
    <w:p w14:paraId="6DF0BD60"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79DFA05" w14:textId="77777777" w:rsidR="007B3DB2" w:rsidRPr="0063248C" w:rsidRDefault="00000000">
      <w:pPr>
        <w:spacing w:before="100" w:after="100" w:line="240" w:lineRule="exact"/>
        <w:rPr>
          <w:rFonts w:cs="宋体"/>
          <w:sz w:val="18"/>
          <w:szCs w:val="18"/>
        </w:rPr>
      </w:pPr>
      <w:r w:rsidRPr="0063248C">
        <w:rPr>
          <w:rFonts w:cs="宋体"/>
          <w:sz w:val="18"/>
          <w:szCs w:val="18"/>
        </w:rPr>
        <w:t>公司与存在关联关系的财务公司与关联方之间不存在存款、贷款、授信或其他金融业务。</w:t>
      </w:r>
    </w:p>
    <w:p w14:paraId="128D6C42" w14:textId="77777777" w:rsidR="007B3DB2" w:rsidRPr="0063248C" w:rsidRDefault="00000000">
      <w:pPr>
        <w:pStyle w:val="3"/>
        <w:spacing w:line="280" w:lineRule="exact"/>
        <w:jc w:val="left"/>
        <w:rPr>
          <w:rFonts w:cs="宋体"/>
          <w:b/>
          <w:bCs/>
        </w:rPr>
      </w:pPr>
      <w:bookmarkStart w:id="68" w:name="_Toc988957"/>
      <w:r w:rsidRPr="0063248C">
        <w:rPr>
          <w:rFonts w:cs="宋体"/>
          <w:b/>
          <w:bCs/>
        </w:rPr>
        <w:t>6</w:t>
      </w:r>
      <w:r w:rsidRPr="0063248C">
        <w:rPr>
          <w:rFonts w:cs="宋体"/>
          <w:b/>
          <w:bCs/>
        </w:rPr>
        <w:t>、公司控股的财务公司与关联方的往来情况</w:t>
      </w:r>
      <w:bookmarkEnd w:id="68"/>
    </w:p>
    <w:p w14:paraId="567EDCAB"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5BE46AE7" w14:textId="77777777" w:rsidR="007B3DB2" w:rsidRPr="0063248C" w:rsidRDefault="00000000">
      <w:pPr>
        <w:spacing w:before="100" w:after="100" w:line="240" w:lineRule="exact"/>
        <w:rPr>
          <w:rFonts w:cs="宋体"/>
          <w:sz w:val="18"/>
          <w:szCs w:val="18"/>
        </w:rPr>
      </w:pPr>
      <w:r w:rsidRPr="0063248C">
        <w:rPr>
          <w:rFonts w:cs="宋体"/>
          <w:sz w:val="18"/>
          <w:szCs w:val="18"/>
        </w:rPr>
        <w:t>公司控股的财务公司与关联方之间不存在存款、贷款、授信或其他金融业务。</w:t>
      </w:r>
    </w:p>
    <w:p w14:paraId="64E61780" w14:textId="77777777" w:rsidR="007B3DB2" w:rsidRPr="0063248C" w:rsidRDefault="00000000">
      <w:pPr>
        <w:pStyle w:val="3"/>
        <w:spacing w:line="280" w:lineRule="exact"/>
        <w:jc w:val="left"/>
        <w:rPr>
          <w:rFonts w:cs="宋体"/>
          <w:b/>
          <w:bCs/>
        </w:rPr>
      </w:pPr>
      <w:bookmarkStart w:id="69" w:name="_Toc988958"/>
      <w:r w:rsidRPr="0063248C">
        <w:rPr>
          <w:rFonts w:cs="宋体"/>
          <w:b/>
          <w:bCs/>
        </w:rPr>
        <w:t>7</w:t>
      </w:r>
      <w:r w:rsidRPr="0063248C">
        <w:rPr>
          <w:rFonts w:cs="宋体"/>
          <w:b/>
          <w:bCs/>
        </w:rPr>
        <w:t>、其他重大关联交易</w:t>
      </w:r>
      <w:bookmarkEnd w:id="69"/>
    </w:p>
    <w:p w14:paraId="6A2085CE"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CBA16C9" w14:textId="77777777" w:rsidR="007B3DB2" w:rsidRPr="0063248C" w:rsidRDefault="00000000">
      <w:pPr>
        <w:spacing w:before="100" w:after="100" w:line="240" w:lineRule="exact"/>
        <w:rPr>
          <w:rFonts w:cs="宋体"/>
          <w:sz w:val="18"/>
          <w:szCs w:val="18"/>
        </w:rPr>
      </w:pPr>
      <w:r w:rsidRPr="0063248C">
        <w:rPr>
          <w:rFonts w:cs="宋体"/>
          <w:sz w:val="18"/>
          <w:szCs w:val="18"/>
        </w:rPr>
        <w:t>公司报告期无其他重大关联交易。</w:t>
      </w:r>
    </w:p>
    <w:p w14:paraId="0A090CE4" w14:textId="77777777" w:rsidR="007B3DB2" w:rsidRPr="0063248C" w:rsidRDefault="00000000">
      <w:pPr>
        <w:pStyle w:val="2"/>
        <w:spacing w:before="300" w:after="300" w:line="320" w:lineRule="exact"/>
        <w:rPr>
          <w:rFonts w:cs="宋体"/>
          <w:b/>
          <w:bCs/>
          <w:sz w:val="24"/>
          <w:szCs w:val="24"/>
        </w:rPr>
      </w:pPr>
      <w:bookmarkStart w:id="70" w:name="_Toc988959"/>
      <w:r w:rsidRPr="0063248C">
        <w:rPr>
          <w:rFonts w:cs="宋体"/>
          <w:b/>
          <w:bCs/>
          <w:sz w:val="24"/>
          <w:szCs w:val="24"/>
        </w:rPr>
        <w:t>十二、重大合同及其履行情况</w:t>
      </w:r>
      <w:bookmarkEnd w:id="70"/>
    </w:p>
    <w:p w14:paraId="184041A6" w14:textId="77777777" w:rsidR="007B3DB2" w:rsidRPr="0063248C" w:rsidRDefault="00000000">
      <w:pPr>
        <w:pStyle w:val="3"/>
        <w:spacing w:line="280" w:lineRule="exact"/>
        <w:jc w:val="left"/>
        <w:rPr>
          <w:rFonts w:cs="宋体"/>
          <w:b/>
          <w:bCs/>
        </w:rPr>
      </w:pPr>
      <w:bookmarkStart w:id="71" w:name="_Toc988960"/>
      <w:r w:rsidRPr="0063248C">
        <w:rPr>
          <w:rFonts w:cs="宋体"/>
          <w:b/>
          <w:bCs/>
        </w:rPr>
        <w:t>1</w:t>
      </w:r>
      <w:r w:rsidRPr="0063248C">
        <w:rPr>
          <w:rFonts w:cs="宋体"/>
          <w:b/>
          <w:bCs/>
        </w:rPr>
        <w:t>、托管、承包、租赁事项情况</w:t>
      </w:r>
      <w:bookmarkEnd w:id="71"/>
    </w:p>
    <w:p w14:paraId="74234755" w14:textId="77777777" w:rsidR="007B3DB2" w:rsidRPr="0063248C" w:rsidRDefault="00000000">
      <w:pPr>
        <w:keepNext/>
        <w:keepLines/>
        <w:spacing w:before="300" w:after="300" w:line="280" w:lineRule="exact"/>
        <w:outlineLvl w:val="3"/>
        <w:rPr>
          <w:rFonts w:cs="宋体"/>
          <w:b/>
          <w:bCs/>
          <w:sz w:val="18"/>
          <w:szCs w:val="18"/>
        </w:rPr>
      </w:pPr>
      <w:bookmarkStart w:id="72" w:name="_Toc988961"/>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托管情况</w:t>
      </w:r>
      <w:bookmarkEnd w:id="72"/>
    </w:p>
    <w:p w14:paraId="08747368" w14:textId="77777777" w:rsidR="007B3DB2" w:rsidRPr="0063248C" w:rsidRDefault="00000000">
      <w:pPr>
        <w:spacing w:before="100" w:after="10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767C0311" w14:textId="77777777" w:rsidR="007B3DB2" w:rsidRPr="0063248C" w:rsidRDefault="00000000">
      <w:pPr>
        <w:spacing w:before="100" w:after="100" w:line="240" w:lineRule="exact"/>
        <w:rPr>
          <w:rFonts w:cs="宋体"/>
          <w:sz w:val="18"/>
          <w:szCs w:val="18"/>
        </w:rPr>
      </w:pPr>
      <w:r w:rsidRPr="0063248C">
        <w:rPr>
          <w:rFonts w:cs="宋体"/>
          <w:sz w:val="18"/>
          <w:szCs w:val="18"/>
        </w:rPr>
        <w:t>托管情况说明</w:t>
      </w:r>
    </w:p>
    <w:p w14:paraId="0E8E9C6A" w14:textId="77777777" w:rsidR="00517D34" w:rsidRPr="0063248C" w:rsidRDefault="00000000">
      <w:pPr>
        <w:pStyle w:val="a3"/>
        <w:divId w:val="1469739650"/>
        <w:rPr>
          <w:rFonts w:ascii="Times New Roman" w:hAnsi="Times New Roman"/>
          <w:sz w:val="18"/>
          <w:szCs w:val="18"/>
        </w:rPr>
      </w:pPr>
      <w:r w:rsidRPr="0063248C">
        <w:rPr>
          <w:rFonts w:ascii="Times New Roman" w:hAnsi="Times New Roman" w:hint="eastAsia"/>
          <w:sz w:val="18"/>
          <w:szCs w:val="18"/>
        </w:rPr>
        <w:t>具体内容详见本报告“第十节，十四、</w:t>
      </w:r>
      <w:r w:rsidRPr="0063248C">
        <w:rPr>
          <w:rFonts w:ascii="Times New Roman" w:hAnsi="Times New Roman" w:hint="eastAsia"/>
          <w:sz w:val="18"/>
          <w:szCs w:val="18"/>
        </w:rPr>
        <w:t>5</w:t>
      </w:r>
      <w:r w:rsidRPr="0063248C">
        <w:rPr>
          <w:rFonts w:ascii="Times New Roman" w:hAnsi="Times New Roman" w:hint="eastAsia"/>
          <w:sz w:val="18"/>
          <w:szCs w:val="18"/>
        </w:rPr>
        <w:t>、（</w:t>
      </w:r>
      <w:r w:rsidRPr="0063248C">
        <w:rPr>
          <w:rFonts w:ascii="Times New Roman" w:hAnsi="Times New Roman" w:hint="eastAsia"/>
          <w:sz w:val="18"/>
          <w:szCs w:val="18"/>
        </w:rPr>
        <w:t>2</w:t>
      </w:r>
      <w:r w:rsidRPr="0063248C">
        <w:rPr>
          <w:rFonts w:ascii="Times New Roman" w:hAnsi="Times New Roman" w:hint="eastAsia"/>
          <w:sz w:val="18"/>
          <w:szCs w:val="18"/>
        </w:rPr>
        <w:t>）关联受托管理</w:t>
      </w:r>
      <w:r w:rsidRPr="0063248C">
        <w:rPr>
          <w:rFonts w:ascii="Times New Roman" w:hAnsi="Times New Roman" w:hint="eastAsia"/>
          <w:sz w:val="18"/>
          <w:szCs w:val="18"/>
        </w:rPr>
        <w:t>/</w:t>
      </w:r>
      <w:r w:rsidRPr="0063248C">
        <w:rPr>
          <w:rFonts w:ascii="Times New Roman" w:hAnsi="Times New Roman" w:hint="eastAsia"/>
          <w:sz w:val="18"/>
          <w:szCs w:val="18"/>
        </w:rPr>
        <w:t>承包及委托管理</w:t>
      </w:r>
      <w:r w:rsidRPr="0063248C">
        <w:rPr>
          <w:rFonts w:ascii="Times New Roman" w:hAnsi="Times New Roman" w:hint="eastAsia"/>
          <w:sz w:val="18"/>
          <w:szCs w:val="18"/>
        </w:rPr>
        <w:t>/</w:t>
      </w:r>
      <w:r w:rsidRPr="0063248C">
        <w:rPr>
          <w:rFonts w:ascii="Times New Roman" w:hAnsi="Times New Roman" w:hint="eastAsia"/>
          <w:sz w:val="18"/>
          <w:szCs w:val="18"/>
        </w:rPr>
        <w:t>出包情况”。</w:t>
      </w:r>
    </w:p>
    <w:p w14:paraId="10133E17" w14:textId="77777777" w:rsidR="007B3DB2" w:rsidRPr="0063248C" w:rsidRDefault="00000000">
      <w:pPr>
        <w:spacing w:before="100" w:after="100" w:line="240" w:lineRule="exact"/>
        <w:rPr>
          <w:rFonts w:cs="宋体"/>
          <w:sz w:val="18"/>
          <w:szCs w:val="18"/>
        </w:rPr>
      </w:pPr>
      <w:r w:rsidRPr="0063248C">
        <w:rPr>
          <w:rFonts w:cs="宋体"/>
          <w:sz w:val="18"/>
          <w:szCs w:val="18"/>
        </w:rPr>
        <w:t>为公司带来的损益达到公司报告期利润总额</w:t>
      </w:r>
      <w:r w:rsidRPr="0063248C">
        <w:rPr>
          <w:rFonts w:cs="宋体"/>
          <w:sz w:val="18"/>
          <w:szCs w:val="18"/>
        </w:rPr>
        <w:t>10%</w:t>
      </w:r>
      <w:r w:rsidRPr="0063248C">
        <w:rPr>
          <w:rFonts w:cs="宋体"/>
          <w:sz w:val="18"/>
          <w:szCs w:val="18"/>
        </w:rPr>
        <w:t>以上的项目</w:t>
      </w:r>
    </w:p>
    <w:p w14:paraId="4D41B8F1"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D60E56B" w14:textId="77777777" w:rsidR="007B3DB2" w:rsidRPr="0063248C" w:rsidRDefault="00000000">
      <w:pPr>
        <w:spacing w:before="100" w:after="100" w:line="240" w:lineRule="exact"/>
        <w:rPr>
          <w:rFonts w:cs="宋体"/>
          <w:sz w:val="18"/>
          <w:szCs w:val="18"/>
        </w:rPr>
      </w:pPr>
      <w:r w:rsidRPr="0063248C">
        <w:rPr>
          <w:rFonts w:cs="宋体"/>
          <w:sz w:val="18"/>
          <w:szCs w:val="18"/>
        </w:rPr>
        <w:t>公司报告期不存在为公司带来的损益达到公司报告期利润总额</w:t>
      </w:r>
      <w:r w:rsidRPr="0063248C">
        <w:rPr>
          <w:rFonts w:cs="宋体"/>
          <w:sz w:val="18"/>
          <w:szCs w:val="18"/>
        </w:rPr>
        <w:t>10%</w:t>
      </w:r>
      <w:r w:rsidRPr="0063248C">
        <w:rPr>
          <w:rFonts w:cs="宋体"/>
          <w:sz w:val="18"/>
          <w:szCs w:val="18"/>
        </w:rPr>
        <w:t>以上的托管项目。</w:t>
      </w:r>
    </w:p>
    <w:p w14:paraId="394E1AFB" w14:textId="77777777" w:rsidR="007B3DB2" w:rsidRPr="0063248C" w:rsidRDefault="00000000">
      <w:pPr>
        <w:keepNext/>
        <w:keepLines/>
        <w:spacing w:before="300" w:after="300" w:line="280" w:lineRule="exact"/>
        <w:outlineLvl w:val="3"/>
        <w:rPr>
          <w:rFonts w:cs="宋体"/>
          <w:b/>
          <w:bCs/>
          <w:sz w:val="18"/>
          <w:szCs w:val="18"/>
        </w:rPr>
      </w:pPr>
      <w:bookmarkStart w:id="73" w:name="_Toc988962"/>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承包情况</w:t>
      </w:r>
      <w:bookmarkEnd w:id="73"/>
    </w:p>
    <w:p w14:paraId="046DD240"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427842C" w14:textId="77777777" w:rsidR="007B3DB2" w:rsidRPr="0063248C" w:rsidRDefault="00000000">
      <w:pPr>
        <w:spacing w:before="100" w:after="100" w:line="240" w:lineRule="exact"/>
        <w:rPr>
          <w:rFonts w:cs="宋体"/>
          <w:sz w:val="18"/>
          <w:szCs w:val="18"/>
        </w:rPr>
      </w:pPr>
      <w:r w:rsidRPr="0063248C">
        <w:rPr>
          <w:rFonts w:cs="宋体"/>
          <w:sz w:val="18"/>
          <w:szCs w:val="18"/>
        </w:rPr>
        <w:t>公司报告期不存在承包情况。</w:t>
      </w:r>
    </w:p>
    <w:p w14:paraId="7B0631D2" w14:textId="77777777" w:rsidR="007B3DB2" w:rsidRPr="0063248C" w:rsidRDefault="00000000">
      <w:pPr>
        <w:keepNext/>
        <w:keepLines/>
        <w:spacing w:before="300" w:after="300" w:line="280" w:lineRule="exact"/>
        <w:outlineLvl w:val="3"/>
        <w:rPr>
          <w:rFonts w:cs="宋体"/>
          <w:b/>
          <w:bCs/>
          <w:sz w:val="18"/>
          <w:szCs w:val="18"/>
        </w:rPr>
      </w:pPr>
      <w:bookmarkStart w:id="74" w:name="_Toc988963"/>
      <w:r w:rsidRPr="0063248C">
        <w:rPr>
          <w:rFonts w:cs="宋体"/>
          <w:b/>
          <w:bCs/>
          <w:sz w:val="18"/>
          <w:szCs w:val="18"/>
        </w:rPr>
        <w:t>（</w:t>
      </w:r>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租赁情况</w:t>
      </w:r>
      <w:bookmarkEnd w:id="74"/>
    </w:p>
    <w:p w14:paraId="37B23B14"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B91366C" w14:textId="77777777" w:rsidR="007B3DB2" w:rsidRPr="0063248C" w:rsidRDefault="00000000">
      <w:pPr>
        <w:spacing w:before="100" w:after="100" w:line="240" w:lineRule="exact"/>
        <w:rPr>
          <w:rFonts w:cs="宋体"/>
          <w:sz w:val="18"/>
          <w:szCs w:val="18"/>
        </w:rPr>
      </w:pPr>
      <w:r w:rsidRPr="0063248C">
        <w:rPr>
          <w:rFonts w:cs="宋体"/>
          <w:sz w:val="18"/>
          <w:szCs w:val="18"/>
        </w:rPr>
        <w:t>公司报告期不存在租赁情况。</w:t>
      </w:r>
    </w:p>
    <w:p w14:paraId="1CE1A401" w14:textId="77777777" w:rsidR="007B3DB2" w:rsidRPr="0063248C" w:rsidRDefault="00000000">
      <w:pPr>
        <w:pStyle w:val="3"/>
        <w:spacing w:line="280" w:lineRule="exact"/>
        <w:jc w:val="left"/>
        <w:rPr>
          <w:rFonts w:cs="宋体"/>
          <w:b/>
          <w:bCs/>
        </w:rPr>
      </w:pPr>
      <w:bookmarkStart w:id="75" w:name="_Toc988964"/>
      <w:r w:rsidRPr="0063248C">
        <w:rPr>
          <w:rFonts w:cs="宋体"/>
          <w:b/>
          <w:bCs/>
        </w:rPr>
        <w:lastRenderedPageBreak/>
        <w:t>2</w:t>
      </w:r>
      <w:r w:rsidRPr="0063248C">
        <w:rPr>
          <w:rFonts w:cs="宋体"/>
          <w:b/>
          <w:bCs/>
        </w:rPr>
        <w:t>、重大担保</w:t>
      </w:r>
      <w:bookmarkEnd w:id="75"/>
    </w:p>
    <w:p w14:paraId="175D7AE1" w14:textId="77777777" w:rsidR="007B3DB2" w:rsidRPr="0063248C" w:rsidRDefault="00000000">
      <w:pPr>
        <w:spacing w:before="100" w:after="10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783FCC46"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单位：万元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firstRow="0" w:lastRow="0" w:firstColumn="0" w:lastColumn="0" w:noHBand="0" w:noVBand="0"/>
      </w:tblPr>
      <w:tblGrid>
        <w:gridCol w:w="875"/>
        <w:gridCol w:w="877"/>
        <w:gridCol w:w="875"/>
        <w:gridCol w:w="877"/>
        <w:gridCol w:w="875"/>
        <w:gridCol w:w="878"/>
        <w:gridCol w:w="876"/>
        <w:gridCol w:w="876"/>
        <w:gridCol w:w="1086"/>
        <w:gridCol w:w="876"/>
        <w:gridCol w:w="882"/>
      </w:tblGrid>
      <w:tr w:rsidR="007B3DB2" w:rsidRPr="0063248C" w14:paraId="22E3DC28" w14:textId="77777777" w:rsidTr="006709E7">
        <w:trPr>
          <w:trHeight w:val="240"/>
        </w:trPr>
        <w:tc>
          <w:tcPr>
            <w:tcW w:w="5000" w:type="pct"/>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428C7EA8" w14:textId="77777777" w:rsidR="007B3DB2" w:rsidRPr="0063248C" w:rsidRDefault="00000000">
            <w:pPr>
              <w:spacing w:before="40" w:after="40" w:line="240" w:lineRule="exact"/>
              <w:jc w:val="center"/>
              <w:rPr>
                <w:rFonts w:cs="宋体"/>
                <w:sz w:val="18"/>
                <w:szCs w:val="18"/>
              </w:rPr>
            </w:pPr>
            <w:r w:rsidRPr="0063248C">
              <w:rPr>
                <w:rFonts w:cs="宋体"/>
                <w:sz w:val="18"/>
                <w:szCs w:val="18"/>
              </w:rPr>
              <w:t>公司及其子公司对外担保情况（不包括对子公司的担保）</w:t>
            </w:r>
          </w:p>
        </w:tc>
      </w:tr>
      <w:tr w:rsidR="007B3DB2" w:rsidRPr="0063248C" w14:paraId="21A0C477"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1A81BE4E"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担保对象名称</w:t>
            </w:r>
          </w:p>
        </w:tc>
        <w:tc>
          <w:tcPr>
            <w:tcW w:w="455" w:type="pct"/>
            <w:tcBorders>
              <w:top w:val="single" w:sz="2" w:space="0" w:color="auto"/>
              <w:left w:val="single" w:sz="2" w:space="0" w:color="auto"/>
              <w:bottom w:val="single" w:sz="2" w:space="0" w:color="auto"/>
              <w:right w:val="single" w:sz="2" w:space="0" w:color="auto"/>
            </w:tcBorders>
            <w:shd w:val="clear" w:color="auto" w:fill="D3D3D3"/>
            <w:vAlign w:val="center"/>
          </w:tcPr>
          <w:p w14:paraId="7E6E6CA8"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担保额度相关公告披露日期</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6D4B5D51"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担保额度</w:t>
            </w:r>
          </w:p>
        </w:tc>
        <w:tc>
          <w:tcPr>
            <w:tcW w:w="455" w:type="pct"/>
            <w:tcBorders>
              <w:top w:val="single" w:sz="2" w:space="0" w:color="auto"/>
              <w:left w:val="single" w:sz="2" w:space="0" w:color="auto"/>
              <w:bottom w:val="single" w:sz="2" w:space="0" w:color="auto"/>
              <w:right w:val="single" w:sz="2" w:space="0" w:color="auto"/>
            </w:tcBorders>
            <w:shd w:val="clear" w:color="auto" w:fill="D3D3D3"/>
            <w:vAlign w:val="center"/>
          </w:tcPr>
          <w:p w14:paraId="7F47E907" w14:textId="77777777" w:rsidR="007B3DB2" w:rsidRPr="0063248C" w:rsidRDefault="00000000">
            <w:pPr>
              <w:spacing w:before="40" w:after="40" w:line="240" w:lineRule="exact"/>
              <w:jc w:val="center"/>
              <w:rPr>
                <w:rFonts w:cs="宋体"/>
                <w:sz w:val="18"/>
                <w:szCs w:val="18"/>
              </w:rPr>
            </w:pPr>
            <w:r w:rsidRPr="0063248C">
              <w:rPr>
                <w:rFonts w:cs="宋体"/>
                <w:sz w:val="18"/>
                <w:szCs w:val="18"/>
              </w:rPr>
              <w:t>实际发生日期</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04C3B472" w14:textId="77777777" w:rsidR="007B3DB2" w:rsidRPr="0063248C" w:rsidRDefault="00000000">
            <w:pPr>
              <w:spacing w:before="40" w:after="40" w:line="240" w:lineRule="exact"/>
              <w:jc w:val="center"/>
              <w:rPr>
                <w:rFonts w:cs="宋体"/>
                <w:sz w:val="18"/>
                <w:szCs w:val="18"/>
              </w:rPr>
            </w:pPr>
            <w:r w:rsidRPr="0063248C">
              <w:rPr>
                <w:rFonts w:cs="宋体"/>
                <w:sz w:val="18"/>
                <w:szCs w:val="18"/>
              </w:rPr>
              <w:t>实际担保金额</w:t>
            </w:r>
          </w:p>
        </w:tc>
        <w:tc>
          <w:tcPr>
            <w:tcW w:w="455" w:type="pct"/>
            <w:tcBorders>
              <w:top w:val="single" w:sz="2" w:space="0" w:color="auto"/>
              <w:left w:val="single" w:sz="2" w:space="0" w:color="auto"/>
              <w:bottom w:val="single" w:sz="2" w:space="0" w:color="auto"/>
              <w:right w:val="single" w:sz="2" w:space="0" w:color="auto"/>
            </w:tcBorders>
            <w:shd w:val="clear" w:color="auto" w:fill="D3D3D3"/>
            <w:vAlign w:val="center"/>
          </w:tcPr>
          <w:p w14:paraId="62EE397A"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担保类型</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681FE2C5"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担保物（如有）</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2A4B9D86" w14:textId="77777777" w:rsidR="007B3DB2" w:rsidRPr="0063248C" w:rsidRDefault="00000000">
            <w:pPr>
              <w:spacing w:before="40" w:after="40" w:line="240" w:lineRule="exact"/>
              <w:jc w:val="center"/>
              <w:rPr>
                <w:rFonts w:cs="宋体"/>
                <w:sz w:val="18"/>
                <w:szCs w:val="18"/>
              </w:rPr>
            </w:pPr>
            <w:r w:rsidRPr="0063248C">
              <w:rPr>
                <w:rFonts w:cs="宋体"/>
                <w:sz w:val="18"/>
                <w:szCs w:val="18"/>
              </w:rPr>
              <w:t>反担保情况（如有）</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31E6DE1F"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担保期</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00E406D5" w14:textId="77777777" w:rsidR="007B3DB2" w:rsidRPr="0063248C" w:rsidRDefault="00000000">
            <w:pPr>
              <w:spacing w:before="40" w:after="40" w:line="240" w:lineRule="exact"/>
              <w:jc w:val="center"/>
              <w:rPr>
                <w:rFonts w:cs="宋体"/>
                <w:sz w:val="18"/>
                <w:szCs w:val="18"/>
              </w:rPr>
            </w:pPr>
            <w:r w:rsidRPr="0063248C">
              <w:rPr>
                <w:rFonts w:cs="宋体"/>
                <w:sz w:val="18"/>
                <w:szCs w:val="18"/>
              </w:rPr>
              <w:t>是否履行完毕</w:t>
            </w:r>
          </w:p>
        </w:tc>
        <w:tc>
          <w:tcPr>
            <w:tcW w:w="455" w:type="pct"/>
            <w:tcBorders>
              <w:top w:val="single" w:sz="2" w:space="0" w:color="auto"/>
              <w:left w:val="single" w:sz="2" w:space="0" w:color="auto"/>
              <w:bottom w:val="single" w:sz="2" w:space="0" w:color="auto"/>
              <w:right w:val="single" w:sz="2" w:space="0" w:color="auto"/>
            </w:tcBorders>
            <w:shd w:val="clear" w:color="auto" w:fill="D3D3D3"/>
            <w:vAlign w:val="center"/>
          </w:tcPr>
          <w:p w14:paraId="46E6DC5D" w14:textId="77777777" w:rsidR="007B3DB2" w:rsidRPr="0063248C" w:rsidRDefault="00000000">
            <w:pPr>
              <w:spacing w:before="40" w:after="40" w:line="240" w:lineRule="exact"/>
              <w:jc w:val="center"/>
              <w:rPr>
                <w:rFonts w:cs="宋体"/>
                <w:sz w:val="18"/>
                <w:szCs w:val="18"/>
              </w:rPr>
            </w:pPr>
            <w:r w:rsidRPr="0063248C">
              <w:rPr>
                <w:rFonts w:cs="宋体"/>
                <w:sz w:val="18"/>
                <w:szCs w:val="18"/>
              </w:rPr>
              <w:t>是否为关联方担保</w:t>
            </w:r>
          </w:p>
        </w:tc>
      </w:tr>
      <w:tr w:rsidR="007B3DB2" w:rsidRPr="0063248C" w14:paraId="0C7E1111" w14:textId="77777777" w:rsidTr="006709E7">
        <w:trPr>
          <w:trHeight w:val="240"/>
        </w:trPr>
        <w:tc>
          <w:tcPr>
            <w:tcW w:w="90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F9DBEA8" w14:textId="77777777" w:rsidR="007B3DB2" w:rsidRPr="0063248C" w:rsidRDefault="00000000">
            <w:pPr>
              <w:spacing w:before="40" w:after="40" w:line="240" w:lineRule="exact"/>
              <w:rPr>
                <w:rFonts w:cs="宋体"/>
                <w:sz w:val="18"/>
                <w:szCs w:val="18"/>
              </w:rPr>
            </w:pPr>
            <w:r w:rsidRPr="0063248C">
              <w:rPr>
                <w:rFonts w:cs="宋体"/>
                <w:sz w:val="18"/>
                <w:szCs w:val="18"/>
              </w:rPr>
              <w:t>报告期内审批的对外担保额度合计（</w:t>
            </w:r>
            <w:r w:rsidRPr="0063248C">
              <w:rPr>
                <w:rFonts w:cs="宋体"/>
                <w:sz w:val="18"/>
                <w:szCs w:val="18"/>
              </w:rPr>
              <w:t>A1</w:t>
            </w:r>
            <w:r w:rsidRPr="0063248C">
              <w:rPr>
                <w:rFonts w:cs="宋体"/>
                <w:sz w:val="18"/>
                <w:szCs w:val="18"/>
              </w:rPr>
              <w:t>）</w:t>
            </w:r>
          </w:p>
        </w:tc>
        <w:tc>
          <w:tcPr>
            <w:tcW w:w="909" w:type="pct"/>
            <w:gridSpan w:val="2"/>
            <w:tcBorders>
              <w:top w:val="single" w:sz="2" w:space="0" w:color="auto"/>
              <w:left w:val="single" w:sz="2" w:space="0" w:color="auto"/>
              <w:bottom w:val="single" w:sz="2" w:space="0" w:color="auto"/>
              <w:right w:val="single" w:sz="2" w:space="0" w:color="auto"/>
            </w:tcBorders>
            <w:vAlign w:val="center"/>
          </w:tcPr>
          <w:p w14:paraId="51A7FA10"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90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4311925" w14:textId="77777777" w:rsidR="007B3DB2" w:rsidRPr="0063248C" w:rsidRDefault="00000000">
            <w:pPr>
              <w:spacing w:before="40" w:after="40" w:line="240" w:lineRule="exact"/>
              <w:rPr>
                <w:rFonts w:cs="宋体"/>
                <w:sz w:val="18"/>
                <w:szCs w:val="18"/>
              </w:rPr>
            </w:pPr>
            <w:r w:rsidRPr="0063248C">
              <w:rPr>
                <w:rFonts w:cs="宋体"/>
                <w:sz w:val="18"/>
                <w:szCs w:val="18"/>
              </w:rPr>
              <w:t>报告期内对外担保实际发生额合计（</w:t>
            </w:r>
            <w:r w:rsidRPr="0063248C">
              <w:rPr>
                <w:rFonts w:cs="宋体"/>
                <w:sz w:val="18"/>
                <w:szCs w:val="18"/>
              </w:rPr>
              <w:t>A2</w:t>
            </w:r>
            <w:r w:rsidRPr="0063248C">
              <w:rPr>
                <w:rFonts w:cs="宋体"/>
                <w:sz w:val="18"/>
                <w:szCs w:val="18"/>
              </w:rPr>
              <w:t>）</w:t>
            </w:r>
          </w:p>
        </w:tc>
        <w:tc>
          <w:tcPr>
            <w:tcW w:w="2273" w:type="pct"/>
            <w:gridSpan w:val="5"/>
            <w:tcBorders>
              <w:top w:val="single" w:sz="2" w:space="0" w:color="auto"/>
              <w:left w:val="single" w:sz="2" w:space="0" w:color="auto"/>
              <w:bottom w:val="single" w:sz="2" w:space="0" w:color="auto"/>
              <w:right w:val="single" w:sz="2" w:space="0" w:color="auto"/>
            </w:tcBorders>
            <w:vAlign w:val="center"/>
          </w:tcPr>
          <w:p w14:paraId="5A9E7868"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2B08B56B" w14:textId="77777777" w:rsidTr="006709E7">
        <w:trPr>
          <w:trHeight w:val="240"/>
        </w:trPr>
        <w:tc>
          <w:tcPr>
            <w:tcW w:w="90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B616023" w14:textId="77777777" w:rsidR="007B3DB2" w:rsidRPr="0063248C" w:rsidRDefault="00000000">
            <w:pPr>
              <w:spacing w:before="40" w:after="40" w:line="240" w:lineRule="exact"/>
              <w:rPr>
                <w:rFonts w:cs="宋体"/>
                <w:sz w:val="18"/>
                <w:szCs w:val="18"/>
              </w:rPr>
            </w:pPr>
            <w:r w:rsidRPr="0063248C">
              <w:rPr>
                <w:rFonts w:cs="宋体"/>
                <w:sz w:val="18"/>
                <w:szCs w:val="18"/>
              </w:rPr>
              <w:t>报告</w:t>
            </w:r>
            <w:proofErr w:type="gramStart"/>
            <w:r w:rsidRPr="0063248C">
              <w:rPr>
                <w:rFonts w:cs="宋体"/>
                <w:sz w:val="18"/>
                <w:szCs w:val="18"/>
              </w:rPr>
              <w:t>期末已</w:t>
            </w:r>
            <w:proofErr w:type="gramEnd"/>
            <w:r w:rsidRPr="0063248C">
              <w:rPr>
                <w:rFonts w:cs="宋体"/>
                <w:sz w:val="18"/>
                <w:szCs w:val="18"/>
              </w:rPr>
              <w:t>审批的对外担保额度合计（</w:t>
            </w:r>
            <w:r w:rsidRPr="0063248C">
              <w:rPr>
                <w:rFonts w:cs="宋体"/>
                <w:sz w:val="18"/>
                <w:szCs w:val="18"/>
              </w:rPr>
              <w:t>A3</w:t>
            </w:r>
            <w:r w:rsidRPr="0063248C">
              <w:rPr>
                <w:rFonts w:cs="宋体"/>
                <w:sz w:val="18"/>
                <w:szCs w:val="18"/>
              </w:rPr>
              <w:t>）</w:t>
            </w:r>
          </w:p>
        </w:tc>
        <w:tc>
          <w:tcPr>
            <w:tcW w:w="909" w:type="pct"/>
            <w:gridSpan w:val="2"/>
            <w:tcBorders>
              <w:top w:val="single" w:sz="2" w:space="0" w:color="auto"/>
              <w:left w:val="single" w:sz="2" w:space="0" w:color="auto"/>
              <w:bottom w:val="single" w:sz="2" w:space="0" w:color="auto"/>
              <w:right w:val="single" w:sz="2" w:space="0" w:color="auto"/>
            </w:tcBorders>
            <w:vAlign w:val="center"/>
          </w:tcPr>
          <w:p w14:paraId="41B209F0"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90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6341341" w14:textId="77777777" w:rsidR="007B3DB2" w:rsidRPr="0063248C" w:rsidRDefault="00000000">
            <w:pPr>
              <w:spacing w:before="40" w:after="40" w:line="240" w:lineRule="exact"/>
              <w:rPr>
                <w:rFonts w:cs="宋体"/>
                <w:sz w:val="18"/>
                <w:szCs w:val="18"/>
              </w:rPr>
            </w:pPr>
            <w:r w:rsidRPr="0063248C">
              <w:rPr>
                <w:rFonts w:cs="宋体"/>
                <w:sz w:val="18"/>
                <w:szCs w:val="18"/>
              </w:rPr>
              <w:t>报告期末实际对外担保余额合计（</w:t>
            </w:r>
            <w:r w:rsidRPr="0063248C">
              <w:rPr>
                <w:rFonts w:cs="宋体"/>
                <w:sz w:val="18"/>
                <w:szCs w:val="18"/>
              </w:rPr>
              <w:t>A4</w:t>
            </w:r>
            <w:r w:rsidRPr="0063248C">
              <w:rPr>
                <w:rFonts w:cs="宋体"/>
                <w:sz w:val="18"/>
                <w:szCs w:val="18"/>
              </w:rPr>
              <w:t>）</w:t>
            </w:r>
          </w:p>
        </w:tc>
        <w:tc>
          <w:tcPr>
            <w:tcW w:w="2273" w:type="pct"/>
            <w:gridSpan w:val="5"/>
            <w:tcBorders>
              <w:top w:val="single" w:sz="2" w:space="0" w:color="auto"/>
              <w:left w:val="single" w:sz="2" w:space="0" w:color="auto"/>
              <w:bottom w:val="single" w:sz="2" w:space="0" w:color="auto"/>
              <w:right w:val="single" w:sz="2" w:space="0" w:color="auto"/>
            </w:tcBorders>
            <w:vAlign w:val="center"/>
          </w:tcPr>
          <w:p w14:paraId="76D380FF"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7CD7FAC2" w14:textId="77777777" w:rsidTr="006709E7">
        <w:trPr>
          <w:trHeight w:val="240"/>
        </w:trPr>
        <w:tc>
          <w:tcPr>
            <w:tcW w:w="5000" w:type="pct"/>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08248A3D" w14:textId="77777777" w:rsidR="007B3DB2" w:rsidRPr="0063248C" w:rsidRDefault="00000000">
            <w:pPr>
              <w:spacing w:before="40" w:after="40" w:line="240" w:lineRule="exact"/>
              <w:jc w:val="center"/>
              <w:rPr>
                <w:rFonts w:cs="宋体"/>
                <w:sz w:val="18"/>
                <w:szCs w:val="18"/>
              </w:rPr>
            </w:pPr>
            <w:r w:rsidRPr="0063248C">
              <w:rPr>
                <w:rFonts w:cs="宋体"/>
                <w:sz w:val="18"/>
                <w:szCs w:val="18"/>
              </w:rPr>
              <w:t>公司对子公司的担保情况</w:t>
            </w:r>
          </w:p>
        </w:tc>
      </w:tr>
      <w:tr w:rsidR="007B3DB2" w:rsidRPr="0063248C" w14:paraId="2E205A31"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04BBD1F3"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担保对象名称</w:t>
            </w:r>
          </w:p>
        </w:tc>
        <w:tc>
          <w:tcPr>
            <w:tcW w:w="455" w:type="pct"/>
            <w:tcBorders>
              <w:top w:val="single" w:sz="2" w:space="0" w:color="auto"/>
              <w:left w:val="single" w:sz="2" w:space="0" w:color="auto"/>
              <w:bottom w:val="single" w:sz="2" w:space="0" w:color="auto"/>
              <w:right w:val="single" w:sz="2" w:space="0" w:color="auto"/>
            </w:tcBorders>
            <w:shd w:val="clear" w:color="auto" w:fill="D3D3D3"/>
            <w:vAlign w:val="center"/>
          </w:tcPr>
          <w:p w14:paraId="3472194A"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担保额度相关公告披露日期</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184106B3"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担保额度</w:t>
            </w:r>
          </w:p>
        </w:tc>
        <w:tc>
          <w:tcPr>
            <w:tcW w:w="455" w:type="pct"/>
            <w:tcBorders>
              <w:top w:val="single" w:sz="2" w:space="0" w:color="auto"/>
              <w:left w:val="single" w:sz="2" w:space="0" w:color="auto"/>
              <w:bottom w:val="single" w:sz="2" w:space="0" w:color="auto"/>
              <w:right w:val="single" w:sz="2" w:space="0" w:color="auto"/>
            </w:tcBorders>
            <w:shd w:val="clear" w:color="auto" w:fill="D3D3D3"/>
            <w:vAlign w:val="center"/>
          </w:tcPr>
          <w:p w14:paraId="11AABA33" w14:textId="77777777" w:rsidR="007B3DB2" w:rsidRPr="0063248C" w:rsidRDefault="00000000">
            <w:pPr>
              <w:spacing w:before="40" w:after="40" w:line="240" w:lineRule="exact"/>
              <w:jc w:val="center"/>
              <w:rPr>
                <w:rFonts w:cs="宋体"/>
                <w:sz w:val="18"/>
                <w:szCs w:val="18"/>
              </w:rPr>
            </w:pPr>
            <w:r w:rsidRPr="0063248C">
              <w:rPr>
                <w:rFonts w:cs="宋体"/>
                <w:sz w:val="18"/>
                <w:szCs w:val="18"/>
              </w:rPr>
              <w:t>实际发生日期</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5DB600B4" w14:textId="77777777" w:rsidR="007B3DB2" w:rsidRPr="0063248C" w:rsidRDefault="00000000">
            <w:pPr>
              <w:spacing w:before="40" w:after="40" w:line="240" w:lineRule="exact"/>
              <w:jc w:val="center"/>
              <w:rPr>
                <w:rFonts w:cs="宋体"/>
                <w:sz w:val="18"/>
                <w:szCs w:val="18"/>
              </w:rPr>
            </w:pPr>
            <w:r w:rsidRPr="0063248C">
              <w:rPr>
                <w:rFonts w:cs="宋体"/>
                <w:sz w:val="18"/>
                <w:szCs w:val="18"/>
              </w:rPr>
              <w:t>实际担保金额</w:t>
            </w:r>
          </w:p>
        </w:tc>
        <w:tc>
          <w:tcPr>
            <w:tcW w:w="455" w:type="pct"/>
            <w:tcBorders>
              <w:top w:val="single" w:sz="2" w:space="0" w:color="auto"/>
              <w:left w:val="single" w:sz="2" w:space="0" w:color="auto"/>
              <w:bottom w:val="single" w:sz="2" w:space="0" w:color="auto"/>
              <w:right w:val="single" w:sz="2" w:space="0" w:color="auto"/>
            </w:tcBorders>
            <w:shd w:val="clear" w:color="auto" w:fill="D3D3D3"/>
            <w:vAlign w:val="center"/>
          </w:tcPr>
          <w:p w14:paraId="2A45F2DA"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担保类型</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58825987"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担保物（如有）</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1BB1830F" w14:textId="77777777" w:rsidR="007B3DB2" w:rsidRPr="0063248C" w:rsidRDefault="00000000">
            <w:pPr>
              <w:spacing w:before="40" w:after="40" w:line="240" w:lineRule="exact"/>
              <w:jc w:val="center"/>
              <w:rPr>
                <w:rFonts w:cs="宋体"/>
                <w:sz w:val="18"/>
                <w:szCs w:val="18"/>
              </w:rPr>
            </w:pPr>
            <w:r w:rsidRPr="0063248C">
              <w:rPr>
                <w:rFonts w:cs="宋体"/>
                <w:sz w:val="18"/>
                <w:szCs w:val="18"/>
              </w:rPr>
              <w:t>反担保情况（如有）</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03FDA953"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担保期</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35558495" w14:textId="77777777" w:rsidR="007B3DB2" w:rsidRPr="0063248C" w:rsidRDefault="00000000">
            <w:pPr>
              <w:spacing w:before="40" w:after="40" w:line="240" w:lineRule="exact"/>
              <w:jc w:val="center"/>
              <w:rPr>
                <w:rFonts w:cs="宋体"/>
                <w:sz w:val="18"/>
                <w:szCs w:val="18"/>
              </w:rPr>
            </w:pPr>
            <w:r w:rsidRPr="0063248C">
              <w:rPr>
                <w:rFonts w:cs="宋体"/>
                <w:sz w:val="18"/>
                <w:szCs w:val="18"/>
              </w:rPr>
              <w:t>是否履行完毕</w:t>
            </w:r>
          </w:p>
        </w:tc>
        <w:tc>
          <w:tcPr>
            <w:tcW w:w="455" w:type="pct"/>
            <w:tcBorders>
              <w:top w:val="single" w:sz="2" w:space="0" w:color="auto"/>
              <w:left w:val="single" w:sz="2" w:space="0" w:color="auto"/>
              <w:bottom w:val="single" w:sz="2" w:space="0" w:color="auto"/>
              <w:right w:val="single" w:sz="2" w:space="0" w:color="auto"/>
            </w:tcBorders>
            <w:shd w:val="clear" w:color="auto" w:fill="D3D3D3"/>
            <w:vAlign w:val="center"/>
          </w:tcPr>
          <w:p w14:paraId="2CCC2125" w14:textId="77777777" w:rsidR="007B3DB2" w:rsidRPr="0063248C" w:rsidRDefault="00000000">
            <w:pPr>
              <w:spacing w:before="40" w:after="40" w:line="240" w:lineRule="exact"/>
              <w:jc w:val="center"/>
              <w:rPr>
                <w:rFonts w:cs="宋体"/>
                <w:sz w:val="18"/>
                <w:szCs w:val="18"/>
              </w:rPr>
            </w:pPr>
            <w:r w:rsidRPr="0063248C">
              <w:rPr>
                <w:rFonts w:cs="宋体"/>
                <w:sz w:val="18"/>
                <w:szCs w:val="18"/>
              </w:rPr>
              <w:t>是否为关联方担保</w:t>
            </w:r>
          </w:p>
        </w:tc>
      </w:tr>
      <w:tr w:rsidR="007B3DB2" w:rsidRPr="0063248C" w14:paraId="1F686638"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2A30C3CC"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2BD43337"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05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6BD911D" w14:textId="77777777" w:rsidR="007B3DB2" w:rsidRPr="0063248C" w:rsidRDefault="00000000">
            <w:pPr>
              <w:spacing w:line="240" w:lineRule="exact"/>
              <w:jc w:val="right"/>
              <w:rPr>
                <w:rFonts w:cs="宋体"/>
                <w:sz w:val="18"/>
                <w:szCs w:val="18"/>
              </w:rPr>
            </w:pPr>
            <w:r w:rsidRPr="0063248C">
              <w:rPr>
                <w:rFonts w:cs="宋体"/>
                <w:sz w:val="18"/>
                <w:szCs w:val="18"/>
              </w:rPr>
              <w:t>6,000</w:t>
            </w:r>
          </w:p>
        </w:tc>
        <w:tc>
          <w:tcPr>
            <w:tcW w:w="455" w:type="pct"/>
            <w:tcBorders>
              <w:top w:val="single" w:sz="2" w:space="0" w:color="auto"/>
              <w:left w:val="single" w:sz="2" w:space="0" w:color="auto"/>
              <w:bottom w:val="single" w:sz="2" w:space="0" w:color="auto"/>
              <w:right w:val="single" w:sz="2" w:space="0" w:color="auto"/>
            </w:tcBorders>
            <w:vAlign w:val="center"/>
          </w:tcPr>
          <w:p w14:paraId="3174A7A1"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11</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634F97C3" w14:textId="77777777" w:rsidR="007B3DB2" w:rsidRPr="0063248C" w:rsidRDefault="00000000">
            <w:pPr>
              <w:spacing w:line="240" w:lineRule="exact"/>
              <w:jc w:val="right"/>
              <w:rPr>
                <w:rFonts w:cs="宋体"/>
                <w:sz w:val="18"/>
                <w:szCs w:val="18"/>
              </w:rPr>
            </w:pPr>
            <w:r w:rsidRPr="0063248C">
              <w:rPr>
                <w:rFonts w:cs="宋体"/>
                <w:sz w:val="18"/>
                <w:szCs w:val="18"/>
              </w:rPr>
              <w:t>2,750</w:t>
            </w:r>
          </w:p>
        </w:tc>
        <w:tc>
          <w:tcPr>
            <w:tcW w:w="455" w:type="pct"/>
            <w:tcBorders>
              <w:top w:val="single" w:sz="2" w:space="0" w:color="auto"/>
              <w:left w:val="single" w:sz="2" w:space="0" w:color="auto"/>
              <w:bottom w:val="single" w:sz="2" w:space="0" w:color="auto"/>
              <w:right w:val="single" w:sz="2" w:space="0" w:color="auto"/>
            </w:tcBorders>
            <w:vAlign w:val="center"/>
          </w:tcPr>
          <w:p w14:paraId="7F7E1098"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224F819E"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F2C618A"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4A6CE7D" w14:textId="77777777" w:rsidR="007B3DB2" w:rsidRPr="0063248C" w:rsidRDefault="00000000">
            <w:pPr>
              <w:spacing w:line="240" w:lineRule="exact"/>
              <w:rPr>
                <w:rFonts w:cs="宋体"/>
                <w:sz w:val="18"/>
                <w:szCs w:val="18"/>
              </w:rPr>
            </w:pPr>
            <w:r w:rsidRPr="0063248C">
              <w:rPr>
                <w:rFonts w:cs="宋体"/>
                <w:sz w:val="18"/>
                <w:szCs w:val="18"/>
              </w:rPr>
              <w:t>2023.07.11-2024.01.11</w:t>
            </w:r>
          </w:p>
        </w:tc>
        <w:tc>
          <w:tcPr>
            <w:tcW w:w="454" w:type="pct"/>
            <w:tcBorders>
              <w:top w:val="single" w:sz="2" w:space="0" w:color="auto"/>
              <w:left w:val="single" w:sz="2" w:space="0" w:color="auto"/>
              <w:bottom w:val="single" w:sz="2" w:space="0" w:color="auto"/>
              <w:right w:val="single" w:sz="2" w:space="0" w:color="auto"/>
            </w:tcBorders>
            <w:vAlign w:val="center"/>
          </w:tcPr>
          <w:p w14:paraId="4E4C65B4"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63E6917D"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5E9AF382"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032624D9"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69605CA4"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05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0CEE82E" w14:textId="77777777" w:rsidR="007B3DB2" w:rsidRPr="0063248C" w:rsidRDefault="00000000">
            <w:pPr>
              <w:spacing w:line="240" w:lineRule="exact"/>
              <w:jc w:val="right"/>
              <w:rPr>
                <w:rFonts w:cs="宋体"/>
                <w:sz w:val="18"/>
                <w:szCs w:val="18"/>
              </w:rPr>
            </w:pPr>
            <w:r w:rsidRPr="0063248C">
              <w:rPr>
                <w:rFonts w:cs="宋体"/>
                <w:sz w:val="18"/>
                <w:szCs w:val="18"/>
              </w:rPr>
              <w:t>6,000</w:t>
            </w:r>
          </w:p>
        </w:tc>
        <w:tc>
          <w:tcPr>
            <w:tcW w:w="455" w:type="pct"/>
            <w:tcBorders>
              <w:top w:val="single" w:sz="2" w:space="0" w:color="auto"/>
              <w:left w:val="single" w:sz="2" w:space="0" w:color="auto"/>
              <w:bottom w:val="single" w:sz="2" w:space="0" w:color="auto"/>
              <w:right w:val="single" w:sz="2" w:space="0" w:color="auto"/>
            </w:tcBorders>
            <w:vAlign w:val="center"/>
          </w:tcPr>
          <w:p w14:paraId="0CAE0D12"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17</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C3835A6" w14:textId="77777777" w:rsidR="007B3DB2" w:rsidRPr="0063248C" w:rsidRDefault="00000000">
            <w:pPr>
              <w:spacing w:line="240" w:lineRule="exact"/>
              <w:jc w:val="right"/>
              <w:rPr>
                <w:rFonts w:cs="宋体"/>
                <w:sz w:val="18"/>
                <w:szCs w:val="18"/>
              </w:rPr>
            </w:pPr>
            <w:r w:rsidRPr="0063248C">
              <w:rPr>
                <w:rFonts w:cs="宋体"/>
                <w:sz w:val="18"/>
                <w:szCs w:val="18"/>
              </w:rPr>
              <w:t>3,249.95</w:t>
            </w:r>
          </w:p>
        </w:tc>
        <w:tc>
          <w:tcPr>
            <w:tcW w:w="455" w:type="pct"/>
            <w:tcBorders>
              <w:top w:val="single" w:sz="2" w:space="0" w:color="auto"/>
              <w:left w:val="single" w:sz="2" w:space="0" w:color="auto"/>
              <w:bottom w:val="single" w:sz="2" w:space="0" w:color="auto"/>
              <w:right w:val="single" w:sz="2" w:space="0" w:color="auto"/>
            </w:tcBorders>
            <w:vAlign w:val="center"/>
          </w:tcPr>
          <w:p w14:paraId="636EC711"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2BD7C5FF"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FD393EB"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2DE4E66" w14:textId="77777777" w:rsidR="007B3DB2" w:rsidRPr="0063248C" w:rsidRDefault="00000000">
            <w:pPr>
              <w:spacing w:line="240" w:lineRule="exact"/>
              <w:rPr>
                <w:rFonts w:cs="宋体"/>
                <w:sz w:val="18"/>
                <w:szCs w:val="18"/>
              </w:rPr>
            </w:pPr>
            <w:r w:rsidRPr="0063248C">
              <w:rPr>
                <w:rFonts w:cs="宋体"/>
                <w:sz w:val="18"/>
                <w:szCs w:val="18"/>
              </w:rPr>
              <w:t>2023.07.17-2024.01.17</w:t>
            </w:r>
          </w:p>
        </w:tc>
        <w:tc>
          <w:tcPr>
            <w:tcW w:w="454" w:type="pct"/>
            <w:tcBorders>
              <w:top w:val="single" w:sz="2" w:space="0" w:color="auto"/>
              <w:left w:val="single" w:sz="2" w:space="0" w:color="auto"/>
              <w:bottom w:val="single" w:sz="2" w:space="0" w:color="auto"/>
              <w:right w:val="single" w:sz="2" w:space="0" w:color="auto"/>
            </w:tcBorders>
            <w:vAlign w:val="center"/>
          </w:tcPr>
          <w:p w14:paraId="65728973"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760FFE47"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51E56F9C"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797CBD08" w14:textId="77777777" w:rsidR="007B3DB2" w:rsidRPr="0063248C" w:rsidRDefault="00000000">
            <w:pPr>
              <w:spacing w:line="240" w:lineRule="exact"/>
              <w:rPr>
                <w:rFonts w:cs="宋体"/>
                <w:sz w:val="18"/>
                <w:szCs w:val="18"/>
              </w:rPr>
            </w:pPr>
            <w:r w:rsidRPr="0063248C">
              <w:rPr>
                <w:rFonts w:cs="宋体"/>
                <w:sz w:val="18"/>
                <w:szCs w:val="18"/>
              </w:rPr>
              <w:t>聊城龙大肉食品有限公司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416CD0F2"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698A344" w14:textId="77777777" w:rsidR="007B3DB2" w:rsidRPr="0063248C" w:rsidRDefault="00000000">
            <w:pPr>
              <w:spacing w:line="240" w:lineRule="exact"/>
              <w:jc w:val="right"/>
              <w:rPr>
                <w:rFonts w:cs="宋体"/>
                <w:sz w:val="18"/>
                <w:szCs w:val="18"/>
              </w:rPr>
            </w:pPr>
            <w:r w:rsidRPr="0063248C">
              <w:rPr>
                <w:rFonts w:cs="宋体"/>
                <w:sz w:val="18"/>
                <w:szCs w:val="18"/>
              </w:rPr>
              <w:t>14,000</w:t>
            </w:r>
          </w:p>
        </w:tc>
        <w:tc>
          <w:tcPr>
            <w:tcW w:w="455" w:type="pct"/>
            <w:tcBorders>
              <w:top w:val="single" w:sz="2" w:space="0" w:color="auto"/>
              <w:left w:val="single" w:sz="2" w:space="0" w:color="auto"/>
              <w:bottom w:val="single" w:sz="2" w:space="0" w:color="auto"/>
              <w:right w:val="single" w:sz="2" w:space="0" w:color="auto"/>
            </w:tcBorders>
            <w:vAlign w:val="center"/>
          </w:tcPr>
          <w:p w14:paraId="28BC28E4"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10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5798DB7" w14:textId="77777777" w:rsidR="007B3DB2" w:rsidRPr="0063248C" w:rsidRDefault="00000000">
            <w:pPr>
              <w:spacing w:line="240" w:lineRule="exact"/>
              <w:jc w:val="right"/>
              <w:rPr>
                <w:rFonts w:cs="宋体"/>
                <w:sz w:val="18"/>
                <w:szCs w:val="18"/>
              </w:rPr>
            </w:pPr>
            <w:r w:rsidRPr="0063248C">
              <w:rPr>
                <w:rFonts w:cs="宋体"/>
                <w:sz w:val="18"/>
                <w:szCs w:val="18"/>
              </w:rPr>
              <w:t>3,500</w:t>
            </w:r>
          </w:p>
        </w:tc>
        <w:tc>
          <w:tcPr>
            <w:tcW w:w="455" w:type="pct"/>
            <w:tcBorders>
              <w:top w:val="single" w:sz="2" w:space="0" w:color="auto"/>
              <w:left w:val="single" w:sz="2" w:space="0" w:color="auto"/>
              <w:bottom w:val="single" w:sz="2" w:space="0" w:color="auto"/>
              <w:right w:val="single" w:sz="2" w:space="0" w:color="auto"/>
            </w:tcBorders>
            <w:vAlign w:val="center"/>
          </w:tcPr>
          <w:p w14:paraId="333E8BFC"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018D089C"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1A8FF5C8"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1FD4BA79" w14:textId="77777777" w:rsidR="007B3DB2" w:rsidRPr="0063248C" w:rsidRDefault="00000000">
            <w:pPr>
              <w:spacing w:line="240" w:lineRule="exact"/>
              <w:rPr>
                <w:rFonts w:cs="宋体"/>
                <w:sz w:val="18"/>
                <w:szCs w:val="18"/>
              </w:rPr>
            </w:pPr>
            <w:r w:rsidRPr="0063248C">
              <w:rPr>
                <w:rFonts w:cs="宋体"/>
                <w:sz w:val="18"/>
                <w:szCs w:val="18"/>
              </w:rPr>
              <w:t>2023.07.10-2024.01.10</w:t>
            </w:r>
          </w:p>
        </w:tc>
        <w:tc>
          <w:tcPr>
            <w:tcW w:w="454" w:type="pct"/>
            <w:tcBorders>
              <w:top w:val="single" w:sz="2" w:space="0" w:color="auto"/>
              <w:left w:val="single" w:sz="2" w:space="0" w:color="auto"/>
              <w:bottom w:val="single" w:sz="2" w:space="0" w:color="auto"/>
              <w:right w:val="single" w:sz="2" w:space="0" w:color="auto"/>
            </w:tcBorders>
            <w:vAlign w:val="center"/>
          </w:tcPr>
          <w:p w14:paraId="3F027781"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5CAF7341"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67A41277"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69F79C32"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5B3012EA"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E52724C" w14:textId="77777777" w:rsidR="007B3DB2" w:rsidRPr="0063248C" w:rsidRDefault="00000000">
            <w:pPr>
              <w:spacing w:line="240" w:lineRule="exact"/>
              <w:jc w:val="right"/>
              <w:rPr>
                <w:rFonts w:cs="宋体"/>
                <w:sz w:val="18"/>
                <w:szCs w:val="18"/>
              </w:rPr>
            </w:pPr>
            <w:r w:rsidRPr="0063248C">
              <w:rPr>
                <w:rFonts w:cs="宋体"/>
                <w:sz w:val="18"/>
                <w:szCs w:val="18"/>
              </w:rPr>
              <w:t>3,000</w:t>
            </w:r>
          </w:p>
        </w:tc>
        <w:tc>
          <w:tcPr>
            <w:tcW w:w="455" w:type="pct"/>
            <w:tcBorders>
              <w:top w:val="single" w:sz="2" w:space="0" w:color="auto"/>
              <w:left w:val="single" w:sz="2" w:space="0" w:color="auto"/>
              <w:bottom w:val="single" w:sz="2" w:space="0" w:color="auto"/>
              <w:right w:val="single" w:sz="2" w:space="0" w:color="auto"/>
            </w:tcBorders>
            <w:vAlign w:val="center"/>
          </w:tcPr>
          <w:p w14:paraId="1BF7BEE7"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19</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A636FF9" w14:textId="77777777" w:rsidR="007B3DB2" w:rsidRPr="0063248C" w:rsidRDefault="00000000">
            <w:pPr>
              <w:spacing w:line="240" w:lineRule="exact"/>
              <w:jc w:val="right"/>
              <w:rPr>
                <w:rFonts w:cs="宋体"/>
                <w:sz w:val="18"/>
                <w:szCs w:val="18"/>
              </w:rPr>
            </w:pPr>
            <w:r w:rsidRPr="0063248C">
              <w:rPr>
                <w:rFonts w:cs="宋体"/>
                <w:sz w:val="18"/>
                <w:szCs w:val="18"/>
              </w:rPr>
              <w:t>3,000</w:t>
            </w:r>
          </w:p>
        </w:tc>
        <w:tc>
          <w:tcPr>
            <w:tcW w:w="455" w:type="pct"/>
            <w:tcBorders>
              <w:top w:val="single" w:sz="2" w:space="0" w:color="auto"/>
              <w:left w:val="single" w:sz="2" w:space="0" w:color="auto"/>
              <w:bottom w:val="single" w:sz="2" w:space="0" w:color="auto"/>
              <w:right w:val="single" w:sz="2" w:space="0" w:color="auto"/>
            </w:tcBorders>
            <w:vAlign w:val="center"/>
          </w:tcPr>
          <w:p w14:paraId="23CB64F2"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4CEC6850"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46A9B15"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8CC3C30" w14:textId="77777777" w:rsidR="007B3DB2" w:rsidRPr="0063248C" w:rsidRDefault="00000000">
            <w:pPr>
              <w:spacing w:line="240" w:lineRule="exact"/>
              <w:rPr>
                <w:rFonts w:cs="宋体"/>
                <w:sz w:val="18"/>
                <w:szCs w:val="18"/>
              </w:rPr>
            </w:pPr>
            <w:r w:rsidRPr="0063248C">
              <w:rPr>
                <w:rFonts w:cs="宋体"/>
                <w:sz w:val="18"/>
                <w:szCs w:val="18"/>
              </w:rPr>
              <w:t>2023.07.19-2024.01.19</w:t>
            </w:r>
          </w:p>
        </w:tc>
        <w:tc>
          <w:tcPr>
            <w:tcW w:w="454" w:type="pct"/>
            <w:tcBorders>
              <w:top w:val="single" w:sz="2" w:space="0" w:color="auto"/>
              <w:left w:val="single" w:sz="2" w:space="0" w:color="auto"/>
              <w:bottom w:val="single" w:sz="2" w:space="0" w:color="auto"/>
              <w:right w:val="single" w:sz="2" w:space="0" w:color="auto"/>
            </w:tcBorders>
            <w:vAlign w:val="center"/>
          </w:tcPr>
          <w:p w14:paraId="3E2DC2D2"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7C97D3C4"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45A3E645"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1C6560A2"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7838F4EC"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C190C47" w14:textId="77777777" w:rsidR="007B3DB2" w:rsidRPr="0063248C" w:rsidRDefault="00000000">
            <w:pPr>
              <w:spacing w:line="240" w:lineRule="exact"/>
              <w:jc w:val="right"/>
              <w:rPr>
                <w:rFonts w:cs="宋体"/>
                <w:sz w:val="18"/>
                <w:szCs w:val="18"/>
              </w:rPr>
            </w:pPr>
            <w:r w:rsidRPr="0063248C">
              <w:rPr>
                <w:rFonts w:cs="宋体"/>
                <w:sz w:val="18"/>
                <w:szCs w:val="18"/>
              </w:rPr>
              <w:t>4,000</w:t>
            </w:r>
          </w:p>
        </w:tc>
        <w:tc>
          <w:tcPr>
            <w:tcW w:w="455" w:type="pct"/>
            <w:tcBorders>
              <w:top w:val="single" w:sz="2" w:space="0" w:color="auto"/>
              <w:left w:val="single" w:sz="2" w:space="0" w:color="auto"/>
              <w:bottom w:val="single" w:sz="2" w:space="0" w:color="auto"/>
              <w:right w:val="single" w:sz="2" w:space="0" w:color="auto"/>
            </w:tcBorders>
            <w:vAlign w:val="center"/>
          </w:tcPr>
          <w:p w14:paraId="27F8D417"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FED3719" w14:textId="77777777" w:rsidR="007B3DB2" w:rsidRPr="0063248C" w:rsidRDefault="00000000">
            <w:pPr>
              <w:spacing w:line="240" w:lineRule="exact"/>
              <w:jc w:val="right"/>
              <w:rPr>
                <w:rFonts w:cs="宋体"/>
                <w:sz w:val="18"/>
                <w:szCs w:val="18"/>
              </w:rPr>
            </w:pPr>
            <w:r w:rsidRPr="0063248C">
              <w:rPr>
                <w:rFonts w:cs="宋体"/>
                <w:sz w:val="18"/>
                <w:szCs w:val="18"/>
              </w:rPr>
              <w:t>4,000</w:t>
            </w:r>
          </w:p>
        </w:tc>
        <w:tc>
          <w:tcPr>
            <w:tcW w:w="455" w:type="pct"/>
            <w:tcBorders>
              <w:top w:val="single" w:sz="2" w:space="0" w:color="auto"/>
              <w:left w:val="single" w:sz="2" w:space="0" w:color="auto"/>
              <w:bottom w:val="single" w:sz="2" w:space="0" w:color="auto"/>
              <w:right w:val="single" w:sz="2" w:space="0" w:color="auto"/>
            </w:tcBorders>
            <w:vAlign w:val="center"/>
          </w:tcPr>
          <w:p w14:paraId="1A676B2A"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0C86DCC3"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CCFE8A7"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F1D10E8" w14:textId="77777777" w:rsidR="007B3DB2" w:rsidRPr="0063248C" w:rsidRDefault="00000000">
            <w:pPr>
              <w:spacing w:line="240" w:lineRule="exact"/>
              <w:rPr>
                <w:rFonts w:cs="宋体"/>
                <w:sz w:val="18"/>
                <w:szCs w:val="18"/>
              </w:rPr>
            </w:pPr>
            <w:r w:rsidRPr="0063248C">
              <w:rPr>
                <w:rFonts w:cs="宋体"/>
                <w:sz w:val="18"/>
                <w:szCs w:val="18"/>
              </w:rPr>
              <w:t>2023.07.20-2024.01.20</w:t>
            </w:r>
          </w:p>
        </w:tc>
        <w:tc>
          <w:tcPr>
            <w:tcW w:w="454" w:type="pct"/>
            <w:tcBorders>
              <w:top w:val="single" w:sz="2" w:space="0" w:color="auto"/>
              <w:left w:val="single" w:sz="2" w:space="0" w:color="auto"/>
              <w:bottom w:val="single" w:sz="2" w:space="0" w:color="auto"/>
              <w:right w:val="single" w:sz="2" w:space="0" w:color="auto"/>
            </w:tcBorders>
            <w:vAlign w:val="center"/>
          </w:tcPr>
          <w:p w14:paraId="591E5DA3"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7CFB0962"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20D4DDAC"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3BC5ADAC" w14:textId="77777777" w:rsidR="007B3DB2" w:rsidRPr="0063248C" w:rsidRDefault="00000000">
            <w:pPr>
              <w:spacing w:line="240" w:lineRule="exact"/>
              <w:rPr>
                <w:rFonts w:cs="宋体"/>
                <w:sz w:val="18"/>
                <w:szCs w:val="18"/>
              </w:rPr>
            </w:pPr>
            <w:r w:rsidRPr="0063248C">
              <w:rPr>
                <w:rFonts w:cs="宋体"/>
                <w:sz w:val="18"/>
                <w:szCs w:val="18"/>
              </w:rPr>
              <w:t>聊城龙大肉食品有限公司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29A479B3"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13</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5DD962E"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40D7277F"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09</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913033D"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096FF54F"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27228961"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2FD121F"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1AD1ED4" w14:textId="77777777" w:rsidR="007B3DB2" w:rsidRPr="0063248C" w:rsidRDefault="00000000">
            <w:pPr>
              <w:spacing w:line="240" w:lineRule="exact"/>
              <w:rPr>
                <w:rFonts w:cs="宋体"/>
                <w:sz w:val="18"/>
                <w:szCs w:val="18"/>
              </w:rPr>
            </w:pPr>
            <w:r w:rsidRPr="0063248C">
              <w:rPr>
                <w:rFonts w:cs="宋体"/>
                <w:sz w:val="18"/>
                <w:szCs w:val="18"/>
              </w:rPr>
              <w:t>2023.09.25-2024.02.26</w:t>
            </w:r>
          </w:p>
        </w:tc>
        <w:tc>
          <w:tcPr>
            <w:tcW w:w="454" w:type="pct"/>
            <w:tcBorders>
              <w:top w:val="single" w:sz="2" w:space="0" w:color="auto"/>
              <w:left w:val="single" w:sz="2" w:space="0" w:color="auto"/>
              <w:bottom w:val="single" w:sz="2" w:space="0" w:color="auto"/>
              <w:right w:val="single" w:sz="2" w:space="0" w:color="auto"/>
            </w:tcBorders>
            <w:vAlign w:val="center"/>
          </w:tcPr>
          <w:p w14:paraId="198496B1"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0E95B887"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080262E9"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2148E607"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04AD6C85"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09</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C28D2DB" w14:textId="77777777" w:rsidR="007B3DB2" w:rsidRPr="0063248C" w:rsidRDefault="00000000">
            <w:pPr>
              <w:spacing w:line="240" w:lineRule="exact"/>
              <w:jc w:val="right"/>
              <w:rPr>
                <w:rFonts w:cs="宋体"/>
                <w:sz w:val="18"/>
                <w:szCs w:val="18"/>
              </w:rPr>
            </w:pPr>
            <w:r w:rsidRPr="0063248C">
              <w:rPr>
                <w:rFonts w:cs="宋体"/>
                <w:sz w:val="18"/>
                <w:szCs w:val="18"/>
              </w:rPr>
              <w:t>3,000</w:t>
            </w:r>
          </w:p>
        </w:tc>
        <w:tc>
          <w:tcPr>
            <w:tcW w:w="455" w:type="pct"/>
            <w:tcBorders>
              <w:top w:val="single" w:sz="2" w:space="0" w:color="auto"/>
              <w:left w:val="single" w:sz="2" w:space="0" w:color="auto"/>
              <w:bottom w:val="single" w:sz="2" w:space="0" w:color="auto"/>
              <w:right w:val="single" w:sz="2" w:space="0" w:color="auto"/>
            </w:tcBorders>
            <w:vAlign w:val="center"/>
          </w:tcPr>
          <w:p w14:paraId="152DD94D"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09</w:t>
            </w:r>
            <w:r w:rsidRPr="0063248C">
              <w:rPr>
                <w:rFonts w:cs="宋体"/>
                <w:sz w:val="18"/>
                <w:szCs w:val="18"/>
              </w:rPr>
              <w:t>月</w:t>
            </w:r>
            <w:r w:rsidRPr="0063248C">
              <w:rPr>
                <w:rFonts w:cs="宋体"/>
                <w:sz w:val="18"/>
                <w:szCs w:val="18"/>
              </w:rPr>
              <w:t>21</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AF62C3A" w14:textId="77777777" w:rsidR="007B3DB2" w:rsidRPr="0063248C" w:rsidRDefault="00000000">
            <w:pPr>
              <w:spacing w:line="240" w:lineRule="exact"/>
              <w:jc w:val="right"/>
              <w:rPr>
                <w:rFonts w:cs="宋体"/>
                <w:sz w:val="18"/>
                <w:szCs w:val="18"/>
              </w:rPr>
            </w:pPr>
            <w:r w:rsidRPr="0063248C">
              <w:rPr>
                <w:rFonts w:cs="宋体"/>
                <w:sz w:val="18"/>
                <w:szCs w:val="18"/>
              </w:rPr>
              <w:t>3,000</w:t>
            </w:r>
          </w:p>
        </w:tc>
        <w:tc>
          <w:tcPr>
            <w:tcW w:w="455" w:type="pct"/>
            <w:tcBorders>
              <w:top w:val="single" w:sz="2" w:space="0" w:color="auto"/>
              <w:left w:val="single" w:sz="2" w:space="0" w:color="auto"/>
              <w:bottom w:val="single" w:sz="2" w:space="0" w:color="auto"/>
              <w:right w:val="single" w:sz="2" w:space="0" w:color="auto"/>
            </w:tcBorders>
            <w:vAlign w:val="center"/>
          </w:tcPr>
          <w:p w14:paraId="710B6AF5"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5E133A8E"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2BA35AD"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CA9EA63" w14:textId="77777777" w:rsidR="007B3DB2" w:rsidRPr="0063248C" w:rsidRDefault="00000000">
            <w:pPr>
              <w:spacing w:line="240" w:lineRule="exact"/>
              <w:rPr>
                <w:rFonts w:cs="宋体"/>
                <w:sz w:val="18"/>
                <w:szCs w:val="18"/>
              </w:rPr>
            </w:pPr>
            <w:r w:rsidRPr="0063248C">
              <w:rPr>
                <w:rFonts w:cs="宋体"/>
                <w:sz w:val="18"/>
                <w:szCs w:val="18"/>
              </w:rPr>
              <w:t>2023.09.21-2024.03.21</w:t>
            </w:r>
          </w:p>
        </w:tc>
        <w:tc>
          <w:tcPr>
            <w:tcW w:w="454" w:type="pct"/>
            <w:tcBorders>
              <w:top w:val="single" w:sz="2" w:space="0" w:color="auto"/>
              <w:left w:val="single" w:sz="2" w:space="0" w:color="auto"/>
              <w:bottom w:val="single" w:sz="2" w:space="0" w:color="auto"/>
              <w:right w:val="single" w:sz="2" w:space="0" w:color="auto"/>
            </w:tcBorders>
            <w:vAlign w:val="center"/>
          </w:tcPr>
          <w:p w14:paraId="7D91CF2C"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5DC5CAD0"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1C633809"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5E9933D9" w14:textId="77777777" w:rsidR="007B3DB2" w:rsidRPr="0063248C" w:rsidRDefault="00000000">
            <w:pPr>
              <w:spacing w:line="240" w:lineRule="exact"/>
              <w:rPr>
                <w:rFonts w:cs="宋体"/>
                <w:sz w:val="18"/>
                <w:szCs w:val="18"/>
              </w:rPr>
            </w:pPr>
            <w:r w:rsidRPr="0063248C">
              <w:rPr>
                <w:rFonts w:cs="宋体"/>
                <w:sz w:val="18"/>
                <w:szCs w:val="18"/>
              </w:rPr>
              <w:t>河南龙大牧原肉食品</w:t>
            </w:r>
            <w:r w:rsidRPr="0063248C">
              <w:rPr>
                <w:rFonts w:cs="宋体"/>
                <w:sz w:val="18"/>
                <w:szCs w:val="18"/>
              </w:rPr>
              <w:lastRenderedPageBreak/>
              <w:t>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3666F64E" w14:textId="77777777" w:rsidR="007B3DB2" w:rsidRPr="0063248C" w:rsidRDefault="00000000">
            <w:pPr>
              <w:spacing w:line="240" w:lineRule="exact"/>
              <w:rPr>
                <w:rFonts w:cs="宋体"/>
                <w:sz w:val="18"/>
                <w:szCs w:val="18"/>
              </w:rPr>
            </w:pPr>
            <w:r w:rsidRPr="0063248C">
              <w:rPr>
                <w:rFonts w:cs="宋体"/>
                <w:sz w:val="18"/>
                <w:szCs w:val="18"/>
              </w:rPr>
              <w:lastRenderedPageBreak/>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23</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703EC73" w14:textId="77777777" w:rsidR="007B3DB2" w:rsidRPr="0063248C" w:rsidRDefault="00000000">
            <w:pPr>
              <w:spacing w:line="240" w:lineRule="exact"/>
              <w:jc w:val="right"/>
              <w:rPr>
                <w:rFonts w:cs="宋体"/>
                <w:sz w:val="18"/>
                <w:szCs w:val="18"/>
              </w:rPr>
            </w:pPr>
            <w:r w:rsidRPr="0063248C">
              <w:rPr>
                <w:rFonts w:cs="宋体"/>
                <w:sz w:val="18"/>
                <w:szCs w:val="18"/>
              </w:rPr>
              <w:t>7,000</w:t>
            </w:r>
          </w:p>
        </w:tc>
        <w:tc>
          <w:tcPr>
            <w:tcW w:w="455" w:type="pct"/>
            <w:tcBorders>
              <w:top w:val="single" w:sz="2" w:space="0" w:color="auto"/>
              <w:left w:val="single" w:sz="2" w:space="0" w:color="auto"/>
              <w:bottom w:val="single" w:sz="2" w:space="0" w:color="auto"/>
              <w:right w:val="single" w:sz="2" w:space="0" w:color="auto"/>
            </w:tcBorders>
            <w:vAlign w:val="center"/>
          </w:tcPr>
          <w:p w14:paraId="5C92B0A6"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28FA4FA" w14:textId="77777777" w:rsidR="007B3DB2" w:rsidRPr="0063248C" w:rsidRDefault="00000000">
            <w:pPr>
              <w:spacing w:line="240" w:lineRule="exact"/>
              <w:jc w:val="right"/>
              <w:rPr>
                <w:rFonts w:cs="宋体"/>
                <w:sz w:val="18"/>
                <w:szCs w:val="18"/>
              </w:rPr>
            </w:pPr>
            <w:r w:rsidRPr="0063248C">
              <w:rPr>
                <w:rFonts w:cs="宋体"/>
                <w:sz w:val="18"/>
                <w:szCs w:val="18"/>
              </w:rPr>
              <w:t>6,000</w:t>
            </w:r>
          </w:p>
        </w:tc>
        <w:tc>
          <w:tcPr>
            <w:tcW w:w="455" w:type="pct"/>
            <w:tcBorders>
              <w:top w:val="single" w:sz="2" w:space="0" w:color="auto"/>
              <w:left w:val="single" w:sz="2" w:space="0" w:color="auto"/>
              <w:bottom w:val="single" w:sz="2" w:space="0" w:color="auto"/>
              <w:right w:val="single" w:sz="2" w:space="0" w:color="auto"/>
            </w:tcBorders>
            <w:vAlign w:val="center"/>
          </w:tcPr>
          <w:p w14:paraId="5BB8C809"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5ADEEA78"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4D5EF56"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E4B85BF" w14:textId="77777777" w:rsidR="007B3DB2" w:rsidRPr="0063248C" w:rsidRDefault="00000000">
            <w:pPr>
              <w:spacing w:line="240" w:lineRule="exact"/>
              <w:rPr>
                <w:rFonts w:cs="宋体"/>
                <w:sz w:val="18"/>
                <w:szCs w:val="18"/>
              </w:rPr>
            </w:pPr>
            <w:r w:rsidRPr="0063248C">
              <w:rPr>
                <w:rFonts w:cs="宋体"/>
                <w:sz w:val="18"/>
                <w:szCs w:val="18"/>
              </w:rPr>
              <w:t>2023.03.20-2024.03.20</w:t>
            </w:r>
          </w:p>
        </w:tc>
        <w:tc>
          <w:tcPr>
            <w:tcW w:w="454" w:type="pct"/>
            <w:tcBorders>
              <w:top w:val="single" w:sz="2" w:space="0" w:color="auto"/>
              <w:left w:val="single" w:sz="2" w:space="0" w:color="auto"/>
              <w:bottom w:val="single" w:sz="2" w:space="0" w:color="auto"/>
              <w:right w:val="single" w:sz="2" w:space="0" w:color="auto"/>
            </w:tcBorders>
            <w:vAlign w:val="center"/>
          </w:tcPr>
          <w:p w14:paraId="02569927"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4F3E1973"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78CC04D9"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256960ED" w14:textId="77777777" w:rsidR="007B3DB2" w:rsidRPr="0063248C" w:rsidRDefault="00000000">
            <w:pPr>
              <w:spacing w:line="240" w:lineRule="exact"/>
              <w:rPr>
                <w:rFonts w:cs="宋体"/>
                <w:sz w:val="18"/>
                <w:szCs w:val="18"/>
              </w:rPr>
            </w:pPr>
            <w:r w:rsidRPr="0063248C">
              <w:rPr>
                <w:rFonts w:cs="宋体"/>
                <w:sz w:val="18"/>
                <w:szCs w:val="18"/>
              </w:rPr>
              <w:t>莱阳龙瑞食品有限公司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56B82BA7"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726F9169"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3D2A70FD"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26</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03D7FE4"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72600978"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695830E9"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7593F45"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5DD3819" w14:textId="77777777" w:rsidR="007B3DB2" w:rsidRPr="0063248C" w:rsidRDefault="00000000">
            <w:pPr>
              <w:spacing w:line="240" w:lineRule="exact"/>
              <w:rPr>
                <w:rFonts w:cs="宋体"/>
                <w:sz w:val="18"/>
                <w:szCs w:val="18"/>
              </w:rPr>
            </w:pPr>
            <w:r w:rsidRPr="0063248C">
              <w:rPr>
                <w:rFonts w:cs="宋体"/>
                <w:sz w:val="18"/>
                <w:szCs w:val="18"/>
              </w:rPr>
              <w:t>2023.06.26-2024.06.25</w:t>
            </w:r>
          </w:p>
        </w:tc>
        <w:tc>
          <w:tcPr>
            <w:tcW w:w="454" w:type="pct"/>
            <w:tcBorders>
              <w:top w:val="single" w:sz="2" w:space="0" w:color="auto"/>
              <w:left w:val="single" w:sz="2" w:space="0" w:color="auto"/>
              <w:bottom w:val="single" w:sz="2" w:space="0" w:color="auto"/>
              <w:right w:val="single" w:sz="2" w:space="0" w:color="auto"/>
            </w:tcBorders>
            <w:vAlign w:val="center"/>
          </w:tcPr>
          <w:p w14:paraId="02BDDEA5"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4912FEF6"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31944BD9"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5E2F5BD" w14:textId="77777777" w:rsidR="007B3DB2" w:rsidRPr="0063248C" w:rsidRDefault="00000000">
            <w:pPr>
              <w:spacing w:line="240" w:lineRule="exact"/>
              <w:rPr>
                <w:rFonts w:cs="宋体"/>
                <w:sz w:val="18"/>
                <w:szCs w:val="18"/>
              </w:rPr>
            </w:pPr>
            <w:r w:rsidRPr="0063248C">
              <w:rPr>
                <w:rFonts w:cs="宋体"/>
                <w:sz w:val="18"/>
                <w:szCs w:val="18"/>
              </w:rPr>
              <w:t>烟台龙大饲料有限公司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2EFA25B5"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4D85669F" w14:textId="77777777" w:rsidR="007B3DB2" w:rsidRPr="0063248C" w:rsidRDefault="00000000">
            <w:pPr>
              <w:spacing w:line="240" w:lineRule="exact"/>
              <w:jc w:val="right"/>
              <w:rPr>
                <w:rFonts w:cs="宋体"/>
                <w:sz w:val="18"/>
                <w:szCs w:val="18"/>
              </w:rPr>
            </w:pPr>
            <w:r w:rsidRPr="0063248C">
              <w:rPr>
                <w:rFonts w:cs="宋体"/>
                <w:sz w:val="18"/>
                <w:szCs w:val="18"/>
              </w:rPr>
              <w:t>1,000</w:t>
            </w:r>
          </w:p>
        </w:tc>
        <w:tc>
          <w:tcPr>
            <w:tcW w:w="455" w:type="pct"/>
            <w:tcBorders>
              <w:top w:val="single" w:sz="2" w:space="0" w:color="auto"/>
              <w:left w:val="single" w:sz="2" w:space="0" w:color="auto"/>
              <w:bottom w:val="single" w:sz="2" w:space="0" w:color="auto"/>
              <w:right w:val="single" w:sz="2" w:space="0" w:color="auto"/>
            </w:tcBorders>
            <w:vAlign w:val="center"/>
          </w:tcPr>
          <w:p w14:paraId="11BEC1BF"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27</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E1B8A03" w14:textId="77777777" w:rsidR="007B3DB2" w:rsidRPr="0063248C" w:rsidRDefault="00000000">
            <w:pPr>
              <w:spacing w:line="240" w:lineRule="exact"/>
              <w:jc w:val="right"/>
              <w:rPr>
                <w:rFonts w:cs="宋体"/>
                <w:sz w:val="18"/>
                <w:szCs w:val="18"/>
              </w:rPr>
            </w:pPr>
            <w:r w:rsidRPr="0063248C">
              <w:rPr>
                <w:rFonts w:cs="宋体"/>
                <w:sz w:val="18"/>
                <w:szCs w:val="18"/>
              </w:rPr>
              <w:t>1,000</w:t>
            </w:r>
          </w:p>
        </w:tc>
        <w:tc>
          <w:tcPr>
            <w:tcW w:w="455" w:type="pct"/>
            <w:tcBorders>
              <w:top w:val="single" w:sz="2" w:space="0" w:color="auto"/>
              <w:left w:val="single" w:sz="2" w:space="0" w:color="auto"/>
              <w:bottom w:val="single" w:sz="2" w:space="0" w:color="auto"/>
              <w:right w:val="single" w:sz="2" w:space="0" w:color="auto"/>
            </w:tcBorders>
            <w:vAlign w:val="center"/>
          </w:tcPr>
          <w:p w14:paraId="618A75D2"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17D6E63D"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A4B69AF"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A2228E8" w14:textId="77777777" w:rsidR="007B3DB2" w:rsidRPr="0063248C" w:rsidRDefault="00000000">
            <w:pPr>
              <w:spacing w:line="240" w:lineRule="exact"/>
              <w:rPr>
                <w:rFonts w:cs="宋体"/>
                <w:sz w:val="18"/>
                <w:szCs w:val="18"/>
              </w:rPr>
            </w:pPr>
            <w:r w:rsidRPr="0063248C">
              <w:rPr>
                <w:rFonts w:cs="宋体"/>
                <w:sz w:val="18"/>
                <w:szCs w:val="18"/>
              </w:rPr>
              <w:t>2023.06.27-2024.06.25</w:t>
            </w:r>
          </w:p>
        </w:tc>
        <w:tc>
          <w:tcPr>
            <w:tcW w:w="454" w:type="pct"/>
            <w:tcBorders>
              <w:top w:val="single" w:sz="2" w:space="0" w:color="auto"/>
              <w:left w:val="single" w:sz="2" w:space="0" w:color="auto"/>
              <w:bottom w:val="single" w:sz="2" w:space="0" w:color="auto"/>
              <w:right w:val="single" w:sz="2" w:space="0" w:color="auto"/>
            </w:tcBorders>
            <w:vAlign w:val="center"/>
          </w:tcPr>
          <w:p w14:paraId="7B8806F2"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2C7F7ABC"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23CB0FE5"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212E9D99" w14:textId="77777777" w:rsidR="007B3DB2" w:rsidRPr="0063248C" w:rsidRDefault="00000000">
            <w:pPr>
              <w:spacing w:line="240" w:lineRule="exact"/>
              <w:rPr>
                <w:rFonts w:cs="宋体"/>
                <w:sz w:val="18"/>
                <w:szCs w:val="18"/>
              </w:rPr>
            </w:pPr>
            <w:r w:rsidRPr="0063248C">
              <w:rPr>
                <w:rFonts w:cs="宋体"/>
                <w:sz w:val="18"/>
                <w:szCs w:val="18"/>
              </w:rPr>
              <w:t>聊城龙大肉食品有限公司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1460C14A"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EE3EB07" w14:textId="77777777" w:rsidR="007B3DB2" w:rsidRPr="0063248C" w:rsidRDefault="00000000">
            <w:pPr>
              <w:spacing w:line="240" w:lineRule="exact"/>
              <w:jc w:val="right"/>
              <w:rPr>
                <w:rFonts w:cs="宋体"/>
                <w:sz w:val="18"/>
                <w:szCs w:val="18"/>
              </w:rPr>
            </w:pPr>
            <w:r w:rsidRPr="0063248C">
              <w:rPr>
                <w:rFonts w:cs="宋体"/>
                <w:sz w:val="18"/>
                <w:szCs w:val="18"/>
              </w:rPr>
              <w:t>14,000</w:t>
            </w:r>
          </w:p>
        </w:tc>
        <w:tc>
          <w:tcPr>
            <w:tcW w:w="455" w:type="pct"/>
            <w:tcBorders>
              <w:top w:val="single" w:sz="2" w:space="0" w:color="auto"/>
              <w:left w:val="single" w:sz="2" w:space="0" w:color="auto"/>
              <w:bottom w:val="single" w:sz="2" w:space="0" w:color="auto"/>
              <w:right w:val="single" w:sz="2" w:space="0" w:color="auto"/>
            </w:tcBorders>
            <w:vAlign w:val="center"/>
          </w:tcPr>
          <w:p w14:paraId="68BC5FC1"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29</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DB264C1" w14:textId="77777777" w:rsidR="007B3DB2" w:rsidRPr="0063248C" w:rsidRDefault="00000000">
            <w:pPr>
              <w:spacing w:line="240" w:lineRule="exact"/>
              <w:jc w:val="right"/>
              <w:rPr>
                <w:rFonts w:cs="宋体"/>
                <w:sz w:val="18"/>
                <w:szCs w:val="18"/>
              </w:rPr>
            </w:pPr>
            <w:r w:rsidRPr="0063248C">
              <w:rPr>
                <w:rFonts w:cs="宋体"/>
                <w:sz w:val="18"/>
                <w:szCs w:val="18"/>
              </w:rPr>
              <w:t>1,400</w:t>
            </w:r>
          </w:p>
        </w:tc>
        <w:tc>
          <w:tcPr>
            <w:tcW w:w="455" w:type="pct"/>
            <w:tcBorders>
              <w:top w:val="single" w:sz="2" w:space="0" w:color="auto"/>
              <w:left w:val="single" w:sz="2" w:space="0" w:color="auto"/>
              <w:bottom w:val="single" w:sz="2" w:space="0" w:color="auto"/>
              <w:right w:val="single" w:sz="2" w:space="0" w:color="auto"/>
            </w:tcBorders>
            <w:vAlign w:val="center"/>
          </w:tcPr>
          <w:p w14:paraId="5FCFFA55"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48C36DE3"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C5B8398"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DD427CD" w14:textId="77777777" w:rsidR="007B3DB2" w:rsidRPr="0063248C" w:rsidRDefault="00000000">
            <w:pPr>
              <w:spacing w:line="240" w:lineRule="exact"/>
              <w:rPr>
                <w:rFonts w:cs="宋体"/>
                <w:sz w:val="18"/>
                <w:szCs w:val="18"/>
              </w:rPr>
            </w:pPr>
            <w:r w:rsidRPr="0063248C">
              <w:rPr>
                <w:rFonts w:cs="宋体"/>
                <w:sz w:val="18"/>
                <w:szCs w:val="18"/>
              </w:rPr>
              <w:t>2023.11.29-2024.05.29</w:t>
            </w:r>
          </w:p>
        </w:tc>
        <w:tc>
          <w:tcPr>
            <w:tcW w:w="454" w:type="pct"/>
            <w:tcBorders>
              <w:top w:val="single" w:sz="2" w:space="0" w:color="auto"/>
              <w:left w:val="single" w:sz="2" w:space="0" w:color="auto"/>
              <w:bottom w:val="single" w:sz="2" w:space="0" w:color="auto"/>
              <w:right w:val="single" w:sz="2" w:space="0" w:color="auto"/>
            </w:tcBorders>
            <w:vAlign w:val="center"/>
          </w:tcPr>
          <w:p w14:paraId="3F07A52F"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2358E161"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1D50DF21"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02D8CDF"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2E822832"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11</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24CD031"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67DBD352"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12</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7746E3BA"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759B48D5"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614613BB"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86FCC9E"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409A183" w14:textId="77777777" w:rsidR="007B3DB2" w:rsidRPr="0063248C" w:rsidRDefault="00000000">
            <w:pPr>
              <w:spacing w:line="240" w:lineRule="exact"/>
              <w:rPr>
                <w:rFonts w:cs="宋体"/>
                <w:sz w:val="18"/>
                <w:szCs w:val="18"/>
              </w:rPr>
            </w:pPr>
            <w:r w:rsidRPr="0063248C">
              <w:rPr>
                <w:rFonts w:cs="宋体"/>
                <w:sz w:val="18"/>
                <w:szCs w:val="18"/>
              </w:rPr>
              <w:t>2023.05.12-2024.05.09</w:t>
            </w:r>
          </w:p>
        </w:tc>
        <w:tc>
          <w:tcPr>
            <w:tcW w:w="454" w:type="pct"/>
            <w:tcBorders>
              <w:top w:val="single" w:sz="2" w:space="0" w:color="auto"/>
              <w:left w:val="single" w:sz="2" w:space="0" w:color="auto"/>
              <w:bottom w:val="single" w:sz="2" w:space="0" w:color="auto"/>
              <w:right w:val="single" w:sz="2" w:space="0" w:color="auto"/>
            </w:tcBorders>
            <w:vAlign w:val="center"/>
          </w:tcPr>
          <w:p w14:paraId="10860FCF"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02193D4A"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08DB9451"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28CC504" w14:textId="77777777" w:rsidR="007B3DB2" w:rsidRPr="0063248C" w:rsidRDefault="00000000">
            <w:pPr>
              <w:spacing w:line="240" w:lineRule="exact"/>
              <w:rPr>
                <w:rFonts w:cs="宋体"/>
                <w:sz w:val="18"/>
                <w:szCs w:val="18"/>
              </w:rPr>
            </w:pPr>
            <w:r w:rsidRPr="0063248C">
              <w:rPr>
                <w:rFonts w:cs="宋体"/>
                <w:sz w:val="18"/>
                <w:szCs w:val="18"/>
              </w:rPr>
              <w:t>成都龙大肉食品有限公司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2D6EF4A2"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09</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4ABBDF3" w14:textId="77777777" w:rsidR="007B3DB2" w:rsidRPr="0063248C" w:rsidRDefault="00000000">
            <w:pPr>
              <w:spacing w:line="240" w:lineRule="exact"/>
              <w:jc w:val="right"/>
              <w:rPr>
                <w:rFonts w:cs="宋体"/>
                <w:sz w:val="18"/>
                <w:szCs w:val="18"/>
              </w:rPr>
            </w:pPr>
            <w:r w:rsidRPr="0063248C">
              <w:rPr>
                <w:rFonts w:cs="宋体"/>
                <w:sz w:val="18"/>
                <w:szCs w:val="18"/>
              </w:rPr>
              <w:t>1,000</w:t>
            </w:r>
          </w:p>
        </w:tc>
        <w:tc>
          <w:tcPr>
            <w:tcW w:w="455" w:type="pct"/>
            <w:tcBorders>
              <w:top w:val="single" w:sz="2" w:space="0" w:color="auto"/>
              <w:left w:val="single" w:sz="2" w:space="0" w:color="auto"/>
              <w:bottom w:val="single" w:sz="2" w:space="0" w:color="auto"/>
              <w:right w:val="single" w:sz="2" w:space="0" w:color="auto"/>
            </w:tcBorders>
            <w:vAlign w:val="center"/>
          </w:tcPr>
          <w:p w14:paraId="1BA2D79D"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09</w:t>
            </w:r>
            <w:r w:rsidRPr="0063248C">
              <w:rPr>
                <w:rFonts w:cs="宋体"/>
                <w:sz w:val="18"/>
                <w:szCs w:val="18"/>
              </w:rPr>
              <w:t>月</w:t>
            </w:r>
            <w:r w:rsidRPr="0063248C">
              <w:rPr>
                <w:rFonts w:cs="宋体"/>
                <w:sz w:val="18"/>
                <w:szCs w:val="18"/>
              </w:rPr>
              <w:t>27</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1366EB0" w14:textId="77777777" w:rsidR="007B3DB2" w:rsidRPr="0063248C" w:rsidRDefault="00000000">
            <w:pPr>
              <w:spacing w:line="240" w:lineRule="exact"/>
              <w:jc w:val="right"/>
              <w:rPr>
                <w:rFonts w:cs="宋体"/>
                <w:sz w:val="18"/>
                <w:szCs w:val="18"/>
              </w:rPr>
            </w:pPr>
            <w:r w:rsidRPr="0063248C">
              <w:rPr>
                <w:rFonts w:cs="宋体"/>
                <w:sz w:val="18"/>
                <w:szCs w:val="18"/>
              </w:rPr>
              <w:t>80</w:t>
            </w:r>
          </w:p>
        </w:tc>
        <w:tc>
          <w:tcPr>
            <w:tcW w:w="455" w:type="pct"/>
            <w:tcBorders>
              <w:top w:val="single" w:sz="2" w:space="0" w:color="auto"/>
              <w:left w:val="single" w:sz="2" w:space="0" w:color="auto"/>
              <w:bottom w:val="single" w:sz="2" w:space="0" w:color="auto"/>
              <w:right w:val="single" w:sz="2" w:space="0" w:color="auto"/>
            </w:tcBorders>
            <w:vAlign w:val="center"/>
          </w:tcPr>
          <w:p w14:paraId="304128CF"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4EC762FE"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22D834A"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7127FA1" w14:textId="77777777" w:rsidR="007B3DB2" w:rsidRPr="0063248C" w:rsidRDefault="00000000">
            <w:pPr>
              <w:spacing w:line="240" w:lineRule="exact"/>
              <w:rPr>
                <w:rFonts w:cs="宋体"/>
                <w:sz w:val="18"/>
                <w:szCs w:val="18"/>
              </w:rPr>
            </w:pPr>
            <w:r w:rsidRPr="0063248C">
              <w:rPr>
                <w:rFonts w:cs="宋体"/>
                <w:sz w:val="18"/>
                <w:szCs w:val="18"/>
              </w:rPr>
              <w:t>2023.09.27-2024.09.26</w:t>
            </w:r>
          </w:p>
        </w:tc>
        <w:tc>
          <w:tcPr>
            <w:tcW w:w="454" w:type="pct"/>
            <w:tcBorders>
              <w:top w:val="single" w:sz="2" w:space="0" w:color="auto"/>
              <w:left w:val="single" w:sz="2" w:space="0" w:color="auto"/>
              <w:bottom w:val="single" w:sz="2" w:space="0" w:color="auto"/>
              <w:right w:val="single" w:sz="2" w:space="0" w:color="auto"/>
            </w:tcBorders>
            <w:vAlign w:val="center"/>
          </w:tcPr>
          <w:p w14:paraId="5BB723D8"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1BE705F0"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09D77587"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6AD5AFE1"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22C93D61"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28</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D4488C8" w14:textId="77777777" w:rsidR="007B3DB2" w:rsidRPr="0063248C" w:rsidRDefault="00000000">
            <w:pPr>
              <w:spacing w:line="240" w:lineRule="exact"/>
              <w:jc w:val="right"/>
              <w:rPr>
                <w:rFonts w:cs="宋体"/>
                <w:sz w:val="18"/>
                <w:szCs w:val="18"/>
              </w:rPr>
            </w:pPr>
            <w:r w:rsidRPr="0063248C">
              <w:rPr>
                <w:rFonts w:cs="宋体"/>
                <w:sz w:val="18"/>
                <w:szCs w:val="18"/>
              </w:rPr>
              <w:t>7,000</w:t>
            </w:r>
          </w:p>
        </w:tc>
        <w:tc>
          <w:tcPr>
            <w:tcW w:w="455" w:type="pct"/>
            <w:tcBorders>
              <w:top w:val="single" w:sz="2" w:space="0" w:color="auto"/>
              <w:left w:val="single" w:sz="2" w:space="0" w:color="auto"/>
              <w:bottom w:val="single" w:sz="2" w:space="0" w:color="auto"/>
              <w:right w:val="single" w:sz="2" w:space="0" w:color="auto"/>
            </w:tcBorders>
            <w:vAlign w:val="center"/>
          </w:tcPr>
          <w:p w14:paraId="694032A0"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26</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EE31963" w14:textId="77777777" w:rsidR="007B3DB2" w:rsidRPr="0063248C" w:rsidRDefault="00000000">
            <w:pPr>
              <w:spacing w:line="240" w:lineRule="exact"/>
              <w:jc w:val="right"/>
              <w:rPr>
                <w:rFonts w:cs="宋体"/>
                <w:sz w:val="18"/>
                <w:szCs w:val="18"/>
              </w:rPr>
            </w:pPr>
            <w:r w:rsidRPr="0063248C">
              <w:rPr>
                <w:rFonts w:cs="宋体"/>
                <w:sz w:val="18"/>
                <w:szCs w:val="18"/>
              </w:rPr>
              <w:t>6,000</w:t>
            </w:r>
          </w:p>
        </w:tc>
        <w:tc>
          <w:tcPr>
            <w:tcW w:w="455" w:type="pct"/>
            <w:tcBorders>
              <w:top w:val="single" w:sz="2" w:space="0" w:color="auto"/>
              <w:left w:val="single" w:sz="2" w:space="0" w:color="auto"/>
              <w:bottom w:val="single" w:sz="2" w:space="0" w:color="auto"/>
              <w:right w:val="single" w:sz="2" w:space="0" w:color="auto"/>
            </w:tcBorders>
            <w:vAlign w:val="center"/>
          </w:tcPr>
          <w:p w14:paraId="4951CF12"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6281B2CA"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4B4D3A4"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827EF67" w14:textId="77777777" w:rsidR="007B3DB2" w:rsidRPr="0063248C" w:rsidRDefault="00000000">
            <w:pPr>
              <w:spacing w:line="240" w:lineRule="exact"/>
              <w:rPr>
                <w:rFonts w:cs="宋体"/>
                <w:sz w:val="18"/>
                <w:szCs w:val="18"/>
              </w:rPr>
            </w:pPr>
            <w:r w:rsidRPr="0063248C">
              <w:rPr>
                <w:rFonts w:cs="宋体"/>
                <w:sz w:val="18"/>
                <w:szCs w:val="18"/>
              </w:rPr>
              <w:t>2024.03.26-2025.03.18</w:t>
            </w:r>
          </w:p>
        </w:tc>
        <w:tc>
          <w:tcPr>
            <w:tcW w:w="454" w:type="pct"/>
            <w:tcBorders>
              <w:top w:val="single" w:sz="2" w:space="0" w:color="auto"/>
              <w:left w:val="single" w:sz="2" w:space="0" w:color="auto"/>
              <w:bottom w:val="single" w:sz="2" w:space="0" w:color="auto"/>
              <w:right w:val="single" w:sz="2" w:space="0" w:color="auto"/>
            </w:tcBorders>
            <w:vAlign w:val="center"/>
          </w:tcPr>
          <w:p w14:paraId="3F181E6E"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1B543DE7"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59A90966"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29C46EC5"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6FDA5447"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09</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5E02A65" w14:textId="77777777" w:rsidR="007B3DB2" w:rsidRPr="0063248C" w:rsidRDefault="00000000">
            <w:pPr>
              <w:spacing w:line="240" w:lineRule="exact"/>
              <w:jc w:val="right"/>
              <w:rPr>
                <w:rFonts w:cs="宋体"/>
                <w:sz w:val="18"/>
                <w:szCs w:val="18"/>
              </w:rPr>
            </w:pPr>
            <w:r w:rsidRPr="0063248C">
              <w:rPr>
                <w:rFonts w:cs="宋体"/>
                <w:sz w:val="18"/>
                <w:szCs w:val="18"/>
              </w:rPr>
              <w:t>3,000</w:t>
            </w:r>
          </w:p>
        </w:tc>
        <w:tc>
          <w:tcPr>
            <w:tcW w:w="455" w:type="pct"/>
            <w:tcBorders>
              <w:top w:val="single" w:sz="2" w:space="0" w:color="auto"/>
              <w:left w:val="single" w:sz="2" w:space="0" w:color="auto"/>
              <w:bottom w:val="single" w:sz="2" w:space="0" w:color="auto"/>
              <w:right w:val="single" w:sz="2" w:space="0" w:color="auto"/>
            </w:tcBorders>
            <w:vAlign w:val="center"/>
          </w:tcPr>
          <w:p w14:paraId="23C72F3F"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B6C5376" w14:textId="77777777" w:rsidR="007B3DB2" w:rsidRPr="0063248C" w:rsidRDefault="00000000">
            <w:pPr>
              <w:spacing w:line="240" w:lineRule="exact"/>
              <w:jc w:val="right"/>
              <w:rPr>
                <w:rFonts w:cs="宋体"/>
                <w:sz w:val="18"/>
                <w:szCs w:val="18"/>
              </w:rPr>
            </w:pPr>
            <w:r w:rsidRPr="0063248C">
              <w:rPr>
                <w:rFonts w:cs="宋体"/>
                <w:sz w:val="18"/>
                <w:szCs w:val="18"/>
              </w:rPr>
              <w:t>3,000</w:t>
            </w:r>
          </w:p>
        </w:tc>
        <w:tc>
          <w:tcPr>
            <w:tcW w:w="455" w:type="pct"/>
            <w:tcBorders>
              <w:top w:val="single" w:sz="2" w:space="0" w:color="auto"/>
              <w:left w:val="single" w:sz="2" w:space="0" w:color="auto"/>
              <w:bottom w:val="single" w:sz="2" w:space="0" w:color="auto"/>
              <w:right w:val="single" w:sz="2" w:space="0" w:color="auto"/>
            </w:tcBorders>
            <w:vAlign w:val="center"/>
          </w:tcPr>
          <w:p w14:paraId="75CAABF5"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7B33CAE4"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CFB7475"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5AF6813" w14:textId="77777777" w:rsidR="007B3DB2" w:rsidRPr="0063248C" w:rsidRDefault="00000000">
            <w:pPr>
              <w:spacing w:line="240" w:lineRule="exact"/>
              <w:rPr>
                <w:rFonts w:cs="宋体"/>
                <w:sz w:val="18"/>
                <w:szCs w:val="18"/>
              </w:rPr>
            </w:pPr>
            <w:r w:rsidRPr="0063248C">
              <w:rPr>
                <w:rFonts w:cs="宋体"/>
                <w:sz w:val="18"/>
                <w:szCs w:val="18"/>
              </w:rPr>
              <w:t>2024.03.25-2024.09.25</w:t>
            </w:r>
          </w:p>
        </w:tc>
        <w:tc>
          <w:tcPr>
            <w:tcW w:w="454" w:type="pct"/>
            <w:tcBorders>
              <w:top w:val="single" w:sz="2" w:space="0" w:color="auto"/>
              <w:left w:val="single" w:sz="2" w:space="0" w:color="auto"/>
              <w:bottom w:val="single" w:sz="2" w:space="0" w:color="auto"/>
              <w:right w:val="single" w:sz="2" w:space="0" w:color="auto"/>
            </w:tcBorders>
            <w:vAlign w:val="center"/>
          </w:tcPr>
          <w:p w14:paraId="553863E3"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6F5CE423"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77132B81"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4DA8378"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0DF25E46"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12</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6176871" w14:textId="77777777" w:rsidR="007B3DB2" w:rsidRPr="0063248C" w:rsidRDefault="00000000">
            <w:pPr>
              <w:spacing w:line="240" w:lineRule="exact"/>
              <w:jc w:val="right"/>
              <w:rPr>
                <w:rFonts w:cs="宋体"/>
                <w:sz w:val="18"/>
                <w:szCs w:val="18"/>
              </w:rPr>
            </w:pPr>
            <w:r w:rsidRPr="0063248C">
              <w:rPr>
                <w:rFonts w:cs="宋体"/>
                <w:sz w:val="18"/>
                <w:szCs w:val="18"/>
              </w:rPr>
              <w:t>5,000</w:t>
            </w:r>
          </w:p>
        </w:tc>
        <w:tc>
          <w:tcPr>
            <w:tcW w:w="455" w:type="pct"/>
            <w:tcBorders>
              <w:top w:val="single" w:sz="2" w:space="0" w:color="auto"/>
              <w:left w:val="single" w:sz="2" w:space="0" w:color="auto"/>
              <w:bottom w:val="single" w:sz="2" w:space="0" w:color="auto"/>
              <w:right w:val="single" w:sz="2" w:space="0" w:color="auto"/>
            </w:tcBorders>
            <w:vAlign w:val="center"/>
          </w:tcPr>
          <w:p w14:paraId="6B0E75B0"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14</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4C5DB72" w14:textId="77777777" w:rsidR="007B3DB2" w:rsidRPr="0063248C" w:rsidRDefault="00000000">
            <w:pPr>
              <w:spacing w:line="240" w:lineRule="exact"/>
              <w:jc w:val="right"/>
              <w:rPr>
                <w:rFonts w:cs="宋体"/>
                <w:sz w:val="18"/>
                <w:szCs w:val="18"/>
              </w:rPr>
            </w:pPr>
            <w:r w:rsidRPr="0063248C">
              <w:rPr>
                <w:rFonts w:cs="宋体"/>
                <w:sz w:val="18"/>
                <w:szCs w:val="18"/>
              </w:rPr>
              <w:t>4,999.5</w:t>
            </w:r>
          </w:p>
        </w:tc>
        <w:tc>
          <w:tcPr>
            <w:tcW w:w="455" w:type="pct"/>
            <w:tcBorders>
              <w:top w:val="single" w:sz="2" w:space="0" w:color="auto"/>
              <w:left w:val="single" w:sz="2" w:space="0" w:color="auto"/>
              <w:bottom w:val="single" w:sz="2" w:space="0" w:color="auto"/>
              <w:right w:val="single" w:sz="2" w:space="0" w:color="auto"/>
            </w:tcBorders>
            <w:vAlign w:val="center"/>
          </w:tcPr>
          <w:p w14:paraId="55807DA7"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3D615652"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A395BC8"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6582F93F" w14:textId="77777777" w:rsidR="007B3DB2" w:rsidRPr="0063248C" w:rsidRDefault="00000000">
            <w:pPr>
              <w:spacing w:line="240" w:lineRule="exact"/>
              <w:rPr>
                <w:rFonts w:cs="宋体"/>
                <w:sz w:val="18"/>
                <w:szCs w:val="18"/>
              </w:rPr>
            </w:pPr>
            <w:r w:rsidRPr="0063248C">
              <w:rPr>
                <w:rFonts w:cs="宋体"/>
                <w:sz w:val="18"/>
                <w:szCs w:val="18"/>
              </w:rPr>
              <w:t>2024.03.14-2024.09.14</w:t>
            </w:r>
          </w:p>
        </w:tc>
        <w:tc>
          <w:tcPr>
            <w:tcW w:w="454" w:type="pct"/>
            <w:tcBorders>
              <w:top w:val="single" w:sz="2" w:space="0" w:color="auto"/>
              <w:left w:val="single" w:sz="2" w:space="0" w:color="auto"/>
              <w:bottom w:val="single" w:sz="2" w:space="0" w:color="auto"/>
              <w:right w:val="single" w:sz="2" w:space="0" w:color="auto"/>
            </w:tcBorders>
            <w:vAlign w:val="center"/>
          </w:tcPr>
          <w:p w14:paraId="6CA0CDCF"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70047BED"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1992CCC9"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3578F02C" w14:textId="77777777" w:rsidR="007B3DB2" w:rsidRPr="0063248C" w:rsidRDefault="00000000">
            <w:pPr>
              <w:spacing w:line="240" w:lineRule="exact"/>
              <w:rPr>
                <w:rFonts w:cs="宋体"/>
                <w:sz w:val="18"/>
                <w:szCs w:val="18"/>
              </w:rPr>
            </w:pPr>
            <w:r w:rsidRPr="0063248C">
              <w:rPr>
                <w:rFonts w:cs="宋体"/>
                <w:sz w:val="18"/>
                <w:szCs w:val="18"/>
              </w:rPr>
              <w:t>聊城龙大肉食品有限公司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7BA288A5"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56118C8" w14:textId="77777777" w:rsidR="007B3DB2" w:rsidRPr="0063248C" w:rsidRDefault="00000000">
            <w:pPr>
              <w:spacing w:line="240" w:lineRule="exact"/>
              <w:jc w:val="right"/>
              <w:rPr>
                <w:rFonts w:cs="宋体"/>
                <w:sz w:val="18"/>
                <w:szCs w:val="18"/>
              </w:rPr>
            </w:pPr>
            <w:r w:rsidRPr="0063248C">
              <w:rPr>
                <w:rFonts w:cs="宋体"/>
                <w:sz w:val="18"/>
                <w:szCs w:val="18"/>
              </w:rPr>
              <w:t>5,000</w:t>
            </w:r>
          </w:p>
        </w:tc>
        <w:tc>
          <w:tcPr>
            <w:tcW w:w="455" w:type="pct"/>
            <w:tcBorders>
              <w:top w:val="single" w:sz="2" w:space="0" w:color="auto"/>
              <w:left w:val="single" w:sz="2" w:space="0" w:color="auto"/>
              <w:bottom w:val="single" w:sz="2" w:space="0" w:color="auto"/>
              <w:right w:val="single" w:sz="2" w:space="0" w:color="auto"/>
            </w:tcBorders>
            <w:vAlign w:val="center"/>
          </w:tcPr>
          <w:p w14:paraId="1900676E"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11</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F8CB855" w14:textId="77777777" w:rsidR="007B3DB2" w:rsidRPr="0063248C" w:rsidRDefault="00000000">
            <w:pPr>
              <w:spacing w:line="240" w:lineRule="exact"/>
              <w:jc w:val="right"/>
              <w:rPr>
                <w:rFonts w:cs="宋体"/>
                <w:sz w:val="18"/>
                <w:szCs w:val="18"/>
              </w:rPr>
            </w:pPr>
            <w:r w:rsidRPr="0063248C">
              <w:rPr>
                <w:rFonts w:cs="宋体"/>
                <w:sz w:val="18"/>
                <w:szCs w:val="18"/>
              </w:rPr>
              <w:t>3,500</w:t>
            </w:r>
          </w:p>
        </w:tc>
        <w:tc>
          <w:tcPr>
            <w:tcW w:w="455" w:type="pct"/>
            <w:tcBorders>
              <w:top w:val="single" w:sz="2" w:space="0" w:color="auto"/>
              <w:left w:val="single" w:sz="2" w:space="0" w:color="auto"/>
              <w:bottom w:val="single" w:sz="2" w:space="0" w:color="auto"/>
              <w:right w:val="single" w:sz="2" w:space="0" w:color="auto"/>
            </w:tcBorders>
            <w:vAlign w:val="center"/>
          </w:tcPr>
          <w:p w14:paraId="148878C3"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528D892F"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1AD4C0B2"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6EF1205D" w14:textId="77777777" w:rsidR="007B3DB2" w:rsidRPr="0063248C" w:rsidRDefault="00000000">
            <w:pPr>
              <w:spacing w:line="240" w:lineRule="exact"/>
              <w:rPr>
                <w:rFonts w:cs="宋体"/>
                <w:sz w:val="18"/>
                <w:szCs w:val="18"/>
              </w:rPr>
            </w:pPr>
            <w:r w:rsidRPr="0063248C">
              <w:rPr>
                <w:rFonts w:cs="宋体"/>
                <w:sz w:val="18"/>
                <w:szCs w:val="18"/>
              </w:rPr>
              <w:t>2024.01.11-2024.07.11</w:t>
            </w:r>
          </w:p>
        </w:tc>
        <w:tc>
          <w:tcPr>
            <w:tcW w:w="454" w:type="pct"/>
            <w:tcBorders>
              <w:top w:val="single" w:sz="2" w:space="0" w:color="auto"/>
              <w:left w:val="single" w:sz="2" w:space="0" w:color="auto"/>
              <w:bottom w:val="single" w:sz="2" w:space="0" w:color="auto"/>
              <w:right w:val="single" w:sz="2" w:space="0" w:color="auto"/>
            </w:tcBorders>
            <w:vAlign w:val="center"/>
          </w:tcPr>
          <w:p w14:paraId="3373765D"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6F909AE2"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79E09A18"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2FC6F816" w14:textId="77777777" w:rsidR="007B3DB2" w:rsidRPr="0063248C" w:rsidRDefault="00000000">
            <w:pPr>
              <w:spacing w:line="240" w:lineRule="exact"/>
              <w:rPr>
                <w:rFonts w:cs="宋体"/>
                <w:sz w:val="18"/>
                <w:szCs w:val="18"/>
              </w:rPr>
            </w:pPr>
            <w:r w:rsidRPr="0063248C">
              <w:rPr>
                <w:rFonts w:cs="宋体"/>
                <w:sz w:val="18"/>
                <w:szCs w:val="18"/>
              </w:rPr>
              <w:t>聊城龙大肉食品有限公司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7F283F40"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31</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460F8398" w14:textId="77777777" w:rsidR="007B3DB2" w:rsidRPr="0063248C" w:rsidRDefault="00000000">
            <w:pPr>
              <w:spacing w:line="240" w:lineRule="exact"/>
              <w:jc w:val="right"/>
              <w:rPr>
                <w:rFonts w:cs="宋体"/>
                <w:sz w:val="18"/>
                <w:szCs w:val="18"/>
              </w:rPr>
            </w:pPr>
            <w:r w:rsidRPr="0063248C">
              <w:rPr>
                <w:rFonts w:cs="宋体"/>
                <w:sz w:val="18"/>
                <w:szCs w:val="18"/>
              </w:rPr>
              <w:t>5,000</w:t>
            </w:r>
          </w:p>
        </w:tc>
        <w:tc>
          <w:tcPr>
            <w:tcW w:w="455" w:type="pct"/>
            <w:tcBorders>
              <w:top w:val="single" w:sz="2" w:space="0" w:color="auto"/>
              <w:left w:val="single" w:sz="2" w:space="0" w:color="auto"/>
              <w:bottom w:val="single" w:sz="2" w:space="0" w:color="auto"/>
              <w:right w:val="single" w:sz="2" w:space="0" w:color="auto"/>
            </w:tcBorders>
            <w:vAlign w:val="center"/>
          </w:tcPr>
          <w:p w14:paraId="5C38361C"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28</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7380AC7B" w14:textId="77777777" w:rsidR="007B3DB2" w:rsidRPr="0063248C" w:rsidRDefault="00000000">
            <w:pPr>
              <w:spacing w:line="240" w:lineRule="exact"/>
              <w:jc w:val="right"/>
              <w:rPr>
                <w:rFonts w:cs="宋体"/>
                <w:sz w:val="18"/>
                <w:szCs w:val="18"/>
              </w:rPr>
            </w:pPr>
            <w:r w:rsidRPr="0063248C">
              <w:rPr>
                <w:rFonts w:cs="宋体"/>
                <w:sz w:val="18"/>
                <w:szCs w:val="18"/>
              </w:rPr>
              <w:t>1,500</w:t>
            </w:r>
          </w:p>
        </w:tc>
        <w:tc>
          <w:tcPr>
            <w:tcW w:w="455" w:type="pct"/>
            <w:tcBorders>
              <w:top w:val="single" w:sz="2" w:space="0" w:color="auto"/>
              <w:left w:val="single" w:sz="2" w:space="0" w:color="auto"/>
              <w:bottom w:val="single" w:sz="2" w:space="0" w:color="auto"/>
              <w:right w:val="single" w:sz="2" w:space="0" w:color="auto"/>
            </w:tcBorders>
            <w:vAlign w:val="center"/>
          </w:tcPr>
          <w:p w14:paraId="2A65E27F"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21AEE6B3"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DD51C38"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3A87D38" w14:textId="77777777" w:rsidR="007B3DB2" w:rsidRPr="0063248C" w:rsidRDefault="00000000">
            <w:pPr>
              <w:spacing w:line="240" w:lineRule="exact"/>
              <w:rPr>
                <w:rFonts w:cs="宋体"/>
                <w:sz w:val="18"/>
                <w:szCs w:val="18"/>
              </w:rPr>
            </w:pPr>
            <w:r w:rsidRPr="0063248C">
              <w:rPr>
                <w:rFonts w:cs="宋体"/>
                <w:sz w:val="18"/>
                <w:szCs w:val="18"/>
              </w:rPr>
              <w:t>2024.05.28-2024.11.28</w:t>
            </w:r>
          </w:p>
        </w:tc>
        <w:tc>
          <w:tcPr>
            <w:tcW w:w="454" w:type="pct"/>
            <w:tcBorders>
              <w:top w:val="single" w:sz="2" w:space="0" w:color="auto"/>
              <w:left w:val="single" w:sz="2" w:space="0" w:color="auto"/>
              <w:bottom w:val="single" w:sz="2" w:space="0" w:color="auto"/>
              <w:right w:val="single" w:sz="2" w:space="0" w:color="auto"/>
            </w:tcBorders>
            <w:vAlign w:val="center"/>
          </w:tcPr>
          <w:p w14:paraId="71D87DE5"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1962AF02"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34B9BDD8"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388477AA" w14:textId="77777777" w:rsidR="007B3DB2" w:rsidRPr="0063248C" w:rsidRDefault="00000000">
            <w:pPr>
              <w:spacing w:line="240" w:lineRule="exact"/>
              <w:rPr>
                <w:rFonts w:cs="宋体"/>
                <w:sz w:val="18"/>
                <w:szCs w:val="18"/>
              </w:rPr>
            </w:pPr>
            <w:r w:rsidRPr="0063248C">
              <w:rPr>
                <w:rFonts w:cs="宋体"/>
                <w:sz w:val="18"/>
                <w:szCs w:val="18"/>
              </w:rPr>
              <w:t>聊城龙大肉食品有限公司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4CEF92CB"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02</w:t>
            </w:r>
            <w:r w:rsidRPr="0063248C">
              <w:rPr>
                <w:rFonts w:cs="宋体"/>
                <w:sz w:val="18"/>
                <w:szCs w:val="18"/>
              </w:rPr>
              <w:t>月</w:t>
            </w:r>
            <w:r w:rsidRPr="0063248C">
              <w:rPr>
                <w:rFonts w:cs="宋体"/>
                <w:sz w:val="18"/>
                <w:szCs w:val="18"/>
              </w:rPr>
              <w:t>28</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DDF4E04"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1AC0A1E2"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14</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6B0F17F1"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3D166546"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1F37F77D"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11E2DB5"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DCC548B" w14:textId="77777777" w:rsidR="007B3DB2" w:rsidRPr="0063248C" w:rsidRDefault="00000000">
            <w:pPr>
              <w:spacing w:line="240" w:lineRule="exact"/>
              <w:rPr>
                <w:rFonts w:cs="宋体"/>
                <w:sz w:val="18"/>
                <w:szCs w:val="18"/>
              </w:rPr>
            </w:pPr>
            <w:r w:rsidRPr="0063248C">
              <w:rPr>
                <w:rFonts w:cs="宋体"/>
                <w:sz w:val="18"/>
                <w:szCs w:val="18"/>
              </w:rPr>
              <w:t>2024.03.14-2025.03.14</w:t>
            </w:r>
          </w:p>
        </w:tc>
        <w:tc>
          <w:tcPr>
            <w:tcW w:w="454" w:type="pct"/>
            <w:tcBorders>
              <w:top w:val="single" w:sz="2" w:space="0" w:color="auto"/>
              <w:left w:val="single" w:sz="2" w:space="0" w:color="auto"/>
              <w:bottom w:val="single" w:sz="2" w:space="0" w:color="auto"/>
              <w:right w:val="single" w:sz="2" w:space="0" w:color="auto"/>
            </w:tcBorders>
            <w:vAlign w:val="center"/>
          </w:tcPr>
          <w:p w14:paraId="62D41F87"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7ECA5F5F"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32D756F0"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54B4C489" w14:textId="77777777" w:rsidR="007B3DB2" w:rsidRPr="0063248C" w:rsidRDefault="00000000">
            <w:pPr>
              <w:spacing w:line="240" w:lineRule="exact"/>
              <w:rPr>
                <w:rFonts w:cs="宋体"/>
                <w:sz w:val="18"/>
                <w:szCs w:val="18"/>
              </w:rPr>
            </w:pPr>
            <w:r w:rsidRPr="0063248C">
              <w:rPr>
                <w:rFonts w:cs="宋体"/>
                <w:sz w:val="18"/>
                <w:szCs w:val="18"/>
              </w:rPr>
              <w:t>莱阳龙瑞食品有限公司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35E49708"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10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D82F0E4"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43600C48"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11</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6C3FB80"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37943312"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4B77FDA6"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54AA76A"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C056CBE" w14:textId="77777777" w:rsidR="007B3DB2" w:rsidRPr="0063248C" w:rsidRDefault="00000000">
            <w:pPr>
              <w:spacing w:line="240" w:lineRule="exact"/>
              <w:rPr>
                <w:rFonts w:cs="宋体"/>
                <w:sz w:val="18"/>
                <w:szCs w:val="18"/>
              </w:rPr>
            </w:pPr>
            <w:r w:rsidRPr="0063248C">
              <w:rPr>
                <w:rFonts w:cs="宋体"/>
                <w:sz w:val="18"/>
                <w:szCs w:val="18"/>
              </w:rPr>
              <w:t>2024.04.11-2025.04.08</w:t>
            </w:r>
          </w:p>
        </w:tc>
        <w:tc>
          <w:tcPr>
            <w:tcW w:w="454" w:type="pct"/>
            <w:tcBorders>
              <w:top w:val="single" w:sz="2" w:space="0" w:color="auto"/>
              <w:left w:val="single" w:sz="2" w:space="0" w:color="auto"/>
              <w:bottom w:val="single" w:sz="2" w:space="0" w:color="auto"/>
              <w:right w:val="single" w:sz="2" w:space="0" w:color="auto"/>
            </w:tcBorders>
            <w:vAlign w:val="center"/>
          </w:tcPr>
          <w:p w14:paraId="672989B1"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3F942EE1"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1CB5E42C"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0A2F0FEE" w14:textId="77777777" w:rsidR="007B3DB2" w:rsidRPr="0063248C" w:rsidRDefault="00000000">
            <w:pPr>
              <w:spacing w:line="240" w:lineRule="exact"/>
              <w:rPr>
                <w:rFonts w:cs="宋体"/>
                <w:sz w:val="18"/>
                <w:szCs w:val="18"/>
              </w:rPr>
            </w:pPr>
            <w:r w:rsidRPr="0063248C">
              <w:rPr>
                <w:rFonts w:cs="宋体"/>
                <w:sz w:val="18"/>
                <w:szCs w:val="18"/>
              </w:rPr>
              <w:t>烟台龙大饲料有限公司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4A82CFAA"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31</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7657B10" w14:textId="77777777" w:rsidR="007B3DB2" w:rsidRPr="0063248C" w:rsidRDefault="00000000">
            <w:pPr>
              <w:spacing w:line="240" w:lineRule="exact"/>
              <w:jc w:val="right"/>
              <w:rPr>
                <w:rFonts w:cs="宋体"/>
                <w:sz w:val="18"/>
                <w:szCs w:val="18"/>
              </w:rPr>
            </w:pPr>
            <w:r w:rsidRPr="0063248C">
              <w:rPr>
                <w:rFonts w:cs="宋体"/>
                <w:sz w:val="18"/>
                <w:szCs w:val="18"/>
              </w:rPr>
              <w:t>950</w:t>
            </w:r>
          </w:p>
        </w:tc>
        <w:tc>
          <w:tcPr>
            <w:tcW w:w="455" w:type="pct"/>
            <w:tcBorders>
              <w:top w:val="single" w:sz="2" w:space="0" w:color="auto"/>
              <w:left w:val="single" w:sz="2" w:space="0" w:color="auto"/>
              <w:bottom w:val="single" w:sz="2" w:space="0" w:color="auto"/>
              <w:right w:val="single" w:sz="2" w:space="0" w:color="auto"/>
            </w:tcBorders>
            <w:vAlign w:val="center"/>
          </w:tcPr>
          <w:p w14:paraId="2B2EC12C"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29</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BB57CD7" w14:textId="77777777" w:rsidR="007B3DB2" w:rsidRPr="0063248C" w:rsidRDefault="00000000">
            <w:pPr>
              <w:spacing w:line="240" w:lineRule="exact"/>
              <w:jc w:val="right"/>
              <w:rPr>
                <w:rFonts w:cs="宋体"/>
                <w:sz w:val="18"/>
                <w:szCs w:val="18"/>
              </w:rPr>
            </w:pPr>
            <w:r w:rsidRPr="0063248C">
              <w:rPr>
                <w:rFonts w:cs="宋体"/>
                <w:sz w:val="18"/>
                <w:szCs w:val="18"/>
              </w:rPr>
              <w:t>950</w:t>
            </w:r>
          </w:p>
        </w:tc>
        <w:tc>
          <w:tcPr>
            <w:tcW w:w="455" w:type="pct"/>
            <w:tcBorders>
              <w:top w:val="single" w:sz="2" w:space="0" w:color="auto"/>
              <w:left w:val="single" w:sz="2" w:space="0" w:color="auto"/>
              <w:bottom w:val="single" w:sz="2" w:space="0" w:color="auto"/>
              <w:right w:val="single" w:sz="2" w:space="0" w:color="auto"/>
            </w:tcBorders>
            <w:vAlign w:val="center"/>
          </w:tcPr>
          <w:p w14:paraId="3C83255D"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0E3D31C9"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CABAD0E"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11AE567" w14:textId="77777777" w:rsidR="007B3DB2" w:rsidRPr="0063248C" w:rsidRDefault="00000000">
            <w:pPr>
              <w:spacing w:line="240" w:lineRule="exact"/>
              <w:rPr>
                <w:rFonts w:cs="宋体"/>
                <w:sz w:val="18"/>
                <w:szCs w:val="18"/>
              </w:rPr>
            </w:pPr>
            <w:r w:rsidRPr="0063248C">
              <w:rPr>
                <w:rFonts w:cs="宋体"/>
                <w:sz w:val="18"/>
                <w:szCs w:val="18"/>
              </w:rPr>
              <w:t>2023.08.29-2024.08.24</w:t>
            </w:r>
          </w:p>
        </w:tc>
        <w:tc>
          <w:tcPr>
            <w:tcW w:w="454" w:type="pct"/>
            <w:tcBorders>
              <w:top w:val="single" w:sz="2" w:space="0" w:color="auto"/>
              <w:left w:val="single" w:sz="2" w:space="0" w:color="auto"/>
              <w:bottom w:val="single" w:sz="2" w:space="0" w:color="auto"/>
              <w:right w:val="single" w:sz="2" w:space="0" w:color="auto"/>
            </w:tcBorders>
            <w:vAlign w:val="center"/>
          </w:tcPr>
          <w:p w14:paraId="3FDF68CD"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78C445C7"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20279B11"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08FF2FA6" w14:textId="77777777" w:rsidR="007B3DB2" w:rsidRPr="0063248C" w:rsidRDefault="00000000">
            <w:pPr>
              <w:spacing w:line="240" w:lineRule="exact"/>
              <w:rPr>
                <w:rFonts w:cs="宋体"/>
                <w:sz w:val="18"/>
                <w:szCs w:val="18"/>
              </w:rPr>
            </w:pPr>
            <w:r w:rsidRPr="0063248C">
              <w:rPr>
                <w:rFonts w:cs="宋体"/>
                <w:sz w:val="18"/>
                <w:szCs w:val="18"/>
              </w:rPr>
              <w:lastRenderedPageBreak/>
              <w:t>烟台龙大饲料有限公司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40D3A79B"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17</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2D1B6E9" w14:textId="77777777" w:rsidR="007B3DB2" w:rsidRPr="0063248C" w:rsidRDefault="00000000">
            <w:pPr>
              <w:spacing w:line="240" w:lineRule="exact"/>
              <w:jc w:val="right"/>
              <w:rPr>
                <w:rFonts w:cs="宋体"/>
                <w:sz w:val="18"/>
                <w:szCs w:val="18"/>
              </w:rPr>
            </w:pPr>
            <w:r w:rsidRPr="0063248C">
              <w:rPr>
                <w:rFonts w:cs="宋体"/>
                <w:sz w:val="18"/>
                <w:szCs w:val="18"/>
              </w:rPr>
              <w:t>1,000</w:t>
            </w:r>
          </w:p>
        </w:tc>
        <w:tc>
          <w:tcPr>
            <w:tcW w:w="455" w:type="pct"/>
            <w:tcBorders>
              <w:top w:val="single" w:sz="2" w:space="0" w:color="auto"/>
              <w:left w:val="single" w:sz="2" w:space="0" w:color="auto"/>
              <w:bottom w:val="single" w:sz="2" w:space="0" w:color="auto"/>
              <w:right w:val="single" w:sz="2" w:space="0" w:color="auto"/>
            </w:tcBorders>
            <w:vAlign w:val="center"/>
          </w:tcPr>
          <w:p w14:paraId="1262B4B5"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19</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6FBB2FBC" w14:textId="77777777" w:rsidR="007B3DB2" w:rsidRPr="0063248C" w:rsidRDefault="00000000">
            <w:pPr>
              <w:spacing w:line="240" w:lineRule="exact"/>
              <w:jc w:val="right"/>
              <w:rPr>
                <w:rFonts w:cs="宋体"/>
                <w:sz w:val="18"/>
                <w:szCs w:val="18"/>
              </w:rPr>
            </w:pPr>
            <w:r w:rsidRPr="0063248C">
              <w:rPr>
                <w:rFonts w:cs="宋体"/>
                <w:sz w:val="18"/>
                <w:szCs w:val="18"/>
              </w:rPr>
              <w:t>1,000</w:t>
            </w:r>
          </w:p>
        </w:tc>
        <w:tc>
          <w:tcPr>
            <w:tcW w:w="455" w:type="pct"/>
            <w:tcBorders>
              <w:top w:val="single" w:sz="2" w:space="0" w:color="auto"/>
              <w:left w:val="single" w:sz="2" w:space="0" w:color="auto"/>
              <w:bottom w:val="single" w:sz="2" w:space="0" w:color="auto"/>
              <w:right w:val="single" w:sz="2" w:space="0" w:color="auto"/>
            </w:tcBorders>
            <w:vAlign w:val="center"/>
          </w:tcPr>
          <w:p w14:paraId="7B233109"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101D1C49"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7D2D34B"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E00B59D" w14:textId="77777777" w:rsidR="007B3DB2" w:rsidRPr="0063248C" w:rsidRDefault="00000000">
            <w:pPr>
              <w:spacing w:line="240" w:lineRule="exact"/>
              <w:rPr>
                <w:rFonts w:cs="宋体"/>
                <w:sz w:val="18"/>
                <w:szCs w:val="18"/>
              </w:rPr>
            </w:pPr>
            <w:r w:rsidRPr="0063248C">
              <w:rPr>
                <w:rFonts w:cs="宋体"/>
                <w:sz w:val="18"/>
                <w:szCs w:val="18"/>
              </w:rPr>
              <w:t>2024.04.19-2025.04.08</w:t>
            </w:r>
          </w:p>
        </w:tc>
        <w:tc>
          <w:tcPr>
            <w:tcW w:w="454" w:type="pct"/>
            <w:tcBorders>
              <w:top w:val="single" w:sz="2" w:space="0" w:color="auto"/>
              <w:left w:val="single" w:sz="2" w:space="0" w:color="auto"/>
              <w:bottom w:val="single" w:sz="2" w:space="0" w:color="auto"/>
              <w:right w:val="single" w:sz="2" w:space="0" w:color="auto"/>
            </w:tcBorders>
            <w:vAlign w:val="center"/>
          </w:tcPr>
          <w:p w14:paraId="7C445246"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64154C93"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1CE5FCB3"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2A7491BA"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55074909"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11</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389CE84"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28C4552D"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15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F04742B"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38E960C6"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6C326CE2"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65881BF3"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1A5313D" w14:textId="77777777" w:rsidR="007B3DB2" w:rsidRPr="0063248C" w:rsidRDefault="00000000">
            <w:pPr>
              <w:spacing w:line="240" w:lineRule="exact"/>
              <w:rPr>
                <w:rFonts w:cs="宋体"/>
                <w:sz w:val="18"/>
                <w:szCs w:val="18"/>
              </w:rPr>
            </w:pPr>
            <w:r w:rsidRPr="0063248C">
              <w:rPr>
                <w:rFonts w:cs="宋体"/>
                <w:sz w:val="18"/>
                <w:szCs w:val="18"/>
              </w:rPr>
              <w:t>2024.05.15-2025.05.14</w:t>
            </w:r>
          </w:p>
        </w:tc>
        <w:tc>
          <w:tcPr>
            <w:tcW w:w="454" w:type="pct"/>
            <w:tcBorders>
              <w:top w:val="single" w:sz="2" w:space="0" w:color="auto"/>
              <w:left w:val="single" w:sz="2" w:space="0" w:color="auto"/>
              <w:bottom w:val="single" w:sz="2" w:space="0" w:color="auto"/>
              <w:right w:val="single" w:sz="2" w:space="0" w:color="auto"/>
            </w:tcBorders>
            <w:vAlign w:val="center"/>
          </w:tcPr>
          <w:p w14:paraId="295EC395"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3381FD7A"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3D254FBB"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3E1C2E87"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5A31C02A"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41A60444" w14:textId="77777777" w:rsidR="007B3DB2" w:rsidRPr="0063248C" w:rsidRDefault="00000000">
            <w:pPr>
              <w:spacing w:line="240" w:lineRule="exact"/>
              <w:jc w:val="right"/>
              <w:rPr>
                <w:rFonts w:cs="宋体"/>
                <w:sz w:val="18"/>
                <w:szCs w:val="18"/>
              </w:rPr>
            </w:pPr>
            <w:r w:rsidRPr="0063248C">
              <w:rPr>
                <w:rFonts w:cs="宋体"/>
                <w:sz w:val="18"/>
                <w:szCs w:val="18"/>
              </w:rPr>
              <w:t>3,000</w:t>
            </w:r>
          </w:p>
        </w:tc>
        <w:tc>
          <w:tcPr>
            <w:tcW w:w="455" w:type="pct"/>
            <w:tcBorders>
              <w:top w:val="single" w:sz="2" w:space="0" w:color="auto"/>
              <w:left w:val="single" w:sz="2" w:space="0" w:color="auto"/>
              <w:bottom w:val="single" w:sz="2" w:space="0" w:color="auto"/>
              <w:right w:val="single" w:sz="2" w:space="0" w:color="auto"/>
            </w:tcBorders>
            <w:vAlign w:val="center"/>
          </w:tcPr>
          <w:p w14:paraId="18FE8BF5"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22</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784BF504" w14:textId="77777777" w:rsidR="007B3DB2" w:rsidRPr="0063248C" w:rsidRDefault="00000000">
            <w:pPr>
              <w:spacing w:line="240" w:lineRule="exact"/>
              <w:jc w:val="right"/>
              <w:rPr>
                <w:rFonts w:cs="宋体"/>
                <w:sz w:val="18"/>
                <w:szCs w:val="18"/>
              </w:rPr>
            </w:pPr>
            <w:r w:rsidRPr="0063248C">
              <w:rPr>
                <w:rFonts w:cs="宋体"/>
                <w:sz w:val="18"/>
                <w:szCs w:val="18"/>
              </w:rPr>
              <w:t>3,000</w:t>
            </w:r>
          </w:p>
        </w:tc>
        <w:tc>
          <w:tcPr>
            <w:tcW w:w="455" w:type="pct"/>
            <w:tcBorders>
              <w:top w:val="single" w:sz="2" w:space="0" w:color="auto"/>
              <w:left w:val="single" w:sz="2" w:space="0" w:color="auto"/>
              <w:bottom w:val="single" w:sz="2" w:space="0" w:color="auto"/>
              <w:right w:val="single" w:sz="2" w:space="0" w:color="auto"/>
            </w:tcBorders>
            <w:vAlign w:val="center"/>
          </w:tcPr>
          <w:p w14:paraId="15039171"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44EF609C"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E5A223B"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2DFF7F1" w14:textId="77777777" w:rsidR="007B3DB2" w:rsidRPr="0063248C" w:rsidRDefault="00000000">
            <w:pPr>
              <w:spacing w:line="240" w:lineRule="exact"/>
              <w:rPr>
                <w:rFonts w:cs="宋体"/>
                <w:sz w:val="18"/>
                <w:szCs w:val="18"/>
              </w:rPr>
            </w:pPr>
            <w:r w:rsidRPr="0063248C">
              <w:rPr>
                <w:rFonts w:cs="宋体"/>
                <w:sz w:val="18"/>
                <w:szCs w:val="18"/>
              </w:rPr>
              <w:t>2024.01.22-2024.07.22</w:t>
            </w:r>
          </w:p>
        </w:tc>
        <w:tc>
          <w:tcPr>
            <w:tcW w:w="454" w:type="pct"/>
            <w:tcBorders>
              <w:top w:val="single" w:sz="2" w:space="0" w:color="auto"/>
              <w:left w:val="single" w:sz="2" w:space="0" w:color="auto"/>
              <w:bottom w:val="single" w:sz="2" w:space="0" w:color="auto"/>
              <w:right w:val="single" w:sz="2" w:space="0" w:color="auto"/>
            </w:tcBorders>
            <w:vAlign w:val="center"/>
          </w:tcPr>
          <w:p w14:paraId="7537AF77"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74535D0A"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1C930AC0"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5B707F97"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05DBA8B6"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6E41453" w14:textId="77777777" w:rsidR="007B3DB2" w:rsidRPr="0063248C" w:rsidRDefault="00000000">
            <w:pPr>
              <w:spacing w:line="240" w:lineRule="exact"/>
              <w:jc w:val="right"/>
              <w:rPr>
                <w:rFonts w:cs="宋体"/>
                <w:sz w:val="18"/>
                <w:szCs w:val="18"/>
              </w:rPr>
            </w:pPr>
            <w:r w:rsidRPr="0063248C">
              <w:rPr>
                <w:rFonts w:cs="宋体"/>
                <w:sz w:val="18"/>
                <w:szCs w:val="18"/>
              </w:rPr>
              <w:t>4,000</w:t>
            </w:r>
          </w:p>
        </w:tc>
        <w:tc>
          <w:tcPr>
            <w:tcW w:w="455" w:type="pct"/>
            <w:tcBorders>
              <w:top w:val="single" w:sz="2" w:space="0" w:color="auto"/>
              <w:left w:val="single" w:sz="2" w:space="0" w:color="auto"/>
              <w:bottom w:val="single" w:sz="2" w:space="0" w:color="auto"/>
              <w:right w:val="single" w:sz="2" w:space="0" w:color="auto"/>
            </w:tcBorders>
            <w:vAlign w:val="center"/>
          </w:tcPr>
          <w:p w14:paraId="06EC9590"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24</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D326DE2" w14:textId="77777777" w:rsidR="007B3DB2" w:rsidRPr="0063248C" w:rsidRDefault="00000000">
            <w:pPr>
              <w:spacing w:line="240" w:lineRule="exact"/>
              <w:jc w:val="right"/>
              <w:rPr>
                <w:rFonts w:cs="宋体"/>
                <w:sz w:val="18"/>
                <w:szCs w:val="18"/>
              </w:rPr>
            </w:pPr>
            <w:r w:rsidRPr="0063248C">
              <w:rPr>
                <w:rFonts w:cs="宋体"/>
                <w:sz w:val="18"/>
                <w:szCs w:val="18"/>
              </w:rPr>
              <w:t>4,000</w:t>
            </w:r>
          </w:p>
        </w:tc>
        <w:tc>
          <w:tcPr>
            <w:tcW w:w="455" w:type="pct"/>
            <w:tcBorders>
              <w:top w:val="single" w:sz="2" w:space="0" w:color="auto"/>
              <w:left w:val="single" w:sz="2" w:space="0" w:color="auto"/>
              <w:bottom w:val="single" w:sz="2" w:space="0" w:color="auto"/>
              <w:right w:val="single" w:sz="2" w:space="0" w:color="auto"/>
            </w:tcBorders>
            <w:vAlign w:val="center"/>
          </w:tcPr>
          <w:p w14:paraId="52AE5642"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0530160B"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0CA6556"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F9E56B5" w14:textId="77777777" w:rsidR="007B3DB2" w:rsidRPr="0063248C" w:rsidRDefault="00000000">
            <w:pPr>
              <w:spacing w:line="240" w:lineRule="exact"/>
              <w:rPr>
                <w:rFonts w:cs="宋体"/>
                <w:sz w:val="18"/>
                <w:szCs w:val="18"/>
              </w:rPr>
            </w:pPr>
            <w:r w:rsidRPr="0063248C">
              <w:rPr>
                <w:rFonts w:cs="宋体"/>
                <w:sz w:val="18"/>
                <w:szCs w:val="18"/>
              </w:rPr>
              <w:t>2024.01.24-2024.07.23</w:t>
            </w:r>
          </w:p>
        </w:tc>
        <w:tc>
          <w:tcPr>
            <w:tcW w:w="454" w:type="pct"/>
            <w:tcBorders>
              <w:top w:val="single" w:sz="2" w:space="0" w:color="auto"/>
              <w:left w:val="single" w:sz="2" w:space="0" w:color="auto"/>
              <w:bottom w:val="single" w:sz="2" w:space="0" w:color="auto"/>
              <w:right w:val="single" w:sz="2" w:space="0" w:color="auto"/>
            </w:tcBorders>
            <w:vAlign w:val="center"/>
          </w:tcPr>
          <w:p w14:paraId="487115A6"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35586E7A"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10B4A975"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501025B7" w14:textId="77777777" w:rsidR="007B3DB2" w:rsidRPr="0063248C" w:rsidRDefault="00000000">
            <w:pPr>
              <w:spacing w:line="240" w:lineRule="exact"/>
              <w:rPr>
                <w:rFonts w:cs="宋体"/>
                <w:sz w:val="18"/>
                <w:szCs w:val="18"/>
              </w:rPr>
            </w:pPr>
            <w:r w:rsidRPr="0063248C">
              <w:rPr>
                <w:rFonts w:cs="宋体"/>
                <w:sz w:val="18"/>
                <w:szCs w:val="18"/>
              </w:rPr>
              <w:t>江苏龙大沁侬食品有限公司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1683BFA4"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05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75BA81B" w14:textId="77777777" w:rsidR="007B3DB2" w:rsidRPr="0063248C" w:rsidRDefault="00000000">
            <w:pPr>
              <w:spacing w:line="240" w:lineRule="exact"/>
              <w:jc w:val="right"/>
              <w:rPr>
                <w:rFonts w:cs="宋体"/>
                <w:sz w:val="18"/>
                <w:szCs w:val="18"/>
              </w:rPr>
            </w:pPr>
            <w:r w:rsidRPr="0063248C">
              <w:rPr>
                <w:rFonts w:cs="宋体"/>
                <w:sz w:val="18"/>
                <w:szCs w:val="18"/>
              </w:rPr>
              <w:t>2,900</w:t>
            </w:r>
          </w:p>
        </w:tc>
        <w:tc>
          <w:tcPr>
            <w:tcW w:w="455" w:type="pct"/>
            <w:tcBorders>
              <w:top w:val="single" w:sz="2" w:space="0" w:color="auto"/>
              <w:left w:val="single" w:sz="2" w:space="0" w:color="auto"/>
              <w:bottom w:val="single" w:sz="2" w:space="0" w:color="auto"/>
              <w:right w:val="single" w:sz="2" w:space="0" w:color="auto"/>
            </w:tcBorders>
            <w:vAlign w:val="center"/>
          </w:tcPr>
          <w:p w14:paraId="724CF01E"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CA4A6B6" w14:textId="77777777" w:rsidR="007B3DB2" w:rsidRPr="0063248C" w:rsidRDefault="00000000">
            <w:pPr>
              <w:spacing w:line="240" w:lineRule="exact"/>
              <w:jc w:val="right"/>
              <w:rPr>
                <w:rFonts w:cs="宋体"/>
                <w:sz w:val="18"/>
                <w:szCs w:val="18"/>
              </w:rPr>
            </w:pPr>
            <w:r w:rsidRPr="0063248C">
              <w:rPr>
                <w:rFonts w:cs="宋体"/>
                <w:sz w:val="18"/>
                <w:szCs w:val="18"/>
              </w:rPr>
              <w:t>2,800</w:t>
            </w:r>
          </w:p>
        </w:tc>
        <w:tc>
          <w:tcPr>
            <w:tcW w:w="455" w:type="pct"/>
            <w:tcBorders>
              <w:top w:val="single" w:sz="2" w:space="0" w:color="auto"/>
              <w:left w:val="single" w:sz="2" w:space="0" w:color="auto"/>
              <w:bottom w:val="single" w:sz="2" w:space="0" w:color="auto"/>
              <w:right w:val="single" w:sz="2" w:space="0" w:color="auto"/>
            </w:tcBorders>
            <w:vAlign w:val="center"/>
          </w:tcPr>
          <w:p w14:paraId="239C58AE"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4002C668"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5824A4A"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268CFCD" w14:textId="77777777" w:rsidR="007B3DB2" w:rsidRPr="0063248C" w:rsidRDefault="00000000">
            <w:pPr>
              <w:spacing w:line="240" w:lineRule="exact"/>
              <w:rPr>
                <w:rFonts w:cs="宋体"/>
                <w:sz w:val="18"/>
                <w:szCs w:val="18"/>
              </w:rPr>
            </w:pPr>
            <w:r w:rsidRPr="0063248C">
              <w:rPr>
                <w:rFonts w:cs="宋体"/>
                <w:sz w:val="18"/>
                <w:szCs w:val="18"/>
              </w:rPr>
              <w:t>2023.05.25-2028.05.23</w:t>
            </w:r>
          </w:p>
        </w:tc>
        <w:tc>
          <w:tcPr>
            <w:tcW w:w="454" w:type="pct"/>
            <w:tcBorders>
              <w:top w:val="single" w:sz="2" w:space="0" w:color="auto"/>
              <w:left w:val="single" w:sz="2" w:space="0" w:color="auto"/>
              <w:bottom w:val="single" w:sz="2" w:space="0" w:color="auto"/>
              <w:right w:val="single" w:sz="2" w:space="0" w:color="auto"/>
            </w:tcBorders>
            <w:vAlign w:val="center"/>
          </w:tcPr>
          <w:p w14:paraId="79F8B9EB"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56017364"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430709DA"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7DD5B714" w14:textId="77777777" w:rsidR="007B3DB2" w:rsidRPr="0063248C" w:rsidRDefault="00000000">
            <w:pPr>
              <w:spacing w:line="240" w:lineRule="exact"/>
              <w:rPr>
                <w:rFonts w:cs="宋体"/>
                <w:sz w:val="18"/>
                <w:szCs w:val="18"/>
              </w:rPr>
            </w:pPr>
            <w:r w:rsidRPr="0063248C">
              <w:rPr>
                <w:rFonts w:cs="宋体"/>
                <w:sz w:val="18"/>
                <w:szCs w:val="18"/>
              </w:rPr>
              <w:t>巴中龙大肉食品有限公司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0ADD88B5"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02</w:t>
            </w:r>
            <w:r w:rsidRPr="0063248C">
              <w:rPr>
                <w:rFonts w:cs="宋体"/>
                <w:sz w:val="18"/>
                <w:szCs w:val="18"/>
              </w:rPr>
              <w:t>月</w:t>
            </w:r>
            <w:r w:rsidRPr="0063248C">
              <w:rPr>
                <w:rFonts w:cs="宋体"/>
                <w:sz w:val="18"/>
                <w:szCs w:val="18"/>
              </w:rPr>
              <w:t>28</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6FD246C4"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70F1C430"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29</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600505D"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5517BB0D"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0A6FD591"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F60C81B"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EE9A8FF" w14:textId="77777777" w:rsidR="007B3DB2" w:rsidRPr="0063248C" w:rsidRDefault="00000000">
            <w:pPr>
              <w:spacing w:line="240" w:lineRule="exact"/>
              <w:rPr>
                <w:rFonts w:cs="宋体"/>
                <w:sz w:val="18"/>
                <w:szCs w:val="18"/>
              </w:rPr>
            </w:pPr>
            <w:r w:rsidRPr="0063248C">
              <w:rPr>
                <w:rFonts w:cs="宋体"/>
                <w:sz w:val="18"/>
                <w:szCs w:val="18"/>
              </w:rPr>
              <w:t>2024.01.29-2025.01.20</w:t>
            </w:r>
          </w:p>
        </w:tc>
        <w:tc>
          <w:tcPr>
            <w:tcW w:w="454" w:type="pct"/>
            <w:tcBorders>
              <w:top w:val="single" w:sz="2" w:space="0" w:color="auto"/>
              <w:left w:val="single" w:sz="2" w:space="0" w:color="auto"/>
              <w:bottom w:val="single" w:sz="2" w:space="0" w:color="auto"/>
              <w:right w:val="single" w:sz="2" w:space="0" w:color="auto"/>
            </w:tcBorders>
            <w:vAlign w:val="center"/>
          </w:tcPr>
          <w:p w14:paraId="25051BC6"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50074C4D"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790FD324"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0011CEE9" w14:textId="77777777" w:rsidR="007B3DB2" w:rsidRPr="0063248C" w:rsidRDefault="00000000">
            <w:pPr>
              <w:spacing w:line="240" w:lineRule="exact"/>
              <w:rPr>
                <w:rFonts w:cs="宋体"/>
                <w:sz w:val="18"/>
                <w:szCs w:val="18"/>
              </w:rPr>
            </w:pPr>
            <w:r w:rsidRPr="0063248C">
              <w:rPr>
                <w:rFonts w:cs="宋体"/>
                <w:sz w:val="18"/>
                <w:szCs w:val="18"/>
              </w:rPr>
              <w:t>青岛新胜</w:t>
            </w:r>
            <w:proofErr w:type="gramStart"/>
            <w:r w:rsidRPr="0063248C">
              <w:rPr>
                <w:rFonts w:cs="宋体"/>
                <w:sz w:val="18"/>
                <w:szCs w:val="18"/>
              </w:rPr>
              <w:t>锦食品</w:t>
            </w:r>
            <w:proofErr w:type="gramEnd"/>
            <w:r w:rsidRPr="0063248C">
              <w:rPr>
                <w:rFonts w:cs="宋体"/>
                <w:sz w:val="18"/>
                <w:szCs w:val="18"/>
              </w:rPr>
              <w:t>商贸有限公司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463B6489"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31</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6F8CB5D5" w14:textId="77777777" w:rsidR="007B3DB2" w:rsidRPr="0063248C" w:rsidRDefault="00000000">
            <w:pPr>
              <w:spacing w:line="240" w:lineRule="exact"/>
              <w:jc w:val="right"/>
              <w:rPr>
                <w:rFonts w:cs="宋体"/>
                <w:sz w:val="18"/>
                <w:szCs w:val="18"/>
              </w:rPr>
            </w:pPr>
            <w:r w:rsidRPr="0063248C">
              <w:rPr>
                <w:rFonts w:cs="宋体"/>
                <w:sz w:val="18"/>
                <w:szCs w:val="18"/>
              </w:rPr>
              <w:t>1,000</w:t>
            </w:r>
          </w:p>
        </w:tc>
        <w:tc>
          <w:tcPr>
            <w:tcW w:w="455" w:type="pct"/>
            <w:tcBorders>
              <w:top w:val="single" w:sz="2" w:space="0" w:color="auto"/>
              <w:left w:val="single" w:sz="2" w:space="0" w:color="auto"/>
              <w:bottom w:val="single" w:sz="2" w:space="0" w:color="auto"/>
              <w:right w:val="single" w:sz="2" w:space="0" w:color="auto"/>
            </w:tcBorders>
            <w:vAlign w:val="center"/>
          </w:tcPr>
          <w:p w14:paraId="0428A099"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31</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5A5B692"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6159C03A"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4B304BF5"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16DEDC82"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EBE2D48" w14:textId="77777777" w:rsidR="007B3DB2" w:rsidRPr="0063248C" w:rsidRDefault="00000000">
            <w:pPr>
              <w:spacing w:line="240" w:lineRule="exact"/>
              <w:rPr>
                <w:rFonts w:cs="宋体"/>
                <w:sz w:val="18"/>
                <w:szCs w:val="18"/>
              </w:rPr>
            </w:pPr>
            <w:r w:rsidRPr="0063248C">
              <w:rPr>
                <w:rFonts w:cs="宋体"/>
                <w:sz w:val="18"/>
                <w:szCs w:val="18"/>
              </w:rPr>
              <w:t>2023.07.31-2024.07.28</w:t>
            </w:r>
          </w:p>
        </w:tc>
        <w:tc>
          <w:tcPr>
            <w:tcW w:w="454" w:type="pct"/>
            <w:tcBorders>
              <w:top w:val="single" w:sz="2" w:space="0" w:color="auto"/>
              <w:left w:val="single" w:sz="2" w:space="0" w:color="auto"/>
              <w:bottom w:val="single" w:sz="2" w:space="0" w:color="auto"/>
              <w:right w:val="single" w:sz="2" w:space="0" w:color="auto"/>
            </w:tcBorders>
            <w:vAlign w:val="center"/>
          </w:tcPr>
          <w:p w14:paraId="60DC1CFD"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7750FD3C"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2D06734A"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6F23FF17" w14:textId="77777777" w:rsidR="007B3DB2" w:rsidRPr="0063248C" w:rsidRDefault="00000000">
            <w:pPr>
              <w:spacing w:line="240" w:lineRule="exact"/>
              <w:rPr>
                <w:rFonts w:cs="宋体"/>
                <w:sz w:val="18"/>
                <w:szCs w:val="18"/>
              </w:rPr>
            </w:pPr>
            <w:r w:rsidRPr="0063248C">
              <w:rPr>
                <w:rFonts w:cs="宋体"/>
                <w:sz w:val="18"/>
                <w:szCs w:val="18"/>
              </w:rPr>
              <w:t>成都龙大肉食品有限公司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52FE0EAA"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09</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77856C97" w14:textId="77777777" w:rsidR="007B3DB2" w:rsidRPr="0063248C" w:rsidRDefault="00000000">
            <w:pPr>
              <w:spacing w:line="240" w:lineRule="exact"/>
              <w:jc w:val="right"/>
              <w:rPr>
                <w:rFonts w:cs="宋体"/>
                <w:sz w:val="18"/>
                <w:szCs w:val="18"/>
              </w:rPr>
            </w:pPr>
            <w:r w:rsidRPr="0063248C">
              <w:rPr>
                <w:rFonts w:cs="宋体"/>
                <w:sz w:val="18"/>
                <w:szCs w:val="18"/>
              </w:rPr>
              <w:t>1,000</w:t>
            </w:r>
          </w:p>
        </w:tc>
        <w:tc>
          <w:tcPr>
            <w:tcW w:w="455" w:type="pct"/>
            <w:tcBorders>
              <w:top w:val="single" w:sz="2" w:space="0" w:color="auto"/>
              <w:left w:val="single" w:sz="2" w:space="0" w:color="auto"/>
              <w:bottom w:val="single" w:sz="2" w:space="0" w:color="auto"/>
              <w:right w:val="single" w:sz="2" w:space="0" w:color="auto"/>
            </w:tcBorders>
            <w:vAlign w:val="center"/>
          </w:tcPr>
          <w:p w14:paraId="54A3DF14"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09</w:t>
            </w:r>
            <w:r w:rsidRPr="0063248C">
              <w:rPr>
                <w:rFonts w:cs="宋体"/>
                <w:sz w:val="18"/>
                <w:szCs w:val="18"/>
              </w:rPr>
              <w:t>月</w:t>
            </w:r>
            <w:r w:rsidRPr="0063248C">
              <w:rPr>
                <w:rFonts w:cs="宋体"/>
                <w:sz w:val="18"/>
                <w:szCs w:val="18"/>
              </w:rPr>
              <w:t>27</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DB1F6C8" w14:textId="77777777" w:rsidR="007B3DB2" w:rsidRPr="0063248C" w:rsidRDefault="00000000">
            <w:pPr>
              <w:spacing w:line="240" w:lineRule="exact"/>
              <w:jc w:val="right"/>
              <w:rPr>
                <w:rFonts w:cs="宋体"/>
                <w:sz w:val="18"/>
                <w:szCs w:val="18"/>
              </w:rPr>
            </w:pPr>
            <w:r w:rsidRPr="0063248C">
              <w:rPr>
                <w:rFonts w:cs="宋体"/>
                <w:sz w:val="18"/>
                <w:szCs w:val="18"/>
              </w:rPr>
              <w:t>920</w:t>
            </w:r>
          </w:p>
        </w:tc>
        <w:tc>
          <w:tcPr>
            <w:tcW w:w="455" w:type="pct"/>
            <w:tcBorders>
              <w:top w:val="single" w:sz="2" w:space="0" w:color="auto"/>
              <w:left w:val="single" w:sz="2" w:space="0" w:color="auto"/>
              <w:bottom w:val="single" w:sz="2" w:space="0" w:color="auto"/>
              <w:right w:val="single" w:sz="2" w:space="0" w:color="auto"/>
            </w:tcBorders>
            <w:vAlign w:val="center"/>
          </w:tcPr>
          <w:p w14:paraId="1F551B71"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1F0A8E27"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2FC284F"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EA35D1A" w14:textId="77777777" w:rsidR="007B3DB2" w:rsidRPr="0063248C" w:rsidRDefault="00000000">
            <w:pPr>
              <w:spacing w:line="240" w:lineRule="exact"/>
              <w:rPr>
                <w:rFonts w:cs="宋体"/>
                <w:sz w:val="18"/>
                <w:szCs w:val="18"/>
              </w:rPr>
            </w:pPr>
            <w:r w:rsidRPr="0063248C">
              <w:rPr>
                <w:rFonts w:cs="宋体"/>
                <w:sz w:val="18"/>
                <w:szCs w:val="18"/>
              </w:rPr>
              <w:t>2023.09.27-2024.09.26</w:t>
            </w:r>
          </w:p>
        </w:tc>
        <w:tc>
          <w:tcPr>
            <w:tcW w:w="454" w:type="pct"/>
            <w:tcBorders>
              <w:top w:val="single" w:sz="2" w:space="0" w:color="auto"/>
              <w:left w:val="single" w:sz="2" w:space="0" w:color="auto"/>
              <w:bottom w:val="single" w:sz="2" w:space="0" w:color="auto"/>
              <w:right w:val="single" w:sz="2" w:space="0" w:color="auto"/>
            </w:tcBorders>
            <w:vAlign w:val="center"/>
          </w:tcPr>
          <w:p w14:paraId="6C3798C4"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2BEC8DBE"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42F94A71"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6B819960" w14:textId="77777777" w:rsidR="007B3DB2" w:rsidRPr="0063248C" w:rsidRDefault="00000000">
            <w:pPr>
              <w:spacing w:line="240" w:lineRule="exact"/>
              <w:rPr>
                <w:rFonts w:cs="宋体"/>
                <w:sz w:val="18"/>
                <w:szCs w:val="18"/>
              </w:rPr>
            </w:pPr>
            <w:r w:rsidRPr="0063248C">
              <w:rPr>
                <w:rFonts w:cs="宋体"/>
                <w:sz w:val="18"/>
                <w:szCs w:val="18"/>
              </w:rPr>
              <w:t>成都龙大肉食品有限公司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65E5DA41"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10</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DF2DC7C" w14:textId="77777777" w:rsidR="007B3DB2" w:rsidRPr="0063248C" w:rsidRDefault="00000000">
            <w:pPr>
              <w:spacing w:line="240" w:lineRule="exact"/>
              <w:jc w:val="right"/>
              <w:rPr>
                <w:rFonts w:cs="宋体"/>
                <w:sz w:val="18"/>
                <w:szCs w:val="18"/>
              </w:rPr>
            </w:pPr>
            <w:r w:rsidRPr="0063248C">
              <w:rPr>
                <w:rFonts w:cs="宋体"/>
                <w:sz w:val="18"/>
                <w:szCs w:val="18"/>
              </w:rPr>
              <w:t>35,000</w:t>
            </w:r>
          </w:p>
        </w:tc>
        <w:tc>
          <w:tcPr>
            <w:tcW w:w="455" w:type="pct"/>
            <w:tcBorders>
              <w:top w:val="single" w:sz="2" w:space="0" w:color="auto"/>
              <w:left w:val="single" w:sz="2" w:space="0" w:color="auto"/>
              <w:bottom w:val="single" w:sz="2" w:space="0" w:color="auto"/>
              <w:right w:val="single" w:sz="2" w:space="0" w:color="auto"/>
            </w:tcBorders>
            <w:vAlign w:val="center"/>
          </w:tcPr>
          <w:p w14:paraId="290157F7"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10</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3986D2E" w14:textId="77777777" w:rsidR="007B3DB2" w:rsidRPr="0063248C" w:rsidRDefault="00000000">
            <w:pPr>
              <w:spacing w:line="240" w:lineRule="exact"/>
              <w:jc w:val="right"/>
              <w:rPr>
                <w:rFonts w:cs="宋体"/>
                <w:sz w:val="18"/>
                <w:szCs w:val="18"/>
              </w:rPr>
            </w:pPr>
            <w:r w:rsidRPr="0063248C">
              <w:rPr>
                <w:rFonts w:cs="宋体"/>
                <w:sz w:val="18"/>
                <w:szCs w:val="18"/>
              </w:rPr>
              <w:t>35,000</w:t>
            </w:r>
          </w:p>
        </w:tc>
        <w:tc>
          <w:tcPr>
            <w:tcW w:w="455" w:type="pct"/>
            <w:tcBorders>
              <w:top w:val="single" w:sz="2" w:space="0" w:color="auto"/>
              <w:left w:val="single" w:sz="2" w:space="0" w:color="auto"/>
              <w:bottom w:val="single" w:sz="2" w:space="0" w:color="auto"/>
              <w:right w:val="single" w:sz="2" w:space="0" w:color="auto"/>
            </w:tcBorders>
            <w:vAlign w:val="center"/>
          </w:tcPr>
          <w:p w14:paraId="79A15E5E"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3EAE2220"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96007B5"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4147BAD" w14:textId="77777777" w:rsidR="007B3DB2" w:rsidRPr="0063248C" w:rsidRDefault="00000000">
            <w:pPr>
              <w:spacing w:line="240" w:lineRule="exact"/>
              <w:rPr>
                <w:rFonts w:cs="宋体"/>
                <w:sz w:val="18"/>
                <w:szCs w:val="18"/>
              </w:rPr>
            </w:pPr>
            <w:r w:rsidRPr="0063248C">
              <w:rPr>
                <w:rFonts w:cs="宋体"/>
                <w:sz w:val="18"/>
                <w:szCs w:val="18"/>
              </w:rPr>
              <w:t>2023.10.25-2024.10.24</w:t>
            </w:r>
          </w:p>
        </w:tc>
        <w:tc>
          <w:tcPr>
            <w:tcW w:w="454" w:type="pct"/>
            <w:tcBorders>
              <w:top w:val="single" w:sz="2" w:space="0" w:color="auto"/>
              <w:left w:val="single" w:sz="2" w:space="0" w:color="auto"/>
              <w:bottom w:val="single" w:sz="2" w:space="0" w:color="auto"/>
              <w:right w:val="single" w:sz="2" w:space="0" w:color="auto"/>
            </w:tcBorders>
            <w:vAlign w:val="center"/>
          </w:tcPr>
          <w:p w14:paraId="10D97C49"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0281A73C"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131E1A13"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70A999E1"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358152DC" w14:textId="77777777" w:rsidR="007B3DB2" w:rsidRPr="0063248C" w:rsidRDefault="00000000">
            <w:pPr>
              <w:spacing w:line="240" w:lineRule="exact"/>
              <w:rPr>
                <w:rFonts w:cs="宋体"/>
                <w:sz w:val="18"/>
                <w:szCs w:val="18"/>
              </w:rPr>
            </w:pPr>
            <w:r w:rsidRPr="0063248C">
              <w:rPr>
                <w:rFonts w:cs="宋体"/>
                <w:sz w:val="18"/>
                <w:szCs w:val="18"/>
              </w:rPr>
              <w:t>2022</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D54A128"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72B75033"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10</w:t>
            </w:r>
            <w:r w:rsidRPr="0063248C">
              <w:rPr>
                <w:rFonts w:cs="宋体"/>
                <w:sz w:val="18"/>
                <w:szCs w:val="18"/>
              </w:rPr>
              <w:t>月</w:t>
            </w:r>
            <w:r w:rsidRPr="0063248C">
              <w:rPr>
                <w:rFonts w:cs="宋体"/>
                <w:sz w:val="18"/>
                <w:szCs w:val="18"/>
              </w:rPr>
              <w:t>10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7D8C981B"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15B42D16"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3C326069"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3A9778E"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75C7381" w14:textId="77777777" w:rsidR="007B3DB2" w:rsidRPr="0063248C" w:rsidRDefault="00000000">
            <w:pPr>
              <w:spacing w:line="240" w:lineRule="exact"/>
              <w:rPr>
                <w:rFonts w:cs="宋体"/>
                <w:sz w:val="18"/>
                <w:szCs w:val="18"/>
              </w:rPr>
            </w:pPr>
            <w:r w:rsidRPr="0063248C">
              <w:rPr>
                <w:rFonts w:cs="宋体"/>
                <w:sz w:val="18"/>
                <w:szCs w:val="18"/>
              </w:rPr>
              <w:t>2023.10.10-2024.10.09</w:t>
            </w:r>
          </w:p>
        </w:tc>
        <w:tc>
          <w:tcPr>
            <w:tcW w:w="454" w:type="pct"/>
            <w:tcBorders>
              <w:top w:val="single" w:sz="2" w:space="0" w:color="auto"/>
              <w:left w:val="single" w:sz="2" w:space="0" w:color="auto"/>
              <w:bottom w:val="single" w:sz="2" w:space="0" w:color="auto"/>
              <w:right w:val="single" w:sz="2" w:space="0" w:color="auto"/>
            </w:tcBorders>
            <w:vAlign w:val="center"/>
          </w:tcPr>
          <w:p w14:paraId="40C7EB83"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50A2DDA6"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127BFA06"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04DB0C8B"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627CE877" w14:textId="77777777" w:rsidR="007B3DB2" w:rsidRPr="0063248C" w:rsidRDefault="00000000">
            <w:pPr>
              <w:spacing w:line="240" w:lineRule="exact"/>
              <w:rPr>
                <w:rFonts w:cs="宋体"/>
                <w:sz w:val="18"/>
                <w:szCs w:val="18"/>
              </w:rPr>
            </w:pPr>
            <w:r w:rsidRPr="0063248C">
              <w:rPr>
                <w:rFonts w:cs="宋体"/>
                <w:sz w:val="18"/>
                <w:szCs w:val="18"/>
              </w:rPr>
              <w:t>2022</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6CEF115E"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2A7A31D2"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10</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CD603B5"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2958F5FF"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54E1F6CD"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BC5F507"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4561695" w14:textId="77777777" w:rsidR="007B3DB2" w:rsidRPr="0063248C" w:rsidRDefault="00000000">
            <w:pPr>
              <w:spacing w:line="240" w:lineRule="exact"/>
              <w:rPr>
                <w:rFonts w:cs="宋体"/>
                <w:sz w:val="18"/>
                <w:szCs w:val="18"/>
              </w:rPr>
            </w:pPr>
            <w:r w:rsidRPr="0063248C">
              <w:rPr>
                <w:rFonts w:cs="宋体"/>
                <w:sz w:val="18"/>
                <w:szCs w:val="18"/>
              </w:rPr>
              <w:t>2023.10.25-2024.10.24</w:t>
            </w:r>
          </w:p>
        </w:tc>
        <w:tc>
          <w:tcPr>
            <w:tcW w:w="454" w:type="pct"/>
            <w:tcBorders>
              <w:top w:val="single" w:sz="2" w:space="0" w:color="auto"/>
              <w:left w:val="single" w:sz="2" w:space="0" w:color="auto"/>
              <w:bottom w:val="single" w:sz="2" w:space="0" w:color="auto"/>
              <w:right w:val="single" w:sz="2" w:space="0" w:color="auto"/>
            </w:tcBorders>
            <w:vAlign w:val="center"/>
          </w:tcPr>
          <w:p w14:paraId="25AD5AE0"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068409E3"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39E2A102"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39336044"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0300F15D" w14:textId="77777777" w:rsidR="007B3DB2" w:rsidRPr="0063248C" w:rsidRDefault="00000000">
            <w:pPr>
              <w:spacing w:line="240" w:lineRule="exact"/>
              <w:rPr>
                <w:rFonts w:cs="宋体"/>
                <w:sz w:val="18"/>
                <w:szCs w:val="18"/>
              </w:rPr>
            </w:pPr>
            <w:r w:rsidRPr="0063248C">
              <w:rPr>
                <w:rFonts w:cs="宋体"/>
                <w:sz w:val="18"/>
                <w:szCs w:val="18"/>
              </w:rPr>
              <w:t>2022</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6383C66"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4671F710"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10</w:t>
            </w:r>
            <w:r w:rsidRPr="0063248C">
              <w:rPr>
                <w:rFonts w:cs="宋体"/>
                <w:sz w:val="18"/>
                <w:szCs w:val="18"/>
              </w:rPr>
              <w:t>月</w:t>
            </w:r>
            <w:r w:rsidRPr="0063248C">
              <w:rPr>
                <w:rFonts w:cs="宋体"/>
                <w:sz w:val="18"/>
                <w:szCs w:val="18"/>
              </w:rPr>
              <w:t>28</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D2001C6"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6FF0BE0D"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01B7F09D"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8965C21"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B590E19" w14:textId="77777777" w:rsidR="007B3DB2" w:rsidRPr="0063248C" w:rsidRDefault="00000000">
            <w:pPr>
              <w:spacing w:line="240" w:lineRule="exact"/>
              <w:rPr>
                <w:rFonts w:cs="宋体"/>
                <w:sz w:val="18"/>
                <w:szCs w:val="18"/>
              </w:rPr>
            </w:pPr>
            <w:r w:rsidRPr="0063248C">
              <w:rPr>
                <w:rFonts w:cs="宋体"/>
                <w:sz w:val="18"/>
                <w:szCs w:val="18"/>
              </w:rPr>
              <w:t>2023.10.28-2024.10.27</w:t>
            </w:r>
          </w:p>
        </w:tc>
        <w:tc>
          <w:tcPr>
            <w:tcW w:w="454" w:type="pct"/>
            <w:tcBorders>
              <w:top w:val="single" w:sz="2" w:space="0" w:color="auto"/>
              <w:left w:val="single" w:sz="2" w:space="0" w:color="auto"/>
              <w:bottom w:val="single" w:sz="2" w:space="0" w:color="auto"/>
              <w:right w:val="single" w:sz="2" w:space="0" w:color="auto"/>
            </w:tcBorders>
            <w:vAlign w:val="center"/>
          </w:tcPr>
          <w:p w14:paraId="727E90B6"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7C829D8A"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60F9651A"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6479687"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436699DA" w14:textId="77777777" w:rsidR="007B3DB2" w:rsidRPr="0063248C" w:rsidRDefault="00000000">
            <w:pPr>
              <w:spacing w:line="240" w:lineRule="exact"/>
              <w:rPr>
                <w:rFonts w:cs="宋体"/>
                <w:sz w:val="18"/>
                <w:szCs w:val="18"/>
              </w:rPr>
            </w:pPr>
            <w:r w:rsidRPr="0063248C">
              <w:rPr>
                <w:rFonts w:cs="宋体"/>
                <w:sz w:val="18"/>
                <w:szCs w:val="18"/>
              </w:rPr>
              <w:t>2022</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2290DBF"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0C013228"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10</w:t>
            </w:r>
            <w:r w:rsidRPr="0063248C">
              <w:rPr>
                <w:rFonts w:cs="宋体"/>
                <w:sz w:val="18"/>
                <w:szCs w:val="18"/>
              </w:rPr>
              <w:t>月</w:t>
            </w:r>
            <w:r w:rsidRPr="0063248C">
              <w:rPr>
                <w:rFonts w:cs="宋体"/>
                <w:sz w:val="18"/>
                <w:szCs w:val="18"/>
              </w:rPr>
              <w:t>31</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4EDCCE0"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51D96485"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1BF23688"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622CEAE"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05FC9CA" w14:textId="77777777" w:rsidR="007B3DB2" w:rsidRPr="0063248C" w:rsidRDefault="00000000">
            <w:pPr>
              <w:spacing w:line="240" w:lineRule="exact"/>
              <w:rPr>
                <w:rFonts w:cs="宋体"/>
                <w:sz w:val="18"/>
                <w:szCs w:val="18"/>
              </w:rPr>
            </w:pPr>
            <w:r w:rsidRPr="0063248C">
              <w:rPr>
                <w:rFonts w:cs="宋体"/>
                <w:sz w:val="18"/>
                <w:szCs w:val="18"/>
              </w:rPr>
              <w:t>2023.10.31-2024.10.30</w:t>
            </w:r>
          </w:p>
        </w:tc>
        <w:tc>
          <w:tcPr>
            <w:tcW w:w="454" w:type="pct"/>
            <w:tcBorders>
              <w:top w:val="single" w:sz="2" w:space="0" w:color="auto"/>
              <w:left w:val="single" w:sz="2" w:space="0" w:color="auto"/>
              <w:bottom w:val="single" w:sz="2" w:space="0" w:color="auto"/>
              <w:right w:val="single" w:sz="2" w:space="0" w:color="auto"/>
            </w:tcBorders>
            <w:vAlign w:val="center"/>
          </w:tcPr>
          <w:p w14:paraId="25CD4FC2"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5079853D"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2857C32F"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5AA87E85"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0D0A999F"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6AB4326A"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1DFEFB8E"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A053167"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14452CD0"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3CD4ECB9"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F8A41C8"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60A87ED" w14:textId="77777777" w:rsidR="007B3DB2" w:rsidRPr="0063248C" w:rsidRDefault="00000000">
            <w:pPr>
              <w:spacing w:line="240" w:lineRule="exact"/>
              <w:rPr>
                <w:rFonts w:cs="宋体"/>
                <w:sz w:val="18"/>
                <w:szCs w:val="18"/>
              </w:rPr>
            </w:pPr>
            <w:r w:rsidRPr="0063248C">
              <w:rPr>
                <w:rFonts w:cs="宋体"/>
                <w:sz w:val="18"/>
                <w:szCs w:val="18"/>
              </w:rPr>
              <w:t>2023.07.25-2024.07.24</w:t>
            </w:r>
          </w:p>
        </w:tc>
        <w:tc>
          <w:tcPr>
            <w:tcW w:w="454" w:type="pct"/>
            <w:tcBorders>
              <w:top w:val="single" w:sz="2" w:space="0" w:color="auto"/>
              <w:left w:val="single" w:sz="2" w:space="0" w:color="auto"/>
              <w:bottom w:val="single" w:sz="2" w:space="0" w:color="auto"/>
              <w:right w:val="single" w:sz="2" w:space="0" w:color="auto"/>
            </w:tcBorders>
            <w:vAlign w:val="center"/>
          </w:tcPr>
          <w:p w14:paraId="5D0D42A6"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60C2B2F1"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600D94A7"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9E7B0AC" w14:textId="77777777" w:rsidR="007B3DB2" w:rsidRPr="0063248C" w:rsidRDefault="00000000">
            <w:pPr>
              <w:spacing w:line="240" w:lineRule="exact"/>
              <w:rPr>
                <w:rFonts w:cs="宋体"/>
                <w:sz w:val="18"/>
                <w:szCs w:val="18"/>
              </w:rPr>
            </w:pPr>
            <w:r w:rsidRPr="0063248C">
              <w:rPr>
                <w:rFonts w:cs="宋体"/>
                <w:sz w:val="18"/>
                <w:szCs w:val="18"/>
              </w:rPr>
              <w:lastRenderedPageBreak/>
              <w:t>黑龙江龙大肉食品有限公司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5871A514"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AD6CE01"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3DA9B8C2"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27</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321AD63"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2E0590AC"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268BEAEE"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60C07B22"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340BCEA" w14:textId="77777777" w:rsidR="007B3DB2" w:rsidRPr="0063248C" w:rsidRDefault="00000000">
            <w:pPr>
              <w:spacing w:line="240" w:lineRule="exact"/>
              <w:rPr>
                <w:rFonts w:cs="宋体"/>
                <w:sz w:val="18"/>
                <w:szCs w:val="18"/>
              </w:rPr>
            </w:pPr>
            <w:r w:rsidRPr="0063248C">
              <w:rPr>
                <w:rFonts w:cs="宋体"/>
                <w:sz w:val="18"/>
                <w:szCs w:val="18"/>
              </w:rPr>
              <w:t>2023.07.27-2024.07.26</w:t>
            </w:r>
          </w:p>
        </w:tc>
        <w:tc>
          <w:tcPr>
            <w:tcW w:w="454" w:type="pct"/>
            <w:tcBorders>
              <w:top w:val="single" w:sz="2" w:space="0" w:color="auto"/>
              <w:left w:val="single" w:sz="2" w:space="0" w:color="auto"/>
              <w:bottom w:val="single" w:sz="2" w:space="0" w:color="auto"/>
              <w:right w:val="single" w:sz="2" w:space="0" w:color="auto"/>
            </w:tcBorders>
            <w:vAlign w:val="center"/>
          </w:tcPr>
          <w:p w14:paraId="759C369E"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04E854E5"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3E49C668"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040CC51B"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78F248A3"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1D99F63"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14C44A58"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02</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4964E059"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3DFF80A9"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0DF7B46E"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2D19C0D"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6E5C927C" w14:textId="77777777" w:rsidR="007B3DB2" w:rsidRPr="0063248C" w:rsidRDefault="00000000">
            <w:pPr>
              <w:spacing w:line="240" w:lineRule="exact"/>
              <w:rPr>
                <w:rFonts w:cs="宋体"/>
                <w:sz w:val="18"/>
                <w:szCs w:val="18"/>
              </w:rPr>
            </w:pPr>
            <w:r w:rsidRPr="0063248C">
              <w:rPr>
                <w:rFonts w:cs="宋体"/>
                <w:sz w:val="18"/>
                <w:szCs w:val="18"/>
              </w:rPr>
              <w:t>2023.08.02-2024.08.01</w:t>
            </w:r>
          </w:p>
        </w:tc>
        <w:tc>
          <w:tcPr>
            <w:tcW w:w="454" w:type="pct"/>
            <w:tcBorders>
              <w:top w:val="single" w:sz="2" w:space="0" w:color="auto"/>
              <w:left w:val="single" w:sz="2" w:space="0" w:color="auto"/>
              <w:bottom w:val="single" w:sz="2" w:space="0" w:color="auto"/>
              <w:right w:val="single" w:sz="2" w:space="0" w:color="auto"/>
            </w:tcBorders>
            <w:vAlign w:val="center"/>
          </w:tcPr>
          <w:p w14:paraId="706C914F"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100F840E"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68F6290C"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2F4D5BE6"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45CB5168"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3FEEE3B" w14:textId="77777777" w:rsidR="007B3DB2" w:rsidRPr="0063248C" w:rsidRDefault="00000000">
            <w:pPr>
              <w:spacing w:line="240" w:lineRule="exact"/>
              <w:jc w:val="right"/>
              <w:rPr>
                <w:rFonts w:cs="宋体"/>
                <w:sz w:val="18"/>
                <w:szCs w:val="18"/>
              </w:rPr>
            </w:pPr>
            <w:r w:rsidRPr="0063248C">
              <w:rPr>
                <w:rFonts w:cs="宋体"/>
                <w:sz w:val="18"/>
                <w:szCs w:val="18"/>
              </w:rPr>
              <w:t>2,000</w:t>
            </w:r>
          </w:p>
        </w:tc>
        <w:tc>
          <w:tcPr>
            <w:tcW w:w="455" w:type="pct"/>
            <w:tcBorders>
              <w:top w:val="single" w:sz="2" w:space="0" w:color="auto"/>
              <w:left w:val="single" w:sz="2" w:space="0" w:color="auto"/>
              <w:bottom w:val="single" w:sz="2" w:space="0" w:color="auto"/>
              <w:right w:val="single" w:sz="2" w:space="0" w:color="auto"/>
            </w:tcBorders>
            <w:vAlign w:val="center"/>
          </w:tcPr>
          <w:p w14:paraId="0606130C"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04</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2155D05" w14:textId="77777777" w:rsidR="007B3DB2" w:rsidRPr="0063248C" w:rsidRDefault="00000000">
            <w:pPr>
              <w:spacing w:line="240" w:lineRule="exact"/>
              <w:jc w:val="right"/>
              <w:rPr>
                <w:rFonts w:cs="宋体"/>
                <w:sz w:val="18"/>
                <w:szCs w:val="18"/>
              </w:rPr>
            </w:pPr>
            <w:r w:rsidRPr="0063248C">
              <w:rPr>
                <w:rFonts w:cs="宋体"/>
                <w:sz w:val="18"/>
                <w:szCs w:val="18"/>
              </w:rPr>
              <w:t>500</w:t>
            </w:r>
          </w:p>
        </w:tc>
        <w:tc>
          <w:tcPr>
            <w:tcW w:w="455" w:type="pct"/>
            <w:tcBorders>
              <w:top w:val="single" w:sz="2" w:space="0" w:color="auto"/>
              <w:left w:val="single" w:sz="2" w:space="0" w:color="auto"/>
              <w:bottom w:val="single" w:sz="2" w:space="0" w:color="auto"/>
              <w:right w:val="single" w:sz="2" w:space="0" w:color="auto"/>
            </w:tcBorders>
            <w:vAlign w:val="center"/>
          </w:tcPr>
          <w:p w14:paraId="789E625A"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6F301938"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344635F"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11A4E7E4" w14:textId="77777777" w:rsidR="007B3DB2" w:rsidRPr="0063248C" w:rsidRDefault="00000000">
            <w:pPr>
              <w:spacing w:line="240" w:lineRule="exact"/>
              <w:rPr>
                <w:rFonts w:cs="宋体"/>
                <w:sz w:val="18"/>
                <w:szCs w:val="18"/>
              </w:rPr>
            </w:pPr>
            <w:r w:rsidRPr="0063248C">
              <w:rPr>
                <w:rFonts w:cs="宋体"/>
                <w:sz w:val="18"/>
                <w:szCs w:val="18"/>
              </w:rPr>
              <w:t>2023.08.04-2024.08.03</w:t>
            </w:r>
          </w:p>
        </w:tc>
        <w:tc>
          <w:tcPr>
            <w:tcW w:w="454" w:type="pct"/>
            <w:tcBorders>
              <w:top w:val="single" w:sz="2" w:space="0" w:color="auto"/>
              <w:left w:val="single" w:sz="2" w:space="0" w:color="auto"/>
              <w:bottom w:val="single" w:sz="2" w:space="0" w:color="auto"/>
              <w:right w:val="single" w:sz="2" w:space="0" w:color="auto"/>
            </w:tcBorders>
            <w:vAlign w:val="center"/>
          </w:tcPr>
          <w:p w14:paraId="7E60C807"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61E6A934"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6A869B65"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691A68C"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5CAF25FE"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13</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46517902" w14:textId="77777777" w:rsidR="007B3DB2" w:rsidRPr="0063248C" w:rsidRDefault="00000000">
            <w:pPr>
              <w:spacing w:line="240" w:lineRule="exact"/>
              <w:jc w:val="right"/>
              <w:rPr>
                <w:rFonts w:cs="宋体"/>
                <w:sz w:val="18"/>
                <w:szCs w:val="18"/>
              </w:rPr>
            </w:pPr>
            <w:r w:rsidRPr="0063248C">
              <w:rPr>
                <w:rFonts w:cs="宋体"/>
                <w:sz w:val="18"/>
                <w:szCs w:val="18"/>
              </w:rPr>
              <w:t>15,000</w:t>
            </w:r>
          </w:p>
        </w:tc>
        <w:tc>
          <w:tcPr>
            <w:tcW w:w="455" w:type="pct"/>
            <w:tcBorders>
              <w:top w:val="single" w:sz="2" w:space="0" w:color="auto"/>
              <w:left w:val="single" w:sz="2" w:space="0" w:color="auto"/>
              <w:bottom w:val="single" w:sz="2" w:space="0" w:color="auto"/>
              <w:right w:val="single" w:sz="2" w:space="0" w:color="auto"/>
            </w:tcBorders>
            <w:vAlign w:val="center"/>
          </w:tcPr>
          <w:p w14:paraId="3E9C259B"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75B8A06" w14:textId="77777777" w:rsidR="007B3DB2" w:rsidRPr="0063248C" w:rsidRDefault="00000000">
            <w:pPr>
              <w:spacing w:line="240" w:lineRule="exact"/>
              <w:jc w:val="right"/>
              <w:rPr>
                <w:rFonts w:cs="宋体"/>
                <w:sz w:val="18"/>
                <w:szCs w:val="18"/>
              </w:rPr>
            </w:pPr>
            <w:r w:rsidRPr="0063248C">
              <w:rPr>
                <w:rFonts w:cs="宋体"/>
                <w:sz w:val="18"/>
                <w:szCs w:val="18"/>
              </w:rPr>
              <w:t>7,000</w:t>
            </w:r>
          </w:p>
        </w:tc>
        <w:tc>
          <w:tcPr>
            <w:tcW w:w="455" w:type="pct"/>
            <w:tcBorders>
              <w:top w:val="single" w:sz="2" w:space="0" w:color="auto"/>
              <w:left w:val="single" w:sz="2" w:space="0" w:color="auto"/>
              <w:bottom w:val="single" w:sz="2" w:space="0" w:color="auto"/>
              <w:right w:val="single" w:sz="2" w:space="0" w:color="auto"/>
            </w:tcBorders>
            <w:vAlign w:val="center"/>
          </w:tcPr>
          <w:p w14:paraId="5DCAAC12"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4338089A"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7AEE285"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6B34FBB4" w14:textId="77777777" w:rsidR="007B3DB2" w:rsidRPr="0063248C" w:rsidRDefault="00000000">
            <w:pPr>
              <w:spacing w:line="240" w:lineRule="exact"/>
              <w:rPr>
                <w:rFonts w:cs="宋体"/>
                <w:sz w:val="18"/>
                <w:szCs w:val="18"/>
              </w:rPr>
            </w:pPr>
            <w:r w:rsidRPr="0063248C">
              <w:rPr>
                <w:rFonts w:cs="宋体"/>
                <w:sz w:val="18"/>
                <w:szCs w:val="18"/>
              </w:rPr>
              <w:t>2023.03.30-2031.03.31</w:t>
            </w:r>
          </w:p>
        </w:tc>
        <w:tc>
          <w:tcPr>
            <w:tcW w:w="454" w:type="pct"/>
            <w:tcBorders>
              <w:top w:val="single" w:sz="2" w:space="0" w:color="auto"/>
              <w:left w:val="single" w:sz="2" w:space="0" w:color="auto"/>
              <w:bottom w:val="single" w:sz="2" w:space="0" w:color="auto"/>
              <w:right w:val="single" w:sz="2" w:space="0" w:color="auto"/>
            </w:tcBorders>
            <w:vAlign w:val="center"/>
          </w:tcPr>
          <w:p w14:paraId="6AA91E1A"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74F4B311"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73BEB49F"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9045439"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461FE314"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13</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0573DF9" w14:textId="77777777" w:rsidR="007B3DB2" w:rsidRPr="0063248C" w:rsidRDefault="00000000">
            <w:pPr>
              <w:spacing w:line="240" w:lineRule="exact"/>
              <w:jc w:val="right"/>
              <w:rPr>
                <w:rFonts w:cs="宋体"/>
                <w:sz w:val="18"/>
                <w:szCs w:val="18"/>
              </w:rPr>
            </w:pPr>
            <w:r w:rsidRPr="0063248C">
              <w:rPr>
                <w:rFonts w:cs="宋体"/>
                <w:sz w:val="18"/>
                <w:szCs w:val="18"/>
              </w:rPr>
              <w:t>15,000</w:t>
            </w:r>
          </w:p>
        </w:tc>
        <w:tc>
          <w:tcPr>
            <w:tcW w:w="455" w:type="pct"/>
            <w:tcBorders>
              <w:top w:val="single" w:sz="2" w:space="0" w:color="auto"/>
              <w:left w:val="single" w:sz="2" w:space="0" w:color="auto"/>
              <w:bottom w:val="single" w:sz="2" w:space="0" w:color="auto"/>
              <w:right w:val="single" w:sz="2" w:space="0" w:color="auto"/>
            </w:tcBorders>
            <w:vAlign w:val="center"/>
          </w:tcPr>
          <w:p w14:paraId="3DF14CC7"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27</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6D1B4788" w14:textId="77777777" w:rsidR="007B3DB2" w:rsidRPr="0063248C" w:rsidRDefault="00000000">
            <w:pPr>
              <w:spacing w:line="240" w:lineRule="exact"/>
              <w:jc w:val="right"/>
              <w:rPr>
                <w:rFonts w:cs="宋体"/>
                <w:sz w:val="18"/>
                <w:szCs w:val="18"/>
              </w:rPr>
            </w:pPr>
            <w:r w:rsidRPr="0063248C">
              <w:rPr>
                <w:rFonts w:cs="宋体"/>
                <w:sz w:val="18"/>
                <w:szCs w:val="18"/>
              </w:rPr>
              <w:t>3,000</w:t>
            </w:r>
          </w:p>
        </w:tc>
        <w:tc>
          <w:tcPr>
            <w:tcW w:w="455" w:type="pct"/>
            <w:tcBorders>
              <w:top w:val="single" w:sz="2" w:space="0" w:color="auto"/>
              <w:left w:val="single" w:sz="2" w:space="0" w:color="auto"/>
              <w:bottom w:val="single" w:sz="2" w:space="0" w:color="auto"/>
              <w:right w:val="single" w:sz="2" w:space="0" w:color="auto"/>
            </w:tcBorders>
            <w:vAlign w:val="center"/>
          </w:tcPr>
          <w:p w14:paraId="4A94130F"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2DABFA98"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9B97262"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1A65F94A" w14:textId="77777777" w:rsidR="007B3DB2" w:rsidRPr="0063248C" w:rsidRDefault="00000000">
            <w:pPr>
              <w:spacing w:line="240" w:lineRule="exact"/>
              <w:rPr>
                <w:rFonts w:cs="宋体"/>
                <w:sz w:val="18"/>
                <w:szCs w:val="18"/>
              </w:rPr>
            </w:pPr>
            <w:r w:rsidRPr="0063248C">
              <w:rPr>
                <w:rFonts w:cs="宋体"/>
                <w:sz w:val="18"/>
                <w:szCs w:val="18"/>
              </w:rPr>
              <w:t>2023.04.27-2031.03.31</w:t>
            </w:r>
          </w:p>
        </w:tc>
        <w:tc>
          <w:tcPr>
            <w:tcW w:w="454" w:type="pct"/>
            <w:tcBorders>
              <w:top w:val="single" w:sz="2" w:space="0" w:color="auto"/>
              <w:left w:val="single" w:sz="2" w:space="0" w:color="auto"/>
              <w:bottom w:val="single" w:sz="2" w:space="0" w:color="auto"/>
              <w:right w:val="single" w:sz="2" w:space="0" w:color="auto"/>
            </w:tcBorders>
            <w:vAlign w:val="center"/>
          </w:tcPr>
          <w:p w14:paraId="55193DA2"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445E6111"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2C7CB0DF"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762423BB" w14:textId="77777777" w:rsidR="007B3DB2" w:rsidRPr="0063248C" w:rsidRDefault="00000000">
            <w:pPr>
              <w:spacing w:line="240" w:lineRule="exact"/>
              <w:rPr>
                <w:rFonts w:cs="宋体"/>
                <w:sz w:val="18"/>
                <w:szCs w:val="18"/>
              </w:rPr>
            </w:pPr>
            <w:r w:rsidRPr="0063248C">
              <w:rPr>
                <w:rFonts w:cs="宋体"/>
                <w:sz w:val="18"/>
                <w:szCs w:val="18"/>
              </w:rPr>
              <w:t>海南龙大美食有限责任公司</w:t>
            </w:r>
          </w:p>
        </w:tc>
        <w:tc>
          <w:tcPr>
            <w:tcW w:w="455" w:type="pct"/>
            <w:tcBorders>
              <w:top w:val="single" w:sz="2" w:space="0" w:color="auto"/>
              <w:left w:val="single" w:sz="2" w:space="0" w:color="auto"/>
              <w:bottom w:val="single" w:sz="2" w:space="0" w:color="auto"/>
              <w:right w:val="single" w:sz="2" w:space="0" w:color="auto"/>
            </w:tcBorders>
            <w:vAlign w:val="center"/>
          </w:tcPr>
          <w:p w14:paraId="637BB365"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1B9E0A47" w14:textId="77777777" w:rsidR="007B3DB2" w:rsidRPr="0063248C" w:rsidRDefault="00000000">
            <w:pPr>
              <w:spacing w:line="240" w:lineRule="exact"/>
              <w:jc w:val="right"/>
              <w:rPr>
                <w:rFonts w:cs="宋体"/>
                <w:sz w:val="18"/>
                <w:szCs w:val="18"/>
              </w:rPr>
            </w:pPr>
            <w:r w:rsidRPr="0063248C">
              <w:rPr>
                <w:rFonts w:cs="宋体"/>
                <w:sz w:val="18"/>
                <w:szCs w:val="18"/>
              </w:rPr>
              <w:t>16,000</w:t>
            </w:r>
          </w:p>
        </w:tc>
        <w:tc>
          <w:tcPr>
            <w:tcW w:w="455" w:type="pct"/>
            <w:tcBorders>
              <w:top w:val="single" w:sz="2" w:space="0" w:color="auto"/>
              <w:left w:val="single" w:sz="2" w:space="0" w:color="auto"/>
              <w:bottom w:val="single" w:sz="2" w:space="0" w:color="auto"/>
              <w:right w:val="single" w:sz="2" w:space="0" w:color="auto"/>
            </w:tcBorders>
            <w:vAlign w:val="center"/>
          </w:tcPr>
          <w:p w14:paraId="18FCFE71"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03</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CB9F4D1" w14:textId="77777777" w:rsidR="007B3DB2" w:rsidRPr="0063248C" w:rsidRDefault="00000000">
            <w:pPr>
              <w:spacing w:line="240" w:lineRule="exact"/>
              <w:jc w:val="right"/>
              <w:rPr>
                <w:rFonts w:cs="宋体"/>
                <w:sz w:val="18"/>
                <w:szCs w:val="18"/>
              </w:rPr>
            </w:pPr>
            <w:r w:rsidRPr="0063248C">
              <w:rPr>
                <w:rFonts w:cs="宋体"/>
                <w:sz w:val="18"/>
                <w:szCs w:val="18"/>
              </w:rPr>
              <w:t>246.6</w:t>
            </w:r>
          </w:p>
        </w:tc>
        <w:tc>
          <w:tcPr>
            <w:tcW w:w="455" w:type="pct"/>
            <w:tcBorders>
              <w:top w:val="single" w:sz="2" w:space="0" w:color="auto"/>
              <w:left w:val="single" w:sz="2" w:space="0" w:color="auto"/>
              <w:bottom w:val="single" w:sz="2" w:space="0" w:color="auto"/>
              <w:right w:val="single" w:sz="2" w:space="0" w:color="auto"/>
            </w:tcBorders>
            <w:vAlign w:val="center"/>
          </w:tcPr>
          <w:p w14:paraId="44F1BF81"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094C9FF1"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BA09F7D"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C136E6E" w14:textId="77777777" w:rsidR="007B3DB2" w:rsidRPr="0063248C" w:rsidRDefault="00000000">
            <w:pPr>
              <w:spacing w:line="240" w:lineRule="exact"/>
              <w:rPr>
                <w:rFonts w:cs="宋体"/>
                <w:sz w:val="18"/>
                <w:szCs w:val="18"/>
              </w:rPr>
            </w:pPr>
            <w:r w:rsidRPr="0063248C">
              <w:rPr>
                <w:rFonts w:cs="宋体"/>
                <w:sz w:val="18"/>
                <w:szCs w:val="18"/>
              </w:rPr>
              <w:t>2023.4.03-2024.6.21</w:t>
            </w:r>
          </w:p>
        </w:tc>
        <w:tc>
          <w:tcPr>
            <w:tcW w:w="454" w:type="pct"/>
            <w:tcBorders>
              <w:top w:val="single" w:sz="2" w:space="0" w:color="auto"/>
              <w:left w:val="single" w:sz="2" w:space="0" w:color="auto"/>
              <w:bottom w:val="single" w:sz="2" w:space="0" w:color="auto"/>
              <w:right w:val="single" w:sz="2" w:space="0" w:color="auto"/>
            </w:tcBorders>
            <w:vAlign w:val="center"/>
          </w:tcPr>
          <w:p w14:paraId="50803AA4"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625686C2"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7F1C1908"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69A202C" w14:textId="77777777" w:rsidR="007B3DB2" w:rsidRPr="0063248C" w:rsidRDefault="00000000">
            <w:pPr>
              <w:spacing w:line="240" w:lineRule="exact"/>
              <w:rPr>
                <w:rFonts w:cs="宋体"/>
                <w:sz w:val="18"/>
                <w:szCs w:val="18"/>
              </w:rPr>
            </w:pPr>
            <w:r w:rsidRPr="0063248C">
              <w:rPr>
                <w:rFonts w:cs="宋体"/>
                <w:sz w:val="18"/>
                <w:szCs w:val="18"/>
              </w:rPr>
              <w:t>海南龙大美食有限责任公司</w:t>
            </w:r>
          </w:p>
        </w:tc>
        <w:tc>
          <w:tcPr>
            <w:tcW w:w="455" w:type="pct"/>
            <w:tcBorders>
              <w:top w:val="single" w:sz="2" w:space="0" w:color="auto"/>
              <w:left w:val="single" w:sz="2" w:space="0" w:color="auto"/>
              <w:bottom w:val="single" w:sz="2" w:space="0" w:color="auto"/>
              <w:right w:val="single" w:sz="2" w:space="0" w:color="auto"/>
            </w:tcBorders>
            <w:vAlign w:val="center"/>
          </w:tcPr>
          <w:p w14:paraId="21D10490"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6AA8D436" w14:textId="77777777" w:rsidR="007B3DB2" w:rsidRPr="0063248C" w:rsidRDefault="00000000">
            <w:pPr>
              <w:spacing w:line="240" w:lineRule="exact"/>
              <w:jc w:val="right"/>
              <w:rPr>
                <w:rFonts w:cs="宋体"/>
                <w:sz w:val="18"/>
                <w:szCs w:val="18"/>
              </w:rPr>
            </w:pPr>
            <w:r w:rsidRPr="0063248C">
              <w:rPr>
                <w:rFonts w:cs="宋体"/>
                <w:sz w:val="18"/>
                <w:szCs w:val="18"/>
              </w:rPr>
              <w:t>16,000</w:t>
            </w:r>
          </w:p>
        </w:tc>
        <w:tc>
          <w:tcPr>
            <w:tcW w:w="455" w:type="pct"/>
            <w:tcBorders>
              <w:top w:val="single" w:sz="2" w:space="0" w:color="auto"/>
              <w:left w:val="single" w:sz="2" w:space="0" w:color="auto"/>
              <w:bottom w:val="single" w:sz="2" w:space="0" w:color="auto"/>
              <w:right w:val="single" w:sz="2" w:space="0" w:color="auto"/>
            </w:tcBorders>
            <w:vAlign w:val="center"/>
          </w:tcPr>
          <w:p w14:paraId="69E21BE4"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03</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254F8D5" w14:textId="77777777" w:rsidR="007B3DB2" w:rsidRPr="0063248C" w:rsidRDefault="00000000">
            <w:pPr>
              <w:spacing w:line="240" w:lineRule="exact"/>
              <w:jc w:val="right"/>
              <w:rPr>
                <w:rFonts w:cs="宋体"/>
                <w:sz w:val="18"/>
                <w:szCs w:val="18"/>
              </w:rPr>
            </w:pPr>
            <w:r w:rsidRPr="0063248C">
              <w:rPr>
                <w:rFonts w:cs="宋体"/>
                <w:sz w:val="18"/>
                <w:szCs w:val="18"/>
              </w:rPr>
              <w:t>2,762.92</w:t>
            </w:r>
          </w:p>
        </w:tc>
        <w:tc>
          <w:tcPr>
            <w:tcW w:w="455" w:type="pct"/>
            <w:tcBorders>
              <w:top w:val="single" w:sz="2" w:space="0" w:color="auto"/>
              <w:left w:val="single" w:sz="2" w:space="0" w:color="auto"/>
              <w:bottom w:val="single" w:sz="2" w:space="0" w:color="auto"/>
              <w:right w:val="single" w:sz="2" w:space="0" w:color="auto"/>
            </w:tcBorders>
            <w:vAlign w:val="center"/>
          </w:tcPr>
          <w:p w14:paraId="30DAD8A6"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56B626E7"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4FF5A84"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3403153" w14:textId="77777777" w:rsidR="007B3DB2" w:rsidRPr="0063248C" w:rsidRDefault="00000000">
            <w:pPr>
              <w:spacing w:line="240" w:lineRule="exact"/>
              <w:rPr>
                <w:rFonts w:cs="宋体"/>
                <w:sz w:val="18"/>
                <w:szCs w:val="18"/>
              </w:rPr>
            </w:pPr>
            <w:r w:rsidRPr="0063248C">
              <w:rPr>
                <w:rFonts w:cs="宋体"/>
                <w:sz w:val="18"/>
                <w:szCs w:val="18"/>
              </w:rPr>
              <w:t>2023.04.03-2030.06.21</w:t>
            </w:r>
          </w:p>
        </w:tc>
        <w:tc>
          <w:tcPr>
            <w:tcW w:w="454" w:type="pct"/>
            <w:tcBorders>
              <w:top w:val="single" w:sz="2" w:space="0" w:color="auto"/>
              <w:left w:val="single" w:sz="2" w:space="0" w:color="auto"/>
              <w:bottom w:val="single" w:sz="2" w:space="0" w:color="auto"/>
              <w:right w:val="single" w:sz="2" w:space="0" w:color="auto"/>
            </w:tcBorders>
            <w:vAlign w:val="center"/>
          </w:tcPr>
          <w:p w14:paraId="00B11FE9"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2621F0B5"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6A8ECE18"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73F945F8" w14:textId="77777777" w:rsidR="007B3DB2" w:rsidRPr="0063248C" w:rsidRDefault="00000000">
            <w:pPr>
              <w:spacing w:line="240" w:lineRule="exact"/>
              <w:rPr>
                <w:rFonts w:cs="宋体"/>
                <w:sz w:val="18"/>
                <w:szCs w:val="18"/>
              </w:rPr>
            </w:pPr>
            <w:r w:rsidRPr="0063248C">
              <w:rPr>
                <w:rFonts w:cs="宋体"/>
                <w:sz w:val="18"/>
                <w:szCs w:val="18"/>
              </w:rPr>
              <w:t>海南龙大美食有限责任公司</w:t>
            </w:r>
          </w:p>
        </w:tc>
        <w:tc>
          <w:tcPr>
            <w:tcW w:w="455" w:type="pct"/>
            <w:tcBorders>
              <w:top w:val="single" w:sz="2" w:space="0" w:color="auto"/>
              <w:left w:val="single" w:sz="2" w:space="0" w:color="auto"/>
              <w:bottom w:val="single" w:sz="2" w:space="0" w:color="auto"/>
              <w:right w:val="single" w:sz="2" w:space="0" w:color="auto"/>
            </w:tcBorders>
            <w:vAlign w:val="center"/>
          </w:tcPr>
          <w:p w14:paraId="3CFE3FA4"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0DC5CDC" w14:textId="77777777" w:rsidR="007B3DB2" w:rsidRPr="0063248C" w:rsidRDefault="00000000">
            <w:pPr>
              <w:spacing w:line="240" w:lineRule="exact"/>
              <w:jc w:val="right"/>
              <w:rPr>
                <w:rFonts w:cs="宋体"/>
                <w:sz w:val="18"/>
                <w:szCs w:val="18"/>
              </w:rPr>
            </w:pPr>
            <w:r w:rsidRPr="0063248C">
              <w:rPr>
                <w:rFonts w:cs="宋体"/>
                <w:sz w:val="18"/>
                <w:szCs w:val="18"/>
              </w:rPr>
              <w:t>16,000</w:t>
            </w:r>
          </w:p>
        </w:tc>
        <w:tc>
          <w:tcPr>
            <w:tcW w:w="455" w:type="pct"/>
            <w:tcBorders>
              <w:top w:val="single" w:sz="2" w:space="0" w:color="auto"/>
              <w:left w:val="single" w:sz="2" w:space="0" w:color="auto"/>
              <w:bottom w:val="single" w:sz="2" w:space="0" w:color="auto"/>
              <w:right w:val="single" w:sz="2" w:space="0" w:color="auto"/>
            </w:tcBorders>
            <w:vAlign w:val="center"/>
          </w:tcPr>
          <w:p w14:paraId="20E31514"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23</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42AC59BD" w14:textId="77777777" w:rsidR="007B3DB2" w:rsidRPr="0063248C" w:rsidRDefault="00000000">
            <w:pPr>
              <w:spacing w:line="240" w:lineRule="exact"/>
              <w:jc w:val="right"/>
              <w:rPr>
                <w:rFonts w:cs="宋体"/>
                <w:sz w:val="18"/>
                <w:szCs w:val="18"/>
              </w:rPr>
            </w:pPr>
            <w:r w:rsidRPr="0063248C">
              <w:rPr>
                <w:rFonts w:cs="宋体"/>
                <w:sz w:val="18"/>
                <w:szCs w:val="18"/>
              </w:rPr>
              <w:t>976.59</w:t>
            </w:r>
          </w:p>
        </w:tc>
        <w:tc>
          <w:tcPr>
            <w:tcW w:w="455" w:type="pct"/>
            <w:tcBorders>
              <w:top w:val="single" w:sz="2" w:space="0" w:color="auto"/>
              <w:left w:val="single" w:sz="2" w:space="0" w:color="auto"/>
              <w:bottom w:val="single" w:sz="2" w:space="0" w:color="auto"/>
              <w:right w:val="single" w:sz="2" w:space="0" w:color="auto"/>
            </w:tcBorders>
            <w:vAlign w:val="center"/>
          </w:tcPr>
          <w:p w14:paraId="68FB72D9"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1171E66C"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59A16CD0"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0D84E84" w14:textId="77777777" w:rsidR="007B3DB2" w:rsidRPr="0063248C" w:rsidRDefault="00000000">
            <w:pPr>
              <w:spacing w:line="240" w:lineRule="exact"/>
              <w:rPr>
                <w:rFonts w:cs="宋体"/>
                <w:sz w:val="18"/>
                <w:szCs w:val="18"/>
              </w:rPr>
            </w:pPr>
            <w:r w:rsidRPr="0063248C">
              <w:rPr>
                <w:rFonts w:cs="宋体"/>
                <w:sz w:val="18"/>
                <w:szCs w:val="18"/>
              </w:rPr>
              <w:t>2023.04.03-2030.06.21</w:t>
            </w:r>
          </w:p>
        </w:tc>
        <w:tc>
          <w:tcPr>
            <w:tcW w:w="454" w:type="pct"/>
            <w:tcBorders>
              <w:top w:val="single" w:sz="2" w:space="0" w:color="auto"/>
              <w:left w:val="single" w:sz="2" w:space="0" w:color="auto"/>
              <w:bottom w:val="single" w:sz="2" w:space="0" w:color="auto"/>
              <w:right w:val="single" w:sz="2" w:space="0" w:color="auto"/>
            </w:tcBorders>
            <w:vAlign w:val="center"/>
          </w:tcPr>
          <w:p w14:paraId="2548E776"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78E4549C"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7C8C4378"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03855E71" w14:textId="77777777" w:rsidR="007B3DB2" w:rsidRPr="0063248C" w:rsidRDefault="00000000">
            <w:pPr>
              <w:spacing w:line="240" w:lineRule="exact"/>
              <w:rPr>
                <w:rFonts w:cs="宋体"/>
                <w:sz w:val="18"/>
                <w:szCs w:val="18"/>
              </w:rPr>
            </w:pPr>
            <w:r w:rsidRPr="0063248C">
              <w:rPr>
                <w:rFonts w:cs="宋体"/>
                <w:sz w:val="18"/>
                <w:szCs w:val="18"/>
              </w:rPr>
              <w:t>海南龙大美食有限责任公司</w:t>
            </w:r>
          </w:p>
        </w:tc>
        <w:tc>
          <w:tcPr>
            <w:tcW w:w="455" w:type="pct"/>
            <w:tcBorders>
              <w:top w:val="single" w:sz="2" w:space="0" w:color="auto"/>
              <w:left w:val="single" w:sz="2" w:space="0" w:color="auto"/>
              <w:bottom w:val="single" w:sz="2" w:space="0" w:color="auto"/>
              <w:right w:val="single" w:sz="2" w:space="0" w:color="auto"/>
            </w:tcBorders>
            <w:vAlign w:val="center"/>
          </w:tcPr>
          <w:p w14:paraId="2E84C1DC"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60DE03A" w14:textId="77777777" w:rsidR="007B3DB2" w:rsidRPr="0063248C" w:rsidRDefault="00000000">
            <w:pPr>
              <w:spacing w:line="240" w:lineRule="exact"/>
              <w:jc w:val="right"/>
              <w:rPr>
                <w:rFonts w:cs="宋体"/>
                <w:sz w:val="18"/>
                <w:szCs w:val="18"/>
              </w:rPr>
            </w:pPr>
            <w:r w:rsidRPr="0063248C">
              <w:rPr>
                <w:rFonts w:cs="宋体"/>
                <w:sz w:val="18"/>
                <w:szCs w:val="18"/>
              </w:rPr>
              <w:t>16,000</w:t>
            </w:r>
          </w:p>
        </w:tc>
        <w:tc>
          <w:tcPr>
            <w:tcW w:w="455" w:type="pct"/>
            <w:tcBorders>
              <w:top w:val="single" w:sz="2" w:space="0" w:color="auto"/>
              <w:left w:val="single" w:sz="2" w:space="0" w:color="auto"/>
              <w:bottom w:val="single" w:sz="2" w:space="0" w:color="auto"/>
              <w:right w:val="single" w:sz="2" w:space="0" w:color="auto"/>
            </w:tcBorders>
            <w:vAlign w:val="center"/>
          </w:tcPr>
          <w:p w14:paraId="4D5FD99A"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15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712BBC30" w14:textId="77777777" w:rsidR="007B3DB2" w:rsidRPr="0063248C" w:rsidRDefault="00000000">
            <w:pPr>
              <w:spacing w:line="240" w:lineRule="exact"/>
              <w:jc w:val="right"/>
              <w:rPr>
                <w:rFonts w:cs="宋体"/>
                <w:sz w:val="18"/>
                <w:szCs w:val="18"/>
              </w:rPr>
            </w:pPr>
            <w:r w:rsidRPr="0063248C">
              <w:rPr>
                <w:rFonts w:cs="宋体"/>
                <w:sz w:val="18"/>
                <w:szCs w:val="18"/>
              </w:rPr>
              <w:t>1,258.01</w:t>
            </w:r>
          </w:p>
        </w:tc>
        <w:tc>
          <w:tcPr>
            <w:tcW w:w="455" w:type="pct"/>
            <w:tcBorders>
              <w:top w:val="single" w:sz="2" w:space="0" w:color="auto"/>
              <w:left w:val="single" w:sz="2" w:space="0" w:color="auto"/>
              <w:bottom w:val="single" w:sz="2" w:space="0" w:color="auto"/>
              <w:right w:val="single" w:sz="2" w:space="0" w:color="auto"/>
            </w:tcBorders>
            <w:vAlign w:val="center"/>
          </w:tcPr>
          <w:p w14:paraId="35DF7613"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58C17B76"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11AA3F6D"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B4FFF1B" w14:textId="77777777" w:rsidR="007B3DB2" w:rsidRPr="0063248C" w:rsidRDefault="00000000">
            <w:pPr>
              <w:spacing w:line="240" w:lineRule="exact"/>
              <w:rPr>
                <w:rFonts w:cs="宋体"/>
                <w:sz w:val="18"/>
                <w:szCs w:val="18"/>
              </w:rPr>
            </w:pPr>
            <w:r w:rsidRPr="0063248C">
              <w:rPr>
                <w:rFonts w:cs="宋体"/>
                <w:sz w:val="18"/>
                <w:szCs w:val="18"/>
              </w:rPr>
              <w:t>2023.04.03-2030.06.21</w:t>
            </w:r>
          </w:p>
        </w:tc>
        <w:tc>
          <w:tcPr>
            <w:tcW w:w="454" w:type="pct"/>
            <w:tcBorders>
              <w:top w:val="single" w:sz="2" w:space="0" w:color="auto"/>
              <w:left w:val="single" w:sz="2" w:space="0" w:color="auto"/>
              <w:bottom w:val="single" w:sz="2" w:space="0" w:color="auto"/>
              <w:right w:val="single" w:sz="2" w:space="0" w:color="auto"/>
            </w:tcBorders>
            <w:vAlign w:val="center"/>
          </w:tcPr>
          <w:p w14:paraId="56FA85B9"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63E8FF05"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31797D3D"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2C055EF0" w14:textId="77777777" w:rsidR="007B3DB2" w:rsidRPr="0063248C" w:rsidRDefault="00000000">
            <w:pPr>
              <w:spacing w:line="240" w:lineRule="exact"/>
              <w:rPr>
                <w:rFonts w:cs="宋体"/>
                <w:sz w:val="18"/>
                <w:szCs w:val="18"/>
              </w:rPr>
            </w:pPr>
            <w:r w:rsidRPr="0063248C">
              <w:rPr>
                <w:rFonts w:cs="宋体"/>
                <w:sz w:val="18"/>
                <w:szCs w:val="18"/>
              </w:rPr>
              <w:t>海南龙大美食有限责任公司</w:t>
            </w:r>
          </w:p>
        </w:tc>
        <w:tc>
          <w:tcPr>
            <w:tcW w:w="455" w:type="pct"/>
            <w:tcBorders>
              <w:top w:val="single" w:sz="2" w:space="0" w:color="auto"/>
              <w:left w:val="single" w:sz="2" w:space="0" w:color="auto"/>
              <w:bottom w:val="single" w:sz="2" w:space="0" w:color="auto"/>
              <w:right w:val="single" w:sz="2" w:space="0" w:color="auto"/>
            </w:tcBorders>
            <w:vAlign w:val="center"/>
          </w:tcPr>
          <w:p w14:paraId="6517D8E7"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EE90D34" w14:textId="77777777" w:rsidR="007B3DB2" w:rsidRPr="0063248C" w:rsidRDefault="00000000">
            <w:pPr>
              <w:spacing w:line="240" w:lineRule="exact"/>
              <w:jc w:val="right"/>
              <w:rPr>
                <w:rFonts w:cs="宋体"/>
                <w:sz w:val="18"/>
                <w:szCs w:val="18"/>
              </w:rPr>
            </w:pPr>
            <w:r w:rsidRPr="0063248C">
              <w:rPr>
                <w:rFonts w:cs="宋体"/>
                <w:sz w:val="18"/>
                <w:szCs w:val="18"/>
              </w:rPr>
              <w:t>16,000</w:t>
            </w:r>
          </w:p>
        </w:tc>
        <w:tc>
          <w:tcPr>
            <w:tcW w:w="455" w:type="pct"/>
            <w:tcBorders>
              <w:top w:val="single" w:sz="2" w:space="0" w:color="auto"/>
              <w:left w:val="single" w:sz="2" w:space="0" w:color="auto"/>
              <w:bottom w:val="single" w:sz="2" w:space="0" w:color="auto"/>
              <w:right w:val="single" w:sz="2" w:space="0" w:color="auto"/>
            </w:tcBorders>
            <w:vAlign w:val="center"/>
          </w:tcPr>
          <w:p w14:paraId="2DAC6453"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49919539" w14:textId="77777777" w:rsidR="007B3DB2" w:rsidRPr="0063248C" w:rsidRDefault="00000000">
            <w:pPr>
              <w:spacing w:line="240" w:lineRule="exact"/>
              <w:jc w:val="right"/>
              <w:rPr>
                <w:rFonts w:cs="宋体"/>
                <w:sz w:val="18"/>
                <w:szCs w:val="18"/>
              </w:rPr>
            </w:pPr>
            <w:r w:rsidRPr="0063248C">
              <w:rPr>
                <w:rFonts w:cs="宋体"/>
                <w:sz w:val="18"/>
                <w:szCs w:val="18"/>
              </w:rPr>
              <w:t>731.82</w:t>
            </w:r>
          </w:p>
        </w:tc>
        <w:tc>
          <w:tcPr>
            <w:tcW w:w="455" w:type="pct"/>
            <w:tcBorders>
              <w:top w:val="single" w:sz="2" w:space="0" w:color="auto"/>
              <w:left w:val="single" w:sz="2" w:space="0" w:color="auto"/>
              <w:bottom w:val="single" w:sz="2" w:space="0" w:color="auto"/>
              <w:right w:val="single" w:sz="2" w:space="0" w:color="auto"/>
            </w:tcBorders>
            <w:vAlign w:val="center"/>
          </w:tcPr>
          <w:p w14:paraId="71169A13"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0B21BA19"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7ED19D7"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E050EE4" w14:textId="77777777" w:rsidR="007B3DB2" w:rsidRPr="0063248C" w:rsidRDefault="00000000">
            <w:pPr>
              <w:spacing w:line="240" w:lineRule="exact"/>
              <w:rPr>
                <w:rFonts w:cs="宋体"/>
                <w:sz w:val="18"/>
                <w:szCs w:val="18"/>
              </w:rPr>
            </w:pPr>
            <w:r w:rsidRPr="0063248C">
              <w:rPr>
                <w:rFonts w:cs="宋体"/>
                <w:sz w:val="18"/>
                <w:szCs w:val="18"/>
              </w:rPr>
              <w:t>2023.04.03-2030.06.21</w:t>
            </w:r>
          </w:p>
        </w:tc>
        <w:tc>
          <w:tcPr>
            <w:tcW w:w="454" w:type="pct"/>
            <w:tcBorders>
              <w:top w:val="single" w:sz="2" w:space="0" w:color="auto"/>
              <w:left w:val="single" w:sz="2" w:space="0" w:color="auto"/>
              <w:bottom w:val="single" w:sz="2" w:space="0" w:color="auto"/>
              <w:right w:val="single" w:sz="2" w:space="0" w:color="auto"/>
            </w:tcBorders>
            <w:vAlign w:val="center"/>
          </w:tcPr>
          <w:p w14:paraId="33192D1A"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67E403FA"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1BAE1949"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1CC66AD3" w14:textId="77777777" w:rsidR="007B3DB2" w:rsidRPr="0063248C" w:rsidRDefault="00000000">
            <w:pPr>
              <w:spacing w:line="240" w:lineRule="exact"/>
              <w:rPr>
                <w:rFonts w:cs="宋体"/>
                <w:sz w:val="18"/>
                <w:szCs w:val="18"/>
              </w:rPr>
            </w:pPr>
            <w:r w:rsidRPr="0063248C">
              <w:rPr>
                <w:rFonts w:cs="宋体"/>
                <w:sz w:val="18"/>
                <w:szCs w:val="18"/>
              </w:rPr>
              <w:t>海南龙大美食有限责任公司</w:t>
            </w:r>
          </w:p>
        </w:tc>
        <w:tc>
          <w:tcPr>
            <w:tcW w:w="455" w:type="pct"/>
            <w:tcBorders>
              <w:top w:val="single" w:sz="2" w:space="0" w:color="auto"/>
              <w:left w:val="single" w:sz="2" w:space="0" w:color="auto"/>
              <w:bottom w:val="single" w:sz="2" w:space="0" w:color="auto"/>
              <w:right w:val="single" w:sz="2" w:space="0" w:color="auto"/>
            </w:tcBorders>
            <w:vAlign w:val="center"/>
          </w:tcPr>
          <w:p w14:paraId="02FCD615"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8AD844C" w14:textId="77777777" w:rsidR="007B3DB2" w:rsidRPr="0063248C" w:rsidRDefault="00000000">
            <w:pPr>
              <w:spacing w:line="240" w:lineRule="exact"/>
              <w:jc w:val="right"/>
              <w:rPr>
                <w:rFonts w:cs="宋体"/>
                <w:sz w:val="18"/>
                <w:szCs w:val="18"/>
              </w:rPr>
            </w:pPr>
            <w:r w:rsidRPr="0063248C">
              <w:rPr>
                <w:rFonts w:cs="宋体"/>
                <w:sz w:val="18"/>
                <w:szCs w:val="18"/>
              </w:rPr>
              <w:t>16,000</w:t>
            </w:r>
          </w:p>
        </w:tc>
        <w:tc>
          <w:tcPr>
            <w:tcW w:w="455" w:type="pct"/>
            <w:tcBorders>
              <w:top w:val="single" w:sz="2" w:space="0" w:color="auto"/>
              <w:left w:val="single" w:sz="2" w:space="0" w:color="auto"/>
              <w:bottom w:val="single" w:sz="2" w:space="0" w:color="auto"/>
              <w:right w:val="single" w:sz="2" w:space="0" w:color="auto"/>
            </w:tcBorders>
            <w:vAlign w:val="center"/>
          </w:tcPr>
          <w:p w14:paraId="73B938F1"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22</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3CA6486" w14:textId="77777777" w:rsidR="007B3DB2" w:rsidRPr="0063248C" w:rsidRDefault="00000000">
            <w:pPr>
              <w:spacing w:line="240" w:lineRule="exact"/>
              <w:jc w:val="right"/>
              <w:rPr>
                <w:rFonts w:cs="宋体"/>
                <w:sz w:val="18"/>
                <w:szCs w:val="18"/>
              </w:rPr>
            </w:pPr>
            <w:r w:rsidRPr="0063248C">
              <w:rPr>
                <w:rFonts w:cs="宋体"/>
                <w:sz w:val="18"/>
                <w:szCs w:val="18"/>
              </w:rPr>
              <w:t>100.47</w:t>
            </w:r>
          </w:p>
        </w:tc>
        <w:tc>
          <w:tcPr>
            <w:tcW w:w="455" w:type="pct"/>
            <w:tcBorders>
              <w:top w:val="single" w:sz="2" w:space="0" w:color="auto"/>
              <w:left w:val="single" w:sz="2" w:space="0" w:color="auto"/>
              <w:bottom w:val="single" w:sz="2" w:space="0" w:color="auto"/>
              <w:right w:val="single" w:sz="2" w:space="0" w:color="auto"/>
            </w:tcBorders>
            <w:vAlign w:val="center"/>
          </w:tcPr>
          <w:p w14:paraId="267F1C9B"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75793B6D"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6E9ABA0"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D69E9AD" w14:textId="77777777" w:rsidR="007B3DB2" w:rsidRPr="0063248C" w:rsidRDefault="00000000">
            <w:pPr>
              <w:spacing w:line="240" w:lineRule="exact"/>
              <w:rPr>
                <w:rFonts w:cs="宋体"/>
                <w:sz w:val="18"/>
                <w:szCs w:val="18"/>
              </w:rPr>
            </w:pPr>
            <w:r w:rsidRPr="0063248C">
              <w:rPr>
                <w:rFonts w:cs="宋体"/>
                <w:sz w:val="18"/>
                <w:szCs w:val="18"/>
              </w:rPr>
              <w:t>2023.04.03-2030.06.21</w:t>
            </w:r>
          </w:p>
        </w:tc>
        <w:tc>
          <w:tcPr>
            <w:tcW w:w="454" w:type="pct"/>
            <w:tcBorders>
              <w:top w:val="single" w:sz="2" w:space="0" w:color="auto"/>
              <w:left w:val="single" w:sz="2" w:space="0" w:color="auto"/>
              <w:bottom w:val="single" w:sz="2" w:space="0" w:color="auto"/>
              <w:right w:val="single" w:sz="2" w:space="0" w:color="auto"/>
            </w:tcBorders>
            <w:vAlign w:val="center"/>
          </w:tcPr>
          <w:p w14:paraId="33364F71"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4592615D"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0DA34673"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010CB999" w14:textId="77777777" w:rsidR="007B3DB2" w:rsidRPr="0063248C" w:rsidRDefault="00000000">
            <w:pPr>
              <w:spacing w:line="240" w:lineRule="exact"/>
              <w:rPr>
                <w:rFonts w:cs="宋体"/>
                <w:sz w:val="18"/>
                <w:szCs w:val="18"/>
              </w:rPr>
            </w:pPr>
            <w:r w:rsidRPr="0063248C">
              <w:rPr>
                <w:rFonts w:cs="宋体"/>
                <w:sz w:val="18"/>
                <w:szCs w:val="18"/>
              </w:rPr>
              <w:t>海南龙大美食有限责任公司</w:t>
            </w:r>
          </w:p>
        </w:tc>
        <w:tc>
          <w:tcPr>
            <w:tcW w:w="455" w:type="pct"/>
            <w:tcBorders>
              <w:top w:val="single" w:sz="2" w:space="0" w:color="auto"/>
              <w:left w:val="single" w:sz="2" w:space="0" w:color="auto"/>
              <w:bottom w:val="single" w:sz="2" w:space="0" w:color="auto"/>
              <w:right w:val="single" w:sz="2" w:space="0" w:color="auto"/>
            </w:tcBorders>
            <w:vAlign w:val="center"/>
          </w:tcPr>
          <w:p w14:paraId="6038DF46"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0DA5F38" w14:textId="77777777" w:rsidR="007B3DB2" w:rsidRPr="0063248C" w:rsidRDefault="00000000">
            <w:pPr>
              <w:spacing w:line="240" w:lineRule="exact"/>
              <w:jc w:val="right"/>
              <w:rPr>
                <w:rFonts w:cs="宋体"/>
                <w:sz w:val="18"/>
                <w:szCs w:val="18"/>
              </w:rPr>
            </w:pPr>
            <w:r w:rsidRPr="0063248C">
              <w:rPr>
                <w:rFonts w:cs="宋体"/>
                <w:sz w:val="18"/>
                <w:szCs w:val="18"/>
              </w:rPr>
              <w:t>16,000</w:t>
            </w:r>
          </w:p>
        </w:tc>
        <w:tc>
          <w:tcPr>
            <w:tcW w:w="455" w:type="pct"/>
            <w:tcBorders>
              <w:top w:val="single" w:sz="2" w:space="0" w:color="auto"/>
              <w:left w:val="single" w:sz="2" w:space="0" w:color="auto"/>
              <w:bottom w:val="single" w:sz="2" w:space="0" w:color="auto"/>
              <w:right w:val="single" w:sz="2" w:space="0" w:color="auto"/>
            </w:tcBorders>
            <w:vAlign w:val="center"/>
          </w:tcPr>
          <w:p w14:paraId="54839DAA"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10</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844770C" w14:textId="77777777" w:rsidR="007B3DB2" w:rsidRPr="0063248C" w:rsidRDefault="00000000">
            <w:pPr>
              <w:spacing w:line="240" w:lineRule="exact"/>
              <w:jc w:val="right"/>
              <w:rPr>
                <w:rFonts w:cs="宋体"/>
                <w:sz w:val="18"/>
                <w:szCs w:val="18"/>
              </w:rPr>
            </w:pPr>
            <w:r w:rsidRPr="0063248C">
              <w:rPr>
                <w:rFonts w:cs="宋体"/>
                <w:sz w:val="18"/>
                <w:szCs w:val="18"/>
              </w:rPr>
              <w:t>794.87</w:t>
            </w:r>
          </w:p>
        </w:tc>
        <w:tc>
          <w:tcPr>
            <w:tcW w:w="455" w:type="pct"/>
            <w:tcBorders>
              <w:top w:val="single" w:sz="2" w:space="0" w:color="auto"/>
              <w:left w:val="single" w:sz="2" w:space="0" w:color="auto"/>
              <w:bottom w:val="single" w:sz="2" w:space="0" w:color="auto"/>
              <w:right w:val="single" w:sz="2" w:space="0" w:color="auto"/>
            </w:tcBorders>
            <w:vAlign w:val="center"/>
          </w:tcPr>
          <w:p w14:paraId="5597E911"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3FD5059F"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6A45736F"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56A5EE4" w14:textId="77777777" w:rsidR="007B3DB2" w:rsidRPr="0063248C" w:rsidRDefault="00000000">
            <w:pPr>
              <w:spacing w:line="240" w:lineRule="exact"/>
              <w:rPr>
                <w:rFonts w:cs="宋体"/>
                <w:sz w:val="18"/>
                <w:szCs w:val="18"/>
              </w:rPr>
            </w:pPr>
            <w:r w:rsidRPr="0063248C">
              <w:rPr>
                <w:rFonts w:cs="宋体"/>
                <w:sz w:val="18"/>
                <w:szCs w:val="18"/>
              </w:rPr>
              <w:t>2023.04.03-2030.06.21</w:t>
            </w:r>
          </w:p>
        </w:tc>
        <w:tc>
          <w:tcPr>
            <w:tcW w:w="454" w:type="pct"/>
            <w:tcBorders>
              <w:top w:val="single" w:sz="2" w:space="0" w:color="auto"/>
              <w:left w:val="single" w:sz="2" w:space="0" w:color="auto"/>
              <w:bottom w:val="single" w:sz="2" w:space="0" w:color="auto"/>
              <w:right w:val="single" w:sz="2" w:space="0" w:color="auto"/>
            </w:tcBorders>
            <w:vAlign w:val="center"/>
          </w:tcPr>
          <w:p w14:paraId="5CC70414"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59F45665"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3C7A8D3E"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BD25084" w14:textId="77777777" w:rsidR="007B3DB2" w:rsidRPr="0063248C" w:rsidRDefault="00000000">
            <w:pPr>
              <w:spacing w:line="240" w:lineRule="exact"/>
              <w:rPr>
                <w:rFonts w:cs="宋体"/>
                <w:sz w:val="18"/>
                <w:szCs w:val="18"/>
              </w:rPr>
            </w:pPr>
            <w:r w:rsidRPr="0063248C">
              <w:rPr>
                <w:rFonts w:cs="宋体"/>
                <w:sz w:val="18"/>
                <w:szCs w:val="18"/>
              </w:rPr>
              <w:t>海南龙大美食有限责任公司</w:t>
            </w:r>
          </w:p>
        </w:tc>
        <w:tc>
          <w:tcPr>
            <w:tcW w:w="455" w:type="pct"/>
            <w:tcBorders>
              <w:top w:val="single" w:sz="2" w:space="0" w:color="auto"/>
              <w:left w:val="single" w:sz="2" w:space="0" w:color="auto"/>
              <w:bottom w:val="single" w:sz="2" w:space="0" w:color="auto"/>
              <w:right w:val="single" w:sz="2" w:space="0" w:color="auto"/>
            </w:tcBorders>
            <w:vAlign w:val="center"/>
          </w:tcPr>
          <w:p w14:paraId="5E67AE45"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4A95707F" w14:textId="77777777" w:rsidR="007B3DB2" w:rsidRPr="0063248C" w:rsidRDefault="00000000">
            <w:pPr>
              <w:spacing w:line="240" w:lineRule="exact"/>
              <w:jc w:val="right"/>
              <w:rPr>
                <w:rFonts w:cs="宋体"/>
                <w:sz w:val="18"/>
                <w:szCs w:val="18"/>
              </w:rPr>
            </w:pPr>
            <w:r w:rsidRPr="0063248C">
              <w:rPr>
                <w:rFonts w:cs="宋体"/>
                <w:sz w:val="18"/>
                <w:szCs w:val="18"/>
              </w:rPr>
              <w:t>16,000</w:t>
            </w:r>
          </w:p>
        </w:tc>
        <w:tc>
          <w:tcPr>
            <w:tcW w:w="455" w:type="pct"/>
            <w:tcBorders>
              <w:top w:val="single" w:sz="2" w:space="0" w:color="auto"/>
              <w:left w:val="single" w:sz="2" w:space="0" w:color="auto"/>
              <w:bottom w:val="single" w:sz="2" w:space="0" w:color="auto"/>
              <w:right w:val="single" w:sz="2" w:space="0" w:color="auto"/>
            </w:tcBorders>
            <w:vAlign w:val="center"/>
          </w:tcPr>
          <w:p w14:paraId="62099366"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05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4689309" w14:textId="77777777" w:rsidR="007B3DB2" w:rsidRPr="0063248C" w:rsidRDefault="00000000">
            <w:pPr>
              <w:spacing w:line="240" w:lineRule="exact"/>
              <w:jc w:val="right"/>
              <w:rPr>
                <w:rFonts w:cs="宋体"/>
                <w:sz w:val="18"/>
                <w:szCs w:val="18"/>
              </w:rPr>
            </w:pPr>
            <w:r w:rsidRPr="0063248C">
              <w:rPr>
                <w:rFonts w:cs="宋体"/>
                <w:sz w:val="18"/>
                <w:szCs w:val="18"/>
              </w:rPr>
              <w:t>1,954.49</w:t>
            </w:r>
          </w:p>
        </w:tc>
        <w:tc>
          <w:tcPr>
            <w:tcW w:w="455" w:type="pct"/>
            <w:tcBorders>
              <w:top w:val="single" w:sz="2" w:space="0" w:color="auto"/>
              <w:left w:val="single" w:sz="2" w:space="0" w:color="auto"/>
              <w:bottom w:val="single" w:sz="2" w:space="0" w:color="auto"/>
              <w:right w:val="single" w:sz="2" w:space="0" w:color="auto"/>
            </w:tcBorders>
            <w:vAlign w:val="center"/>
          </w:tcPr>
          <w:p w14:paraId="5ADD9816"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02205957"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E100DD0"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8EEA8AD" w14:textId="77777777" w:rsidR="007B3DB2" w:rsidRPr="0063248C" w:rsidRDefault="00000000">
            <w:pPr>
              <w:spacing w:line="240" w:lineRule="exact"/>
              <w:rPr>
                <w:rFonts w:cs="宋体"/>
                <w:sz w:val="18"/>
                <w:szCs w:val="18"/>
              </w:rPr>
            </w:pPr>
            <w:r w:rsidRPr="0063248C">
              <w:rPr>
                <w:rFonts w:cs="宋体"/>
                <w:sz w:val="18"/>
                <w:szCs w:val="18"/>
              </w:rPr>
              <w:t>2023.04.03-2030.06.21</w:t>
            </w:r>
          </w:p>
        </w:tc>
        <w:tc>
          <w:tcPr>
            <w:tcW w:w="454" w:type="pct"/>
            <w:tcBorders>
              <w:top w:val="single" w:sz="2" w:space="0" w:color="auto"/>
              <w:left w:val="single" w:sz="2" w:space="0" w:color="auto"/>
              <w:bottom w:val="single" w:sz="2" w:space="0" w:color="auto"/>
              <w:right w:val="single" w:sz="2" w:space="0" w:color="auto"/>
            </w:tcBorders>
            <w:vAlign w:val="center"/>
          </w:tcPr>
          <w:p w14:paraId="36C9C399"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75619ABF"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7C3CC7F8"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489671A" w14:textId="77777777" w:rsidR="007B3DB2" w:rsidRPr="0063248C" w:rsidRDefault="00000000">
            <w:pPr>
              <w:spacing w:line="240" w:lineRule="exact"/>
              <w:rPr>
                <w:rFonts w:cs="宋体"/>
                <w:sz w:val="18"/>
                <w:szCs w:val="18"/>
              </w:rPr>
            </w:pPr>
            <w:r w:rsidRPr="0063248C">
              <w:rPr>
                <w:rFonts w:cs="宋体"/>
                <w:sz w:val="18"/>
                <w:szCs w:val="18"/>
              </w:rPr>
              <w:t>海南龙大美食有限责任公司</w:t>
            </w:r>
          </w:p>
        </w:tc>
        <w:tc>
          <w:tcPr>
            <w:tcW w:w="455" w:type="pct"/>
            <w:tcBorders>
              <w:top w:val="single" w:sz="2" w:space="0" w:color="auto"/>
              <w:left w:val="single" w:sz="2" w:space="0" w:color="auto"/>
              <w:bottom w:val="single" w:sz="2" w:space="0" w:color="auto"/>
              <w:right w:val="single" w:sz="2" w:space="0" w:color="auto"/>
            </w:tcBorders>
            <w:vAlign w:val="center"/>
          </w:tcPr>
          <w:p w14:paraId="664539A5"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8C149AF" w14:textId="77777777" w:rsidR="007B3DB2" w:rsidRPr="0063248C" w:rsidRDefault="00000000">
            <w:pPr>
              <w:spacing w:line="240" w:lineRule="exact"/>
              <w:jc w:val="right"/>
              <w:rPr>
                <w:rFonts w:cs="宋体"/>
                <w:sz w:val="18"/>
                <w:szCs w:val="18"/>
              </w:rPr>
            </w:pPr>
            <w:r w:rsidRPr="0063248C">
              <w:rPr>
                <w:rFonts w:cs="宋体"/>
                <w:sz w:val="18"/>
                <w:szCs w:val="18"/>
              </w:rPr>
              <w:t>16,000</w:t>
            </w:r>
          </w:p>
        </w:tc>
        <w:tc>
          <w:tcPr>
            <w:tcW w:w="455" w:type="pct"/>
            <w:tcBorders>
              <w:top w:val="single" w:sz="2" w:space="0" w:color="auto"/>
              <w:left w:val="single" w:sz="2" w:space="0" w:color="auto"/>
              <w:bottom w:val="single" w:sz="2" w:space="0" w:color="auto"/>
              <w:right w:val="single" w:sz="2" w:space="0" w:color="auto"/>
            </w:tcBorders>
            <w:vAlign w:val="center"/>
          </w:tcPr>
          <w:p w14:paraId="7A3470C6"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05</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48D75098" w14:textId="77777777" w:rsidR="007B3DB2" w:rsidRPr="0063248C" w:rsidRDefault="00000000">
            <w:pPr>
              <w:spacing w:line="240" w:lineRule="exact"/>
              <w:jc w:val="right"/>
              <w:rPr>
                <w:rFonts w:cs="宋体"/>
                <w:sz w:val="18"/>
                <w:szCs w:val="18"/>
              </w:rPr>
            </w:pPr>
            <w:r w:rsidRPr="0063248C">
              <w:rPr>
                <w:rFonts w:cs="宋体"/>
                <w:sz w:val="18"/>
                <w:szCs w:val="18"/>
              </w:rPr>
              <w:t>1,098.27</w:t>
            </w:r>
          </w:p>
        </w:tc>
        <w:tc>
          <w:tcPr>
            <w:tcW w:w="455" w:type="pct"/>
            <w:tcBorders>
              <w:top w:val="single" w:sz="2" w:space="0" w:color="auto"/>
              <w:left w:val="single" w:sz="2" w:space="0" w:color="auto"/>
              <w:bottom w:val="single" w:sz="2" w:space="0" w:color="auto"/>
              <w:right w:val="single" w:sz="2" w:space="0" w:color="auto"/>
            </w:tcBorders>
            <w:vAlign w:val="center"/>
          </w:tcPr>
          <w:p w14:paraId="073BAA05"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16F62A48"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CC0C2ED"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A02F5D6" w14:textId="77777777" w:rsidR="007B3DB2" w:rsidRPr="0063248C" w:rsidRDefault="00000000">
            <w:pPr>
              <w:spacing w:line="240" w:lineRule="exact"/>
              <w:rPr>
                <w:rFonts w:cs="宋体"/>
                <w:sz w:val="18"/>
                <w:szCs w:val="18"/>
              </w:rPr>
            </w:pPr>
            <w:r w:rsidRPr="0063248C">
              <w:rPr>
                <w:rFonts w:cs="宋体"/>
                <w:sz w:val="18"/>
                <w:szCs w:val="18"/>
              </w:rPr>
              <w:t>2023.04.03-2030.06.21</w:t>
            </w:r>
          </w:p>
        </w:tc>
        <w:tc>
          <w:tcPr>
            <w:tcW w:w="454" w:type="pct"/>
            <w:tcBorders>
              <w:top w:val="single" w:sz="2" w:space="0" w:color="auto"/>
              <w:left w:val="single" w:sz="2" w:space="0" w:color="auto"/>
              <w:bottom w:val="single" w:sz="2" w:space="0" w:color="auto"/>
              <w:right w:val="single" w:sz="2" w:space="0" w:color="auto"/>
            </w:tcBorders>
            <w:vAlign w:val="center"/>
          </w:tcPr>
          <w:p w14:paraId="2E9DD069"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7751126D"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2B27D6A8"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2D07658" w14:textId="77777777" w:rsidR="007B3DB2" w:rsidRPr="0063248C" w:rsidRDefault="00000000">
            <w:pPr>
              <w:spacing w:line="240" w:lineRule="exact"/>
              <w:rPr>
                <w:rFonts w:cs="宋体"/>
                <w:sz w:val="18"/>
                <w:szCs w:val="18"/>
              </w:rPr>
            </w:pPr>
            <w:r w:rsidRPr="0063248C">
              <w:rPr>
                <w:rFonts w:cs="宋体"/>
                <w:sz w:val="18"/>
                <w:szCs w:val="18"/>
              </w:rPr>
              <w:t>烟台龙</w:t>
            </w:r>
            <w:r w:rsidRPr="0063248C">
              <w:rPr>
                <w:rFonts w:cs="宋体"/>
                <w:sz w:val="18"/>
                <w:szCs w:val="18"/>
              </w:rPr>
              <w:lastRenderedPageBreak/>
              <w:t>大养殖有限公司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5258F48B" w14:textId="77777777" w:rsidR="007B3DB2" w:rsidRPr="0063248C" w:rsidRDefault="00000000">
            <w:pPr>
              <w:spacing w:line="240" w:lineRule="exact"/>
              <w:rPr>
                <w:rFonts w:cs="宋体"/>
                <w:sz w:val="18"/>
                <w:szCs w:val="18"/>
              </w:rPr>
            </w:pPr>
            <w:r w:rsidRPr="0063248C">
              <w:rPr>
                <w:rFonts w:cs="宋体"/>
                <w:sz w:val="18"/>
                <w:szCs w:val="18"/>
              </w:rPr>
              <w:lastRenderedPageBreak/>
              <w:t>2023</w:t>
            </w:r>
            <w:r w:rsidRPr="0063248C">
              <w:rPr>
                <w:rFonts w:cs="宋体"/>
                <w:sz w:val="18"/>
                <w:szCs w:val="18"/>
              </w:rPr>
              <w:t>年</w:t>
            </w:r>
            <w:r w:rsidRPr="0063248C">
              <w:rPr>
                <w:rFonts w:cs="宋体"/>
                <w:sz w:val="18"/>
                <w:szCs w:val="18"/>
              </w:rPr>
              <w:lastRenderedPageBreak/>
              <w:t>01</w:t>
            </w:r>
            <w:r w:rsidRPr="0063248C">
              <w:rPr>
                <w:rFonts w:cs="宋体"/>
                <w:sz w:val="18"/>
                <w:szCs w:val="18"/>
              </w:rPr>
              <w:t>月</w:t>
            </w:r>
            <w:r w:rsidRPr="0063248C">
              <w:rPr>
                <w:rFonts w:cs="宋体"/>
                <w:sz w:val="18"/>
                <w:szCs w:val="18"/>
              </w:rPr>
              <w:t>17</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39AA6BE3" w14:textId="77777777" w:rsidR="007B3DB2" w:rsidRPr="0063248C" w:rsidRDefault="00000000">
            <w:pPr>
              <w:spacing w:line="240" w:lineRule="exact"/>
              <w:jc w:val="right"/>
              <w:rPr>
                <w:rFonts w:cs="宋体"/>
                <w:sz w:val="18"/>
                <w:szCs w:val="18"/>
              </w:rPr>
            </w:pPr>
            <w:r w:rsidRPr="0063248C">
              <w:rPr>
                <w:rFonts w:cs="宋体"/>
                <w:sz w:val="18"/>
                <w:szCs w:val="18"/>
              </w:rPr>
              <w:lastRenderedPageBreak/>
              <w:t>6,000</w:t>
            </w:r>
          </w:p>
        </w:tc>
        <w:tc>
          <w:tcPr>
            <w:tcW w:w="455" w:type="pct"/>
            <w:tcBorders>
              <w:top w:val="single" w:sz="2" w:space="0" w:color="auto"/>
              <w:left w:val="single" w:sz="2" w:space="0" w:color="auto"/>
              <w:bottom w:val="single" w:sz="2" w:space="0" w:color="auto"/>
              <w:right w:val="single" w:sz="2" w:space="0" w:color="auto"/>
            </w:tcBorders>
            <w:vAlign w:val="center"/>
          </w:tcPr>
          <w:p w14:paraId="59F9B2D0"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lastRenderedPageBreak/>
              <w:t>05</w:t>
            </w:r>
            <w:r w:rsidRPr="0063248C">
              <w:rPr>
                <w:rFonts w:cs="宋体"/>
                <w:sz w:val="18"/>
                <w:szCs w:val="18"/>
              </w:rPr>
              <w:t>月</w:t>
            </w:r>
            <w:r w:rsidRPr="0063248C">
              <w:rPr>
                <w:rFonts w:cs="宋体"/>
                <w:sz w:val="18"/>
                <w:szCs w:val="18"/>
              </w:rPr>
              <w:t>06</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B4DBD1D" w14:textId="77777777" w:rsidR="007B3DB2" w:rsidRPr="0063248C" w:rsidRDefault="00000000">
            <w:pPr>
              <w:spacing w:line="240" w:lineRule="exact"/>
              <w:jc w:val="right"/>
              <w:rPr>
                <w:rFonts w:cs="宋体"/>
                <w:sz w:val="18"/>
                <w:szCs w:val="18"/>
              </w:rPr>
            </w:pPr>
            <w:r w:rsidRPr="0063248C">
              <w:rPr>
                <w:rFonts w:cs="宋体"/>
                <w:sz w:val="18"/>
                <w:szCs w:val="18"/>
              </w:rPr>
              <w:lastRenderedPageBreak/>
              <w:t>6,000</w:t>
            </w:r>
          </w:p>
        </w:tc>
        <w:tc>
          <w:tcPr>
            <w:tcW w:w="455" w:type="pct"/>
            <w:tcBorders>
              <w:top w:val="single" w:sz="2" w:space="0" w:color="auto"/>
              <w:left w:val="single" w:sz="2" w:space="0" w:color="auto"/>
              <w:bottom w:val="single" w:sz="2" w:space="0" w:color="auto"/>
              <w:right w:val="single" w:sz="2" w:space="0" w:color="auto"/>
            </w:tcBorders>
            <w:vAlign w:val="center"/>
          </w:tcPr>
          <w:p w14:paraId="505CDC6C" w14:textId="77777777" w:rsidR="007B3DB2" w:rsidRPr="0063248C" w:rsidRDefault="00000000">
            <w:pPr>
              <w:spacing w:line="240" w:lineRule="exact"/>
              <w:rPr>
                <w:rFonts w:cs="宋体"/>
                <w:sz w:val="18"/>
                <w:szCs w:val="18"/>
              </w:rPr>
            </w:pPr>
            <w:r w:rsidRPr="0063248C">
              <w:rPr>
                <w:rFonts w:cs="宋体"/>
                <w:sz w:val="18"/>
                <w:szCs w:val="18"/>
              </w:rPr>
              <w:t>连带责</w:t>
            </w:r>
            <w:r w:rsidRPr="0063248C">
              <w:rPr>
                <w:rFonts w:cs="宋体"/>
                <w:sz w:val="18"/>
                <w:szCs w:val="18"/>
              </w:rPr>
              <w:lastRenderedPageBreak/>
              <w:t>任担保</w:t>
            </w:r>
          </w:p>
        </w:tc>
        <w:tc>
          <w:tcPr>
            <w:tcW w:w="454" w:type="pct"/>
            <w:tcBorders>
              <w:top w:val="single" w:sz="2" w:space="0" w:color="auto"/>
              <w:left w:val="single" w:sz="2" w:space="0" w:color="auto"/>
              <w:bottom w:val="single" w:sz="2" w:space="0" w:color="auto"/>
              <w:right w:val="single" w:sz="2" w:space="0" w:color="auto"/>
            </w:tcBorders>
            <w:vAlign w:val="center"/>
          </w:tcPr>
          <w:p w14:paraId="158101BD"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112C75B9"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1ACE750" w14:textId="77777777" w:rsidR="007B3DB2" w:rsidRPr="0063248C" w:rsidRDefault="00000000">
            <w:pPr>
              <w:spacing w:line="240" w:lineRule="exact"/>
              <w:rPr>
                <w:rFonts w:cs="宋体"/>
                <w:sz w:val="18"/>
                <w:szCs w:val="18"/>
              </w:rPr>
            </w:pPr>
            <w:r w:rsidRPr="0063248C">
              <w:rPr>
                <w:rFonts w:cs="宋体"/>
                <w:sz w:val="18"/>
                <w:szCs w:val="18"/>
              </w:rPr>
              <w:t>2024.05.06-</w:t>
            </w:r>
            <w:r w:rsidRPr="0063248C">
              <w:rPr>
                <w:rFonts w:cs="宋体"/>
                <w:sz w:val="18"/>
                <w:szCs w:val="18"/>
              </w:rPr>
              <w:lastRenderedPageBreak/>
              <w:t>2025.05.04</w:t>
            </w:r>
          </w:p>
        </w:tc>
        <w:tc>
          <w:tcPr>
            <w:tcW w:w="454" w:type="pct"/>
            <w:tcBorders>
              <w:top w:val="single" w:sz="2" w:space="0" w:color="auto"/>
              <w:left w:val="single" w:sz="2" w:space="0" w:color="auto"/>
              <w:bottom w:val="single" w:sz="2" w:space="0" w:color="auto"/>
              <w:right w:val="single" w:sz="2" w:space="0" w:color="auto"/>
            </w:tcBorders>
            <w:vAlign w:val="center"/>
          </w:tcPr>
          <w:p w14:paraId="1132CF3E" w14:textId="77777777" w:rsidR="007B3DB2" w:rsidRPr="0063248C" w:rsidRDefault="00000000">
            <w:pPr>
              <w:spacing w:line="240" w:lineRule="exact"/>
              <w:rPr>
                <w:rFonts w:cs="宋体"/>
                <w:sz w:val="18"/>
                <w:szCs w:val="18"/>
              </w:rPr>
            </w:pPr>
            <w:r w:rsidRPr="0063248C">
              <w:rPr>
                <w:rFonts w:cs="宋体"/>
                <w:sz w:val="18"/>
                <w:szCs w:val="18"/>
              </w:rPr>
              <w:lastRenderedPageBreak/>
              <w:t>否</w:t>
            </w:r>
          </w:p>
        </w:tc>
        <w:tc>
          <w:tcPr>
            <w:tcW w:w="455" w:type="pct"/>
            <w:tcBorders>
              <w:top w:val="single" w:sz="2" w:space="0" w:color="auto"/>
              <w:left w:val="single" w:sz="2" w:space="0" w:color="auto"/>
              <w:bottom w:val="single" w:sz="2" w:space="0" w:color="auto"/>
              <w:right w:val="single" w:sz="2" w:space="0" w:color="auto"/>
            </w:tcBorders>
            <w:vAlign w:val="center"/>
          </w:tcPr>
          <w:p w14:paraId="654535A5"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63629F71"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3262AB19" w14:textId="77777777" w:rsidR="007B3DB2" w:rsidRPr="0063248C" w:rsidRDefault="00000000">
            <w:pPr>
              <w:spacing w:line="240" w:lineRule="exact"/>
              <w:rPr>
                <w:rFonts w:cs="宋体"/>
                <w:sz w:val="18"/>
                <w:szCs w:val="18"/>
              </w:rPr>
            </w:pPr>
            <w:r w:rsidRPr="0063248C">
              <w:rPr>
                <w:rFonts w:cs="宋体"/>
                <w:sz w:val="18"/>
                <w:szCs w:val="18"/>
              </w:rPr>
              <w:t>烟台龙大养殖有限公司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0E4A9D2D"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17</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5F7C7893" w14:textId="77777777" w:rsidR="007B3DB2" w:rsidRPr="0063248C" w:rsidRDefault="00000000">
            <w:pPr>
              <w:spacing w:line="240" w:lineRule="exact"/>
              <w:jc w:val="right"/>
              <w:rPr>
                <w:rFonts w:cs="宋体"/>
                <w:sz w:val="18"/>
                <w:szCs w:val="18"/>
              </w:rPr>
            </w:pPr>
            <w:r w:rsidRPr="0063248C">
              <w:rPr>
                <w:rFonts w:cs="宋体"/>
                <w:sz w:val="18"/>
                <w:szCs w:val="18"/>
              </w:rPr>
              <w:t>6,000</w:t>
            </w:r>
          </w:p>
        </w:tc>
        <w:tc>
          <w:tcPr>
            <w:tcW w:w="455" w:type="pct"/>
            <w:tcBorders>
              <w:top w:val="single" w:sz="2" w:space="0" w:color="auto"/>
              <w:left w:val="single" w:sz="2" w:space="0" w:color="auto"/>
              <w:bottom w:val="single" w:sz="2" w:space="0" w:color="auto"/>
              <w:right w:val="single" w:sz="2" w:space="0" w:color="auto"/>
            </w:tcBorders>
            <w:vAlign w:val="center"/>
          </w:tcPr>
          <w:p w14:paraId="452A8634"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07</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B6B5AD3" w14:textId="77777777" w:rsidR="007B3DB2" w:rsidRPr="0063248C" w:rsidRDefault="00000000">
            <w:pPr>
              <w:spacing w:line="240" w:lineRule="exact"/>
              <w:jc w:val="right"/>
              <w:rPr>
                <w:rFonts w:cs="宋体"/>
                <w:sz w:val="18"/>
                <w:szCs w:val="18"/>
              </w:rPr>
            </w:pPr>
            <w:r w:rsidRPr="0063248C">
              <w:rPr>
                <w:rFonts w:cs="宋体"/>
                <w:sz w:val="18"/>
                <w:szCs w:val="18"/>
              </w:rPr>
              <w:t>3,600</w:t>
            </w:r>
          </w:p>
        </w:tc>
        <w:tc>
          <w:tcPr>
            <w:tcW w:w="455" w:type="pct"/>
            <w:tcBorders>
              <w:top w:val="single" w:sz="2" w:space="0" w:color="auto"/>
              <w:left w:val="single" w:sz="2" w:space="0" w:color="auto"/>
              <w:bottom w:val="single" w:sz="2" w:space="0" w:color="auto"/>
              <w:right w:val="single" w:sz="2" w:space="0" w:color="auto"/>
            </w:tcBorders>
            <w:vAlign w:val="center"/>
          </w:tcPr>
          <w:p w14:paraId="308813A4"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6F663CE3"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403AC727"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9F6F238" w14:textId="77777777" w:rsidR="007B3DB2" w:rsidRPr="0063248C" w:rsidRDefault="00000000">
            <w:pPr>
              <w:spacing w:line="240" w:lineRule="exact"/>
              <w:rPr>
                <w:rFonts w:cs="宋体"/>
                <w:sz w:val="18"/>
                <w:szCs w:val="18"/>
              </w:rPr>
            </w:pPr>
            <w:r w:rsidRPr="0063248C">
              <w:rPr>
                <w:rFonts w:cs="宋体"/>
                <w:sz w:val="18"/>
                <w:szCs w:val="18"/>
              </w:rPr>
              <w:t>2023.11.7-2024.5.7</w:t>
            </w:r>
          </w:p>
        </w:tc>
        <w:tc>
          <w:tcPr>
            <w:tcW w:w="454" w:type="pct"/>
            <w:tcBorders>
              <w:top w:val="single" w:sz="2" w:space="0" w:color="auto"/>
              <w:left w:val="single" w:sz="2" w:space="0" w:color="auto"/>
              <w:bottom w:val="single" w:sz="2" w:space="0" w:color="auto"/>
              <w:right w:val="single" w:sz="2" w:space="0" w:color="auto"/>
            </w:tcBorders>
            <w:vAlign w:val="center"/>
          </w:tcPr>
          <w:p w14:paraId="01B71A07"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686E1D30"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3515EE68"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598B9D32" w14:textId="77777777" w:rsidR="007B3DB2" w:rsidRPr="0063248C" w:rsidRDefault="00000000">
            <w:pPr>
              <w:spacing w:line="240" w:lineRule="exact"/>
              <w:rPr>
                <w:rFonts w:cs="宋体"/>
                <w:sz w:val="18"/>
                <w:szCs w:val="18"/>
              </w:rPr>
            </w:pPr>
            <w:r w:rsidRPr="0063248C">
              <w:rPr>
                <w:rFonts w:cs="宋体"/>
                <w:sz w:val="18"/>
                <w:szCs w:val="18"/>
              </w:rPr>
              <w:t>烟台龙大养殖有限公司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5C1A7DA0"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17</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7F5243A1" w14:textId="77777777" w:rsidR="007B3DB2" w:rsidRPr="0063248C" w:rsidRDefault="00000000">
            <w:pPr>
              <w:spacing w:line="240" w:lineRule="exact"/>
              <w:jc w:val="right"/>
              <w:rPr>
                <w:rFonts w:cs="宋体"/>
                <w:sz w:val="18"/>
                <w:szCs w:val="18"/>
              </w:rPr>
            </w:pPr>
            <w:r w:rsidRPr="0063248C">
              <w:rPr>
                <w:rFonts w:cs="宋体"/>
                <w:sz w:val="18"/>
                <w:szCs w:val="18"/>
              </w:rPr>
              <w:t>6,000</w:t>
            </w:r>
          </w:p>
        </w:tc>
        <w:tc>
          <w:tcPr>
            <w:tcW w:w="455" w:type="pct"/>
            <w:tcBorders>
              <w:top w:val="single" w:sz="2" w:space="0" w:color="auto"/>
              <w:left w:val="single" w:sz="2" w:space="0" w:color="auto"/>
              <w:bottom w:val="single" w:sz="2" w:space="0" w:color="auto"/>
              <w:right w:val="single" w:sz="2" w:space="0" w:color="auto"/>
            </w:tcBorders>
            <w:vAlign w:val="center"/>
          </w:tcPr>
          <w:p w14:paraId="11F975E5"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06</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2A2C9627" w14:textId="77777777" w:rsidR="007B3DB2" w:rsidRPr="0063248C" w:rsidRDefault="00000000">
            <w:pPr>
              <w:spacing w:line="240" w:lineRule="exact"/>
              <w:jc w:val="right"/>
              <w:rPr>
                <w:rFonts w:cs="宋体"/>
                <w:sz w:val="18"/>
                <w:szCs w:val="18"/>
              </w:rPr>
            </w:pPr>
            <w:r w:rsidRPr="0063248C">
              <w:rPr>
                <w:rFonts w:cs="宋体"/>
                <w:sz w:val="18"/>
                <w:szCs w:val="18"/>
              </w:rPr>
              <w:t>2,400</w:t>
            </w:r>
          </w:p>
        </w:tc>
        <w:tc>
          <w:tcPr>
            <w:tcW w:w="455" w:type="pct"/>
            <w:tcBorders>
              <w:top w:val="single" w:sz="2" w:space="0" w:color="auto"/>
              <w:left w:val="single" w:sz="2" w:space="0" w:color="auto"/>
              <w:bottom w:val="single" w:sz="2" w:space="0" w:color="auto"/>
              <w:right w:val="single" w:sz="2" w:space="0" w:color="auto"/>
            </w:tcBorders>
            <w:vAlign w:val="center"/>
          </w:tcPr>
          <w:p w14:paraId="0B892658"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2790BF15"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76FF5C8C"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D8E517C" w14:textId="77777777" w:rsidR="007B3DB2" w:rsidRPr="0063248C" w:rsidRDefault="00000000">
            <w:pPr>
              <w:spacing w:line="240" w:lineRule="exact"/>
              <w:rPr>
                <w:rFonts w:cs="宋体"/>
                <w:sz w:val="18"/>
                <w:szCs w:val="18"/>
              </w:rPr>
            </w:pPr>
            <w:r w:rsidRPr="0063248C">
              <w:rPr>
                <w:rFonts w:cs="宋体"/>
                <w:sz w:val="18"/>
                <w:szCs w:val="18"/>
              </w:rPr>
              <w:t>2023.11.6-2024.5.6</w:t>
            </w:r>
          </w:p>
        </w:tc>
        <w:tc>
          <w:tcPr>
            <w:tcW w:w="454" w:type="pct"/>
            <w:tcBorders>
              <w:top w:val="single" w:sz="2" w:space="0" w:color="auto"/>
              <w:left w:val="single" w:sz="2" w:space="0" w:color="auto"/>
              <w:bottom w:val="single" w:sz="2" w:space="0" w:color="auto"/>
              <w:right w:val="single" w:sz="2" w:space="0" w:color="auto"/>
            </w:tcBorders>
            <w:vAlign w:val="center"/>
          </w:tcPr>
          <w:p w14:paraId="17D8C7CF" w14:textId="77777777" w:rsidR="007B3DB2" w:rsidRPr="0063248C" w:rsidRDefault="00000000">
            <w:pPr>
              <w:spacing w:line="240" w:lineRule="exact"/>
              <w:rPr>
                <w:rFonts w:cs="宋体"/>
                <w:sz w:val="18"/>
                <w:szCs w:val="18"/>
              </w:rPr>
            </w:pPr>
            <w:r w:rsidRPr="0063248C">
              <w:rPr>
                <w:rFonts w:cs="宋体"/>
                <w:sz w:val="18"/>
                <w:szCs w:val="18"/>
              </w:rPr>
              <w:t>是</w:t>
            </w:r>
          </w:p>
        </w:tc>
        <w:tc>
          <w:tcPr>
            <w:tcW w:w="455" w:type="pct"/>
            <w:tcBorders>
              <w:top w:val="single" w:sz="2" w:space="0" w:color="auto"/>
              <w:left w:val="single" w:sz="2" w:space="0" w:color="auto"/>
              <w:bottom w:val="single" w:sz="2" w:space="0" w:color="auto"/>
              <w:right w:val="single" w:sz="2" w:space="0" w:color="auto"/>
            </w:tcBorders>
            <w:vAlign w:val="center"/>
          </w:tcPr>
          <w:p w14:paraId="727607CB"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37B21490"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2567E8C5" w14:textId="77777777" w:rsidR="007B3DB2" w:rsidRPr="0063248C" w:rsidRDefault="00000000">
            <w:pPr>
              <w:spacing w:line="240" w:lineRule="exact"/>
              <w:rPr>
                <w:rFonts w:cs="宋体"/>
                <w:sz w:val="18"/>
                <w:szCs w:val="18"/>
              </w:rPr>
            </w:pPr>
            <w:r w:rsidRPr="0063248C">
              <w:rPr>
                <w:rFonts w:cs="宋体"/>
                <w:sz w:val="18"/>
                <w:szCs w:val="18"/>
              </w:rPr>
              <w:t>江苏龙大沁侬食品有限公司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1E599101"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02</w:t>
            </w:r>
            <w:r w:rsidRPr="0063248C">
              <w:rPr>
                <w:rFonts w:cs="宋体"/>
                <w:sz w:val="18"/>
                <w:szCs w:val="18"/>
              </w:rPr>
              <w:t>月</w:t>
            </w:r>
            <w:r w:rsidRPr="0063248C">
              <w:rPr>
                <w:rFonts w:cs="宋体"/>
                <w:sz w:val="18"/>
                <w:szCs w:val="18"/>
              </w:rPr>
              <w:t>28</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6D1C991E" w14:textId="77777777" w:rsidR="007B3DB2" w:rsidRPr="0063248C" w:rsidRDefault="00000000">
            <w:pPr>
              <w:spacing w:line="240" w:lineRule="exact"/>
              <w:jc w:val="right"/>
              <w:rPr>
                <w:rFonts w:cs="宋体"/>
                <w:sz w:val="18"/>
                <w:szCs w:val="18"/>
              </w:rPr>
            </w:pPr>
            <w:r w:rsidRPr="0063248C">
              <w:rPr>
                <w:rFonts w:cs="宋体"/>
                <w:sz w:val="18"/>
                <w:szCs w:val="18"/>
              </w:rPr>
              <w:t>6,000</w:t>
            </w:r>
          </w:p>
        </w:tc>
        <w:tc>
          <w:tcPr>
            <w:tcW w:w="455" w:type="pct"/>
            <w:tcBorders>
              <w:top w:val="single" w:sz="2" w:space="0" w:color="auto"/>
              <w:left w:val="single" w:sz="2" w:space="0" w:color="auto"/>
              <w:bottom w:val="single" w:sz="2" w:space="0" w:color="auto"/>
              <w:right w:val="single" w:sz="2" w:space="0" w:color="auto"/>
            </w:tcBorders>
            <w:vAlign w:val="center"/>
          </w:tcPr>
          <w:p w14:paraId="7D2B1838"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02</w:t>
            </w:r>
            <w:r w:rsidRPr="0063248C">
              <w:rPr>
                <w:rFonts w:cs="宋体"/>
                <w:sz w:val="18"/>
                <w:szCs w:val="18"/>
              </w:rPr>
              <w:t>月</w:t>
            </w:r>
            <w:r w:rsidRPr="0063248C">
              <w:rPr>
                <w:rFonts w:cs="宋体"/>
                <w:sz w:val="18"/>
                <w:szCs w:val="18"/>
              </w:rPr>
              <w:t>06</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794D1427" w14:textId="77777777" w:rsidR="007B3DB2" w:rsidRPr="0063248C" w:rsidRDefault="00000000">
            <w:pPr>
              <w:spacing w:line="240" w:lineRule="exact"/>
              <w:jc w:val="right"/>
              <w:rPr>
                <w:rFonts w:cs="宋体"/>
                <w:sz w:val="18"/>
                <w:szCs w:val="18"/>
              </w:rPr>
            </w:pPr>
            <w:r w:rsidRPr="0063248C">
              <w:rPr>
                <w:rFonts w:cs="宋体"/>
                <w:sz w:val="18"/>
                <w:szCs w:val="18"/>
              </w:rPr>
              <w:t>5,533.27</w:t>
            </w:r>
          </w:p>
        </w:tc>
        <w:tc>
          <w:tcPr>
            <w:tcW w:w="455" w:type="pct"/>
            <w:tcBorders>
              <w:top w:val="single" w:sz="2" w:space="0" w:color="auto"/>
              <w:left w:val="single" w:sz="2" w:space="0" w:color="auto"/>
              <w:bottom w:val="single" w:sz="2" w:space="0" w:color="auto"/>
              <w:right w:val="single" w:sz="2" w:space="0" w:color="auto"/>
            </w:tcBorders>
            <w:vAlign w:val="center"/>
          </w:tcPr>
          <w:p w14:paraId="1D0B0718"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4B1BDEFD"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07465D64"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317971C3" w14:textId="77777777" w:rsidR="007B3DB2" w:rsidRPr="0063248C" w:rsidRDefault="00000000">
            <w:pPr>
              <w:spacing w:line="240" w:lineRule="exact"/>
              <w:rPr>
                <w:rFonts w:cs="宋体"/>
                <w:sz w:val="18"/>
                <w:szCs w:val="18"/>
              </w:rPr>
            </w:pPr>
            <w:r w:rsidRPr="0063248C">
              <w:rPr>
                <w:rFonts w:cs="宋体"/>
                <w:sz w:val="18"/>
                <w:szCs w:val="18"/>
              </w:rPr>
              <w:t>2024.02.06-2027.02.06</w:t>
            </w:r>
          </w:p>
        </w:tc>
        <w:tc>
          <w:tcPr>
            <w:tcW w:w="454" w:type="pct"/>
            <w:tcBorders>
              <w:top w:val="single" w:sz="2" w:space="0" w:color="auto"/>
              <w:left w:val="single" w:sz="2" w:space="0" w:color="auto"/>
              <w:bottom w:val="single" w:sz="2" w:space="0" w:color="auto"/>
              <w:right w:val="single" w:sz="2" w:space="0" w:color="auto"/>
            </w:tcBorders>
            <w:vAlign w:val="center"/>
          </w:tcPr>
          <w:p w14:paraId="1B0E14AB"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063B9AE6"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1ADA49DE"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vAlign w:val="center"/>
          </w:tcPr>
          <w:p w14:paraId="45CBBC31" w14:textId="77777777" w:rsidR="007B3DB2" w:rsidRPr="0063248C" w:rsidRDefault="00000000">
            <w:pPr>
              <w:spacing w:line="240" w:lineRule="exact"/>
              <w:rPr>
                <w:rFonts w:cs="宋体"/>
                <w:sz w:val="18"/>
                <w:szCs w:val="18"/>
              </w:rPr>
            </w:pPr>
            <w:r w:rsidRPr="0063248C">
              <w:rPr>
                <w:rFonts w:cs="宋体"/>
                <w:sz w:val="18"/>
                <w:szCs w:val="18"/>
              </w:rPr>
              <w:t>莱阳龙瑞食品有限公司</w:t>
            </w:r>
          </w:p>
        </w:tc>
        <w:tc>
          <w:tcPr>
            <w:tcW w:w="455" w:type="pct"/>
            <w:tcBorders>
              <w:top w:val="single" w:sz="2" w:space="0" w:color="auto"/>
              <w:left w:val="single" w:sz="2" w:space="0" w:color="auto"/>
              <w:bottom w:val="single" w:sz="2" w:space="0" w:color="auto"/>
              <w:right w:val="single" w:sz="2" w:space="0" w:color="auto"/>
            </w:tcBorders>
            <w:vAlign w:val="center"/>
          </w:tcPr>
          <w:p w14:paraId="33FF8283" w14:textId="77777777" w:rsidR="007B3DB2" w:rsidRPr="0063248C" w:rsidRDefault="00000000">
            <w:pPr>
              <w:spacing w:line="240" w:lineRule="exact"/>
              <w:rPr>
                <w:rFonts w:cs="宋体"/>
                <w:sz w:val="18"/>
                <w:szCs w:val="18"/>
              </w:rPr>
            </w:pPr>
            <w:r w:rsidRPr="0063248C">
              <w:rPr>
                <w:rFonts w:cs="宋体"/>
                <w:sz w:val="18"/>
                <w:szCs w:val="18"/>
              </w:rPr>
              <w:t>2021</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6C3EA5D7" w14:textId="77777777" w:rsidR="007B3DB2" w:rsidRPr="0063248C" w:rsidRDefault="00000000">
            <w:pPr>
              <w:spacing w:line="240" w:lineRule="exact"/>
              <w:jc w:val="right"/>
              <w:rPr>
                <w:rFonts w:cs="宋体"/>
                <w:sz w:val="18"/>
                <w:szCs w:val="18"/>
              </w:rPr>
            </w:pPr>
            <w:r w:rsidRPr="0063248C">
              <w:rPr>
                <w:rFonts w:cs="宋体"/>
                <w:sz w:val="18"/>
                <w:szCs w:val="18"/>
              </w:rPr>
              <w:t>1,100</w:t>
            </w:r>
          </w:p>
        </w:tc>
        <w:tc>
          <w:tcPr>
            <w:tcW w:w="455" w:type="pct"/>
            <w:tcBorders>
              <w:top w:val="single" w:sz="2" w:space="0" w:color="auto"/>
              <w:left w:val="single" w:sz="2" w:space="0" w:color="auto"/>
              <w:bottom w:val="single" w:sz="2" w:space="0" w:color="auto"/>
              <w:right w:val="single" w:sz="2" w:space="0" w:color="auto"/>
            </w:tcBorders>
            <w:vAlign w:val="center"/>
          </w:tcPr>
          <w:p w14:paraId="3A6D2989" w14:textId="77777777" w:rsidR="007B3DB2" w:rsidRPr="0063248C" w:rsidRDefault="00000000">
            <w:pPr>
              <w:spacing w:line="240" w:lineRule="exact"/>
              <w:rPr>
                <w:rFonts w:cs="宋体"/>
                <w:sz w:val="18"/>
                <w:szCs w:val="18"/>
              </w:rPr>
            </w:pPr>
            <w:r w:rsidRPr="0063248C">
              <w:rPr>
                <w:rFonts w:cs="宋体"/>
                <w:sz w:val="18"/>
                <w:szCs w:val="18"/>
              </w:rPr>
              <w:t>2021</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30</w:t>
            </w:r>
            <w:r w:rsidRPr="0063248C">
              <w:rPr>
                <w:rFonts w:cs="宋体"/>
                <w:sz w:val="18"/>
                <w:szCs w:val="18"/>
              </w:rPr>
              <w:t>日</w:t>
            </w:r>
          </w:p>
        </w:tc>
        <w:tc>
          <w:tcPr>
            <w:tcW w:w="454" w:type="pct"/>
            <w:tcBorders>
              <w:top w:val="single" w:sz="2" w:space="0" w:color="auto"/>
              <w:left w:val="single" w:sz="2" w:space="0" w:color="auto"/>
              <w:bottom w:val="single" w:sz="2" w:space="0" w:color="auto"/>
              <w:right w:val="single" w:sz="2" w:space="0" w:color="auto"/>
            </w:tcBorders>
            <w:vAlign w:val="center"/>
          </w:tcPr>
          <w:p w14:paraId="08DF2D23" w14:textId="77777777" w:rsidR="007B3DB2" w:rsidRPr="0063248C" w:rsidRDefault="00000000">
            <w:pPr>
              <w:spacing w:line="240" w:lineRule="exact"/>
              <w:jc w:val="right"/>
              <w:rPr>
                <w:rFonts w:cs="宋体"/>
                <w:sz w:val="18"/>
                <w:szCs w:val="18"/>
              </w:rPr>
            </w:pPr>
            <w:r w:rsidRPr="0063248C">
              <w:rPr>
                <w:rFonts w:cs="宋体"/>
                <w:sz w:val="18"/>
                <w:szCs w:val="18"/>
              </w:rPr>
              <w:t>76.7</w:t>
            </w:r>
          </w:p>
        </w:tc>
        <w:tc>
          <w:tcPr>
            <w:tcW w:w="455" w:type="pct"/>
            <w:tcBorders>
              <w:top w:val="single" w:sz="2" w:space="0" w:color="auto"/>
              <w:left w:val="single" w:sz="2" w:space="0" w:color="auto"/>
              <w:bottom w:val="single" w:sz="2" w:space="0" w:color="auto"/>
              <w:right w:val="single" w:sz="2" w:space="0" w:color="auto"/>
            </w:tcBorders>
            <w:vAlign w:val="center"/>
          </w:tcPr>
          <w:p w14:paraId="74D34C50" w14:textId="77777777" w:rsidR="007B3DB2" w:rsidRPr="0063248C" w:rsidRDefault="00000000">
            <w:pPr>
              <w:spacing w:line="240" w:lineRule="exact"/>
              <w:rPr>
                <w:rFonts w:cs="宋体"/>
                <w:sz w:val="18"/>
                <w:szCs w:val="18"/>
              </w:rPr>
            </w:pPr>
            <w:r w:rsidRPr="0063248C">
              <w:rPr>
                <w:rFonts w:cs="宋体"/>
                <w:sz w:val="18"/>
                <w:szCs w:val="18"/>
              </w:rPr>
              <w:t>连带责任担保</w:t>
            </w:r>
          </w:p>
        </w:tc>
        <w:tc>
          <w:tcPr>
            <w:tcW w:w="454" w:type="pct"/>
            <w:tcBorders>
              <w:top w:val="single" w:sz="2" w:space="0" w:color="auto"/>
              <w:left w:val="single" w:sz="2" w:space="0" w:color="auto"/>
              <w:bottom w:val="single" w:sz="2" w:space="0" w:color="auto"/>
              <w:right w:val="single" w:sz="2" w:space="0" w:color="auto"/>
            </w:tcBorders>
            <w:vAlign w:val="center"/>
          </w:tcPr>
          <w:p w14:paraId="69238688"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12ECF7C9" w14:textId="77777777" w:rsidR="007B3DB2" w:rsidRPr="0063248C" w:rsidRDefault="007B3DB2">
            <w:pPr>
              <w:spacing w:line="240" w:lineRule="exact"/>
              <w:rPr>
                <w:rFonts w:cs="宋体"/>
                <w:sz w:val="18"/>
                <w:szCs w:val="18"/>
              </w:rPr>
            </w:pPr>
          </w:p>
        </w:tc>
        <w:tc>
          <w:tcPr>
            <w:tcW w:w="454" w:type="pct"/>
            <w:tcBorders>
              <w:top w:val="single" w:sz="2" w:space="0" w:color="auto"/>
              <w:left w:val="single" w:sz="2" w:space="0" w:color="auto"/>
              <w:bottom w:val="single" w:sz="2" w:space="0" w:color="auto"/>
              <w:right w:val="single" w:sz="2" w:space="0" w:color="auto"/>
            </w:tcBorders>
            <w:vAlign w:val="center"/>
          </w:tcPr>
          <w:p w14:paraId="27EA8E79" w14:textId="77777777" w:rsidR="007B3DB2" w:rsidRPr="0063248C" w:rsidRDefault="00000000">
            <w:pPr>
              <w:spacing w:line="240" w:lineRule="exact"/>
              <w:rPr>
                <w:rFonts w:cs="宋体"/>
                <w:sz w:val="18"/>
                <w:szCs w:val="18"/>
              </w:rPr>
            </w:pPr>
            <w:r w:rsidRPr="0063248C">
              <w:rPr>
                <w:rFonts w:cs="宋体"/>
                <w:sz w:val="18"/>
                <w:szCs w:val="18"/>
              </w:rPr>
              <w:t>2021.11.30-2024.11.01</w:t>
            </w:r>
          </w:p>
        </w:tc>
        <w:tc>
          <w:tcPr>
            <w:tcW w:w="454" w:type="pct"/>
            <w:tcBorders>
              <w:top w:val="single" w:sz="2" w:space="0" w:color="auto"/>
              <w:left w:val="single" w:sz="2" w:space="0" w:color="auto"/>
              <w:bottom w:val="single" w:sz="2" w:space="0" w:color="auto"/>
              <w:right w:val="single" w:sz="2" w:space="0" w:color="auto"/>
            </w:tcBorders>
            <w:vAlign w:val="center"/>
          </w:tcPr>
          <w:p w14:paraId="6C687120" w14:textId="77777777" w:rsidR="007B3DB2" w:rsidRPr="0063248C" w:rsidRDefault="00000000">
            <w:pPr>
              <w:spacing w:line="240" w:lineRule="exact"/>
              <w:rPr>
                <w:rFonts w:cs="宋体"/>
                <w:sz w:val="18"/>
                <w:szCs w:val="18"/>
              </w:rPr>
            </w:pPr>
            <w:r w:rsidRPr="0063248C">
              <w:rPr>
                <w:rFonts w:cs="宋体"/>
                <w:sz w:val="18"/>
                <w:szCs w:val="18"/>
              </w:rPr>
              <w:t>否</w:t>
            </w:r>
          </w:p>
        </w:tc>
        <w:tc>
          <w:tcPr>
            <w:tcW w:w="455" w:type="pct"/>
            <w:tcBorders>
              <w:top w:val="single" w:sz="2" w:space="0" w:color="auto"/>
              <w:left w:val="single" w:sz="2" w:space="0" w:color="auto"/>
              <w:bottom w:val="single" w:sz="2" w:space="0" w:color="auto"/>
              <w:right w:val="single" w:sz="2" w:space="0" w:color="auto"/>
            </w:tcBorders>
            <w:vAlign w:val="center"/>
          </w:tcPr>
          <w:p w14:paraId="7DC8C92A"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563CF1D9" w14:textId="77777777" w:rsidTr="006709E7">
        <w:trPr>
          <w:trHeight w:val="240"/>
        </w:trPr>
        <w:tc>
          <w:tcPr>
            <w:tcW w:w="90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3509BFF" w14:textId="77777777" w:rsidR="007B3DB2" w:rsidRPr="0063248C" w:rsidRDefault="00000000">
            <w:pPr>
              <w:spacing w:before="40" w:after="40" w:line="240" w:lineRule="exact"/>
              <w:rPr>
                <w:rFonts w:cs="宋体"/>
                <w:sz w:val="18"/>
                <w:szCs w:val="18"/>
              </w:rPr>
            </w:pPr>
            <w:r w:rsidRPr="0063248C">
              <w:rPr>
                <w:rFonts w:cs="宋体"/>
                <w:sz w:val="18"/>
                <w:szCs w:val="18"/>
              </w:rPr>
              <w:t>报告期内审批对子公司担保额度合计（</w:t>
            </w:r>
            <w:r w:rsidRPr="0063248C">
              <w:rPr>
                <w:rFonts w:cs="宋体"/>
                <w:sz w:val="18"/>
                <w:szCs w:val="18"/>
              </w:rPr>
              <w:t>B1</w:t>
            </w:r>
            <w:r w:rsidRPr="0063248C">
              <w:rPr>
                <w:rFonts w:cs="宋体"/>
                <w:sz w:val="18"/>
                <w:szCs w:val="18"/>
              </w:rPr>
              <w:t>）</w:t>
            </w:r>
          </w:p>
        </w:tc>
        <w:tc>
          <w:tcPr>
            <w:tcW w:w="909" w:type="pct"/>
            <w:gridSpan w:val="2"/>
            <w:tcBorders>
              <w:top w:val="single" w:sz="2" w:space="0" w:color="auto"/>
              <w:left w:val="single" w:sz="2" w:space="0" w:color="auto"/>
              <w:bottom w:val="single" w:sz="2" w:space="0" w:color="auto"/>
              <w:right w:val="single" w:sz="2" w:space="0" w:color="auto"/>
            </w:tcBorders>
            <w:vAlign w:val="center"/>
          </w:tcPr>
          <w:p w14:paraId="067D5105" w14:textId="77777777" w:rsidR="007B3DB2" w:rsidRPr="0063248C" w:rsidRDefault="00000000">
            <w:pPr>
              <w:spacing w:line="240" w:lineRule="exact"/>
              <w:jc w:val="right"/>
              <w:rPr>
                <w:rFonts w:cs="宋体"/>
                <w:sz w:val="18"/>
                <w:szCs w:val="18"/>
              </w:rPr>
            </w:pPr>
            <w:r w:rsidRPr="0063248C">
              <w:rPr>
                <w:rFonts w:cs="宋体"/>
                <w:sz w:val="18"/>
                <w:szCs w:val="18"/>
              </w:rPr>
              <w:t>600,000</w:t>
            </w:r>
          </w:p>
        </w:tc>
        <w:tc>
          <w:tcPr>
            <w:tcW w:w="90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099D5F5" w14:textId="77777777" w:rsidR="007B3DB2" w:rsidRPr="0063248C" w:rsidRDefault="00000000">
            <w:pPr>
              <w:spacing w:before="40" w:after="40" w:line="240" w:lineRule="exact"/>
              <w:rPr>
                <w:rFonts w:cs="宋体"/>
                <w:sz w:val="18"/>
                <w:szCs w:val="18"/>
              </w:rPr>
            </w:pPr>
            <w:r w:rsidRPr="0063248C">
              <w:rPr>
                <w:rFonts w:cs="宋体"/>
                <w:sz w:val="18"/>
                <w:szCs w:val="18"/>
              </w:rPr>
              <w:t>报告期内对子公司担保实际发生额合计（</w:t>
            </w:r>
            <w:r w:rsidRPr="0063248C">
              <w:rPr>
                <w:rFonts w:cs="宋体"/>
                <w:sz w:val="18"/>
                <w:szCs w:val="18"/>
              </w:rPr>
              <w:t>B2</w:t>
            </w:r>
            <w:r w:rsidRPr="0063248C">
              <w:rPr>
                <w:rFonts w:cs="宋体"/>
                <w:sz w:val="18"/>
                <w:szCs w:val="18"/>
              </w:rPr>
              <w:t>）</w:t>
            </w:r>
          </w:p>
        </w:tc>
        <w:tc>
          <w:tcPr>
            <w:tcW w:w="2273" w:type="pct"/>
            <w:gridSpan w:val="5"/>
            <w:tcBorders>
              <w:top w:val="single" w:sz="2" w:space="0" w:color="auto"/>
              <w:left w:val="single" w:sz="2" w:space="0" w:color="auto"/>
              <w:bottom w:val="single" w:sz="2" w:space="0" w:color="auto"/>
              <w:right w:val="single" w:sz="2" w:space="0" w:color="auto"/>
            </w:tcBorders>
            <w:vAlign w:val="center"/>
          </w:tcPr>
          <w:p w14:paraId="78B1C0C3" w14:textId="77777777" w:rsidR="007B3DB2" w:rsidRPr="0063248C" w:rsidRDefault="00000000">
            <w:pPr>
              <w:spacing w:line="240" w:lineRule="exact"/>
              <w:jc w:val="right"/>
              <w:rPr>
                <w:rFonts w:cs="宋体"/>
                <w:sz w:val="18"/>
                <w:szCs w:val="18"/>
              </w:rPr>
            </w:pPr>
            <w:r w:rsidRPr="0063248C">
              <w:rPr>
                <w:rFonts w:cs="宋体"/>
                <w:sz w:val="18"/>
                <w:szCs w:val="18"/>
              </w:rPr>
              <w:t>146,183.48</w:t>
            </w:r>
          </w:p>
        </w:tc>
      </w:tr>
      <w:tr w:rsidR="007B3DB2" w:rsidRPr="0063248C" w14:paraId="48012C52" w14:textId="77777777" w:rsidTr="006709E7">
        <w:trPr>
          <w:trHeight w:val="240"/>
        </w:trPr>
        <w:tc>
          <w:tcPr>
            <w:tcW w:w="90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B16F928" w14:textId="77777777" w:rsidR="007B3DB2" w:rsidRPr="0063248C" w:rsidRDefault="00000000">
            <w:pPr>
              <w:spacing w:before="40" w:after="40" w:line="240" w:lineRule="exact"/>
              <w:rPr>
                <w:rFonts w:cs="宋体"/>
                <w:sz w:val="18"/>
                <w:szCs w:val="18"/>
              </w:rPr>
            </w:pPr>
            <w:r w:rsidRPr="0063248C">
              <w:rPr>
                <w:rFonts w:cs="宋体"/>
                <w:sz w:val="18"/>
                <w:szCs w:val="18"/>
              </w:rPr>
              <w:t>报告</w:t>
            </w:r>
            <w:proofErr w:type="gramStart"/>
            <w:r w:rsidRPr="0063248C">
              <w:rPr>
                <w:rFonts w:cs="宋体"/>
                <w:sz w:val="18"/>
                <w:szCs w:val="18"/>
              </w:rPr>
              <w:t>期末已</w:t>
            </w:r>
            <w:proofErr w:type="gramEnd"/>
            <w:r w:rsidRPr="0063248C">
              <w:rPr>
                <w:rFonts w:cs="宋体"/>
                <w:sz w:val="18"/>
                <w:szCs w:val="18"/>
              </w:rPr>
              <w:t>审批的对子公司担保额度合计（</w:t>
            </w:r>
            <w:r w:rsidRPr="0063248C">
              <w:rPr>
                <w:rFonts w:cs="宋体"/>
                <w:sz w:val="18"/>
                <w:szCs w:val="18"/>
              </w:rPr>
              <w:t>B3</w:t>
            </w:r>
            <w:r w:rsidRPr="0063248C">
              <w:rPr>
                <w:rFonts w:cs="宋体"/>
                <w:sz w:val="18"/>
                <w:szCs w:val="18"/>
              </w:rPr>
              <w:t>）</w:t>
            </w:r>
          </w:p>
        </w:tc>
        <w:tc>
          <w:tcPr>
            <w:tcW w:w="909" w:type="pct"/>
            <w:gridSpan w:val="2"/>
            <w:tcBorders>
              <w:top w:val="single" w:sz="2" w:space="0" w:color="auto"/>
              <w:left w:val="single" w:sz="2" w:space="0" w:color="auto"/>
              <w:bottom w:val="single" w:sz="2" w:space="0" w:color="auto"/>
              <w:right w:val="single" w:sz="2" w:space="0" w:color="auto"/>
            </w:tcBorders>
            <w:vAlign w:val="center"/>
          </w:tcPr>
          <w:p w14:paraId="3B615FE1" w14:textId="77777777" w:rsidR="007B3DB2" w:rsidRPr="0063248C" w:rsidRDefault="00000000">
            <w:pPr>
              <w:spacing w:line="240" w:lineRule="exact"/>
              <w:jc w:val="right"/>
              <w:rPr>
                <w:rFonts w:cs="宋体"/>
                <w:sz w:val="18"/>
                <w:szCs w:val="18"/>
              </w:rPr>
            </w:pPr>
            <w:r w:rsidRPr="0063248C">
              <w:rPr>
                <w:rFonts w:cs="宋体"/>
                <w:sz w:val="18"/>
                <w:szCs w:val="18"/>
              </w:rPr>
              <w:t>600,000</w:t>
            </w:r>
          </w:p>
        </w:tc>
        <w:tc>
          <w:tcPr>
            <w:tcW w:w="90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1A80764" w14:textId="77777777" w:rsidR="007B3DB2" w:rsidRPr="0063248C" w:rsidRDefault="00000000">
            <w:pPr>
              <w:spacing w:before="40" w:after="40" w:line="240" w:lineRule="exact"/>
              <w:rPr>
                <w:rFonts w:cs="宋体"/>
                <w:sz w:val="18"/>
                <w:szCs w:val="18"/>
              </w:rPr>
            </w:pPr>
            <w:r w:rsidRPr="0063248C">
              <w:rPr>
                <w:rFonts w:cs="宋体"/>
                <w:sz w:val="18"/>
                <w:szCs w:val="18"/>
              </w:rPr>
              <w:t>报告</w:t>
            </w:r>
            <w:proofErr w:type="gramStart"/>
            <w:r w:rsidRPr="0063248C">
              <w:rPr>
                <w:rFonts w:cs="宋体"/>
                <w:sz w:val="18"/>
                <w:szCs w:val="18"/>
              </w:rPr>
              <w:t>期末对</w:t>
            </w:r>
            <w:proofErr w:type="gramEnd"/>
            <w:r w:rsidRPr="0063248C">
              <w:rPr>
                <w:rFonts w:cs="宋体"/>
                <w:sz w:val="18"/>
                <w:szCs w:val="18"/>
              </w:rPr>
              <w:t>子公司实际担保余额合计（</w:t>
            </w:r>
            <w:r w:rsidRPr="0063248C">
              <w:rPr>
                <w:rFonts w:cs="宋体"/>
                <w:sz w:val="18"/>
                <w:szCs w:val="18"/>
              </w:rPr>
              <w:t>B4</w:t>
            </w:r>
            <w:r w:rsidRPr="0063248C">
              <w:rPr>
                <w:rFonts w:cs="宋体"/>
                <w:sz w:val="18"/>
                <w:szCs w:val="18"/>
              </w:rPr>
              <w:t>）</w:t>
            </w:r>
          </w:p>
        </w:tc>
        <w:tc>
          <w:tcPr>
            <w:tcW w:w="2273" w:type="pct"/>
            <w:gridSpan w:val="5"/>
            <w:tcBorders>
              <w:top w:val="single" w:sz="2" w:space="0" w:color="auto"/>
              <w:left w:val="single" w:sz="2" w:space="0" w:color="auto"/>
              <w:bottom w:val="single" w:sz="2" w:space="0" w:color="auto"/>
              <w:right w:val="single" w:sz="2" w:space="0" w:color="auto"/>
            </w:tcBorders>
            <w:vAlign w:val="center"/>
          </w:tcPr>
          <w:p w14:paraId="46305A33" w14:textId="77777777" w:rsidR="007B3DB2" w:rsidRPr="0063248C" w:rsidRDefault="00000000">
            <w:pPr>
              <w:spacing w:line="240" w:lineRule="exact"/>
              <w:jc w:val="right"/>
              <w:rPr>
                <w:rFonts w:cs="宋体"/>
                <w:sz w:val="18"/>
                <w:szCs w:val="18"/>
              </w:rPr>
            </w:pPr>
            <w:r w:rsidRPr="0063248C">
              <w:rPr>
                <w:rFonts w:cs="宋体"/>
                <w:sz w:val="18"/>
                <w:szCs w:val="18"/>
              </w:rPr>
              <w:t>107,456.93</w:t>
            </w:r>
          </w:p>
        </w:tc>
      </w:tr>
      <w:tr w:rsidR="007B3DB2" w:rsidRPr="0063248C" w14:paraId="68C09695" w14:textId="77777777" w:rsidTr="006709E7">
        <w:trPr>
          <w:trHeight w:val="240"/>
        </w:trPr>
        <w:tc>
          <w:tcPr>
            <w:tcW w:w="5000" w:type="pct"/>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700E1ECD" w14:textId="77777777" w:rsidR="007B3DB2" w:rsidRPr="0063248C" w:rsidRDefault="00000000">
            <w:pPr>
              <w:spacing w:before="40" w:after="40" w:line="240" w:lineRule="exact"/>
              <w:jc w:val="center"/>
              <w:rPr>
                <w:rFonts w:cs="宋体"/>
                <w:sz w:val="18"/>
                <w:szCs w:val="18"/>
              </w:rPr>
            </w:pPr>
            <w:r w:rsidRPr="0063248C">
              <w:rPr>
                <w:rFonts w:cs="宋体"/>
                <w:sz w:val="18"/>
                <w:szCs w:val="18"/>
              </w:rPr>
              <w:t>子公司对子公司的担保情况</w:t>
            </w:r>
          </w:p>
        </w:tc>
      </w:tr>
      <w:tr w:rsidR="007B3DB2" w:rsidRPr="0063248C" w14:paraId="7DE90B01" w14:textId="77777777" w:rsidTr="006709E7">
        <w:trPr>
          <w:trHeight w:val="240"/>
        </w:trPr>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3F5DB290"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担保对象名称</w:t>
            </w:r>
          </w:p>
        </w:tc>
        <w:tc>
          <w:tcPr>
            <w:tcW w:w="455" w:type="pct"/>
            <w:tcBorders>
              <w:top w:val="single" w:sz="2" w:space="0" w:color="auto"/>
              <w:left w:val="single" w:sz="2" w:space="0" w:color="auto"/>
              <w:bottom w:val="single" w:sz="2" w:space="0" w:color="auto"/>
              <w:right w:val="single" w:sz="2" w:space="0" w:color="auto"/>
            </w:tcBorders>
            <w:shd w:val="clear" w:color="auto" w:fill="D3D3D3"/>
            <w:vAlign w:val="center"/>
          </w:tcPr>
          <w:p w14:paraId="08980F63"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担保额度相关公告披露日期</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4C9310F8"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担保额度</w:t>
            </w:r>
          </w:p>
        </w:tc>
        <w:tc>
          <w:tcPr>
            <w:tcW w:w="455" w:type="pct"/>
            <w:tcBorders>
              <w:top w:val="single" w:sz="2" w:space="0" w:color="auto"/>
              <w:left w:val="single" w:sz="2" w:space="0" w:color="auto"/>
              <w:bottom w:val="single" w:sz="2" w:space="0" w:color="auto"/>
              <w:right w:val="single" w:sz="2" w:space="0" w:color="auto"/>
            </w:tcBorders>
            <w:shd w:val="clear" w:color="auto" w:fill="D3D3D3"/>
            <w:vAlign w:val="center"/>
          </w:tcPr>
          <w:p w14:paraId="40FEE94A" w14:textId="77777777" w:rsidR="007B3DB2" w:rsidRPr="0063248C" w:rsidRDefault="00000000">
            <w:pPr>
              <w:spacing w:before="40" w:after="40" w:line="240" w:lineRule="exact"/>
              <w:jc w:val="center"/>
              <w:rPr>
                <w:rFonts w:cs="宋体"/>
                <w:sz w:val="18"/>
                <w:szCs w:val="18"/>
              </w:rPr>
            </w:pPr>
            <w:r w:rsidRPr="0063248C">
              <w:rPr>
                <w:rFonts w:cs="宋体"/>
                <w:sz w:val="18"/>
                <w:szCs w:val="18"/>
              </w:rPr>
              <w:t>实际发生日期</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0E4884A4" w14:textId="77777777" w:rsidR="007B3DB2" w:rsidRPr="0063248C" w:rsidRDefault="00000000">
            <w:pPr>
              <w:spacing w:before="40" w:after="40" w:line="240" w:lineRule="exact"/>
              <w:jc w:val="center"/>
              <w:rPr>
                <w:rFonts w:cs="宋体"/>
                <w:sz w:val="18"/>
                <w:szCs w:val="18"/>
              </w:rPr>
            </w:pPr>
            <w:r w:rsidRPr="0063248C">
              <w:rPr>
                <w:rFonts w:cs="宋体"/>
                <w:sz w:val="18"/>
                <w:szCs w:val="18"/>
              </w:rPr>
              <w:t>实际担保金额</w:t>
            </w:r>
          </w:p>
        </w:tc>
        <w:tc>
          <w:tcPr>
            <w:tcW w:w="455" w:type="pct"/>
            <w:tcBorders>
              <w:top w:val="single" w:sz="2" w:space="0" w:color="auto"/>
              <w:left w:val="single" w:sz="2" w:space="0" w:color="auto"/>
              <w:bottom w:val="single" w:sz="2" w:space="0" w:color="auto"/>
              <w:right w:val="single" w:sz="2" w:space="0" w:color="auto"/>
            </w:tcBorders>
            <w:shd w:val="clear" w:color="auto" w:fill="D3D3D3"/>
            <w:vAlign w:val="center"/>
          </w:tcPr>
          <w:p w14:paraId="0F15495E"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担保类型</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3EAC610F"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担保物（如有）</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761441FB" w14:textId="77777777" w:rsidR="007B3DB2" w:rsidRPr="0063248C" w:rsidRDefault="00000000">
            <w:pPr>
              <w:spacing w:before="40" w:after="40" w:line="240" w:lineRule="exact"/>
              <w:jc w:val="center"/>
              <w:rPr>
                <w:rFonts w:cs="宋体"/>
                <w:sz w:val="18"/>
                <w:szCs w:val="18"/>
              </w:rPr>
            </w:pPr>
            <w:r w:rsidRPr="0063248C">
              <w:rPr>
                <w:rFonts w:cs="宋体"/>
                <w:sz w:val="18"/>
                <w:szCs w:val="18"/>
              </w:rPr>
              <w:t>反担保情况（如有）</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0234299B"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担保期</w:t>
            </w:r>
          </w:p>
        </w:tc>
        <w:tc>
          <w:tcPr>
            <w:tcW w:w="454" w:type="pct"/>
            <w:tcBorders>
              <w:top w:val="single" w:sz="2" w:space="0" w:color="auto"/>
              <w:left w:val="single" w:sz="2" w:space="0" w:color="auto"/>
              <w:bottom w:val="single" w:sz="2" w:space="0" w:color="auto"/>
              <w:right w:val="single" w:sz="2" w:space="0" w:color="auto"/>
            </w:tcBorders>
            <w:shd w:val="clear" w:color="auto" w:fill="D3D3D3"/>
            <w:vAlign w:val="center"/>
          </w:tcPr>
          <w:p w14:paraId="262CD6AF" w14:textId="77777777" w:rsidR="007B3DB2" w:rsidRPr="0063248C" w:rsidRDefault="00000000">
            <w:pPr>
              <w:spacing w:before="40" w:after="40" w:line="240" w:lineRule="exact"/>
              <w:jc w:val="center"/>
              <w:rPr>
                <w:rFonts w:cs="宋体"/>
                <w:sz w:val="18"/>
                <w:szCs w:val="18"/>
              </w:rPr>
            </w:pPr>
            <w:r w:rsidRPr="0063248C">
              <w:rPr>
                <w:rFonts w:cs="宋体"/>
                <w:sz w:val="18"/>
                <w:szCs w:val="18"/>
              </w:rPr>
              <w:t>是否履行完毕</w:t>
            </w:r>
          </w:p>
        </w:tc>
        <w:tc>
          <w:tcPr>
            <w:tcW w:w="455" w:type="pct"/>
            <w:tcBorders>
              <w:top w:val="single" w:sz="2" w:space="0" w:color="auto"/>
              <w:left w:val="single" w:sz="2" w:space="0" w:color="auto"/>
              <w:bottom w:val="single" w:sz="2" w:space="0" w:color="auto"/>
              <w:right w:val="single" w:sz="2" w:space="0" w:color="auto"/>
            </w:tcBorders>
            <w:shd w:val="clear" w:color="auto" w:fill="D3D3D3"/>
            <w:vAlign w:val="center"/>
          </w:tcPr>
          <w:p w14:paraId="2134B3F9" w14:textId="77777777" w:rsidR="007B3DB2" w:rsidRPr="0063248C" w:rsidRDefault="00000000">
            <w:pPr>
              <w:spacing w:before="40" w:after="40" w:line="240" w:lineRule="exact"/>
              <w:jc w:val="center"/>
              <w:rPr>
                <w:rFonts w:cs="宋体"/>
                <w:sz w:val="18"/>
                <w:szCs w:val="18"/>
              </w:rPr>
            </w:pPr>
            <w:r w:rsidRPr="0063248C">
              <w:rPr>
                <w:rFonts w:cs="宋体"/>
                <w:sz w:val="18"/>
                <w:szCs w:val="18"/>
              </w:rPr>
              <w:t>是否为关联方担保</w:t>
            </w:r>
          </w:p>
        </w:tc>
      </w:tr>
      <w:tr w:rsidR="007B3DB2" w:rsidRPr="0063248C" w14:paraId="0077FF7F" w14:textId="77777777" w:rsidTr="006709E7">
        <w:trPr>
          <w:trHeight w:val="240"/>
        </w:trPr>
        <w:tc>
          <w:tcPr>
            <w:tcW w:w="5000" w:type="pct"/>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7058245D" w14:textId="77777777" w:rsidR="007B3DB2" w:rsidRPr="0063248C" w:rsidRDefault="00000000">
            <w:pPr>
              <w:spacing w:before="40" w:after="40" w:line="240" w:lineRule="exact"/>
              <w:jc w:val="center"/>
              <w:rPr>
                <w:rFonts w:cs="宋体"/>
                <w:sz w:val="18"/>
                <w:szCs w:val="18"/>
              </w:rPr>
            </w:pPr>
            <w:r w:rsidRPr="0063248C">
              <w:rPr>
                <w:rFonts w:cs="宋体"/>
                <w:sz w:val="18"/>
                <w:szCs w:val="18"/>
              </w:rPr>
              <w:t>公司担保总额（即前三大项的合计）</w:t>
            </w:r>
          </w:p>
        </w:tc>
      </w:tr>
      <w:tr w:rsidR="007B3DB2" w:rsidRPr="0063248C" w14:paraId="103E895D" w14:textId="77777777" w:rsidTr="006709E7">
        <w:trPr>
          <w:trHeight w:val="240"/>
        </w:trPr>
        <w:tc>
          <w:tcPr>
            <w:tcW w:w="90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6915A6B" w14:textId="77777777" w:rsidR="007B3DB2" w:rsidRPr="0063248C" w:rsidRDefault="00000000">
            <w:pPr>
              <w:spacing w:before="40" w:after="40" w:line="240" w:lineRule="exact"/>
              <w:rPr>
                <w:rFonts w:cs="宋体"/>
                <w:sz w:val="18"/>
                <w:szCs w:val="18"/>
              </w:rPr>
            </w:pPr>
            <w:r w:rsidRPr="0063248C">
              <w:rPr>
                <w:rFonts w:cs="宋体"/>
                <w:sz w:val="18"/>
                <w:szCs w:val="18"/>
              </w:rPr>
              <w:t>报告期内审批担保额度合计（</w:t>
            </w:r>
            <w:r w:rsidRPr="0063248C">
              <w:rPr>
                <w:rFonts w:cs="宋体"/>
                <w:sz w:val="18"/>
                <w:szCs w:val="18"/>
              </w:rPr>
              <w:t>A1+B1+C1</w:t>
            </w:r>
            <w:r w:rsidRPr="0063248C">
              <w:rPr>
                <w:rFonts w:cs="宋体"/>
                <w:sz w:val="18"/>
                <w:szCs w:val="18"/>
              </w:rPr>
              <w:t>）</w:t>
            </w:r>
          </w:p>
        </w:tc>
        <w:tc>
          <w:tcPr>
            <w:tcW w:w="909" w:type="pct"/>
            <w:gridSpan w:val="2"/>
            <w:tcBorders>
              <w:top w:val="single" w:sz="2" w:space="0" w:color="auto"/>
              <w:left w:val="single" w:sz="2" w:space="0" w:color="auto"/>
              <w:bottom w:val="single" w:sz="2" w:space="0" w:color="auto"/>
              <w:right w:val="single" w:sz="2" w:space="0" w:color="auto"/>
            </w:tcBorders>
            <w:vAlign w:val="center"/>
          </w:tcPr>
          <w:p w14:paraId="614685F3" w14:textId="77777777" w:rsidR="007B3DB2" w:rsidRPr="0063248C" w:rsidRDefault="00000000">
            <w:pPr>
              <w:spacing w:line="240" w:lineRule="exact"/>
              <w:jc w:val="right"/>
              <w:rPr>
                <w:rFonts w:cs="宋体"/>
                <w:sz w:val="18"/>
                <w:szCs w:val="18"/>
              </w:rPr>
            </w:pPr>
            <w:r w:rsidRPr="0063248C">
              <w:rPr>
                <w:rFonts w:cs="宋体"/>
                <w:sz w:val="18"/>
                <w:szCs w:val="18"/>
              </w:rPr>
              <w:t>600,000</w:t>
            </w:r>
          </w:p>
        </w:tc>
        <w:tc>
          <w:tcPr>
            <w:tcW w:w="90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98DA0C4" w14:textId="77777777" w:rsidR="007B3DB2" w:rsidRPr="0063248C" w:rsidRDefault="00000000">
            <w:pPr>
              <w:spacing w:before="40" w:after="40" w:line="240" w:lineRule="exact"/>
              <w:rPr>
                <w:rFonts w:cs="宋体"/>
                <w:sz w:val="18"/>
                <w:szCs w:val="18"/>
              </w:rPr>
            </w:pPr>
            <w:r w:rsidRPr="0063248C">
              <w:rPr>
                <w:rFonts w:cs="宋体"/>
                <w:sz w:val="18"/>
                <w:szCs w:val="18"/>
              </w:rPr>
              <w:t>报告期内担保实际发生额合计（</w:t>
            </w:r>
            <w:r w:rsidRPr="0063248C">
              <w:rPr>
                <w:rFonts w:cs="宋体"/>
                <w:sz w:val="18"/>
                <w:szCs w:val="18"/>
              </w:rPr>
              <w:t>A2+B2+C2</w:t>
            </w:r>
            <w:r w:rsidRPr="0063248C">
              <w:rPr>
                <w:rFonts w:cs="宋体"/>
                <w:sz w:val="18"/>
                <w:szCs w:val="18"/>
              </w:rPr>
              <w:t>）</w:t>
            </w:r>
          </w:p>
        </w:tc>
        <w:tc>
          <w:tcPr>
            <w:tcW w:w="2273" w:type="pct"/>
            <w:gridSpan w:val="5"/>
            <w:tcBorders>
              <w:top w:val="single" w:sz="2" w:space="0" w:color="auto"/>
              <w:left w:val="single" w:sz="2" w:space="0" w:color="auto"/>
              <w:bottom w:val="single" w:sz="2" w:space="0" w:color="auto"/>
              <w:right w:val="single" w:sz="2" w:space="0" w:color="auto"/>
            </w:tcBorders>
            <w:vAlign w:val="center"/>
          </w:tcPr>
          <w:p w14:paraId="795D6D7F" w14:textId="77777777" w:rsidR="007B3DB2" w:rsidRPr="0063248C" w:rsidRDefault="00000000">
            <w:pPr>
              <w:spacing w:line="240" w:lineRule="exact"/>
              <w:jc w:val="right"/>
              <w:rPr>
                <w:rFonts w:cs="宋体"/>
                <w:sz w:val="18"/>
                <w:szCs w:val="18"/>
              </w:rPr>
            </w:pPr>
            <w:r w:rsidRPr="0063248C">
              <w:rPr>
                <w:rFonts w:cs="宋体"/>
                <w:sz w:val="18"/>
                <w:szCs w:val="18"/>
              </w:rPr>
              <w:t>146,183.48</w:t>
            </w:r>
          </w:p>
        </w:tc>
      </w:tr>
      <w:tr w:rsidR="007B3DB2" w:rsidRPr="0063248C" w14:paraId="2CC26BDB" w14:textId="77777777" w:rsidTr="006709E7">
        <w:trPr>
          <w:trHeight w:val="240"/>
        </w:trPr>
        <w:tc>
          <w:tcPr>
            <w:tcW w:w="90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A2881BC" w14:textId="77777777" w:rsidR="007B3DB2" w:rsidRPr="0063248C" w:rsidRDefault="00000000">
            <w:pPr>
              <w:spacing w:before="40" w:after="40" w:line="240" w:lineRule="exact"/>
              <w:rPr>
                <w:rFonts w:cs="宋体"/>
                <w:sz w:val="18"/>
                <w:szCs w:val="18"/>
              </w:rPr>
            </w:pPr>
            <w:r w:rsidRPr="0063248C">
              <w:rPr>
                <w:rFonts w:cs="宋体"/>
                <w:sz w:val="18"/>
                <w:szCs w:val="18"/>
              </w:rPr>
              <w:t>报告</w:t>
            </w:r>
            <w:proofErr w:type="gramStart"/>
            <w:r w:rsidRPr="0063248C">
              <w:rPr>
                <w:rFonts w:cs="宋体"/>
                <w:sz w:val="18"/>
                <w:szCs w:val="18"/>
              </w:rPr>
              <w:t>期末已</w:t>
            </w:r>
            <w:proofErr w:type="gramEnd"/>
            <w:r w:rsidRPr="0063248C">
              <w:rPr>
                <w:rFonts w:cs="宋体"/>
                <w:sz w:val="18"/>
                <w:szCs w:val="18"/>
              </w:rPr>
              <w:t>审批的担保额度合计（</w:t>
            </w:r>
            <w:r w:rsidRPr="0063248C">
              <w:rPr>
                <w:rFonts w:cs="宋体"/>
                <w:sz w:val="18"/>
                <w:szCs w:val="18"/>
              </w:rPr>
              <w:t>A3+B3+C3</w:t>
            </w:r>
            <w:r w:rsidRPr="0063248C">
              <w:rPr>
                <w:rFonts w:cs="宋体"/>
                <w:sz w:val="18"/>
                <w:szCs w:val="18"/>
              </w:rPr>
              <w:t>）</w:t>
            </w:r>
          </w:p>
        </w:tc>
        <w:tc>
          <w:tcPr>
            <w:tcW w:w="909" w:type="pct"/>
            <w:gridSpan w:val="2"/>
            <w:tcBorders>
              <w:top w:val="single" w:sz="2" w:space="0" w:color="auto"/>
              <w:left w:val="single" w:sz="2" w:space="0" w:color="auto"/>
              <w:bottom w:val="single" w:sz="2" w:space="0" w:color="auto"/>
              <w:right w:val="single" w:sz="2" w:space="0" w:color="auto"/>
            </w:tcBorders>
            <w:vAlign w:val="center"/>
          </w:tcPr>
          <w:p w14:paraId="0F05F80B" w14:textId="77777777" w:rsidR="007B3DB2" w:rsidRPr="0063248C" w:rsidRDefault="00000000">
            <w:pPr>
              <w:spacing w:line="240" w:lineRule="exact"/>
              <w:jc w:val="right"/>
              <w:rPr>
                <w:rFonts w:cs="宋体"/>
                <w:sz w:val="18"/>
                <w:szCs w:val="18"/>
              </w:rPr>
            </w:pPr>
            <w:r w:rsidRPr="0063248C">
              <w:rPr>
                <w:rFonts w:cs="宋体"/>
                <w:sz w:val="18"/>
                <w:szCs w:val="18"/>
              </w:rPr>
              <w:t>600,000</w:t>
            </w:r>
          </w:p>
        </w:tc>
        <w:tc>
          <w:tcPr>
            <w:tcW w:w="90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309834D" w14:textId="77777777" w:rsidR="007B3DB2" w:rsidRPr="0063248C" w:rsidRDefault="00000000">
            <w:pPr>
              <w:spacing w:before="40" w:after="40" w:line="240" w:lineRule="exact"/>
              <w:rPr>
                <w:rFonts w:cs="宋体"/>
                <w:sz w:val="18"/>
                <w:szCs w:val="18"/>
              </w:rPr>
            </w:pPr>
            <w:r w:rsidRPr="0063248C">
              <w:rPr>
                <w:rFonts w:cs="宋体"/>
                <w:sz w:val="18"/>
                <w:szCs w:val="18"/>
              </w:rPr>
              <w:t>报告期末实际担保余额合计（</w:t>
            </w:r>
            <w:r w:rsidRPr="0063248C">
              <w:rPr>
                <w:rFonts w:cs="宋体"/>
                <w:sz w:val="18"/>
                <w:szCs w:val="18"/>
              </w:rPr>
              <w:t>A4+B4+C4</w:t>
            </w:r>
            <w:r w:rsidRPr="0063248C">
              <w:rPr>
                <w:rFonts w:cs="宋体"/>
                <w:sz w:val="18"/>
                <w:szCs w:val="18"/>
              </w:rPr>
              <w:t>）</w:t>
            </w:r>
          </w:p>
        </w:tc>
        <w:tc>
          <w:tcPr>
            <w:tcW w:w="2273" w:type="pct"/>
            <w:gridSpan w:val="5"/>
            <w:tcBorders>
              <w:top w:val="single" w:sz="2" w:space="0" w:color="auto"/>
              <w:left w:val="single" w:sz="2" w:space="0" w:color="auto"/>
              <w:bottom w:val="single" w:sz="2" w:space="0" w:color="auto"/>
              <w:right w:val="single" w:sz="2" w:space="0" w:color="auto"/>
            </w:tcBorders>
            <w:vAlign w:val="center"/>
          </w:tcPr>
          <w:p w14:paraId="4EFF21D9" w14:textId="77777777" w:rsidR="007B3DB2" w:rsidRPr="0063248C" w:rsidRDefault="00000000">
            <w:pPr>
              <w:spacing w:line="240" w:lineRule="exact"/>
              <w:jc w:val="right"/>
              <w:rPr>
                <w:rFonts w:cs="宋体"/>
                <w:sz w:val="18"/>
                <w:szCs w:val="18"/>
              </w:rPr>
            </w:pPr>
            <w:r w:rsidRPr="0063248C">
              <w:rPr>
                <w:rFonts w:cs="宋体"/>
                <w:sz w:val="18"/>
                <w:szCs w:val="18"/>
              </w:rPr>
              <w:t>107,456.93</w:t>
            </w:r>
          </w:p>
        </w:tc>
      </w:tr>
      <w:tr w:rsidR="007B3DB2" w:rsidRPr="0063248C" w14:paraId="74BF11C1" w14:textId="77777777" w:rsidTr="006709E7">
        <w:trPr>
          <w:trHeight w:val="240"/>
        </w:trPr>
        <w:tc>
          <w:tcPr>
            <w:tcW w:w="1818" w:type="pct"/>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9B08B39" w14:textId="77777777" w:rsidR="007B3DB2" w:rsidRPr="0063248C" w:rsidRDefault="00000000">
            <w:pPr>
              <w:spacing w:before="40" w:after="40" w:line="240" w:lineRule="exact"/>
              <w:rPr>
                <w:rFonts w:cs="宋体"/>
                <w:sz w:val="18"/>
                <w:szCs w:val="18"/>
              </w:rPr>
            </w:pPr>
            <w:r w:rsidRPr="0063248C">
              <w:rPr>
                <w:rFonts w:cs="宋体"/>
                <w:sz w:val="18"/>
                <w:szCs w:val="18"/>
              </w:rPr>
              <w:t>实际担保总额（即</w:t>
            </w:r>
            <w:r w:rsidRPr="0063248C">
              <w:rPr>
                <w:rFonts w:cs="宋体"/>
                <w:sz w:val="18"/>
                <w:szCs w:val="18"/>
              </w:rPr>
              <w:t>A4+B4+C4</w:t>
            </w:r>
            <w:r w:rsidRPr="0063248C">
              <w:rPr>
                <w:rFonts w:cs="宋体"/>
                <w:sz w:val="18"/>
                <w:szCs w:val="18"/>
              </w:rPr>
              <w:t>）占公司净资产的比例</w:t>
            </w:r>
          </w:p>
        </w:tc>
        <w:tc>
          <w:tcPr>
            <w:tcW w:w="3182" w:type="pct"/>
            <w:gridSpan w:val="7"/>
            <w:tcBorders>
              <w:top w:val="single" w:sz="2" w:space="0" w:color="auto"/>
              <w:left w:val="single" w:sz="2" w:space="0" w:color="auto"/>
              <w:bottom w:val="single" w:sz="2" w:space="0" w:color="auto"/>
              <w:right w:val="single" w:sz="2" w:space="0" w:color="auto"/>
            </w:tcBorders>
            <w:vAlign w:val="center"/>
          </w:tcPr>
          <w:p w14:paraId="44D9DB4E" w14:textId="77777777" w:rsidR="007B3DB2" w:rsidRPr="0063248C" w:rsidRDefault="00000000">
            <w:pPr>
              <w:spacing w:line="240" w:lineRule="exact"/>
              <w:jc w:val="right"/>
              <w:rPr>
                <w:rFonts w:cs="宋体"/>
                <w:sz w:val="18"/>
                <w:szCs w:val="18"/>
              </w:rPr>
            </w:pPr>
            <w:r w:rsidRPr="0063248C">
              <w:rPr>
                <w:rFonts w:cs="宋体"/>
                <w:sz w:val="18"/>
                <w:szCs w:val="18"/>
              </w:rPr>
              <w:t>69.77%</w:t>
            </w:r>
          </w:p>
        </w:tc>
      </w:tr>
      <w:tr w:rsidR="007B3DB2" w:rsidRPr="0063248C" w14:paraId="19CD971C" w14:textId="77777777" w:rsidTr="006709E7">
        <w:trPr>
          <w:trHeight w:val="240"/>
        </w:trPr>
        <w:tc>
          <w:tcPr>
            <w:tcW w:w="5000" w:type="pct"/>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611911D2" w14:textId="77777777" w:rsidR="007B3DB2" w:rsidRPr="0063248C" w:rsidRDefault="00000000">
            <w:pPr>
              <w:spacing w:before="40" w:after="40" w:line="240" w:lineRule="exact"/>
              <w:rPr>
                <w:rFonts w:cs="宋体"/>
                <w:sz w:val="18"/>
                <w:szCs w:val="18"/>
              </w:rPr>
            </w:pPr>
            <w:r w:rsidRPr="0063248C">
              <w:rPr>
                <w:rFonts w:cs="宋体"/>
                <w:sz w:val="18"/>
                <w:szCs w:val="18"/>
              </w:rPr>
              <w:t>其中：</w:t>
            </w:r>
          </w:p>
        </w:tc>
      </w:tr>
      <w:tr w:rsidR="007B3DB2" w:rsidRPr="0063248C" w14:paraId="5619C034" w14:textId="77777777" w:rsidTr="006709E7">
        <w:trPr>
          <w:trHeight w:val="240"/>
        </w:trPr>
        <w:tc>
          <w:tcPr>
            <w:tcW w:w="1818" w:type="pct"/>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F2ABD46" w14:textId="77777777" w:rsidR="007B3DB2" w:rsidRPr="0063248C" w:rsidRDefault="00000000">
            <w:pPr>
              <w:spacing w:before="40" w:after="40" w:line="240" w:lineRule="exact"/>
              <w:rPr>
                <w:rFonts w:cs="宋体"/>
                <w:sz w:val="18"/>
                <w:szCs w:val="18"/>
              </w:rPr>
            </w:pPr>
            <w:r w:rsidRPr="0063248C">
              <w:rPr>
                <w:rFonts w:cs="宋体"/>
                <w:sz w:val="18"/>
                <w:szCs w:val="18"/>
              </w:rPr>
              <w:t>为股东、实际控制人及其关联方提供担保的余额（</w:t>
            </w:r>
            <w:r w:rsidRPr="0063248C">
              <w:rPr>
                <w:rFonts w:cs="宋体"/>
                <w:sz w:val="18"/>
                <w:szCs w:val="18"/>
              </w:rPr>
              <w:t>D</w:t>
            </w:r>
            <w:r w:rsidRPr="0063248C">
              <w:rPr>
                <w:rFonts w:cs="宋体"/>
                <w:sz w:val="18"/>
                <w:szCs w:val="18"/>
              </w:rPr>
              <w:t>）</w:t>
            </w:r>
          </w:p>
        </w:tc>
        <w:tc>
          <w:tcPr>
            <w:tcW w:w="3182" w:type="pct"/>
            <w:gridSpan w:val="7"/>
            <w:tcBorders>
              <w:top w:val="single" w:sz="2" w:space="0" w:color="auto"/>
              <w:left w:val="single" w:sz="2" w:space="0" w:color="auto"/>
              <w:bottom w:val="single" w:sz="2" w:space="0" w:color="auto"/>
              <w:right w:val="single" w:sz="2" w:space="0" w:color="auto"/>
            </w:tcBorders>
            <w:vAlign w:val="center"/>
          </w:tcPr>
          <w:p w14:paraId="25AC17CC"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5D90C419" w14:textId="77777777" w:rsidTr="006709E7">
        <w:trPr>
          <w:trHeight w:val="240"/>
        </w:trPr>
        <w:tc>
          <w:tcPr>
            <w:tcW w:w="1818" w:type="pct"/>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4EF7597" w14:textId="77777777" w:rsidR="007B3DB2" w:rsidRPr="0063248C" w:rsidRDefault="00000000">
            <w:pPr>
              <w:spacing w:before="40" w:after="40" w:line="240" w:lineRule="exact"/>
              <w:rPr>
                <w:rFonts w:cs="宋体"/>
                <w:sz w:val="18"/>
                <w:szCs w:val="18"/>
              </w:rPr>
            </w:pPr>
            <w:r w:rsidRPr="0063248C">
              <w:rPr>
                <w:rFonts w:cs="宋体"/>
                <w:sz w:val="18"/>
                <w:szCs w:val="18"/>
              </w:rPr>
              <w:t>直接或间接为资产负债率超过</w:t>
            </w:r>
            <w:r w:rsidRPr="0063248C">
              <w:rPr>
                <w:rFonts w:cs="宋体"/>
                <w:sz w:val="18"/>
                <w:szCs w:val="18"/>
              </w:rPr>
              <w:t>70%</w:t>
            </w:r>
            <w:r w:rsidRPr="0063248C">
              <w:rPr>
                <w:rFonts w:cs="宋体"/>
                <w:sz w:val="18"/>
                <w:szCs w:val="18"/>
              </w:rPr>
              <w:t>的被担保对象提供的债务担保余额（</w:t>
            </w:r>
            <w:r w:rsidRPr="0063248C">
              <w:rPr>
                <w:rFonts w:cs="宋体"/>
                <w:sz w:val="18"/>
                <w:szCs w:val="18"/>
              </w:rPr>
              <w:t>E</w:t>
            </w:r>
            <w:r w:rsidRPr="0063248C">
              <w:rPr>
                <w:rFonts w:cs="宋体"/>
                <w:sz w:val="18"/>
                <w:szCs w:val="18"/>
              </w:rPr>
              <w:t>）</w:t>
            </w:r>
          </w:p>
        </w:tc>
        <w:tc>
          <w:tcPr>
            <w:tcW w:w="3182" w:type="pct"/>
            <w:gridSpan w:val="7"/>
            <w:tcBorders>
              <w:top w:val="single" w:sz="2" w:space="0" w:color="auto"/>
              <w:left w:val="single" w:sz="2" w:space="0" w:color="auto"/>
              <w:bottom w:val="single" w:sz="2" w:space="0" w:color="auto"/>
              <w:right w:val="single" w:sz="2" w:space="0" w:color="auto"/>
            </w:tcBorders>
            <w:vAlign w:val="center"/>
          </w:tcPr>
          <w:p w14:paraId="617EEE81" w14:textId="77777777" w:rsidR="007B3DB2" w:rsidRPr="0063248C" w:rsidRDefault="00000000">
            <w:pPr>
              <w:spacing w:line="240" w:lineRule="exact"/>
              <w:jc w:val="right"/>
              <w:rPr>
                <w:rFonts w:cs="宋体"/>
                <w:sz w:val="18"/>
                <w:szCs w:val="18"/>
              </w:rPr>
            </w:pPr>
            <w:r w:rsidRPr="0063248C">
              <w:rPr>
                <w:rFonts w:cs="宋体"/>
                <w:sz w:val="18"/>
                <w:szCs w:val="18"/>
              </w:rPr>
              <w:t>60,496.7</w:t>
            </w:r>
          </w:p>
        </w:tc>
      </w:tr>
      <w:tr w:rsidR="007B3DB2" w:rsidRPr="0063248C" w14:paraId="40F05813" w14:textId="77777777" w:rsidTr="006709E7">
        <w:trPr>
          <w:trHeight w:val="240"/>
        </w:trPr>
        <w:tc>
          <w:tcPr>
            <w:tcW w:w="1818" w:type="pct"/>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5BFC8E1" w14:textId="77777777" w:rsidR="007B3DB2" w:rsidRPr="0063248C" w:rsidRDefault="00000000">
            <w:pPr>
              <w:spacing w:before="40" w:after="40" w:line="240" w:lineRule="exact"/>
              <w:rPr>
                <w:rFonts w:cs="宋体"/>
                <w:sz w:val="18"/>
                <w:szCs w:val="18"/>
              </w:rPr>
            </w:pPr>
            <w:r w:rsidRPr="0063248C">
              <w:rPr>
                <w:rFonts w:cs="宋体"/>
                <w:sz w:val="18"/>
                <w:szCs w:val="18"/>
              </w:rPr>
              <w:t>担保总额超过净资产</w:t>
            </w:r>
            <w:r w:rsidRPr="0063248C">
              <w:rPr>
                <w:rFonts w:cs="宋体"/>
                <w:sz w:val="18"/>
                <w:szCs w:val="18"/>
              </w:rPr>
              <w:t>50%</w:t>
            </w:r>
            <w:r w:rsidRPr="0063248C">
              <w:rPr>
                <w:rFonts w:cs="宋体"/>
                <w:sz w:val="18"/>
                <w:szCs w:val="18"/>
              </w:rPr>
              <w:t>部分的金额（</w:t>
            </w:r>
            <w:r w:rsidRPr="0063248C">
              <w:rPr>
                <w:rFonts w:cs="宋体"/>
                <w:sz w:val="18"/>
                <w:szCs w:val="18"/>
              </w:rPr>
              <w:t>F</w:t>
            </w:r>
            <w:r w:rsidRPr="0063248C">
              <w:rPr>
                <w:rFonts w:cs="宋体"/>
                <w:sz w:val="18"/>
                <w:szCs w:val="18"/>
              </w:rPr>
              <w:t>）</w:t>
            </w:r>
          </w:p>
        </w:tc>
        <w:tc>
          <w:tcPr>
            <w:tcW w:w="3182" w:type="pct"/>
            <w:gridSpan w:val="7"/>
            <w:tcBorders>
              <w:top w:val="single" w:sz="2" w:space="0" w:color="auto"/>
              <w:left w:val="single" w:sz="2" w:space="0" w:color="auto"/>
              <w:bottom w:val="single" w:sz="2" w:space="0" w:color="auto"/>
              <w:right w:val="single" w:sz="2" w:space="0" w:color="auto"/>
            </w:tcBorders>
            <w:vAlign w:val="center"/>
          </w:tcPr>
          <w:p w14:paraId="798A1263" w14:textId="77777777" w:rsidR="007B3DB2" w:rsidRPr="0063248C" w:rsidRDefault="00000000">
            <w:pPr>
              <w:spacing w:line="240" w:lineRule="exact"/>
              <w:jc w:val="right"/>
              <w:rPr>
                <w:rFonts w:cs="宋体"/>
                <w:sz w:val="18"/>
                <w:szCs w:val="18"/>
              </w:rPr>
            </w:pPr>
            <w:r w:rsidRPr="0063248C">
              <w:rPr>
                <w:rFonts w:cs="宋体"/>
                <w:sz w:val="18"/>
                <w:szCs w:val="18"/>
              </w:rPr>
              <w:t>30,450.16</w:t>
            </w:r>
          </w:p>
        </w:tc>
      </w:tr>
      <w:tr w:rsidR="007B3DB2" w:rsidRPr="0063248C" w14:paraId="3786486F" w14:textId="77777777" w:rsidTr="006709E7">
        <w:trPr>
          <w:trHeight w:val="240"/>
        </w:trPr>
        <w:tc>
          <w:tcPr>
            <w:tcW w:w="1818" w:type="pct"/>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F6FB155" w14:textId="77777777" w:rsidR="007B3DB2" w:rsidRPr="0063248C" w:rsidRDefault="00000000">
            <w:pPr>
              <w:spacing w:before="40" w:after="40" w:line="240" w:lineRule="exact"/>
              <w:rPr>
                <w:rFonts w:cs="宋体"/>
                <w:sz w:val="18"/>
                <w:szCs w:val="18"/>
              </w:rPr>
            </w:pPr>
            <w:r w:rsidRPr="0063248C">
              <w:rPr>
                <w:rFonts w:cs="宋体"/>
                <w:sz w:val="18"/>
                <w:szCs w:val="18"/>
              </w:rPr>
              <w:t>上述三项担保金额合计（</w:t>
            </w:r>
            <w:r w:rsidRPr="0063248C">
              <w:rPr>
                <w:rFonts w:cs="宋体"/>
                <w:sz w:val="18"/>
                <w:szCs w:val="18"/>
              </w:rPr>
              <w:t>D+E+F</w:t>
            </w:r>
            <w:r w:rsidRPr="0063248C">
              <w:rPr>
                <w:rFonts w:cs="宋体"/>
                <w:sz w:val="18"/>
                <w:szCs w:val="18"/>
              </w:rPr>
              <w:t>）</w:t>
            </w:r>
          </w:p>
        </w:tc>
        <w:tc>
          <w:tcPr>
            <w:tcW w:w="3182" w:type="pct"/>
            <w:gridSpan w:val="7"/>
            <w:tcBorders>
              <w:top w:val="single" w:sz="2" w:space="0" w:color="auto"/>
              <w:left w:val="single" w:sz="2" w:space="0" w:color="auto"/>
              <w:bottom w:val="single" w:sz="2" w:space="0" w:color="auto"/>
              <w:right w:val="single" w:sz="2" w:space="0" w:color="auto"/>
            </w:tcBorders>
            <w:vAlign w:val="center"/>
          </w:tcPr>
          <w:p w14:paraId="5AF30150" w14:textId="77777777" w:rsidR="007B3DB2" w:rsidRPr="0063248C" w:rsidRDefault="00000000">
            <w:pPr>
              <w:spacing w:line="240" w:lineRule="exact"/>
              <w:jc w:val="right"/>
              <w:rPr>
                <w:rFonts w:cs="宋体"/>
                <w:sz w:val="18"/>
                <w:szCs w:val="18"/>
              </w:rPr>
            </w:pPr>
            <w:r w:rsidRPr="0063248C">
              <w:rPr>
                <w:rFonts w:cs="宋体"/>
                <w:sz w:val="18"/>
                <w:szCs w:val="18"/>
              </w:rPr>
              <w:t>90,946.86</w:t>
            </w:r>
          </w:p>
        </w:tc>
      </w:tr>
    </w:tbl>
    <w:p w14:paraId="35959328" w14:textId="77777777" w:rsidR="007B3DB2" w:rsidRPr="0063248C" w:rsidRDefault="00000000">
      <w:pPr>
        <w:spacing w:before="100" w:after="100" w:line="240" w:lineRule="exact"/>
        <w:rPr>
          <w:rFonts w:cs="宋体"/>
          <w:sz w:val="18"/>
          <w:szCs w:val="18"/>
        </w:rPr>
      </w:pPr>
      <w:r w:rsidRPr="0063248C">
        <w:rPr>
          <w:rFonts w:cs="宋体"/>
          <w:sz w:val="18"/>
          <w:szCs w:val="18"/>
        </w:rPr>
        <w:t>采用复合方式担保的具体情况说明</w:t>
      </w:r>
    </w:p>
    <w:p w14:paraId="463B2E49" w14:textId="77777777" w:rsidR="00517D34" w:rsidRPr="0063248C" w:rsidRDefault="00000000">
      <w:pPr>
        <w:pStyle w:val="a3"/>
        <w:divId w:val="323247210"/>
        <w:rPr>
          <w:rFonts w:ascii="Times New Roman" w:hAnsi="Times New Roman"/>
          <w:sz w:val="18"/>
          <w:szCs w:val="18"/>
        </w:rPr>
      </w:pPr>
      <w:r w:rsidRPr="0063248C">
        <w:rPr>
          <w:rFonts w:ascii="Times New Roman" w:hAnsi="Times New Roman" w:hint="eastAsia"/>
          <w:sz w:val="18"/>
          <w:szCs w:val="18"/>
        </w:rPr>
        <w:t>不适用。</w:t>
      </w:r>
    </w:p>
    <w:p w14:paraId="676B8EAB" w14:textId="77777777" w:rsidR="007B3DB2" w:rsidRPr="0063248C" w:rsidRDefault="00000000">
      <w:pPr>
        <w:pStyle w:val="3"/>
        <w:spacing w:line="280" w:lineRule="exact"/>
        <w:jc w:val="left"/>
        <w:rPr>
          <w:rFonts w:cs="宋体"/>
          <w:b/>
          <w:bCs/>
        </w:rPr>
      </w:pPr>
      <w:bookmarkStart w:id="76" w:name="_Toc988965"/>
      <w:r w:rsidRPr="0063248C">
        <w:rPr>
          <w:rFonts w:cs="宋体"/>
          <w:b/>
          <w:bCs/>
        </w:rPr>
        <w:lastRenderedPageBreak/>
        <w:t>3</w:t>
      </w:r>
      <w:r w:rsidRPr="0063248C">
        <w:rPr>
          <w:rFonts w:cs="宋体"/>
          <w:b/>
          <w:bCs/>
        </w:rPr>
        <w:t>、委托理财</w:t>
      </w:r>
      <w:bookmarkEnd w:id="76"/>
    </w:p>
    <w:p w14:paraId="244D2265"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3E2D423A" w14:textId="77777777" w:rsidR="007B3DB2" w:rsidRPr="0063248C" w:rsidRDefault="00000000">
      <w:pPr>
        <w:spacing w:before="100" w:after="100" w:line="240" w:lineRule="exact"/>
        <w:rPr>
          <w:rFonts w:cs="宋体"/>
          <w:sz w:val="18"/>
          <w:szCs w:val="18"/>
        </w:rPr>
      </w:pPr>
      <w:r w:rsidRPr="0063248C">
        <w:rPr>
          <w:rFonts w:cs="宋体"/>
          <w:sz w:val="18"/>
          <w:szCs w:val="18"/>
        </w:rPr>
        <w:t>公司报告期不存在委托理财。</w:t>
      </w:r>
    </w:p>
    <w:p w14:paraId="69527420" w14:textId="77777777" w:rsidR="007B3DB2" w:rsidRPr="0063248C" w:rsidRDefault="00000000">
      <w:pPr>
        <w:pStyle w:val="3"/>
        <w:spacing w:line="280" w:lineRule="exact"/>
        <w:jc w:val="left"/>
        <w:rPr>
          <w:rFonts w:cs="宋体"/>
          <w:b/>
          <w:bCs/>
        </w:rPr>
      </w:pPr>
      <w:bookmarkStart w:id="77" w:name="_Toc988966"/>
      <w:r w:rsidRPr="0063248C">
        <w:rPr>
          <w:rFonts w:cs="宋体"/>
          <w:b/>
          <w:bCs/>
        </w:rPr>
        <w:t>4</w:t>
      </w:r>
      <w:r w:rsidRPr="0063248C">
        <w:rPr>
          <w:rFonts w:cs="宋体"/>
          <w:b/>
          <w:bCs/>
        </w:rPr>
        <w:t>、其他重大合同</w:t>
      </w:r>
      <w:bookmarkEnd w:id="77"/>
    </w:p>
    <w:p w14:paraId="1B3DCD4A"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CF9454F" w14:textId="77777777" w:rsidR="007B3DB2" w:rsidRPr="0063248C" w:rsidRDefault="00000000">
      <w:pPr>
        <w:spacing w:before="100" w:after="100" w:line="240" w:lineRule="exact"/>
        <w:rPr>
          <w:rFonts w:cs="宋体"/>
          <w:sz w:val="18"/>
          <w:szCs w:val="18"/>
        </w:rPr>
      </w:pPr>
      <w:r w:rsidRPr="0063248C">
        <w:rPr>
          <w:rFonts w:cs="宋体"/>
          <w:sz w:val="18"/>
          <w:szCs w:val="18"/>
        </w:rPr>
        <w:t>公司报告期不存在其他重大合同。</w:t>
      </w:r>
    </w:p>
    <w:p w14:paraId="71E4AEBB" w14:textId="77777777" w:rsidR="007B3DB2" w:rsidRPr="0063248C" w:rsidRDefault="00000000">
      <w:pPr>
        <w:pStyle w:val="2"/>
        <w:spacing w:before="300" w:after="300" w:line="320" w:lineRule="exact"/>
        <w:rPr>
          <w:rFonts w:cs="宋体"/>
          <w:b/>
          <w:bCs/>
          <w:sz w:val="24"/>
          <w:szCs w:val="24"/>
        </w:rPr>
      </w:pPr>
      <w:bookmarkStart w:id="78" w:name="_Toc988967"/>
      <w:r w:rsidRPr="0063248C">
        <w:rPr>
          <w:rFonts w:cs="宋体"/>
          <w:b/>
          <w:bCs/>
          <w:sz w:val="24"/>
          <w:szCs w:val="24"/>
        </w:rPr>
        <w:t>十三、其他重大事项的说明</w:t>
      </w:r>
      <w:bookmarkEnd w:id="78"/>
    </w:p>
    <w:p w14:paraId="6D101D43"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E3F91BF" w14:textId="77777777" w:rsidR="007B3DB2" w:rsidRPr="0063248C" w:rsidRDefault="00000000">
      <w:pPr>
        <w:spacing w:before="100" w:after="100" w:line="240" w:lineRule="exact"/>
        <w:rPr>
          <w:rFonts w:cs="宋体"/>
          <w:sz w:val="18"/>
          <w:szCs w:val="18"/>
        </w:rPr>
      </w:pPr>
      <w:r w:rsidRPr="0063248C">
        <w:rPr>
          <w:rFonts w:cs="宋体"/>
          <w:sz w:val="18"/>
          <w:szCs w:val="18"/>
        </w:rPr>
        <w:t>公司报告期不存在需要说明的其他重大事项。</w:t>
      </w:r>
    </w:p>
    <w:p w14:paraId="07C7105A" w14:textId="77777777" w:rsidR="007B3DB2" w:rsidRPr="0063248C" w:rsidRDefault="00000000">
      <w:pPr>
        <w:pStyle w:val="2"/>
        <w:spacing w:before="300" w:after="300" w:line="320" w:lineRule="exact"/>
        <w:rPr>
          <w:rFonts w:cs="宋体"/>
          <w:b/>
          <w:bCs/>
          <w:sz w:val="24"/>
          <w:szCs w:val="24"/>
        </w:rPr>
      </w:pPr>
      <w:bookmarkStart w:id="79" w:name="_Toc988968"/>
      <w:r w:rsidRPr="0063248C">
        <w:rPr>
          <w:rFonts w:cs="宋体"/>
          <w:b/>
          <w:bCs/>
          <w:sz w:val="24"/>
          <w:szCs w:val="24"/>
        </w:rPr>
        <w:t>十四、公司子公司重大事项</w:t>
      </w:r>
      <w:bookmarkEnd w:id="79"/>
    </w:p>
    <w:p w14:paraId="7ACAF681"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575F9A57" w14:textId="77777777" w:rsidR="007B3DB2" w:rsidRPr="0063248C" w:rsidRDefault="00000000">
      <w:r w:rsidRPr="0063248C">
        <w:br w:type="page"/>
      </w:r>
    </w:p>
    <w:p w14:paraId="09B0CF9B" w14:textId="77777777" w:rsidR="007B3DB2" w:rsidRPr="0063248C" w:rsidRDefault="00000000">
      <w:pPr>
        <w:pStyle w:val="headingh1"/>
        <w:spacing w:before="340" w:after="330" w:line="773" w:lineRule="exact"/>
        <w:jc w:val="center"/>
        <w:rPr>
          <w:rFonts w:cs="宋体"/>
          <w:b/>
          <w:bCs/>
          <w:sz w:val="32"/>
          <w:szCs w:val="32"/>
        </w:rPr>
      </w:pPr>
      <w:bookmarkStart w:id="80" w:name="_Toc988969"/>
      <w:r w:rsidRPr="0063248C">
        <w:rPr>
          <w:rFonts w:cs="宋体"/>
          <w:b/>
          <w:bCs/>
          <w:sz w:val="32"/>
          <w:szCs w:val="32"/>
        </w:rPr>
        <w:lastRenderedPageBreak/>
        <w:t>第七节</w:t>
      </w:r>
      <w:r w:rsidRPr="0063248C">
        <w:rPr>
          <w:rFonts w:cs="宋体"/>
          <w:b/>
          <w:bCs/>
          <w:sz w:val="32"/>
          <w:szCs w:val="32"/>
        </w:rPr>
        <w:t xml:space="preserve"> </w:t>
      </w:r>
      <w:r w:rsidRPr="0063248C">
        <w:rPr>
          <w:rFonts w:cs="宋体"/>
          <w:b/>
          <w:bCs/>
          <w:sz w:val="32"/>
          <w:szCs w:val="32"/>
        </w:rPr>
        <w:t>股份变动及股东情况</w:t>
      </w:r>
      <w:bookmarkEnd w:id="80"/>
    </w:p>
    <w:p w14:paraId="5F19122C" w14:textId="77777777" w:rsidR="007B3DB2" w:rsidRPr="0063248C" w:rsidRDefault="00000000">
      <w:pPr>
        <w:pStyle w:val="2"/>
        <w:spacing w:before="300" w:after="300" w:line="320" w:lineRule="exact"/>
        <w:rPr>
          <w:rFonts w:cs="宋体"/>
          <w:b/>
          <w:bCs/>
          <w:sz w:val="24"/>
          <w:szCs w:val="24"/>
        </w:rPr>
      </w:pPr>
      <w:bookmarkStart w:id="81" w:name="_Toc988970"/>
      <w:r w:rsidRPr="0063248C">
        <w:rPr>
          <w:rFonts w:cs="宋体"/>
          <w:b/>
          <w:bCs/>
          <w:sz w:val="24"/>
          <w:szCs w:val="24"/>
        </w:rPr>
        <w:t>一、股份变动情况</w:t>
      </w:r>
      <w:bookmarkEnd w:id="81"/>
    </w:p>
    <w:p w14:paraId="5FDB09E9" w14:textId="77777777" w:rsidR="007B3DB2" w:rsidRPr="0063248C" w:rsidRDefault="00000000">
      <w:pPr>
        <w:pStyle w:val="3"/>
        <w:spacing w:line="280" w:lineRule="exact"/>
        <w:jc w:val="left"/>
        <w:rPr>
          <w:rFonts w:cs="宋体"/>
          <w:b/>
          <w:bCs/>
        </w:rPr>
      </w:pPr>
      <w:bookmarkStart w:id="82" w:name="_Toc988971"/>
      <w:r w:rsidRPr="0063248C">
        <w:rPr>
          <w:rFonts w:cs="宋体"/>
          <w:b/>
          <w:bCs/>
        </w:rPr>
        <w:t>1</w:t>
      </w:r>
      <w:r w:rsidRPr="0063248C">
        <w:rPr>
          <w:rFonts w:cs="宋体"/>
          <w:b/>
          <w:bCs/>
        </w:rPr>
        <w:t>、股份变动情况</w:t>
      </w:r>
      <w:bookmarkEnd w:id="82"/>
    </w:p>
    <w:p w14:paraId="71180702"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7B3DB2" w:rsidRPr="0063248C" w14:paraId="53F97D17" w14:textId="77777777">
        <w:trPr>
          <w:trHeight w:val="240"/>
        </w:trPr>
        <w:tc>
          <w:tcPr>
            <w:tcW w:w="9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1D1CFFD" w14:textId="77777777" w:rsidR="007B3DB2" w:rsidRPr="0063248C" w:rsidRDefault="007B3DB2"/>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924E4EB"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本次变动前</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076ED435"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本次变动增减（＋，－）</w:t>
            </w: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1CF97A5"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本次变动后</w:t>
            </w:r>
          </w:p>
        </w:tc>
      </w:tr>
      <w:tr w:rsidR="007B3DB2" w:rsidRPr="0063248C" w14:paraId="3C09C6F6" w14:textId="77777777">
        <w:trPr>
          <w:trHeight w:val="240"/>
        </w:trPr>
        <w:tc>
          <w:tcPr>
            <w:tcW w:w="96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540C7A1" w14:textId="77777777" w:rsidR="007B3DB2" w:rsidRPr="0063248C" w:rsidRDefault="007B3DB2"/>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41373106" w14:textId="77777777" w:rsidR="007B3DB2" w:rsidRPr="0063248C" w:rsidRDefault="00000000">
            <w:pPr>
              <w:spacing w:before="40" w:after="40" w:line="240" w:lineRule="exact"/>
              <w:jc w:val="center"/>
              <w:rPr>
                <w:rFonts w:cs="宋体"/>
                <w:sz w:val="18"/>
                <w:szCs w:val="18"/>
              </w:rPr>
            </w:pPr>
            <w:r w:rsidRPr="0063248C">
              <w:rPr>
                <w:rFonts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D607C3B" w14:textId="77777777" w:rsidR="007B3DB2" w:rsidRPr="0063248C" w:rsidRDefault="00000000">
            <w:pPr>
              <w:spacing w:before="40" w:after="40" w:line="240" w:lineRule="exact"/>
              <w:jc w:val="center"/>
              <w:rPr>
                <w:rFonts w:cs="宋体"/>
                <w:sz w:val="18"/>
                <w:szCs w:val="18"/>
              </w:rPr>
            </w:pPr>
            <w:r w:rsidRPr="0063248C">
              <w:rPr>
                <w:rFonts w:cs="宋体"/>
                <w:sz w:val="18"/>
                <w:szCs w:val="18"/>
              </w:rPr>
              <w:t>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98AE774" w14:textId="77777777" w:rsidR="007B3DB2" w:rsidRPr="0063248C" w:rsidRDefault="00000000">
            <w:pPr>
              <w:spacing w:before="40" w:after="40" w:line="240" w:lineRule="exact"/>
              <w:jc w:val="center"/>
              <w:rPr>
                <w:rFonts w:cs="宋体"/>
                <w:sz w:val="18"/>
                <w:szCs w:val="18"/>
              </w:rPr>
            </w:pPr>
            <w:r w:rsidRPr="0063248C">
              <w:rPr>
                <w:rFonts w:cs="宋体"/>
                <w:sz w:val="18"/>
                <w:szCs w:val="18"/>
              </w:rPr>
              <w:t>发行新股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60DE4F70" w14:textId="77777777" w:rsidR="007B3DB2" w:rsidRPr="0063248C" w:rsidRDefault="00000000">
            <w:pPr>
              <w:spacing w:before="40" w:after="40" w:line="240" w:lineRule="exact"/>
              <w:jc w:val="center"/>
              <w:rPr>
                <w:rFonts w:cs="宋体"/>
                <w:sz w:val="18"/>
                <w:szCs w:val="18"/>
              </w:rPr>
            </w:pPr>
            <w:r w:rsidRPr="0063248C">
              <w:rPr>
                <w:rFonts w:cs="宋体"/>
                <w:sz w:val="18"/>
                <w:szCs w:val="18"/>
              </w:rPr>
              <w:t>送股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4B9A7718" w14:textId="77777777" w:rsidR="007B3DB2" w:rsidRPr="0063248C" w:rsidRDefault="00000000">
            <w:pPr>
              <w:spacing w:before="40" w:after="40" w:line="240" w:lineRule="exact"/>
              <w:jc w:val="center"/>
              <w:rPr>
                <w:rFonts w:cs="宋体"/>
                <w:sz w:val="18"/>
                <w:szCs w:val="18"/>
              </w:rPr>
            </w:pPr>
            <w:r w:rsidRPr="0063248C">
              <w:rPr>
                <w:rFonts w:cs="宋体"/>
                <w:sz w:val="18"/>
                <w:szCs w:val="18"/>
              </w:rPr>
              <w:t>公积金转股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FD7B3C6"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118ADE4" w14:textId="77777777" w:rsidR="007B3DB2" w:rsidRPr="0063248C" w:rsidRDefault="00000000">
            <w:pPr>
              <w:spacing w:before="40" w:after="40" w:line="240" w:lineRule="exact"/>
              <w:jc w:val="center"/>
              <w:rPr>
                <w:rFonts w:cs="宋体"/>
                <w:sz w:val="18"/>
                <w:szCs w:val="18"/>
              </w:rPr>
            </w:pPr>
            <w:r w:rsidRPr="0063248C">
              <w:rPr>
                <w:rFonts w:cs="宋体"/>
                <w:sz w:val="18"/>
                <w:szCs w:val="18"/>
              </w:rPr>
              <w:t>小计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AD3BA26" w14:textId="77777777" w:rsidR="007B3DB2" w:rsidRPr="0063248C" w:rsidRDefault="00000000">
            <w:pPr>
              <w:spacing w:before="40" w:after="40" w:line="240" w:lineRule="exact"/>
              <w:jc w:val="center"/>
              <w:rPr>
                <w:rFonts w:cs="宋体"/>
                <w:sz w:val="18"/>
                <w:szCs w:val="18"/>
              </w:rPr>
            </w:pPr>
            <w:r w:rsidRPr="0063248C">
              <w:rPr>
                <w:rFonts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27993818" w14:textId="77777777" w:rsidR="007B3DB2" w:rsidRPr="0063248C" w:rsidRDefault="00000000">
            <w:pPr>
              <w:spacing w:before="40" w:after="40" w:line="240" w:lineRule="exact"/>
              <w:jc w:val="center"/>
              <w:rPr>
                <w:rFonts w:cs="宋体"/>
                <w:sz w:val="18"/>
                <w:szCs w:val="18"/>
              </w:rPr>
            </w:pPr>
            <w:r w:rsidRPr="0063248C">
              <w:rPr>
                <w:rFonts w:cs="宋体"/>
                <w:sz w:val="18"/>
                <w:szCs w:val="18"/>
              </w:rPr>
              <w:t>比例</w:t>
            </w:r>
          </w:p>
        </w:tc>
      </w:tr>
      <w:tr w:rsidR="007B3DB2" w:rsidRPr="0063248C" w14:paraId="322787CA"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5E22A7D4" w14:textId="77777777" w:rsidR="007B3DB2" w:rsidRPr="0063248C" w:rsidRDefault="00000000">
            <w:pPr>
              <w:spacing w:before="40" w:after="40" w:line="240" w:lineRule="exact"/>
              <w:rPr>
                <w:rFonts w:cs="宋体"/>
                <w:sz w:val="18"/>
                <w:szCs w:val="18"/>
              </w:rPr>
            </w:pPr>
            <w:r w:rsidRPr="0063248C">
              <w:rPr>
                <w:rFonts w:cs="宋体"/>
                <w:sz w:val="18"/>
                <w:szCs w:val="18"/>
              </w:rPr>
              <w:t>一、有限</w:t>
            </w:r>
            <w:proofErr w:type="gramStart"/>
            <w:r w:rsidRPr="0063248C">
              <w:rPr>
                <w:rFonts w:cs="宋体"/>
                <w:sz w:val="18"/>
                <w:szCs w:val="18"/>
              </w:rPr>
              <w:t>售条件</w:t>
            </w:r>
            <w:proofErr w:type="gramEnd"/>
            <w:r w:rsidRPr="0063248C">
              <w:rPr>
                <w:rFonts w:cs="宋体"/>
                <w:sz w:val="18"/>
                <w:szCs w:val="18"/>
              </w:rPr>
              <w:t>股份</w:t>
            </w:r>
          </w:p>
        </w:tc>
        <w:tc>
          <w:tcPr>
            <w:tcW w:w="964" w:type="dxa"/>
            <w:tcBorders>
              <w:top w:val="single" w:sz="2" w:space="0" w:color="auto"/>
              <w:left w:val="single" w:sz="2" w:space="0" w:color="auto"/>
              <w:bottom w:val="single" w:sz="2" w:space="0" w:color="auto"/>
              <w:right w:val="single" w:sz="2" w:space="0" w:color="auto"/>
            </w:tcBorders>
            <w:vAlign w:val="center"/>
          </w:tcPr>
          <w:p w14:paraId="728D4F66" w14:textId="77777777" w:rsidR="007B3DB2" w:rsidRPr="0063248C" w:rsidRDefault="00000000">
            <w:pPr>
              <w:spacing w:line="240" w:lineRule="exact"/>
              <w:jc w:val="right"/>
              <w:rPr>
                <w:rFonts w:cs="宋体"/>
                <w:sz w:val="18"/>
                <w:szCs w:val="18"/>
              </w:rPr>
            </w:pPr>
            <w:r w:rsidRPr="0063248C">
              <w:rPr>
                <w:rFonts w:cs="宋体"/>
                <w:sz w:val="18"/>
                <w:szCs w:val="18"/>
              </w:rPr>
              <w:t>2,047,500</w:t>
            </w:r>
          </w:p>
        </w:tc>
        <w:tc>
          <w:tcPr>
            <w:tcW w:w="964" w:type="dxa"/>
            <w:tcBorders>
              <w:top w:val="single" w:sz="2" w:space="0" w:color="auto"/>
              <w:left w:val="single" w:sz="2" w:space="0" w:color="auto"/>
              <w:bottom w:val="single" w:sz="2" w:space="0" w:color="auto"/>
              <w:right w:val="single" w:sz="2" w:space="0" w:color="auto"/>
            </w:tcBorders>
            <w:vAlign w:val="center"/>
          </w:tcPr>
          <w:p w14:paraId="322BDEA9" w14:textId="77777777" w:rsidR="007B3DB2" w:rsidRPr="0063248C" w:rsidRDefault="00000000">
            <w:pPr>
              <w:spacing w:line="240" w:lineRule="exact"/>
              <w:jc w:val="right"/>
              <w:rPr>
                <w:rFonts w:cs="宋体"/>
                <w:sz w:val="18"/>
                <w:szCs w:val="18"/>
              </w:rPr>
            </w:pPr>
            <w:r w:rsidRPr="0063248C">
              <w:rPr>
                <w:rFonts w:cs="宋体"/>
                <w:sz w:val="18"/>
                <w:szCs w:val="18"/>
              </w:rPr>
              <w:t>0.19%</w:t>
            </w:r>
          </w:p>
        </w:tc>
        <w:tc>
          <w:tcPr>
            <w:tcW w:w="964" w:type="dxa"/>
            <w:tcBorders>
              <w:top w:val="single" w:sz="2" w:space="0" w:color="auto"/>
              <w:left w:val="single" w:sz="2" w:space="0" w:color="auto"/>
              <w:bottom w:val="single" w:sz="2" w:space="0" w:color="auto"/>
              <w:right w:val="single" w:sz="2" w:space="0" w:color="auto"/>
            </w:tcBorders>
            <w:vAlign w:val="center"/>
          </w:tcPr>
          <w:p w14:paraId="5809D4BB"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C32F3E3"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9C2F8CD"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7CF7FD3"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E67BA11"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C59CDAF" w14:textId="77777777" w:rsidR="007B3DB2" w:rsidRPr="0063248C" w:rsidRDefault="00000000">
            <w:pPr>
              <w:spacing w:line="240" w:lineRule="exact"/>
              <w:jc w:val="right"/>
              <w:rPr>
                <w:rFonts w:cs="宋体"/>
                <w:sz w:val="18"/>
                <w:szCs w:val="18"/>
              </w:rPr>
            </w:pPr>
            <w:r w:rsidRPr="0063248C">
              <w:rPr>
                <w:rFonts w:cs="宋体"/>
                <w:sz w:val="18"/>
                <w:szCs w:val="18"/>
              </w:rPr>
              <w:t>2,047,500</w:t>
            </w:r>
          </w:p>
        </w:tc>
        <w:tc>
          <w:tcPr>
            <w:tcW w:w="964" w:type="dxa"/>
            <w:tcBorders>
              <w:top w:val="single" w:sz="2" w:space="0" w:color="auto"/>
              <w:left w:val="single" w:sz="2" w:space="0" w:color="auto"/>
              <w:bottom w:val="single" w:sz="2" w:space="0" w:color="auto"/>
              <w:right w:val="single" w:sz="2" w:space="0" w:color="auto"/>
            </w:tcBorders>
            <w:vAlign w:val="center"/>
          </w:tcPr>
          <w:p w14:paraId="6C346C31" w14:textId="77777777" w:rsidR="007B3DB2" w:rsidRPr="0063248C" w:rsidRDefault="00000000">
            <w:pPr>
              <w:spacing w:line="240" w:lineRule="exact"/>
              <w:jc w:val="right"/>
              <w:rPr>
                <w:rFonts w:cs="宋体"/>
                <w:sz w:val="18"/>
                <w:szCs w:val="18"/>
              </w:rPr>
            </w:pPr>
            <w:r w:rsidRPr="0063248C">
              <w:rPr>
                <w:rFonts w:cs="宋体"/>
                <w:sz w:val="18"/>
                <w:szCs w:val="18"/>
              </w:rPr>
              <w:t>0.19%</w:t>
            </w:r>
          </w:p>
        </w:tc>
      </w:tr>
      <w:tr w:rsidR="007B3DB2" w:rsidRPr="0063248C" w14:paraId="639093B9"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3191311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1</w:t>
            </w:r>
            <w:r w:rsidRPr="0063248C">
              <w:rPr>
                <w:rFonts w:cs="宋体"/>
                <w:sz w:val="18"/>
                <w:szCs w:val="18"/>
              </w:rPr>
              <w:t>、国家持股</w:t>
            </w:r>
          </w:p>
        </w:tc>
        <w:tc>
          <w:tcPr>
            <w:tcW w:w="964" w:type="dxa"/>
            <w:tcBorders>
              <w:top w:val="single" w:sz="2" w:space="0" w:color="auto"/>
              <w:left w:val="single" w:sz="2" w:space="0" w:color="auto"/>
              <w:bottom w:val="single" w:sz="2" w:space="0" w:color="auto"/>
              <w:right w:val="single" w:sz="2" w:space="0" w:color="auto"/>
            </w:tcBorders>
            <w:vAlign w:val="center"/>
          </w:tcPr>
          <w:p w14:paraId="2A16127C"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BCFD692"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F67695E"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D421C2F"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C3FF32C"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C608607"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E026001"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C29FFAB"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2424653" w14:textId="77777777" w:rsidR="007B3DB2" w:rsidRPr="0063248C" w:rsidRDefault="007B3DB2">
            <w:pPr>
              <w:spacing w:line="240" w:lineRule="exact"/>
              <w:jc w:val="right"/>
              <w:rPr>
                <w:rFonts w:cs="宋体"/>
                <w:sz w:val="18"/>
                <w:szCs w:val="18"/>
              </w:rPr>
            </w:pPr>
          </w:p>
        </w:tc>
      </w:tr>
      <w:tr w:rsidR="007B3DB2" w:rsidRPr="0063248C" w14:paraId="2BE37EE0"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3C801B8A"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2</w:t>
            </w:r>
            <w:r w:rsidRPr="0063248C">
              <w:rPr>
                <w:rFonts w:cs="宋体"/>
                <w:sz w:val="18"/>
                <w:szCs w:val="18"/>
              </w:rPr>
              <w:t>、国有法人持股</w:t>
            </w:r>
          </w:p>
        </w:tc>
        <w:tc>
          <w:tcPr>
            <w:tcW w:w="964" w:type="dxa"/>
            <w:tcBorders>
              <w:top w:val="single" w:sz="2" w:space="0" w:color="auto"/>
              <w:left w:val="single" w:sz="2" w:space="0" w:color="auto"/>
              <w:bottom w:val="single" w:sz="2" w:space="0" w:color="auto"/>
              <w:right w:val="single" w:sz="2" w:space="0" w:color="auto"/>
            </w:tcBorders>
            <w:vAlign w:val="center"/>
          </w:tcPr>
          <w:p w14:paraId="19AD563A"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9D1A16C"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A2A8878"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CC2546F"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62E154B"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0F3B888"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0FB34E3"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028CF7E"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8ACE53F" w14:textId="77777777" w:rsidR="007B3DB2" w:rsidRPr="0063248C" w:rsidRDefault="007B3DB2">
            <w:pPr>
              <w:spacing w:line="240" w:lineRule="exact"/>
              <w:jc w:val="right"/>
              <w:rPr>
                <w:rFonts w:cs="宋体"/>
                <w:sz w:val="18"/>
                <w:szCs w:val="18"/>
              </w:rPr>
            </w:pPr>
          </w:p>
        </w:tc>
      </w:tr>
      <w:tr w:rsidR="007B3DB2" w:rsidRPr="0063248C" w14:paraId="68156677"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51871ACF"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3</w:t>
            </w:r>
            <w:r w:rsidRPr="0063248C">
              <w:rPr>
                <w:rFonts w:cs="宋体"/>
                <w:sz w:val="18"/>
                <w:szCs w:val="18"/>
              </w:rPr>
              <w:t>、其他内资持股</w:t>
            </w:r>
          </w:p>
        </w:tc>
        <w:tc>
          <w:tcPr>
            <w:tcW w:w="964" w:type="dxa"/>
            <w:tcBorders>
              <w:top w:val="single" w:sz="2" w:space="0" w:color="auto"/>
              <w:left w:val="single" w:sz="2" w:space="0" w:color="auto"/>
              <w:bottom w:val="single" w:sz="2" w:space="0" w:color="auto"/>
              <w:right w:val="single" w:sz="2" w:space="0" w:color="auto"/>
            </w:tcBorders>
            <w:vAlign w:val="center"/>
          </w:tcPr>
          <w:p w14:paraId="471C6352" w14:textId="77777777" w:rsidR="007B3DB2" w:rsidRPr="0063248C" w:rsidRDefault="00000000">
            <w:pPr>
              <w:spacing w:line="240" w:lineRule="exact"/>
              <w:jc w:val="right"/>
              <w:rPr>
                <w:rFonts w:cs="宋体"/>
                <w:sz w:val="18"/>
                <w:szCs w:val="18"/>
              </w:rPr>
            </w:pPr>
            <w:r w:rsidRPr="0063248C">
              <w:rPr>
                <w:rFonts w:cs="宋体"/>
                <w:sz w:val="18"/>
                <w:szCs w:val="18"/>
              </w:rPr>
              <w:t>2,047,500</w:t>
            </w:r>
          </w:p>
        </w:tc>
        <w:tc>
          <w:tcPr>
            <w:tcW w:w="964" w:type="dxa"/>
            <w:tcBorders>
              <w:top w:val="single" w:sz="2" w:space="0" w:color="auto"/>
              <w:left w:val="single" w:sz="2" w:space="0" w:color="auto"/>
              <w:bottom w:val="single" w:sz="2" w:space="0" w:color="auto"/>
              <w:right w:val="single" w:sz="2" w:space="0" w:color="auto"/>
            </w:tcBorders>
            <w:vAlign w:val="center"/>
          </w:tcPr>
          <w:p w14:paraId="271B1EC0" w14:textId="77777777" w:rsidR="007B3DB2" w:rsidRPr="0063248C" w:rsidRDefault="00000000">
            <w:pPr>
              <w:spacing w:line="240" w:lineRule="exact"/>
              <w:jc w:val="right"/>
              <w:rPr>
                <w:rFonts w:cs="宋体"/>
                <w:sz w:val="18"/>
                <w:szCs w:val="18"/>
              </w:rPr>
            </w:pPr>
            <w:r w:rsidRPr="0063248C">
              <w:rPr>
                <w:rFonts w:cs="宋体"/>
                <w:sz w:val="18"/>
                <w:szCs w:val="18"/>
              </w:rPr>
              <w:t>0.19%</w:t>
            </w:r>
          </w:p>
        </w:tc>
        <w:tc>
          <w:tcPr>
            <w:tcW w:w="964" w:type="dxa"/>
            <w:tcBorders>
              <w:top w:val="single" w:sz="2" w:space="0" w:color="auto"/>
              <w:left w:val="single" w:sz="2" w:space="0" w:color="auto"/>
              <w:bottom w:val="single" w:sz="2" w:space="0" w:color="auto"/>
              <w:right w:val="single" w:sz="2" w:space="0" w:color="auto"/>
            </w:tcBorders>
            <w:vAlign w:val="center"/>
          </w:tcPr>
          <w:p w14:paraId="56777D0C"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1051245"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A9AC3E5"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E5A1870"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1683810"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63B7A35" w14:textId="77777777" w:rsidR="007B3DB2" w:rsidRPr="0063248C" w:rsidRDefault="00000000">
            <w:pPr>
              <w:spacing w:line="240" w:lineRule="exact"/>
              <w:jc w:val="right"/>
              <w:rPr>
                <w:rFonts w:cs="宋体"/>
                <w:sz w:val="18"/>
                <w:szCs w:val="18"/>
              </w:rPr>
            </w:pPr>
            <w:r w:rsidRPr="0063248C">
              <w:rPr>
                <w:rFonts w:cs="宋体"/>
                <w:sz w:val="18"/>
                <w:szCs w:val="18"/>
              </w:rPr>
              <w:t>2,047,500</w:t>
            </w:r>
          </w:p>
        </w:tc>
        <w:tc>
          <w:tcPr>
            <w:tcW w:w="964" w:type="dxa"/>
            <w:tcBorders>
              <w:top w:val="single" w:sz="2" w:space="0" w:color="auto"/>
              <w:left w:val="single" w:sz="2" w:space="0" w:color="auto"/>
              <w:bottom w:val="single" w:sz="2" w:space="0" w:color="auto"/>
              <w:right w:val="single" w:sz="2" w:space="0" w:color="auto"/>
            </w:tcBorders>
            <w:vAlign w:val="center"/>
          </w:tcPr>
          <w:p w14:paraId="02CC062C" w14:textId="77777777" w:rsidR="007B3DB2" w:rsidRPr="0063248C" w:rsidRDefault="00000000">
            <w:pPr>
              <w:spacing w:line="240" w:lineRule="exact"/>
              <w:jc w:val="right"/>
              <w:rPr>
                <w:rFonts w:cs="宋体"/>
                <w:sz w:val="18"/>
                <w:szCs w:val="18"/>
              </w:rPr>
            </w:pPr>
            <w:r w:rsidRPr="0063248C">
              <w:rPr>
                <w:rFonts w:cs="宋体"/>
                <w:sz w:val="18"/>
                <w:szCs w:val="18"/>
              </w:rPr>
              <w:t>0.19%</w:t>
            </w:r>
          </w:p>
        </w:tc>
      </w:tr>
      <w:tr w:rsidR="007B3DB2" w:rsidRPr="0063248C" w14:paraId="3F9AFD65"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808C654"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其中：境内法人持股</w:t>
            </w:r>
          </w:p>
        </w:tc>
        <w:tc>
          <w:tcPr>
            <w:tcW w:w="964" w:type="dxa"/>
            <w:tcBorders>
              <w:top w:val="single" w:sz="2" w:space="0" w:color="auto"/>
              <w:left w:val="single" w:sz="2" w:space="0" w:color="auto"/>
              <w:bottom w:val="single" w:sz="2" w:space="0" w:color="auto"/>
              <w:right w:val="single" w:sz="2" w:space="0" w:color="auto"/>
            </w:tcBorders>
            <w:vAlign w:val="center"/>
          </w:tcPr>
          <w:p w14:paraId="23AD4435"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91E67DD"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E83757C"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43ED49E"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96F5835"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F97ECE7"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268394D"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36B2194"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FF4061B" w14:textId="77777777" w:rsidR="007B3DB2" w:rsidRPr="0063248C" w:rsidRDefault="007B3DB2">
            <w:pPr>
              <w:spacing w:line="240" w:lineRule="exact"/>
              <w:jc w:val="right"/>
              <w:rPr>
                <w:rFonts w:cs="宋体"/>
                <w:sz w:val="18"/>
                <w:szCs w:val="18"/>
              </w:rPr>
            </w:pPr>
          </w:p>
        </w:tc>
      </w:tr>
      <w:tr w:rsidR="007B3DB2" w:rsidRPr="0063248C" w14:paraId="1280E4FD"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37F7DF63"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境内自然人持股</w:t>
            </w:r>
          </w:p>
        </w:tc>
        <w:tc>
          <w:tcPr>
            <w:tcW w:w="964" w:type="dxa"/>
            <w:tcBorders>
              <w:top w:val="single" w:sz="2" w:space="0" w:color="auto"/>
              <w:left w:val="single" w:sz="2" w:space="0" w:color="auto"/>
              <w:bottom w:val="single" w:sz="2" w:space="0" w:color="auto"/>
              <w:right w:val="single" w:sz="2" w:space="0" w:color="auto"/>
            </w:tcBorders>
            <w:vAlign w:val="center"/>
          </w:tcPr>
          <w:p w14:paraId="3B41AEAF" w14:textId="77777777" w:rsidR="007B3DB2" w:rsidRPr="0063248C" w:rsidRDefault="00000000">
            <w:pPr>
              <w:spacing w:line="240" w:lineRule="exact"/>
              <w:jc w:val="right"/>
              <w:rPr>
                <w:rFonts w:cs="宋体"/>
                <w:sz w:val="18"/>
                <w:szCs w:val="18"/>
              </w:rPr>
            </w:pPr>
            <w:r w:rsidRPr="0063248C">
              <w:rPr>
                <w:rFonts w:cs="宋体"/>
                <w:sz w:val="18"/>
                <w:szCs w:val="18"/>
              </w:rPr>
              <w:t>2,047,500</w:t>
            </w:r>
          </w:p>
        </w:tc>
        <w:tc>
          <w:tcPr>
            <w:tcW w:w="964" w:type="dxa"/>
            <w:tcBorders>
              <w:top w:val="single" w:sz="2" w:space="0" w:color="auto"/>
              <w:left w:val="single" w:sz="2" w:space="0" w:color="auto"/>
              <w:bottom w:val="single" w:sz="2" w:space="0" w:color="auto"/>
              <w:right w:val="single" w:sz="2" w:space="0" w:color="auto"/>
            </w:tcBorders>
            <w:vAlign w:val="center"/>
          </w:tcPr>
          <w:p w14:paraId="61D7419E" w14:textId="77777777" w:rsidR="007B3DB2" w:rsidRPr="0063248C" w:rsidRDefault="00000000">
            <w:pPr>
              <w:spacing w:line="240" w:lineRule="exact"/>
              <w:jc w:val="right"/>
              <w:rPr>
                <w:rFonts w:cs="宋体"/>
                <w:sz w:val="18"/>
                <w:szCs w:val="18"/>
              </w:rPr>
            </w:pPr>
            <w:r w:rsidRPr="0063248C">
              <w:rPr>
                <w:rFonts w:cs="宋体"/>
                <w:sz w:val="18"/>
                <w:szCs w:val="18"/>
              </w:rPr>
              <w:t>0.19%</w:t>
            </w:r>
          </w:p>
        </w:tc>
        <w:tc>
          <w:tcPr>
            <w:tcW w:w="964" w:type="dxa"/>
            <w:tcBorders>
              <w:top w:val="single" w:sz="2" w:space="0" w:color="auto"/>
              <w:left w:val="single" w:sz="2" w:space="0" w:color="auto"/>
              <w:bottom w:val="single" w:sz="2" w:space="0" w:color="auto"/>
              <w:right w:val="single" w:sz="2" w:space="0" w:color="auto"/>
            </w:tcBorders>
            <w:vAlign w:val="center"/>
          </w:tcPr>
          <w:p w14:paraId="19FD46A2"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48B6E79"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419E596"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08965DD"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21595DD"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1234389" w14:textId="77777777" w:rsidR="007B3DB2" w:rsidRPr="0063248C" w:rsidRDefault="00000000">
            <w:pPr>
              <w:spacing w:line="240" w:lineRule="exact"/>
              <w:jc w:val="right"/>
              <w:rPr>
                <w:rFonts w:cs="宋体"/>
                <w:sz w:val="18"/>
                <w:szCs w:val="18"/>
              </w:rPr>
            </w:pPr>
            <w:r w:rsidRPr="0063248C">
              <w:rPr>
                <w:rFonts w:cs="宋体"/>
                <w:sz w:val="18"/>
                <w:szCs w:val="18"/>
              </w:rPr>
              <w:t>2,047,500</w:t>
            </w:r>
          </w:p>
        </w:tc>
        <w:tc>
          <w:tcPr>
            <w:tcW w:w="964" w:type="dxa"/>
            <w:tcBorders>
              <w:top w:val="single" w:sz="2" w:space="0" w:color="auto"/>
              <w:left w:val="single" w:sz="2" w:space="0" w:color="auto"/>
              <w:bottom w:val="single" w:sz="2" w:space="0" w:color="auto"/>
              <w:right w:val="single" w:sz="2" w:space="0" w:color="auto"/>
            </w:tcBorders>
            <w:vAlign w:val="center"/>
          </w:tcPr>
          <w:p w14:paraId="00E2A92D" w14:textId="77777777" w:rsidR="007B3DB2" w:rsidRPr="0063248C" w:rsidRDefault="00000000">
            <w:pPr>
              <w:spacing w:line="240" w:lineRule="exact"/>
              <w:jc w:val="right"/>
              <w:rPr>
                <w:rFonts w:cs="宋体"/>
                <w:sz w:val="18"/>
                <w:szCs w:val="18"/>
              </w:rPr>
            </w:pPr>
            <w:r w:rsidRPr="0063248C">
              <w:rPr>
                <w:rFonts w:cs="宋体"/>
                <w:sz w:val="18"/>
                <w:szCs w:val="18"/>
              </w:rPr>
              <w:t>0.19%</w:t>
            </w:r>
          </w:p>
        </w:tc>
      </w:tr>
      <w:tr w:rsidR="007B3DB2" w:rsidRPr="0063248C" w14:paraId="39D8EBDC"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5DD75E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4</w:t>
            </w:r>
            <w:r w:rsidRPr="0063248C">
              <w:rPr>
                <w:rFonts w:cs="宋体"/>
                <w:sz w:val="18"/>
                <w:szCs w:val="18"/>
              </w:rPr>
              <w:t>、外资持股</w:t>
            </w:r>
          </w:p>
        </w:tc>
        <w:tc>
          <w:tcPr>
            <w:tcW w:w="964" w:type="dxa"/>
            <w:tcBorders>
              <w:top w:val="single" w:sz="2" w:space="0" w:color="auto"/>
              <w:left w:val="single" w:sz="2" w:space="0" w:color="auto"/>
              <w:bottom w:val="single" w:sz="2" w:space="0" w:color="auto"/>
              <w:right w:val="single" w:sz="2" w:space="0" w:color="auto"/>
            </w:tcBorders>
            <w:vAlign w:val="center"/>
          </w:tcPr>
          <w:p w14:paraId="4C003861"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F7FB83B"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1CB84DB"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7B47BBC"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1FB9B4A"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C811E01"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068E813"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39C1E56"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7447F6B" w14:textId="77777777" w:rsidR="007B3DB2" w:rsidRPr="0063248C" w:rsidRDefault="007B3DB2">
            <w:pPr>
              <w:spacing w:line="240" w:lineRule="exact"/>
              <w:jc w:val="right"/>
              <w:rPr>
                <w:rFonts w:cs="宋体"/>
                <w:sz w:val="18"/>
                <w:szCs w:val="18"/>
              </w:rPr>
            </w:pPr>
          </w:p>
        </w:tc>
      </w:tr>
      <w:tr w:rsidR="007B3DB2" w:rsidRPr="0063248C" w14:paraId="3CDCF233"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51DD3568"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其中：境外法人持股</w:t>
            </w:r>
          </w:p>
        </w:tc>
        <w:tc>
          <w:tcPr>
            <w:tcW w:w="964" w:type="dxa"/>
            <w:tcBorders>
              <w:top w:val="single" w:sz="2" w:space="0" w:color="auto"/>
              <w:left w:val="single" w:sz="2" w:space="0" w:color="auto"/>
              <w:bottom w:val="single" w:sz="2" w:space="0" w:color="auto"/>
              <w:right w:val="single" w:sz="2" w:space="0" w:color="auto"/>
            </w:tcBorders>
            <w:vAlign w:val="center"/>
          </w:tcPr>
          <w:p w14:paraId="2E56B27F"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F0A7233"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ECBF3FB"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15BBBC6"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73F81BB"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A60C4DD"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D6D3BA3"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2959E88"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0EF715E" w14:textId="77777777" w:rsidR="007B3DB2" w:rsidRPr="0063248C" w:rsidRDefault="007B3DB2">
            <w:pPr>
              <w:spacing w:line="240" w:lineRule="exact"/>
              <w:jc w:val="right"/>
              <w:rPr>
                <w:rFonts w:cs="宋体"/>
                <w:sz w:val="18"/>
                <w:szCs w:val="18"/>
              </w:rPr>
            </w:pPr>
          </w:p>
        </w:tc>
      </w:tr>
      <w:tr w:rsidR="007B3DB2" w:rsidRPr="0063248C" w14:paraId="5D1F79A9"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03447136"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境外自然人持股</w:t>
            </w:r>
          </w:p>
        </w:tc>
        <w:tc>
          <w:tcPr>
            <w:tcW w:w="964" w:type="dxa"/>
            <w:tcBorders>
              <w:top w:val="single" w:sz="2" w:space="0" w:color="auto"/>
              <w:left w:val="single" w:sz="2" w:space="0" w:color="auto"/>
              <w:bottom w:val="single" w:sz="2" w:space="0" w:color="auto"/>
              <w:right w:val="single" w:sz="2" w:space="0" w:color="auto"/>
            </w:tcBorders>
            <w:vAlign w:val="center"/>
          </w:tcPr>
          <w:p w14:paraId="73B7E08F"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02EB3C7"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AB3C45D"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D81135A"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BD04F4C"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17EC3CA"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72A0A88"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2E2B754"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EA00CFE" w14:textId="77777777" w:rsidR="007B3DB2" w:rsidRPr="0063248C" w:rsidRDefault="007B3DB2">
            <w:pPr>
              <w:spacing w:line="240" w:lineRule="exact"/>
              <w:jc w:val="right"/>
              <w:rPr>
                <w:rFonts w:cs="宋体"/>
                <w:sz w:val="18"/>
                <w:szCs w:val="18"/>
              </w:rPr>
            </w:pPr>
          </w:p>
        </w:tc>
      </w:tr>
      <w:tr w:rsidR="007B3DB2" w:rsidRPr="0063248C" w14:paraId="5BA62FD4"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B8B3F4F" w14:textId="77777777" w:rsidR="007B3DB2" w:rsidRPr="0063248C" w:rsidRDefault="00000000">
            <w:pPr>
              <w:spacing w:before="40" w:after="40" w:line="240" w:lineRule="exact"/>
              <w:rPr>
                <w:rFonts w:cs="宋体"/>
                <w:sz w:val="18"/>
                <w:szCs w:val="18"/>
              </w:rPr>
            </w:pPr>
            <w:r w:rsidRPr="0063248C">
              <w:rPr>
                <w:rFonts w:cs="宋体"/>
                <w:sz w:val="18"/>
                <w:szCs w:val="18"/>
              </w:rPr>
              <w:t>二、无限</w:t>
            </w:r>
            <w:proofErr w:type="gramStart"/>
            <w:r w:rsidRPr="0063248C">
              <w:rPr>
                <w:rFonts w:cs="宋体"/>
                <w:sz w:val="18"/>
                <w:szCs w:val="18"/>
              </w:rPr>
              <w:t>售条件</w:t>
            </w:r>
            <w:proofErr w:type="gramEnd"/>
            <w:r w:rsidRPr="0063248C">
              <w:rPr>
                <w:rFonts w:cs="宋体"/>
                <w:sz w:val="18"/>
                <w:szCs w:val="18"/>
              </w:rPr>
              <w:t>股份</w:t>
            </w:r>
          </w:p>
        </w:tc>
        <w:tc>
          <w:tcPr>
            <w:tcW w:w="964" w:type="dxa"/>
            <w:tcBorders>
              <w:top w:val="single" w:sz="2" w:space="0" w:color="auto"/>
              <w:left w:val="single" w:sz="2" w:space="0" w:color="auto"/>
              <w:bottom w:val="single" w:sz="2" w:space="0" w:color="auto"/>
              <w:right w:val="single" w:sz="2" w:space="0" w:color="auto"/>
            </w:tcBorders>
            <w:vAlign w:val="center"/>
          </w:tcPr>
          <w:p w14:paraId="4808774A" w14:textId="77777777" w:rsidR="007B3DB2" w:rsidRPr="0063248C" w:rsidRDefault="00000000">
            <w:pPr>
              <w:spacing w:line="240" w:lineRule="exact"/>
              <w:jc w:val="right"/>
              <w:rPr>
                <w:rFonts w:cs="宋体"/>
                <w:sz w:val="18"/>
                <w:szCs w:val="18"/>
              </w:rPr>
            </w:pPr>
            <w:r w:rsidRPr="0063248C">
              <w:rPr>
                <w:rFonts w:cs="宋体"/>
                <w:sz w:val="18"/>
                <w:szCs w:val="18"/>
              </w:rPr>
              <w:t>1,077,112,332</w:t>
            </w:r>
          </w:p>
        </w:tc>
        <w:tc>
          <w:tcPr>
            <w:tcW w:w="964" w:type="dxa"/>
            <w:tcBorders>
              <w:top w:val="single" w:sz="2" w:space="0" w:color="auto"/>
              <w:left w:val="single" w:sz="2" w:space="0" w:color="auto"/>
              <w:bottom w:val="single" w:sz="2" w:space="0" w:color="auto"/>
              <w:right w:val="single" w:sz="2" w:space="0" w:color="auto"/>
            </w:tcBorders>
            <w:vAlign w:val="center"/>
          </w:tcPr>
          <w:p w14:paraId="07D53790" w14:textId="77777777" w:rsidR="007B3DB2" w:rsidRPr="0063248C" w:rsidRDefault="00000000">
            <w:pPr>
              <w:spacing w:line="240" w:lineRule="exact"/>
              <w:jc w:val="right"/>
              <w:rPr>
                <w:rFonts w:cs="宋体"/>
                <w:sz w:val="18"/>
                <w:szCs w:val="18"/>
              </w:rPr>
            </w:pPr>
            <w:r w:rsidRPr="0063248C">
              <w:rPr>
                <w:rFonts w:cs="宋体"/>
                <w:sz w:val="18"/>
                <w:szCs w:val="18"/>
              </w:rPr>
              <w:t>99.81%</w:t>
            </w:r>
          </w:p>
        </w:tc>
        <w:tc>
          <w:tcPr>
            <w:tcW w:w="964" w:type="dxa"/>
            <w:tcBorders>
              <w:top w:val="single" w:sz="2" w:space="0" w:color="auto"/>
              <w:left w:val="single" w:sz="2" w:space="0" w:color="auto"/>
              <w:bottom w:val="single" w:sz="2" w:space="0" w:color="auto"/>
              <w:right w:val="single" w:sz="2" w:space="0" w:color="auto"/>
            </w:tcBorders>
            <w:vAlign w:val="center"/>
          </w:tcPr>
          <w:p w14:paraId="19C15573"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8F7D0DB"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6141E40"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CD95C0A" w14:textId="77777777" w:rsidR="007B3DB2" w:rsidRPr="0063248C" w:rsidRDefault="00000000">
            <w:pPr>
              <w:spacing w:line="240" w:lineRule="exact"/>
              <w:jc w:val="right"/>
              <w:rPr>
                <w:rFonts w:cs="宋体"/>
                <w:sz w:val="18"/>
                <w:szCs w:val="18"/>
              </w:rPr>
            </w:pPr>
            <w:r w:rsidRPr="0063248C">
              <w:rPr>
                <w:rFonts w:cs="宋体"/>
                <w:sz w:val="18"/>
                <w:szCs w:val="18"/>
              </w:rPr>
              <w:t>107</w:t>
            </w:r>
          </w:p>
        </w:tc>
        <w:tc>
          <w:tcPr>
            <w:tcW w:w="964" w:type="dxa"/>
            <w:tcBorders>
              <w:top w:val="single" w:sz="2" w:space="0" w:color="auto"/>
              <w:left w:val="single" w:sz="2" w:space="0" w:color="auto"/>
              <w:bottom w:val="single" w:sz="2" w:space="0" w:color="auto"/>
              <w:right w:val="single" w:sz="2" w:space="0" w:color="auto"/>
            </w:tcBorders>
            <w:vAlign w:val="center"/>
          </w:tcPr>
          <w:p w14:paraId="09AC967F" w14:textId="77777777" w:rsidR="007B3DB2" w:rsidRPr="0063248C" w:rsidRDefault="00000000">
            <w:pPr>
              <w:spacing w:line="240" w:lineRule="exact"/>
              <w:jc w:val="right"/>
              <w:rPr>
                <w:rFonts w:cs="宋体"/>
                <w:sz w:val="18"/>
                <w:szCs w:val="18"/>
              </w:rPr>
            </w:pPr>
            <w:r w:rsidRPr="0063248C">
              <w:rPr>
                <w:rFonts w:cs="宋体"/>
                <w:sz w:val="18"/>
                <w:szCs w:val="18"/>
              </w:rPr>
              <w:t>107</w:t>
            </w:r>
          </w:p>
        </w:tc>
        <w:tc>
          <w:tcPr>
            <w:tcW w:w="964" w:type="dxa"/>
            <w:tcBorders>
              <w:top w:val="single" w:sz="2" w:space="0" w:color="auto"/>
              <w:left w:val="single" w:sz="2" w:space="0" w:color="auto"/>
              <w:bottom w:val="single" w:sz="2" w:space="0" w:color="auto"/>
              <w:right w:val="single" w:sz="2" w:space="0" w:color="auto"/>
            </w:tcBorders>
            <w:vAlign w:val="center"/>
          </w:tcPr>
          <w:p w14:paraId="3D1635B7" w14:textId="77777777" w:rsidR="007B3DB2" w:rsidRPr="0063248C" w:rsidRDefault="00000000">
            <w:pPr>
              <w:spacing w:line="240" w:lineRule="exact"/>
              <w:jc w:val="right"/>
              <w:rPr>
                <w:rFonts w:cs="宋体"/>
                <w:sz w:val="18"/>
                <w:szCs w:val="18"/>
              </w:rPr>
            </w:pPr>
            <w:r w:rsidRPr="0063248C">
              <w:rPr>
                <w:rFonts w:cs="宋体"/>
                <w:sz w:val="18"/>
                <w:szCs w:val="18"/>
              </w:rPr>
              <w:t>1,077,112,439</w:t>
            </w:r>
          </w:p>
        </w:tc>
        <w:tc>
          <w:tcPr>
            <w:tcW w:w="964" w:type="dxa"/>
            <w:tcBorders>
              <w:top w:val="single" w:sz="2" w:space="0" w:color="auto"/>
              <w:left w:val="single" w:sz="2" w:space="0" w:color="auto"/>
              <w:bottom w:val="single" w:sz="2" w:space="0" w:color="auto"/>
              <w:right w:val="single" w:sz="2" w:space="0" w:color="auto"/>
            </w:tcBorders>
            <w:vAlign w:val="center"/>
          </w:tcPr>
          <w:p w14:paraId="1817946F" w14:textId="77777777" w:rsidR="007B3DB2" w:rsidRPr="0063248C" w:rsidRDefault="00000000">
            <w:pPr>
              <w:spacing w:line="240" w:lineRule="exact"/>
              <w:jc w:val="right"/>
              <w:rPr>
                <w:rFonts w:cs="宋体"/>
                <w:sz w:val="18"/>
                <w:szCs w:val="18"/>
              </w:rPr>
            </w:pPr>
            <w:r w:rsidRPr="0063248C">
              <w:rPr>
                <w:rFonts w:cs="宋体"/>
                <w:sz w:val="18"/>
                <w:szCs w:val="18"/>
              </w:rPr>
              <w:t>99.81%</w:t>
            </w:r>
          </w:p>
        </w:tc>
      </w:tr>
      <w:tr w:rsidR="007B3DB2" w:rsidRPr="0063248C" w14:paraId="7C6C8F7E"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1185B92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1</w:t>
            </w:r>
            <w:r w:rsidRPr="0063248C">
              <w:rPr>
                <w:rFonts w:cs="宋体"/>
                <w:sz w:val="18"/>
                <w:szCs w:val="18"/>
              </w:rPr>
              <w:t>、人民币普通股</w:t>
            </w:r>
          </w:p>
        </w:tc>
        <w:tc>
          <w:tcPr>
            <w:tcW w:w="964" w:type="dxa"/>
            <w:tcBorders>
              <w:top w:val="single" w:sz="2" w:space="0" w:color="auto"/>
              <w:left w:val="single" w:sz="2" w:space="0" w:color="auto"/>
              <w:bottom w:val="single" w:sz="2" w:space="0" w:color="auto"/>
              <w:right w:val="single" w:sz="2" w:space="0" w:color="auto"/>
            </w:tcBorders>
            <w:vAlign w:val="center"/>
          </w:tcPr>
          <w:p w14:paraId="521BC3AF" w14:textId="77777777" w:rsidR="007B3DB2" w:rsidRPr="0063248C" w:rsidRDefault="00000000">
            <w:pPr>
              <w:spacing w:line="240" w:lineRule="exact"/>
              <w:jc w:val="right"/>
              <w:rPr>
                <w:rFonts w:cs="宋体"/>
                <w:sz w:val="18"/>
                <w:szCs w:val="18"/>
              </w:rPr>
            </w:pPr>
            <w:r w:rsidRPr="0063248C">
              <w:rPr>
                <w:rFonts w:cs="宋体"/>
                <w:sz w:val="18"/>
                <w:szCs w:val="18"/>
              </w:rPr>
              <w:t>1,077,112,332</w:t>
            </w:r>
          </w:p>
        </w:tc>
        <w:tc>
          <w:tcPr>
            <w:tcW w:w="964" w:type="dxa"/>
            <w:tcBorders>
              <w:top w:val="single" w:sz="2" w:space="0" w:color="auto"/>
              <w:left w:val="single" w:sz="2" w:space="0" w:color="auto"/>
              <w:bottom w:val="single" w:sz="2" w:space="0" w:color="auto"/>
              <w:right w:val="single" w:sz="2" w:space="0" w:color="auto"/>
            </w:tcBorders>
            <w:vAlign w:val="center"/>
          </w:tcPr>
          <w:p w14:paraId="0E2F0039" w14:textId="77777777" w:rsidR="007B3DB2" w:rsidRPr="0063248C" w:rsidRDefault="00000000">
            <w:pPr>
              <w:spacing w:line="240" w:lineRule="exact"/>
              <w:jc w:val="right"/>
              <w:rPr>
                <w:rFonts w:cs="宋体"/>
                <w:sz w:val="18"/>
                <w:szCs w:val="18"/>
              </w:rPr>
            </w:pPr>
            <w:r w:rsidRPr="0063248C">
              <w:rPr>
                <w:rFonts w:cs="宋体"/>
                <w:sz w:val="18"/>
                <w:szCs w:val="18"/>
              </w:rPr>
              <w:t>99.81%</w:t>
            </w:r>
          </w:p>
        </w:tc>
        <w:tc>
          <w:tcPr>
            <w:tcW w:w="964" w:type="dxa"/>
            <w:tcBorders>
              <w:top w:val="single" w:sz="2" w:space="0" w:color="auto"/>
              <w:left w:val="single" w:sz="2" w:space="0" w:color="auto"/>
              <w:bottom w:val="single" w:sz="2" w:space="0" w:color="auto"/>
              <w:right w:val="single" w:sz="2" w:space="0" w:color="auto"/>
            </w:tcBorders>
            <w:vAlign w:val="center"/>
          </w:tcPr>
          <w:p w14:paraId="3C28308C"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CDB3A48"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157CAAD"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00725B1" w14:textId="77777777" w:rsidR="007B3DB2" w:rsidRPr="0063248C" w:rsidRDefault="00000000">
            <w:pPr>
              <w:spacing w:line="240" w:lineRule="exact"/>
              <w:jc w:val="right"/>
              <w:rPr>
                <w:rFonts w:cs="宋体"/>
                <w:sz w:val="18"/>
                <w:szCs w:val="18"/>
              </w:rPr>
            </w:pPr>
            <w:r w:rsidRPr="0063248C">
              <w:rPr>
                <w:rFonts w:cs="宋体"/>
                <w:sz w:val="18"/>
                <w:szCs w:val="18"/>
              </w:rPr>
              <w:t>107</w:t>
            </w:r>
          </w:p>
        </w:tc>
        <w:tc>
          <w:tcPr>
            <w:tcW w:w="964" w:type="dxa"/>
            <w:tcBorders>
              <w:top w:val="single" w:sz="2" w:space="0" w:color="auto"/>
              <w:left w:val="single" w:sz="2" w:space="0" w:color="auto"/>
              <w:bottom w:val="single" w:sz="2" w:space="0" w:color="auto"/>
              <w:right w:val="single" w:sz="2" w:space="0" w:color="auto"/>
            </w:tcBorders>
            <w:vAlign w:val="center"/>
          </w:tcPr>
          <w:p w14:paraId="7D3DBEC7" w14:textId="77777777" w:rsidR="007B3DB2" w:rsidRPr="0063248C" w:rsidRDefault="00000000">
            <w:pPr>
              <w:spacing w:line="240" w:lineRule="exact"/>
              <w:jc w:val="right"/>
              <w:rPr>
                <w:rFonts w:cs="宋体"/>
                <w:sz w:val="18"/>
                <w:szCs w:val="18"/>
              </w:rPr>
            </w:pPr>
            <w:r w:rsidRPr="0063248C">
              <w:rPr>
                <w:rFonts w:cs="宋体"/>
                <w:sz w:val="18"/>
                <w:szCs w:val="18"/>
              </w:rPr>
              <w:t>107</w:t>
            </w:r>
          </w:p>
        </w:tc>
        <w:tc>
          <w:tcPr>
            <w:tcW w:w="964" w:type="dxa"/>
            <w:tcBorders>
              <w:top w:val="single" w:sz="2" w:space="0" w:color="auto"/>
              <w:left w:val="single" w:sz="2" w:space="0" w:color="auto"/>
              <w:bottom w:val="single" w:sz="2" w:space="0" w:color="auto"/>
              <w:right w:val="single" w:sz="2" w:space="0" w:color="auto"/>
            </w:tcBorders>
            <w:vAlign w:val="center"/>
          </w:tcPr>
          <w:p w14:paraId="44CCE36F" w14:textId="77777777" w:rsidR="007B3DB2" w:rsidRPr="0063248C" w:rsidRDefault="00000000">
            <w:pPr>
              <w:spacing w:line="240" w:lineRule="exact"/>
              <w:jc w:val="right"/>
              <w:rPr>
                <w:rFonts w:cs="宋体"/>
                <w:sz w:val="18"/>
                <w:szCs w:val="18"/>
              </w:rPr>
            </w:pPr>
            <w:r w:rsidRPr="0063248C">
              <w:rPr>
                <w:rFonts w:cs="宋体"/>
                <w:sz w:val="18"/>
                <w:szCs w:val="18"/>
              </w:rPr>
              <w:t>1,077,112,439</w:t>
            </w:r>
          </w:p>
        </w:tc>
        <w:tc>
          <w:tcPr>
            <w:tcW w:w="964" w:type="dxa"/>
            <w:tcBorders>
              <w:top w:val="single" w:sz="2" w:space="0" w:color="auto"/>
              <w:left w:val="single" w:sz="2" w:space="0" w:color="auto"/>
              <w:bottom w:val="single" w:sz="2" w:space="0" w:color="auto"/>
              <w:right w:val="single" w:sz="2" w:space="0" w:color="auto"/>
            </w:tcBorders>
            <w:vAlign w:val="center"/>
          </w:tcPr>
          <w:p w14:paraId="033DFF02" w14:textId="77777777" w:rsidR="007B3DB2" w:rsidRPr="0063248C" w:rsidRDefault="00000000">
            <w:pPr>
              <w:spacing w:line="240" w:lineRule="exact"/>
              <w:jc w:val="right"/>
              <w:rPr>
                <w:rFonts w:cs="宋体"/>
                <w:sz w:val="18"/>
                <w:szCs w:val="18"/>
              </w:rPr>
            </w:pPr>
            <w:r w:rsidRPr="0063248C">
              <w:rPr>
                <w:rFonts w:cs="宋体"/>
                <w:sz w:val="18"/>
                <w:szCs w:val="18"/>
              </w:rPr>
              <w:t>99.81%</w:t>
            </w:r>
          </w:p>
        </w:tc>
      </w:tr>
      <w:tr w:rsidR="007B3DB2" w:rsidRPr="0063248C" w14:paraId="31D485EA"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6BC9D593"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2</w:t>
            </w:r>
            <w:r w:rsidRPr="0063248C">
              <w:rPr>
                <w:rFonts w:cs="宋体"/>
                <w:sz w:val="18"/>
                <w:szCs w:val="18"/>
              </w:rPr>
              <w:t>、境内上市的外资股</w:t>
            </w:r>
          </w:p>
        </w:tc>
        <w:tc>
          <w:tcPr>
            <w:tcW w:w="964" w:type="dxa"/>
            <w:tcBorders>
              <w:top w:val="single" w:sz="2" w:space="0" w:color="auto"/>
              <w:left w:val="single" w:sz="2" w:space="0" w:color="auto"/>
              <w:bottom w:val="single" w:sz="2" w:space="0" w:color="auto"/>
              <w:right w:val="single" w:sz="2" w:space="0" w:color="auto"/>
            </w:tcBorders>
            <w:vAlign w:val="center"/>
          </w:tcPr>
          <w:p w14:paraId="39136276"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7B51EA9"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A661269"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8DD17E3"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4EA662F"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F5F09B1"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C03A55D"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2EBC75C"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A4C07CF" w14:textId="77777777" w:rsidR="007B3DB2" w:rsidRPr="0063248C" w:rsidRDefault="007B3DB2">
            <w:pPr>
              <w:spacing w:line="240" w:lineRule="exact"/>
              <w:jc w:val="right"/>
              <w:rPr>
                <w:rFonts w:cs="宋体"/>
                <w:sz w:val="18"/>
                <w:szCs w:val="18"/>
              </w:rPr>
            </w:pPr>
          </w:p>
        </w:tc>
      </w:tr>
      <w:tr w:rsidR="007B3DB2" w:rsidRPr="0063248C" w14:paraId="546F0ED8"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41222332"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3</w:t>
            </w:r>
            <w:r w:rsidRPr="0063248C">
              <w:rPr>
                <w:rFonts w:cs="宋体"/>
                <w:sz w:val="18"/>
                <w:szCs w:val="18"/>
              </w:rPr>
              <w:t>、境外上市的外资股</w:t>
            </w:r>
          </w:p>
        </w:tc>
        <w:tc>
          <w:tcPr>
            <w:tcW w:w="964" w:type="dxa"/>
            <w:tcBorders>
              <w:top w:val="single" w:sz="2" w:space="0" w:color="auto"/>
              <w:left w:val="single" w:sz="2" w:space="0" w:color="auto"/>
              <w:bottom w:val="single" w:sz="2" w:space="0" w:color="auto"/>
              <w:right w:val="single" w:sz="2" w:space="0" w:color="auto"/>
            </w:tcBorders>
            <w:vAlign w:val="center"/>
          </w:tcPr>
          <w:p w14:paraId="55AD100D"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B4DA939"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D61DC21"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E46B188"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9159C8E"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D23A784"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BDE21B4"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3C003C9"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485DE034" w14:textId="77777777" w:rsidR="007B3DB2" w:rsidRPr="0063248C" w:rsidRDefault="007B3DB2">
            <w:pPr>
              <w:spacing w:line="240" w:lineRule="exact"/>
              <w:jc w:val="right"/>
              <w:rPr>
                <w:rFonts w:cs="宋体"/>
                <w:sz w:val="18"/>
                <w:szCs w:val="18"/>
              </w:rPr>
            </w:pPr>
          </w:p>
        </w:tc>
      </w:tr>
      <w:tr w:rsidR="007B3DB2" w:rsidRPr="0063248C" w14:paraId="08B59399"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43995A2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4</w:t>
            </w:r>
            <w:r w:rsidRPr="0063248C">
              <w:rPr>
                <w:rFonts w:cs="宋体"/>
                <w:sz w:val="18"/>
                <w:szCs w:val="18"/>
              </w:rPr>
              <w:t>、其</w:t>
            </w:r>
            <w:r w:rsidRPr="0063248C">
              <w:rPr>
                <w:rFonts w:cs="宋体"/>
                <w:sz w:val="18"/>
                <w:szCs w:val="18"/>
              </w:rPr>
              <w:lastRenderedPageBreak/>
              <w:t>他</w:t>
            </w:r>
          </w:p>
        </w:tc>
        <w:tc>
          <w:tcPr>
            <w:tcW w:w="964" w:type="dxa"/>
            <w:tcBorders>
              <w:top w:val="single" w:sz="2" w:space="0" w:color="auto"/>
              <w:left w:val="single" w:sz="2" w:space="0" w:color="auto"/>
              <w:bottom w:val="single" w:sz="2" w:space="0" w:color="auto"/>
              <w:right w:val="single" w:sz="2" w:space="0" w:color="auto"/>
            </w:tcBorders>
            <w:vAlign w:val="center"/>
          </w:tcPr>
          <w:p w14:paraId="6D2429EF"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1F69B6A1"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358FFB42"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FA6D25D"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6DE12D3F"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291C6A4"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D7E6C0D"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56040CE8"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7470067B" w14:textId="77777777" w:rsidR="007B3DB2" w:rsidRPr="0063248C" w:rsidRDefault="007B3DB2">
            <w:pPr>
              <w:spacing w:line="240" w:lineRule="exact"/>
              <w:jc w:val="right"/>
              <w:rPr>
                <w:rFonts w:cs="宋体"/>
                <w:sz w:val="18"/>
                <w:szCs w:val="18"/>
              </w:rPr>
            </w:pPr>
          </w:p>
        </w:tc>
      </w:tr>
      <w:tr w:rsidR="007B3DB2" w:rsidRPr="0063248C" w14:paraId="5EAE61CE"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38EC1240" w14:textId="77777777" w:rsidR="007B3DB2" w:rsidRPr="0063248C" w:rsidRDefault="00000000">
            <w:pPr>
              <w:spacing w:before="40" w:after="40" w:line="240" w:lineRule="exact"/>
              <w:rPr>
                <w:rFonts w:cs="宋体"/>
                <w:sz w:val="18"/>
                <w:szCs w:val="18"/>
              </w:rPr>
            </w:pPr>
            <w:r w:rsidRPr="0063248C">
              <w:rPr>
                <w:rFonts w:cs="宋体"/>
                <w:sz w:val="18"/>
                <w:szCs w:val="18"/>
              </w:rPr>
              <w:t>三、股份总数</w:t>
            </w:r>
          </w:p>
        </w:tc>
        <w:tc>
          <w:tcPr>
            <w:tcW w:w="964" w:type="dxa"/>
            <w:tcBorders>
              <w:top w:val="single" w:sz="2" w:space="0" w:color="auto"/>
              <w:left w:val="single" w:sz="2" w:space="0" w:color="auto"/>
              <w:bottom w:val="single" w:sz="2" w:space="0" w:color="auto"/>
              <w:right w:val="single" w:sz="2" w:space="0" w:color="auto"/>
            </w:tcBorders>
            <w:vAlign w:val="center"/>
          </w:tcPr>
          <w:p w14:paraId="5384E788" w14:textId="77777777" w:rsidR="007B3DB2" w:rsidRPr="0063248C" w:rsidRDefault="00000000">
            <w:pPr>
              <w:spacing w:line="240" w:lineRule="exact"/>
              <w:jc w:val="right"/>
              <w:rPr>
                <w:rFonts w:cs="宋体"/>
                <w:sz w:val="18"/>
                <w:szCs w:val="18"/>
              </w:rPr>
            </w:pPr>
            <w:r w:rsidRPr="0063248C">
              <w:rPr>
                <w:rFonts w:cs="宋体"/>
                <w:sz w:val="18"/>
                <w:szCs w:val="18"/>
              </w:rPr>
              <w:t>1,079,159,832</w:t>
            </w:r>
          </w:p>
        </w:tc>
        <w:tc>
          <w:tcPr>
            <w:tcW w:w="964" w:type="dxa"/>
            <w:tcBorders>
              <w:top w:val="single" w:sz="2" w:space="0" w:color="auto"/>
              <w:left w:val="single" w:sz="2" w:space="0" w:color="auto"/>
              <w:bottom w:val="single" w:sz="2" w:space="0" w:color="auto"/>
              <w:right w:val="single" w:sz="2" w:space="0" w:color="auto"/>
            </w:tcBorders>
            <w:vAlign w:val="center"/>
          </w:tcPr>
          <w:p w14:paraId="2CB334C8"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14:paraId="71FCB777"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7175622"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254FFA3F" w14:textId="77777777" w:rsidR="007B3DB2" w:rsidRPr="0063248C" w:rsidRDefault="007B3DB2">
            <w:pPr>
              <w:spacing w:line="240" w:lineRule="exact"/>
              <w:jc w:val="right"/>
              <w:rPr>
                <w:rFonts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14:paraId="083FF697" w14:textId="77777777" w:rsidR="007B3DB2" w:rsidRPr="0063248C" w:rsidRDefault="00000000">
            <w:pPr>
              <w:spacing w:line="240" w:lineRule="exact"/>
              <w:jc w:val="right"/>
              <w:rPr>
                <w:rFonts w:cs="宋体"/>
                <w:sz w:val="18"/>
                <w:szCs w:val="18"/>
              </w:rPr>
            </w:pPr>
            <w:r w:rsidRPr="0063248C">
              <w:rPr>
                <w:rFonts w:cs="宋体"/>
                <w:sz w:val="18"/>
                <w:szCs w:val="18"/>
              </w:rPr>
              <w:t>107</w:t>
            </w:r>
          </w:p>
        </w:tc>
        <w:tc>
          <w:tcPr>
            <w:tcW w:w="964" w:type="dxa"/>
            <w:tcBorders>
              <w:top w:val="single" w:sz="2" w:space="0" w:color="auto"/>
              <w:left w:val="single" w:sz="2" w:space="0" w:color="auto"/>
              <w:bottom w:val="single" w:sz="2" w:space="0" w:color="auto"/>
              <w:right w:val="single" w:sz="2" w:space="0" w:color="auto"/>
            </w:tcBorders>
            <w:vAlign w:val="center"/>
          </w:tcPr>
          <w:p w14:paraId="18E3BF12" w14:textId="77777777" w:rsidR="007B3DB2" w:rsidRPr="0063248C" w:rsidRDefault="00000000">
            <w:pPr>
              <w:spacing w:line="240" w:lineRule="exact"/>
              <w:jc w:val="right"/>
              <w:rPr>
                <w:rFonts w:cs="宋体"/>
                <w:sz w:val="18"/>
                <w:szCs w:val="18"/>
              </w:rPr>
            </w:pPr>
            <w:r w:rsidRPr="0063248C">
              <w:rPr>
                <w:rFonts w:cs="宋体"/>
                <w:sz w:val="18"/>
                <w:szCs w:val="18"/>
              </w:rPr>
              <w:t>107</w:t>
            </w:r>
          </w:p>
        </w:tc>
        <w:tc>
          <w:tcPr>
            <w:tcW w:w="964" w:type="dxa"/>
            <w:tcBorders>
              <w:top w:val="single" w:sz="2" w:space="0" w:color="auto"/>
              <w:left w:val="single" w:sz="2" w:space="0" w:color="auto"/>
              <w:bottom w:val="single" w:sz="2" w:space="0" w:color="auto"/>
              <w:right w:val="single" w:sz="2" w:space="0" w:color="auto"/>
            </w:tcBorders>
            <w:vAlign w:val="center"/>
          </w:tcPr>
          <w:p w14:paraId="7425E290" w14:textId="77777777" w:rsidR="007B3DB2" w:rsidRPr="0063248C" w:rsidRDefault="00000000">
            <w:pPr>
              <w:spacing w:line="240" w:lineRule="exact"/>
              <w:jc w:val="right"/>
              <w:rPr>
                <w:rFonts w:cs="宋体"/>
                <w:sz w:val="18"/>
                <w:szCs w:val="18"/>
              </w:rPr>
            </w:pPr>
            <w:r w:rsidRPr="0063248C">
              <w:rPr>
                <w:rFonts w:cs="宋体"/>
                <w:sz w:val="18"/>
                <w:szCs w:val="18"/>
              </w:rPr>
              <w:t>1,079,159,939</w:t>
            </w:r>
          </w:p>
        </w:tc>
        <w:tc>
          <w:tcPr>
            <w:tcW w:w="964" w:type="dxa"/>
            <w:tcBorders>
              <w:top w:val="single" w:sz="2" w:space="0" w:color="auto"/>
              <w:left w:val="single" w:sz="2" w:space="0" w:color="auto"/>
              <w:bottom w:val="single" w:sz="2" w:space="0" w:color="auto"/>
              <w:right w:val="single" w:sz="2" w:space="0" w:color="auto"/>
            </w:tcBorders>
            <w:vAlign w:val="center"/>
          </w:tcPr>
          <w:p w14:paraId="6C71A406" w14:textId="77777777" w:rsidR="007B3DB2" w:rsidRPr="0063248C" w:rsidRDefault="00000000">
            <w:pPr>
              <w:spacing w:line="240" w:lineRule="exact"/>
              <w:jc w:val="right"/>
              <w:rPr>
                <w:rFonts w:cs="宋体"/>
                <w:sz w:val="18"/>
                <w:szCs w:val="18"/>
              </w:rPr>
            </w:pPr>
            <w:r w:rsidRPr="0063248C">
              <w:rPr>
                <w:rFonts w:cs="宋体"/>
                <w:sz w:val="18"/>
                <w:szCs w:val="18"/>
              </w:rPr>
              <w:t>100.00%</w:t>
            </w:r>
          </w:p>
        </w:tc>
      </w:tr>
    </w:tbl>
    <w:p w14:paraId="62EAFDC4" w14:textId="77777777" w:rsidR="007B3DB2" w:rsidRPr="0063248C" w:rsidRDefault="00000000">
      <w:pPr>
        <w:spacing w:before="100" w:after="100" w:line="240" w:lineRule="exact"/>
        <w:rPr>
          <w:rFonts w:cs="宋体"/>
          <w:sz w:val="18"/>
          <w:szCs w:val="18"/>
        </w:rPr>
      </w:pPr>
      <w:r w:rsidRPr="0063248C">
        <w:rPr>
          <w:rFonts w:cs="宋体"/>
          <w:sz w:val="18"/>
          <w:szCs w:val="18"/>
        </w:rPr>
        <w:t>股份变动的原因</w:t>
      </w:r>
    </w:p>
    <w:p w14:paraId="6C16318D" w14:textId="77777777" w:rsidR="007B3DB2" w:rsidRPr="0063248C" w:rsidRDefault="00000000">
      <w:pPr>
        <w:spacing w:before="100" w:after="10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2A77D6E6" w14:textId="77777777" w:rsidR="00517D34" w:rsidRPr="0063248C" w:rsidRDefault="00000000" w:rsidP="006709E7">
      <w:pPr>
        <w:pStyle w:val="a3"/>
        <w:spacing w:line="276" w:lineRule="auto"/>
        <w:ind w:firstLineChars="200" w:firstLine="360"/>
        <w:jc w:val="both"/>
        <w:divId w:val="2044820748"/>
        <w:rPr>
          <w:rFonts w:ascii="Times New Roman" w:hAnsi="Times New Roman"/>
          <w:sz w:val="18"/>
          <w:szCs w:val="18"/>
        </w:rPr>
      </w:pPr>
      <w:r w:rsidRPr="0063248C">
        <w:rPr>
          <w:rFonts w:ascii="Times New Roman" w:hAnsi="Times New Roman" w:hint="eastAsia"/>
          <w:sz w:val="18"/>
          <w:szCs w:val="18"/>
        </w:rPr>
        <w:t>经中国证券监督管理委员会“证监许可</w:t>
      </w:r>
      <w:r w:rsidRPr="0063248C">
        <w:rPr>
          <w:rFonts w:ascii="Times New Roman" w:hAnsi="Times New Roman" w:hint="eastAsia"/>
          <w:sz w:val="18"/>
          <w:szCs w:val="18"/>
        </w:rPr>
        <w:t xml:space="preserve">[2020]1077 </w:t>
      </w:r>
      <w:r w:rsidRPr="0063248C">
        <w:rPr>
          <w:rFonts w:ascii="Times New Roman" w:hAnsi="Times New Roman" w:hint="eastAsia"/>
          <w:sz w:val="18"/>
          <w:szCs w:val="18"/>
        </w:rPr>
        <w:t>号”核准，公司于</w:t>
      </w:r>
      <w:r w:rsidRPr="0063248C">
        <w:rPr>
          <w:rFonts w:ascii="Times New Roman" w:hAnsi="Times New Roman" w:hint="eastAsia"/>
          <w:sz w:val="18"/>
          <w:szCs w:val="18"/>
        </w:rPr>
        <w:t xml:space="preserve"> 2020 </w:t>
      </w:r>
      <w:r w:rsidRPr="0063248C">
        <w:rPr>
          <w:rFonts w:ascii="Times New Roman" w:hAnsi="Times New Roman" w:hint="eastAsia"/>
          <w:sz w:val="18"/>
          <w:szCs w:val="18"/>
        </w:rPr>
        <w:t>年</w:t>
      </w:r>
      <w:r w:rsidRPr="0063248C">
        <w:rPr>
          <w:rFonts w:ascii="Times New Roman" w:hAnsi="Times New Roman" w:hint="eastAsia"/>
          <w:sz w:val="18"/>
          <w:szCs w:val="18"/>
        </w:rPr>
        <w:t xml:space="preserve"> 7 </w:t>
      </w:r>
      <w:r w:rsidRPr="0063248C">
        <w:rPr>
          <w:rFonts w:ascii="Times New Roman" w:hAnsi="Times New Roman" w:hint="eastAsia"/>
          <w:sz w:val="18"/>
          <w:szCs w:val="18"/>
        </w:rPr>
        <w:t>月</w:t>
      </w:r>
      <w:r w:rsidRPr="0063248C">
        <w:rPr>
          <w:rFonts w:ascii="Times New Roman" w:hAnsi="Times New Roman" w:hint="eastAsia"/>
          <w:sz w:val="18"/>
          <w:szCs w:val="18"/>
        </w:rPr>
        <w:t xml:space="preserve"> 13 </w:t>
      </w:r>
      <w:r w:rsidRPr="0063248C">
        <w:rPr>
          <w:rFonts w:ascii="Times New Roman" w:hAnsi="Times New Roman" w:hint="eastAsia"/>
          <w:sz w:val="18"/>
          <w:szCs w:val="18"/>
        </w:rPr>
        <w:t>日公开发行了</w:t>
      </w:r>
      <w:r w:rsidRPr="0063248C">
        <w:rPr>
          <w:rFonts w:ascii="Times New Roman" w:hAnsi="Times New Roman" w:hint="eastAsia"/>
          <w:sz w:val="18"/>
          <w:szCs w:val="18"/>
        </w:rPr>
        <w:t xml:space="preserve"> 950 </w:t>
      </w:r>
      <w:r w:rsidRPr="0063248C">
        <w:rPr>
          <w:rFonts w:ascii="Times New Roman" w:hAnsi="Times New Roman" w:hint="eastAsia"/>
          <w:sz w:val="18"/>
          <w:szCs w:val="18"/>
        </w:rPr>
        <w:t>万张可转换公司债</w:t>
      </w:r>
      <w:proofErr w:type="gramStart"/>
      <w:r w:rsidRPr="0063248C">
        <w:rPr>
          <w:rFonts w:ascii="Times New Roman" w:hAnsi="Times New Roman" w:hint="eastAsia"/>
          <w:sz w:val="18"/>
          <w:szCs w:val="18"/>
        </w:rPr>
        <w:t>券</w:t>
      </w:r>
      <w:proofErr w:type="gramEnd"/>
      <w:r w:rsidRPr="0063248C">
        <w:rPr>
          <w:rFonts w:ascii="Times New Roman" w:hAnsi="Times New Roman" w:hint="eastAsia"/>
          <w:sz w:val="18"/>
          <w:szCs w:val="18"/>
        </w:rPr>
        <w:t>，每张面值</w:t>
      </w:r>
      <w:r w:rsidRPr="0063248C">
        <w:rPr>
          <w:rFonts w:ascii="Times New Roman" w:hAnsi="Times New Roman" w:hint="eastAsia"/>
          <w:sz w:val="18"/>
          <w:szCs w:val="18"/>
        </w:rPr>
        <w:t xml:space="preserve"> 100 </w:t>
      </w:r>
      <w:r w:rsidRPr="0063248C">
        <w:rPr>
          <w:rFonts w:ascii="Times New Roman" w:hAnsi="Times New Roman" w:hint="eastAsia"/>
          <w:sz w:val="18"/>
          <w:szCs w:val="18"/>
        </w:rPr>
        <w:t>元，发行总额</w:t>
      </w:r>
      <w:r w:rsidRPr="0063248C">
        <w:rPr>
          <w:rFonts w:ascii="Times New Roman" w:hAnsi="Times New Roman" w:hint="eastAsia"/>
          <w:sz w:val="18"/>
          <w:szCs w:val="18"/>
        </w:rPr>
        <w:t xml:space="preserve"> 95,000.00 </w:t>
      </w:r>
      <w:r w:rsidRPr="0063248C">
        <w:rPr>
          <w:rFonts w:ascii="Times New Roman" w:hAnsi="Times New Roman" w:hint="eastAsia"/>
          <w:sz w:val="18"/>
          <w:szCs w:val="18"/>
        </w:rPr>
        <w:t>万元。并于</w:t>
      </w:r>
      <w:r w:rsidRPr="0063248C">
        <w:rPr>
          <w:rFonts w:ascii="Times New Roman" w:hAnsi="Times New Roman" w:hint="eastAsia"/>
          <w:sz w:val="18"/>
          <w:szCs w:val="18"/>
        </w:rPr>
        <w:t xml:space="preserve"> 2020 </w:t>
      </w:r>
      <w:r w:rsidRPr="0063248C">
        <w:rPr>
          <w:rFonts w:ascii="Times New Roman" w:hAnsi="Times New Roman" w:hint="eastAsia"/>
          <w:sz w:val="18"/>
          <w:szCs w:val="18"/>
        </w:rPr>
        <w:t>年</w:t>
      </w:r>
      <w:r w:rsidRPr="0063248C">
        <w:rPr>
          <w:rFonts w:ascii="Times New Roman" w:hAnsi="Times New Roman" w:hint="eastAsia"/>
          <w:sz w:val="18"/>
          <w:szCs w:val="18"/>
        </w:rPr>
        <w:t xml:space="preserve"> 8 </w:t>
      </w:r>
      <w:r w:rsidRPr="0063248C">
        <w:rPr>
          <w:rFonts w:ascii="Times New Roman" w:hAnsi="Times New Roman" w:hint="eastAsia"/>
          <w:sz w:val="18"/>
          <w:szCs w:val="18"/>
        </w:rPr>
        <w:t>月</w:t>
      </w:r>
      <w:r w:rsidRPr="0063248C">
        <w:rPr>
          <w:rFonts w:ascii="Times New Roman" w:hAnsi="Times New Roman" w:hint="eastAsia"/>
          <w:sz w:val="18"/>
          <w:szCs w:val="18"/>
        </w:rPr>
        <w:t xml:space="preserve"> 7 </w:t>
      </w:r>
      <w:r w:rsidRPr="0063248C">
        <w:rPr>
          <w:rFonts w:ascii="Times New Roman" w:hAnsi="Times New Roman" w:hint="eastAsia"/>
          <w:sz w:val="18"/>
          <w:szCs w:val="18"/>
        </w:rPr>
        <w:t>日起在深交所挂牌交易，债券简称“龙大转债”，债券代码“</w:t>
      </w:r>
      <w:r w:rsidRPr="0063248C">
        <w:rPr>
          <w:rFonts w:ascii="Times New Roman" w:hAnsi="Times New Roman" w:hint="eastAsia"/>
          <w:sz w:val="18"/>
          <w:szCs w:val="18"/>
        </w:rPr>
        <w:t>128119.SZ</w:t>
      </w:r>
      <w:r w:rsidRPr="0063248C">
        <w:rPr>
          <w:rFonts w:ascii="Times New Roman" w:hAnsi="Times New Roman" w:hint="eastAsia"/>
          <w:sz w:val="18"/>
          <w:szCs w:val="18"/>
        </w:rPr>
        <w:t>”。根据《深圳证券交易所股票上市规则》等相关规定和《山东龙大肉食品股份有限公司公开发行</w:t>
      </w:r>
      <w:r w:rsidRPr="0063248C">
        <w:rPr>
          <w:rFonts w:ascii="Times New Roman" w:hAnsi="Times New Roman" w:hint="eastAsia"/>
          <w:sz w:val="18"/>
          <w:szCs w:val="18"/>
        </w:rPr>
        <w:t xml:space="preserve"> A </w:t>
      </w:r>
      <w:r w:rsidRPr="0063248C">
        <w:rPr>
          <w:rFonts w:ascii="Times New Roman" w:hAnsi="Times New Roman" w:hint="eastAsia"/>
          <w:sz w:val="18"/>
          <w:szCs w:val="18"/>
        </w:rPr>
        <w:t>股可转换公司债券募集说明书》（以下简称“《募集说明书》”）的约定，公司本次发行的“龙大转债”自</w:t>
      </w:r>
      <w:r w:rsidRPr="0063248C">
        <w:rPr>
          <w:rFonts w:ascii="Times New Roman" w:hAnsi="Times New Roman" w:hint="eastAsia"/>
          <w:sz w:val="18"/>
          <w:szCs w:val="18"/>
        </w:rPr>
        <w:t xml:space="preserve"> 2021 </w:t>
      </w:r>
      <w:r w:rsidRPr="0063248C">
        <w:rPr>
          <w:rFonts w:ascii="Times New Roman" w:hAnsi="Times New Roman" w:hint="eastAsia"/>
          <w:sz w:val="18"/>
          <w:szCs w:val="18"/>
        </w:rPr>
        <w:t>年</w:t>
      </w:r>
      <w:r w:rsidRPr="0063248C">
        <w:rPr>
          <w:rFonts w:ascii="Times New Roman" w:hAnsi="Times New Roman" w:hint="eastAsia"/>
          <w:sz w:val="18"/>
          <w:szCs w:val="18"/>
        </w:rPr>
        <w:t xml:space="preserve"> 1</w:t>
      </w:r>
      <w:r w:rsidRPr="0063248C">
        <w:rPr>
          <w:rFonts w:ascii="Times New Roman" w:hAnsi="Times New Roman" w:hint="eastAsia"/>
          <w:sz w:val="18"/>
          <w:szCs w:val="18"/>
        </w:rPr>
        <w:t>月</w:t>
      </w:r>
      <w:r w:rsidRPr="0063248C">
        <w:rPr>
          <w:rFonts w:ascii="Times New Roman" w:hAnsi="Times New Roman" w:hint="eastAsia"/>
          <w:sz w:val="18"/>
          <w:szCs w:val="18"/>
        </w:rPr>
        <w:t xml:space="preserve"> 18 </w:t>
      </w:r>
      <w:r w:rsidRPr="0063248C">
        <w:rPr>
          <w:rFonts w:ascii="Times New Roman" w:hAnsi="Times New Roman" w:hint="eastAsia"/>
          <w:sz w:val="18"/>
          <w:szCs w:val="18"/>
        </w:rPr>
        <w:t>日起可转换为公司股份。报告期内，累计转股数量为</w:t>
      </w:r>
      <w:r w:rsidRPr="0063248C">
        <w:rPr>
          <w:rFonts w:ascii="Times New Roman" w:hAnsi="Times New Roman" w:hint="eastAsia"/>
          <w:sz w:val="18"/>
          <w:szCs w:val="18"/>
        </w:rPr>
        <w:t>107</w:t>
      </w:r>
      <w:r w:rsidRPr="0063248C">
        <w:rPr>
          <w:rFonts w:ascii="Times New Roman" w:hAnsi="Times New Roman" w:hint="eastAsia"/>
          <w:sz w:val="18"/>
          <w:szCs w:val="18"/>
        </w:rPr>
        <w:t>股。</w:t>
      </w:r>
    </w:p>
    <w:p w14:paraId="527C05F4" w14:textId="77777777" w:rsidR="007B3DB2" w:rsidRPr="0063248C" w:rsidRDefault="00000000">
      <w:pPr>
        <w:spacing w:before="100" w:after="100" w:line="240" w:lineRule="exact"/>
        <w:rPr>
          <w:rFonts w:cs="宋体"/>
          <w:sz w:val="18"/>
          <w:szCs w:val="18"/>
        </w:rPr>
      </w:pPr>
      <w:r w:rsidRPr="0063248C">
        <w:rPr>
          <w:rFonts w:cs="宋体"/>
          <w:sz w:val="18"/>
          <w:szCs w:val="18"/>
        </w:rPr>
        <w:t>股份变动的批准情况</w:t>
      </w:r>
    </w:p>
    <w:p w14:paraId="7AFD37A8"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5F4D15F3" w14:textId="77777777" w:rsidR="007B3DB2" w:rsidRPr="0063248C" w:rsidRDefault="00000000">
      <w:pPr>
        <w:spacing w:before="100" w:after="100" w:line="240" w:lineRule="exact"/>
        <w:rPr>
          <w:rFonts w:cs="宋体"/>
          <w:sz w:val="18"/>
          <w:szCs w:val="18"/>
        </w:rPr>
      </w:pPr>
      <w:r w:rsidRPr="0063248C">
        <w:rPr>
          <w:rFonts w:cs="宋体"/>
          <w:sz w:val="18"/>
          <w:szCs w:val="18"/>
        </w:rPr>
        <w:t>股份变动的过户情况</w:t>
      </w:r>
    </w:p>
    <w:p w14:paraId="2B4FF71A" w14:textId="77777777" w:rsidR="007B3DB2" w:rsidRPr="0063248C" w:rsidRDefault="00000000">
      <w:pPr>
        <w:spacing w:before="100" w:after="10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35C76288" w14:textId="77777777" w:rsidR="00517D34" w:rsidRPr="0063248C" w:rsidRDefault="00000000">
      <w:pPr>
        <w:pStyle w:val="a3"/>
        <w:divId w:val="1917402434"/>
        <w:rPr>
          <w:rFonts w:ascii="Times New Roman" w:hAnsi="Times New Roman"/>
          <w:sz w:val="18"/>
          <w:szCs w:val="18"/>
        </w:rPr>
      </w:pPr>
      <w:r w:rsidRPr="0063248C">
        <w:rPr>
          <w:rFonts w:ascii="Times New Roman" w:hAnsi="Times New Roman" w:hint="eastAsia"/>
          <w:sz w:val="18"/>
          <w:szCs w:val="18"/>
        </w:rPr>
        <w:t>上述股份变动情况均已在中国证券登记结算有限责任公司深圳分公司完成登记。</w:t>
      </w:r>
    </w:p>
    <w:p w14:paraId="3D1BDD30" w14:textId="77777777" w:rsidR="007B3DB2" w:rsidRPr="0063248C" w:rsidRDefault="00000000">
      <w:pPr>
        <w:spacing w:before="100" w:after="100" w:line="240" w:lineRule="exact"/>
        <w:rPr>
          <w:rFonts w:cs="宋体"/>
          <w:sz w:val="18"/>
          <w:szCs w:val="18"/>
        </w:rPr>
      </w:pPr>
      <w:r w:rsidRPr="0063248C">
        <w:rPr>
          <w:rFonts w:cs="宋体"/>
          <w:sz w:val="18"/>
          <w:szCs w:val="18"/>
        </w:rPr>
        <w:t>股份回购的实施进展情况</w:t>
      </w:r>
    </w:p>
    <w:p w14:paraId="710155D9" w14:textId="77777777" w:rsidR="007B3DB2" w:rsidRPr="0063248C" w:rsidRDefault="00000000">
      <w:pPr>
        <w:spacing w:before="100" w:after="10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5B4756BF" w14:textId="3D6C603B" w:rsidR="00517D34" w:rsidRPr="0063248C" w:rsidRDefault="00000000" w:rsidP="006709E7">
      <w:pPr>
        <w:pStyle w:val="a3"/>
        <w:spacing w:line="276" w:lineRule="auto"/>
        <w:ind w:firstLineChars="200" w:firstLine="360"/>
        <w:jc w:val="both"/>
        <w:divId w:val="707878174"/>
        <w:rPr>
          <w:rFonts w:ascii="Times New Roman" w:hAnsi="Times New Roman"/>
          <w:sz w:val="18"/>
          <w:szCs w:val="18"/>
        </w:rPr>
      </w:pPr>
      <w:r w:rsidRPr="0063248C">
        <w:rPr>
          <w:rFonts w:ascii="Times New Roman" w:hAnsi="Times New Roman" w:hint="eastAsia"/>
          <w:sz w:val="18"/>
          <w:szCs w:val="18"/>
        </w:rPr>
        <w:t>公司于</w:t>
      </w:r>
      <w:r w:rsidRPr="0063248C">
        <w:rPr>
          <w:rFonts w:ascii="Times New Roman" w:hAnsi="Times New Roman" w:cs="Times New Roman"/>
          <w:sz w:val="18"/>
          <w:szCs w:val="18"/>
        </w:rPr>
        <w:t>2022</w:t>
      </w:r>
      <w:r w:rsidRPr="0063248C">
        <w:rPr>
          <w:rFonts w:ascii="Times New Roman" w:hAnsi="Times New Roman" w:hint="eastAsia"/>
          <w:sz w:val="18"/>
          <w:szCs w:val="18"/>
        </w:rPr>
        <w:t>年</w:t>
      </w:r>
      <w:r w:rsidRPr="0063248C">
        <w:rPr>
          <w:rFonts w:ascii="Times New Roman" w:hAnsi="Times New Roman" w:cs="Times New Roman"/>
          <w:sz w:val="18"/>
          <w:szCs w:val="18"/>
        </w:rPr>
        <w:t>11</w:t>
      </w:r>
      <w:r w:rsidRPr="0063248C">
        <w:rPr>
          <w:rFonts w:ascii="Times New Roman" w:hAnsi="Times New Roman" w:hint="eastAsia"/>
          <w:sz w:val="18"/>
          <w:szCs w:val="18"/>
        </w:rPr>
        <w:t>月</w:t>
      </w:r>
      <w:r w:rsidRPr="0063248C">
        <w:rPr>
          <w:rFonts w:ascii="Times New Roman" w:hAnsi="Times New Roman" w:cs="Times New Roman"/>
          <w:sz w:val="18"/>
          <w:szCs w:val="18"/>
        </w:rPr>
        <w:t>14</w:t>
      </w:r>
      <w:r w:rsidRPr="0063248C">
        <w:rPr>
          <w:rFonts w:ascii="Times New Roman" w:hAnsi="Times New Roman" w:hint="eastAsia"/>
          <w:sz w:val="18"/>
          <w:szCs w:val="18"/>
        </w:rPr>
        <w:t>日召开第五届董事会第八次会议审议通过了《关于公司以集中竞价方式回购股份方案的议案》，同意使用自有资金以集中竞价交易方式回购公司部分已发行的人民币普通股（</w:t>
      </w:r>
      <w:r w:rsidRPr="0063248C">
        <w:rPr>
          <w:rFonts w:ascii="Times New Roman" w:hAnsi="Times New Roman" w:cs="Times New Roman"/>
          <w:sz w:val="18"/>
          <w:szCs w:val="18"/>
        </w:rPr>
        <w:t>A</w:t>
      </w:r>
      <w:r w:rsidRPr="0063248C">
        <w:rPr>
          <w:rFonts w:ascii="Times New Roman" w:hAnsi="Times New Roman" w:hint="eastAsia"/>
          <w:sz w:val="18"/>
          <w:szCs w:val="18"/>
        </w:rPr>
        <w:t>股）股份，作为后期实施员工持股计划或股权激励计划的股份来源。本次回购资金总额不低于人民币</w:t>
      </w:r>
      <w:r w:rsidRPr="0063248C">
        <w:rPr>
          <w:rFonts w:ascii="Times New Roman" w:hAnsi="Times New Roman" w:cs="Times New Roman"/>
          <w:sz w:val="18"/>
          <w:szCs w:val="18"/>
        </w:rPr>
        <w:t>30,000</w:t>
      </w:r>
      <w:r w:rsidRPr="0063248C">
        <w:rPr>
          <w:rFonts w:ascii="Times New Roman" w:hAnsi="Times New Roman" w:hint="eastAsia"/>
          <w:sz w:val="18"/>
          <w:szCs w:val="18"/>
        </w:rPr>
        <w:t>万元（含本数），且不超过人民币</w:t>
      </w:r>
      <w:r w:rsidRPr="0063248C">
        <w:rPr>
          <w:rFonts w:ascii="Times New Roman" w:hAnsi="Times New Roman" w:cs="Times New Roman"/>
          <w:sz w:val="18"/>
          <w:szCs w:val="18"/>
        </w:rPr>
        <w:t>50,000</w:t>
      </w:r>
      <w:r w:rsidRPr="0063248C">
        <w:rPr>
          <w:rFonts w:ascii="Times New Roman" w:hAnsi="Times New Roman" w:hint="eastAsia"/>
          <w:sz w:val="18"/>
          <w:szCs w:val="18"/>
        </w:rPr>
        <w:t>万元（含本数），回购价格不超过</w:t>
      </w:r>
      <w:r w:rsidRPr="0063248C">
        <w:rPr>
          <w:rFonts w:ascii="Times New Roman" w:hAnsi="Times New Roman" w:cs="Times New Roman"/>
          <w:sz w:val="18"/>
          <w:szCs w:val="18"/>
        </w:rPr>
        <w:t>14.41</w:t>
      </w:r>
      <w:r w:rsidRPr="0063248C">
        <w:rPr>
          <w:rFonts w:ascii="Times New Roman" w:hAnsi="Times New Roman" w:hint="eastAsia"/>
          <w:sz w:val="18"/>
          <w:szCs w:val="18"/>
        </w:rPr>
        <w:t>元</w:t>
      </w:r>
      <w:r w:rsidRPr="0063248C">
        <w:rPr>
          <w:rFonts w:ascii="Times New Roman" w:hAnsi="Times New Roman" w:cs="Times New Roman"/>
          <w:sz w:val="18"/>
          <w:szCs w:val="18"/>
        </w:rPr>
        <w:t>/</w:t>
      </w:r>
      <w:r w:rsidRPr="0063248C">
        <w:rPr>
          <w:rFonts w:ascii="Times New Roman" w:hAnsi="Times New Roman" w:hint="eastAsia"/>
          <w:sz w:val="18"/>
          <w:szCs w:val="18"/>
        </w:rPr>
        <w:t>股（含本数），回购股份期限为自公司董事会审议通过本次回购股</w:t>
      </w:r>
      <w:proofErr w:type="gramStart"/>
      <w:r w:rsidRPr="0063248C">
        <w:rPr>
          <w:rFonts w:ascii="Times New Roman" w:hAnsi="Times New Roman" w:hint="eastAsia"/>
          <w:sz w:val="18"/>
          <w:szCs w:val="18"/>
        </w:rPr>
        <w:t>份方案</w:t>
      </w:r>
      <w:proofErr w:type="gramEnd"/>
      <w:r w:rsidRPr="0063248C">
        <w:rPr>
          <w:rFonts w:ascii="Times New Roman" w:hAnsi="Times New Roman" w:hint="eastAsia"/>
          <w:sz w:val="18"/>
          <w:szCs w:val="18"/>
        </w:rPr>
        <w:t>之日起</w:t>
      </w:r>
      <w:r w:rsidRPr="0063248C">
        <w:rPr>
          <w:rFonts w:ascii="Times New Roman" w:hAnsi="Times New Roman" w:cs="Times New Roman"/>
          <w:sz w:val="18"/>
          <w:szCs w:val="18"/>
        </w:rPr>
        <w:t>12</w:t>
      </w:r>
      <w:r w:rsidRPr="0063248C">
        <w:rPr>
          <w:rFonts w:ascii="Times New Roman" w:hAnsi="Times New Roman" w:hint="eastAsia"/>
          <w:sz w:val="18"/>
          <w:szCs w:val="18"/>
        </w:rPr>
        <w:t>个月内。</w:t>
      </w:r>
      <w:r w:rsidRPr="0063248C">
        <w:rPr>
          <w:rFonts w:ascii="Times New Roman" w:hAnsi="Times New Roman" w:hint="eastAsia"/>
          <w:sz w:val="18"/>
          <w:szCs w:val="18"/>
        </w:rPr>
        <w:t xml:space="preserve"> </w:t>
      </w:r>
      <w:r w:rsidRPr="0063248C">
        <w:rPr>
          <w:rFonts w:ascii="Times New Roman" w:hAnsi="Times New Roman" w:hint="eastAsia"/>
          <w:sz w:val="18"/>
          <w:szCs w:val="18"/>
        </w:rPr>
        <w:t>截止</w:t>
      </w:r>
      <w:r w:rsidRPr="0063248C">
        <w:rPr>
          <w:rFonts w:ascii="Times New Roman" w:hAnsi="Times New Roman" w:cs="Times New Roman"/>
          <w:sz w:val="18"/>
          <w:szCs w:val="18"/>
        </w:rPr>
        <w:t>2023</w:t>
      </w:r>
      <w:r w:rsidRPr="0063248C">
        <w:rPr>
          <w:rFonts w:ascii="Times New Roman" w:hAnsi="Times New Roman" w:hint="eastAsia"/>
          <w:sz w:val="18"/>
          <w:szCs w:val="18"/>
        </w:rPr>
        <w:t>年</w:t>
      </w:r>
      <w:r w:rsidRPr="0063248C">
        <w:rPr>
          <w:rFonts w:ascii="Times New Roman" w:hAnsi="Times New Roman" w:cs="Times New Roman"/>
          <w:sz w:val="18"/>
          <w:szCs w:val="18"/>
        </w:rPr>
        <w:t>11</w:t>
      </w:r>
      <w:r w:rsidRPr="0063248C">
        <w:rPr>
          <w:rFonts w:ascii="Times New Roman" w:hAnsi="Times New Roman" w:hint="eastAsia"/>
          <w:sz w:val="18"/>
          <w:szCs w:val="18"/>
        </w:rPr>
        <w:t>月</w:t>
      </w:r>
      <w:r w:rsidRPr="0063248C">
        <w:rPr>
          <w:rFonts w:ascii="Times New Roman" w:hAnsi="Times New Roman" w:cs="Times New Roman"/>
          <w:sz w:val="18"/>
          <w:szCs w:val="18"/>
        </w:rPr>
        <w:t>13</w:t>
      </w:r>
      <w:r w:rsidRPr="0063248C">
        <w:rPr>
          <w:rFonts w:ascii="Times New Roman" w:hAnsi="Times New Roman" w:hint="eastAsia"/>
          <w:sz w:val="18"/>
          <w:szCs w:val="18"/>
        </w:rPr>
        <w:t>日，公司回购股份期限届满，回购股</w:t>
      </w:r>
      <w:proofErr w:type="gramStart"/>
      <w:r w:rsidRPr="0063248C">
        <w:rPr>
          <w:rFonts w:ascii="Times New Roman" w:hAnsi="Times New Roman" w:hint="eastAsia"/>
          <w:sz w:val="18"/>
          <w:szCs w:val="18"/>
        </w:rPr>
        <w:t>份方案</w:t>
      </w:r>
      <w:proofErr w:type="gramEnd"/>
      <w:r w:rsidRPr="0063248C">
        <w:rPr>
          <w:rFonts w:ascii="Times New Roman" w:hAnsi="Times New Roman" w:hint="eastAsia"/>
          <w:sz w:val="18"/>
          <w:szCs w:val="18"/>
        </w:rPr>
        <w:t>已实施完毕。回购期间，公司通过股份回购专用证券账户以集中竞价方式累计回购股份</w:t>
      </w:r>
      <w:r w:rsidRPr="0063248C">
        <w:rPr>
          <w:rFonts w:ascii="Times New Roman" w:hAnsi="Times New Roman" w:hint="eastAsia"/>
          <w:sz w:val="18"/>
          <w:szCs w:val="18"/>
        </w:rPr>
        <w:t>41,417,183</w:t>
      </w:r>
      <w:r w:rsidRPr="0063248C">
        <w:rPr>
          <w:rFonts w:ascii="Times New Roman" w:hAnsi="Times New Roman" w:hint="eastAsia"/>
          <w:sz w:val="18"/>
          <w:szCs w:val="18"/>
        </w:rPr>
        <w:t>股，成交总金额为人民币</w:t>
      </w:r>
      <w:r w:rsidRPr="0063248C">
        <w:rPr>
          <w:rFonts w:ascii="Times New Roman" w:hAnsi="Times New Roman" w:hint="eastAsia"/>
          <w:sz w:val="18"/>
          <w:szCs w:val="18"/>
        </w:rPr>
        <w:t>329,965,242.80</w:t>
      </w:r>
      <w:r w:rsidRPr="0063248C">
        <w:rPr>
          <w:rFonts w:ascii="Times New Roman" w:hAnsi="Times New Roman" w:hint="eastAsia"/>
          <w:sz w:val="18"/>
          <w:szCs w:val="18"/>
        </w:rPr>
        <w:t>元（不含交易费用），最高成交价为人民币</w:t>
      </w:r>
      <w:r w:rsidRPr="0063248C">
        <w:rPr>
          <w:rFonts w:ascii="Times New Roman" w:hAnsi="Times New Roman" w:hint="eastAsia"/>
          <w:sz w:val="18"/>
          <w:szCs w:val="18"/>
        </w:rPr>
        <w:t>9.47</w:t>
      </w:r>
      <w:r w:rsidRPr="0063248C">
        <w:rPr>
          <w:rFonts w:ascii="Times New Roman" w:hAnsi="Times New Roman" w:hint="eastAsia"/>
          <w:sz w:val="18"/>
          <w:szCs w:val="18"/>
        </w:rPr>
        <w:t>元</w:t>
      </w:r>
      <w:r w:rsidRPr="0063248C">
        <w:rPr>
          <w:rFonts w:ascii="Times New Roman" w:hAnsi="Times New Roman" w:hint="eastAsia"/>
          <w:sz w:val="18"/>
          <w:szCs w:val="18"/>
        </w:rPr>
        <w:t>/</w:t>
      </w:r>
      <w:r w:rsidRPr="0063248C">
        <w:rPr>
          <w:rFonts w:ascii="Times New Roman" w:hAnsi="Times New Roman" w:hint="eastAsia"/>
          <w:sz w:val="18"/>
          <w:szCs w:val="18"/>
        </w:rPr>
        <w:t>股，最低成交价为人民币</w:t>
      </w:r>
      <w:r w:rsidRPr="0063248C">
        <w:rPr>
          <w:rFonts w:ascii="Times New Roman" w:hAnsi="Times New Roman" w:hint="eastAsia"/>
          <w:sz w:val="18"/>
          <w:szCs w:val="18"/>
        </w:rPr>
        <w:t>7.19</w:t>
      </w:r>
      <w:r w:rsidRPr="0063248C">
        <w:rPr>
          <w:rFonts w:ascii="Times New Roman" w:hAnsi="Times New Roman" w:hint="eastAsia"/>
          <w:sz w:val="18"/>
          <w:szCs w:val="18"/>
        </w:rPr>
        <w:t>元</w:t>
      </w:r>
      <w:r w:rsidRPr="0063248C">
        <w:rPr>
          <w:rFonts w:ascii="Times New Roman" w:hAnsi="Times New Roman" w:hint="eastAsia"/>
          <w:sz w:val="18"/>
          <w:szCs w:val="18"/>
        </w:rPr>
        <w:t>/</w:t>
      </w:r>
      <w:r w:rsidRPr="0063248C">
        <w:rPr>
          <w:rFonts w:ascii="Times New Roman" w:hAnsi="Times New Roman" w:hint="eastAsia"/>
          <w:sz w:val="18"/>
          <w:szCs w:val="18"/>
        </w:rPr>
        <w:t>股。</w:t>
      </w:r>
    </w:p>
    <w:p w14:paraId="5AD7D366" w14:textId="77777777" w:rsidR="007B3DB2" w:rsidRPr="0063248C" w:rsidRDefault="00000000">
      <w:pPr>
        <w:spacing w:before="100" w:after="100" w:line="240" w:lineRule="exact"/>
        <w:rPr>
          <w:rFonts w:cs="宋体"/>
          <w:sz w:val="18"/>
          <w:szCs w:val="18"/>
        </w:rPr>
      </w:pPr>
      <w:r w:rsidRPr="0063248C">
        <w:rPr>
          <w:rFonts w:cs="宋体"/>
          <w:sz w:val="18"/>
          <w:szCs w:val="18"/>
        </w:rPr>
        <w:t>采用集中竞价方式减持回购股份的实施进展情况</w:t>
      </w:r>
    </w:p>
    <w:p w14:paraId="24D5CD1E"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392AC24E" w14:textId="77777777" w:rsidR="007B3DB2" w:rsidRPr="0063248C" w:rsidRDefault="00000000">
      <w:pPr>
        <w:spacing w:before="100" w:after="100" w:line="240" w:lineRule="exact"/>
        <w:rPr>
          <w:rFonts w:cs="宋体"/>
          <w:sz w:val="18"/>
          <w:szCs w:val="18"/>
        </w:rPr>
      </w:pPr>
      <w:r w:rsidRPr="0063248C">
        <w:rPr>
          <w:rFonts w:cs="宋体"/>
          <w:sz w:val="18"/>
          <w:szCs w:val="18"/>
        </w:rPr>
        <w:t>股份变动对最近一年和最近一期基本每股收益和稀释每股收益、归属于公司普通股股东的每股净资产等财务指标的影响</w:t>
      </w:r>
    </w:p>
    <w:p w14:paraId="386CEBF9"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5A58DCB" w14:textId="77777777" w:rsidR="007B3DB2" w:rsidRPr="0063248C" w:rsidRDefault="00000000">
      <w:pPr>
        <w:spacing w:before="100" w:after="100" w:line="240" w:lineRule="exact"/>
        <w:rPr>
          <w:rFonts w:cs="宋体"/>
          <w:sz w:val="18"/>
          <w:szCs w:val="18"/>
        </w:rPr>
      </w:pPr>
      <w:r w:rsidRPr="0063248C">
        <w:rPr>
          <w:rFonts w:cs="宋体"/>
          <w:sz w:val="18"/>
          <w:szCs w:val="18"/>
        </w:rPr>
        <w:t>公司认为必要或证券监管机构要求披露的其他内容</w:t>
      </w:r>
    </w:p>
    <w:p w14:paraId="7B3D7285"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F5F46FB" w14:textId="77777777" w:rsidR="007B3DB2" w:rsidRPr="0063248C" w:rsidRDefault="00000000">
      <w:pPr>
        <w:pStyle w:val="3"/>
        <w:spacing w:line="280" w:lineRule="exact"/>
        <w:jc w:val="left"/>
        <w:rPr>
          <w:rFonts w:cs="宋体"/>
          <w:b/>
          <w:bCs/>
        </w:rPr>
      </w:pPr>
      <w:bookmarkStart w:id="83" w:name="_Toc988972"/>
      <w:r w:rsidRPr="0063248C">
        <w:rPr>
          <w:rFonts w:cs="宋体"/>
          <w:b/>
          <w:bCs/>
        </w:rPr>
        <w:t>2</w:t>
      </w:r>
      <w:r w:rsidRPr="0063248C">
        <w:rPr>
          <w:rFonts w:cs="宋体"/>
          <w:b/>
          <w:bCs/>
        </w:rPr>
        <w:t>、限售股份变动情况</w:t>
      </w:r>
      <w:bookmarkEnd w:id="83"/>
    </w:p>
    <w:p w14:paraId="05331654"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3EC53D5" w14:textId="77777777" w:rsidR="007B3DB2" w:rsidRPr="0063248C" w:rsidRDefault="00000000">
      <w:pPr>
        <w:pStyle w:val="2"/>
        <w:spacing w:before="300" w:after="300" w:line="320" w:lineRule="exact"/>
        <w:rPr>
          <w:rFonts w:cs="宋体"/>
          <w:b/>
          <w:bCs/>
          <w:sz w:val="24"/>
          <w:szCs w:val="24"/>
        </w:rPr>
      </w:pPr>
      <w:bookmarkStart w:id="84" w:name="_Toc988973"/>
      <w:r w:rsidRPr="0063248C">
        <w:rPr>
          <w:rFonts w:cs="宋体"/>
          <w:b/>
          <w:bCs/>
          <w:sz w:val="24"/>
          <w:szCs w:val="24"/>
        </w:rPr>
        <w:t>二、证券发行与上市情况</w:t>
      </w:r>
      <w:bookmarkEnd w:id="84"/>
    </w:p>
    <w:p w14:paraId="6C58D882"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776F408" w14:textId="77777777" w:rsidR="007B3DB2" w:rsidRPr="0063248C" w:rsidRDefault="00000000">
      <w:pPr>
        <w:pStyle w:val="2"/>
        <w:spacing w:before="300" w:after="300" w:line="320" w:lineRule="exact"/>
        <w:rPr>
          <w:rFonts w:cs="宋体"/>
          <w:b/>
          <w:bCs/>
          <w:sz w:val="24"/>
          <w:szCs w:val="24"/>
        </w:rPr>
      </w:pPr>
      <w:bookmarkStart w:id="85" w:name="_Toc988974"/>
      <w:r w:rsidRPr="0063248C">
        <w:rPr>
          <w:rFonts w:cs="宋体"/>
          <w:b/>
          <w:bCs/>
          <w:sz w:val="24"/>
          <w:szCs w:val="24"/>
        </w:rPr>
        <w:lastRenderedPageBreak/>
        <w:t>三、公司股东数量及持股情况</w:t>
      </w:r>
      <w:bookmarkEnd w:id="85"/>
    </w:p>
    <w:p w14:paraId="197C93AD"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182"/>
        <w:gridCol w:w="1134"/>
        <w:gridCol w:w="850"/>
        <w:gridCol w:w="1134"/>
        <w:gridCol w:w="992"/>
        <w:gridCol w:w="1134"/>
      </w:tblGrid>
      <w:tr w:rsidR="007B3DB2" w:rsidRPr="0063248C" w14:paraId="6D6C7221" w14:textId="77777777" w:rsidTr="00ED579E">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B3A133C" w14:textId="77777777" w:rsidR="007B3DB2" w:rsidRPr="0063248C" w:rsidRDefault="00000000">
            <w:pPr>
              <w:spacing w:before="40" w:after="40" w:line="240" w:lineRule="exact"/>
              <w:rPr>
                <w:rFonts w:cs="宋体"/>
                <w:sz w:val="18"/>
                <w:szCs w:val="18"/>
              </w:rPr>
            </w:pPr>
            <w:r w:rsidRPr="0063248C">
              <w:rPr>
                <w:rFonts w:cs="宋体"/>
                <w:sz w:val="18"/>
                <w:szCs w:val="18"/>
              </w:rPr>
              <w:t>报告期末普通股股东总数</w:t>
            </w:r>
          </w:p>
        </w:tc>
        <w:tc>
          <w:tcPr>
            <w:tcW w:w="2253" w:type="dxa"/>
            <w:gridSpan w:val="2"/>
            <w:tcBorders>
              <w:top w:val="single" w:sz="2" w:space="0" w:color="auto"/>
              <w:left w:val="single" w:sz="2" w:space="0" w:color="auto"/>
              <w:bottom w:val="single" w:sz="2" w:space="0" w:color="auto"/>
              <w:right w:val="single" w:sz="2" w:space="0" w:color="auto"/>
            </w:tcBorders>
            <w:vAlign w:val="center"/>
          </w:tcPr>
          <w:p w14:paraId="5E00D843" w14:textId="77777777" w:rsidR="007B3DB2" w:rsidRPr="0063248C" w:rsidRDefault="00000000">
            <w:pPr>
              <w:spacing w:line="240" w:lineRule="exact"/>
              <w:jc w:val="right"/>
              <w:rPr>
                <w:rFonts w:cs="宋体"/>
                <w:sz w:val="18"/>
                <w:szCs w:val="18"/>
              </w:rPr>
            </w:pPr>
            <w:r w:rsidRPr="0063248C">
              <w:rPr>
                <w:rFonts w:cs="宋体"/>
                <w:sz w:val="18"/>
                <w:szCs w:val="18"/>
              </w:rPr>
              <w:t>29,087</w:t>
            </w:r>
          </w:p>
        </w:tc>
        <w:tc>
          <w:tcPr>
            <w:tcW w:w="311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17558A8" w14:textId="77777777" w:rsidR="007B3DB2" w:rsidRPr="0063248C" w:rsidRDefault="00000000">
            <w:pPr>
              <w:spacing w:before="40" w:after="40" w:line="240" w:lineRule="exact"/>
              <w:rPr>
                <w:rFonts w:cs="宋体"/>
                <w:sz w:val="18"/>
                <w:szCs w:val="18"/>
              </w:rPr>
            </w:pPr>
            <w:r w:rsidRPr="0063248C">
              <w:rPr>
                <w:rFonts w:cs="宋体"/>
                <w:sz w:val="18"/>
                <w:szCs w:val="18"/>
              </w:rPr>
              <w:t>报告期末表决权恢复的优先股股东总数（如有）（参见注</w:t>
            </w:r>
            <w:r w:rsidRPr="0063248C">
              <w:rPr>
                <w:rFonts w:cs="宋体"/>
                <w:sz w:val="18"/>
                <w:szCs w:val="18"/>
              </w:rPr>
              <w:t>8</w:t>
            </w:r>
            <w:r w:rsidRPr="0063248C">
              <w:rPr>
                <w:rFonts w:cs="宋体"/>
                <w:sz w:val="18"/>
                <w:szCs w:val="18"/>
              </w:rPr>
              <w:t>）</w:t>
            </w: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6DD70875"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1E7947BA" w14:textId="77777777">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74633F1E" w14:textId="77777777" w:rsidR="007B3DB2" w:rsidRPr="0063248C" w:rsidRDefault="00000000">
            <w:pPr>
              <w:spacing w:before="40" w:after="40" w:line="240" w:lineRule="exact"/>
              <w:jc w:val="center"/>
              <w:rPr>
                <w:rFonts w:cs="宋体"/>
                <w:sz w:val="18"/>
                <w:szCs w:val="18"/>
              </w:rPr>
            </w:pPr>
            <w:r w:rsidRPr="0063248C">
              <w:rPr>
                <w:rFonts w:cs="宋体"/>
                <w:sz w:val="18"/>
                <w:szCs w:val="18"/>
              </w:rPr>
              <w:t>持股</w:t>
            </w:r>
            <w:r w:rsidRPr="0063248C">
              <w:rPr>
                <w:rFonts w:cs="宋体"/>
                <w:sz w:val="18"/>
                <w:szCs w:val="18"/>
              </w:rPr>
              <w:t>5%</w:t>
            </w:r>
            <w:r w:rsidRPr="0063248C">
              <w:rPr>
                <w:rFonts w:cs="宋体"/>
                <w:sz w:val="18"/>
                <w:szCs w:val="18"/>
              </w:rPr>
              <w:t>以上的普通股股东或前</w:t>
            </w:r>
            <w:r w:rsidRPr="0063248C">
              <w:rPr>
                <w:rFonts w:cs="宋体"/>
                <w:sz w:val="18"/>
                <w:szCs w:val="18"/>
              </w:rPr>
              <w:t>10</w:t>
            </w:r>
            <w:r w:rsidRPr="0063248C">
              <w:rPr>
                <w:rFonts w:cs="宋体"/>
                <w:sz w:val="18"/>
                <w:szCs w:val="18"/>
              </w:rPr>
              <w:t>名普通股股东持股情况（不含通过转融通出借股份）</w:t>
            </w:r>
          </w:p>
        </w:tc>
      </w:tr>
      <w:tr w:rsidR="007B3DB2" w:rsidRPr="0063248C" w14:paraId="3713F67E" w14:textId="77777777" w:rsidTr="00ED579E">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DC17EB7" w14:textId="77777777" w:rsidR="007B3DB2" w:rsidRPr="0063248C" w:rsidRDefault="00000000">
            <w:pPr>
              <w:spacing w:before="40" w:after="40" w:line="240" w:lineRule="exact"/>
              <w:jc w:val="center"/>
              <w:rPr>
                <w:rFonts w:cs="宋体"/>
                <w:sz w:val="18"/>
                <w:szCs w:val="18"/>
              </w:rPr>
            </w:pPr>
            <w:r w:rsidRPr="0063248C">
              <w:rPr>
                <w:rFonts w:cs="宋体"/>
                <w:sz w:val="18"/>
                <w:szCs w:val="18"/>
              </w:rPr>
              <w:t>股东名称</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3270BA4" w14:textId="77777777" w:rsidR="007B3DB2" w:rsidRPr="0063248C" w:rsidRDefault="00000000">
            <w:pPr>
              <w:spacing w:before="40" w:after="40" w:line="240" w:lineRule="exact"/>
              <w:jc w:val="center"/>
              <w:rPr>
                <w:rFonts w:cs="宋体"/>
                <w:sz w:val="18"/>
                <w:szCs w:val="18"/>
              </w:rPr>
            </w:pPr>
            <w:r w:rsidRPr="0063248C">
              <w:rPr>
                <w:rFonts w:cs="宋体"/>
                <w:sz w:val="18"/>
                <w:szCs w:val="18"/>
              </w:rPr>
              <w:t>股东性质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BF698A0" w14:textId="77777777" w:rsidR="007B3DB2" w:rsidRPr="0063248C" w:rsidRDefault="00000000">
            <w:pPr>
              <w:spacing w:before="40" w:after="40" w:line="240" w:lineRule="exact"/>
              <w:jc w:val="center"/>
              <w:rPr>
                <w:rFonts w:cs="宋体"/>
                <w:sz w:val="18"/>
                <w:szCs w:val="18"/>
              </w:rPr>
            </w:pPr>
            <w:r w:rsidRPr="0063248C">
              <w:rPr>
                <w:rFonts w:cs="宋体"/>
                <w:sz w:val="18"/>
                <w:szCs w:val="18"/>
              </w:rPr>
              <w:t>持股比例</w:t>
            </w:r>
          </w:p>
        </w:tc>
        <w:tc>
          <w:tcPr>
            <w:tcW w:w="118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E4A0A50" w14:textId="77777777" w:rsidR="007B3DB2" w:rsidRPr="0063248C" w:rsidRDefault="00000000">
            <w:pPr>
              <w:spacing w:before="40" w:after="40" w:line="240" w:lineRule="exact"/>
              <w:jc w:val="center"/>
              <w:rPr>
                <w:rFonts w:cs="宋体"/>
                <w:sz w:val="18"/>
                <w:szCs w:val="18"/>
              </w:rPr>
            </w:pPr>
            <w:r w:rsidRPr="0063248C">
              <w:rPr>
                <w:rFonts w:cs="宋体"/>
                <w:sz w:val="18"/>
                <w:szCs w:val="18"/>
              </w:rPr>
              <w:t>报告期末持有的普通股数量</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97A973F" w14:textId="77777777" w:rsidR="007B3DB2" w:rsidRPr="0063248C" w:rsidRDefault="00000000">
            <w:pPr>
              <w:spacing w:before="40" w:after="40" w:line="240" w:lineRule="exact"/>
              <w:jc w:val="center"/>
              <w:rPr>
                <w:rFonts w:cs="宋体"/>
                <w:sz w:val="18"/>
                <w:szCs w:val="18"/>
              </w:rPr>
            </w:pPr>
            <w:r w:rsidRPr="0063248C">
              <w:rPr>
                <w:rFonts w:cs="宋体"/>
                <w:sz w:val="18"/>
                <w:szCs w:val="18"/>
              </w:rPr>
              <w:t>报告期内增减变动情况</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093336" w14:textId="77777777" w:rsidR="007B3DB2" w:rsidRPr="0063248C" w:rsidRDefault="00000000">
            <w:pPr>
              <w:spacing w:before="40" w:after="40" w:line="240" w:lineRule="exact"/>
              <w:jc w:val="center"/>
              <w:rPr>
                <w:rFonts w:cs="宋体"/>
                <w:sz w:val="18"/>
                <w:szCs w:val="18"/>
              </w:rPr>
            </w:pPr>
            <w:r w:rsidRPr="0063248C">
              <w:rPr>
                <w:rFonts w:cs="宋体"/>
                <w:sz w:val="18"/>
                <w:szCs w:val="18"/>
              </w:rPr>
              <w:t>持有有限</w:t>
            </w:r>
            <w:proofErr w:type="gramStart"/>
            <w:r w:rsidRPr="0063248C">
              <w:rPr>
                <w:rFonts w:cs="宋体"/>
                <w:sz w:val="18"/>
                <w:szCs w:val="18"/>
              </w:rPr>
              <w:t>售条件</w:t>
            </w:r>
            <w:proofErr w:type="gramEnd"/>
            <w:r w:rsidRPr="0063248C">
              <w:rPr>
                <w:rFonts w:cs="宋体"/>
                <w:sz w:val="18"/>
                <w:szCs w:val="18"/>
              </w:rPr>
              <w:t>的普通股数量</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FE8B0A" w14:textId="77777777" w:rsidR="007B3DB2" w:rsidRPr="0063248C" w:rsidRDefault="00000000">
            <w:pPr>
              <w:spacing w:before="40" w:after="40" w:line="240" w:lineRule="exact"/>
              <w:jc w:val="center"/>
              <w:rPr>
                <w:rFonts w:cs="宋体"/>
                <w:sz w:val="18"/>
                <w:szCs w:val="18"/>
              </w:rPr>
            </w:pPr>
            <w:r w:rsidRPr="0063248C">
              <w:rPr>
                <w:rFonts w:cs="宋体"/>
                <w:sz w:val="18"/>
                <w:szCs w:val="18"/>
              </w:rPr>
              <w:t>持有无限</w:t>
            </w:r>
            <w:proofErr w:type="gramStart"/>
            <w:r w:rsidRPr="0063248C">
              <w:rPr>
                <w:rFonts w:cs="宋体"/>
                <w:sz w:val="18"/>
                <w:szCs w:val="18"/>
              </w:rPr>
              <w:t>售条件</w:t>
            </w:r>
            <w:proofErr w:type="gramEnd"/>
            <w:r w:rsidRPr="0063248C">
              <w:rPr>
                <w:rFonts w:cs="宋体"/>
                <w:sz w:val="18"/>
                <w:szCs w:val="18"/>
              </w:rPr>
              <w:t>的普通股数量</w:t>
            </w:r>
          </w:p>
        </w:tc>
        <w:tc>
          <w:tcPr>
            <w:tcW w:w="212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628D22E" w14:textId="77777777" w:rsidR="007B3DB2" w:rsidRPr="0063248C" w:rsidRDefault="00000000">
            <w:pPr>
              <w:spacing w:before="40" w:after="40" w:line="240" w:lineRule="exact"/>
              <w:jc w:val="center"/>
              <w:rPr>
                <w:rFonts w:cs="宋体"/>
                <w:sz w:val="18"/>
                <w:szCs w:val="18"/>
              </w:rPr>
            </w:pPr>
            <w:r w:rsidRPr="0063248C">
              <w:rPr>
                <w:rFonts w:cs="宋体"/>
                <w:sz w:val="18"/>
                <w:szCs w:val="18"/>
              </w:rPr>
              <w:t>质押、标记或冻结情况</w:t>
            </w:r>
          </w:p>
        </w:tc>
      </w:tr>
      <w:tr w:rsidR="007B3DB2" w:rsidRPr="0063248C" w14:paraId="75FAB08E" w14:textId="77777777" w:rsidTr="00ED579E">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E41A11" w14:textId="77777777" w:rsidR="007B3DB2" w:rsidRPr="0063248C" w:rsidRDefault="007B3DB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0C8ACEF" w14:textId="77777777" w:rsidR="007B3DB2" w:rsidRPr="0063248C" w:rsidRDefault="007B3DB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D9F0D7D" w14:textId="77777777" w:rsidR="007B3DB2" w:rsidRPr="0063248C" w:rsidRDefault="007B3DB2"/>
        </w:tc>
        <w:tc>
          <w:tcPr>
            <w:tcW w:w="118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9D544E1" w14:textId="77777777" w:rsidR="007B3DB2" w:rsidRPr="0063248C" w:rsidRDefault="007B3DB2"/>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5C06F17" w14:textId="77777777" w:rsidR="007B3DB2" w:rsidRPr="0063248C" w:rsidRDefault="007B3DB2"/>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27288DE" w14:textId="77777777" w:rsidR="007B3DB2" w:rsidRPr="0063248C" w:rsidRDefault="007B3DB2"/>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EF97960" w14:textId="77777777" w:rsidR="007B3DB2" w:rsidRPr="0063248C" w:rsidRDefault="007B3DB2"/>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3B231B8" w14:textId="77777777" w:rsidR="007B3DB2" w:rsidRPr="0063248C" w:rsidRDefault="00000000">
            <w:pPr>
              <w:spacing w:before="40" w:after="40" w:line="240" w:lineRule="exact"/>
              <w:jc w:val="center"/>
              <w:rPr>
                <w:rFonts w:cs="宋体"/>
                <w:sz w:val="18"/>
                <w:szCs w:val="18"/>
              </w:rPr>
            </w:pPr>
            <w:r w:rsidRPr="0063248C">
              <w:rPr>
                <w:rFonts w:cs="宋体"/>
                <w:sz w:val="18"/>
                <w:szCs w:val="18"/>
              </w:rPr>
              <w:t>股份状态</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62A0B26" w14:textId="77777777" w:rsidR="007B3DB2" w:rsidRPr="0063248C" w:rsidRDefault="00000000">
            <w:pPr>
              <w:spacing w:before="40" w:after="40" w:line="240" w:lineRule="exact"/>
              <w:jc w:val="center"/>
              <w:rPr>
                <w:rFonts w:cs="宋体"/>
                <w:sz w:val="18"/>
                <w:szCs w:val="18"/>
              </w:rPr>
            </w:pPr>
            <w:r w:rsidRPr="0063248C">
              <w:rPr>
                <w:rFonts w:cs="宋体"/>
                <w:sz w:val="18"/>
                <w:szCs w:val="18"/>
              </w:rPr>
              <w:t>数量</w:t>
            </w:r>
          </w:p>
        </w:tc>
      </w:tr>
      <w:tr w:rsidR="007B3DB2" w:rsidRPr="0063248C" w14:paraId="5279947D" w14:textId="77777777" w:rsidTr="00ED579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D542C2D"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12F861A"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67385F6C" w14:textId="77777777" w:rsidR="007B3DB2" w:rsidRPr="0063248C" w:rsidRDefault="00000000">
            <w:pPr>
              <w:spacing w:line="240" w:lineRule="exact"/>
              <w:jc w:val="right"/>
              <w:rPr>
                <w:rFonts w:cs="宋体"/>
                <w:sz w:val="18"/>
                <w:szCs w:val="18"/>
              </w:rPr>
            </w:pPr>
            <w:r w:rsidRPr="0063248C">
              <w:rPr>
                <w:rFonts w:cs="宋体"/>
                <w:sz w:val="18"/>
                <w:szCs w:val="18"/>
              </w:rPr>
              <w:t>27.23%</w:t>
            </w:r>
          </w:p>
        </w:tc>
        <w:tc>
          <w:tcPr>
            <w:tcW w:w="1182" w:type="dxa"/>
            <w:tcBorders>
              <w:top w:val="single" w:sz="2" w:space="0" w:color="auto"/>
              <w:left w:val="single" w:sz="2" w:space="0" w:color="auto"/>
              <w:bottom w:val="single" w:sz="2" w:space="0" w:color="auto"/>
              <w:right w:val="single" w:sz="2" w:space="0" w:color="auto"/>
            </w:tcBorders>
            <w:vAlign w:val="center"/>
          </w:tcPr>
          <w:p w14:paraId="78B1931D" w14:textId="77777777" w:rsidR="007B3DB2" w:rsidRPr="0063248C" w:rsidRDefault="00000000">
            <w:pPr>
              <w:spacing w:line="240" w:lineRule="exact"/>
              <w:jc w:val="right"/>
              <w:rPr>
                <w:rFonts w:cs="宋体"/>
                <w:sz w:val="18"/>
                <w:szCs w:val="18"/>
              </w:rPr>
            </w:pPr>
            <w:r w:rsidRPr="0063248C">
              <w:rPr>
                <w:rFonts w:cs="宋体"/>
                <w:sz w:val="18"/>
                <w:szCs w:val="18"/>
              </w:rPr>
              <w:t>293,885,800</w:t>
            </w:r>
          </w:p>
        </w:tc>
        <w:tc>
          <w:tcPr>
            <w:tcW w:w="1134" w:type="dxa"/>
            <w:tcBorders>
              <w:top w:val="single" w:sz="2" w:space="0" w:color="auto"/>
              <w:left w:val="single" w:sz="2" w:space="0" w:color="auto"/>
              <w:bottom w:val="single" w:sz="2" w:space="0" w:color="auto"/>
              <w:right w:val="single" w:sz="2" w:space="0" w:color="auto"/>
            </w:tcBorders>
            <w:vAlign w:val="center"/>
          </w:tcPr>
          <w:p w14:paraId="4F65BA6B" w14:textId="77777777" w:rsidR="007B3DB2" w:rsidRPr="0063248C" w:rsidRDefault="00000000">
            <w:pPr>
              <w:spacing w:line="240" w:lineRule="exact"/>
              <w:rPr>
                <w:rFonts w:cs="宋体"/>
                <w:sz w:val="18"/>
                <w:szCs w:val="18"/>
              </w:rPr>
            </w:pPr>
            <w:r w:rsidRPr="0063248C">
              <w:rPr>
                <w:rFonts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14:paraId="0CAD7085"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74C24307" w14:textId="77777777" w:rsidR="007B3DB2" w:rsidRPr="0063248C" w:rsidRDefault="00000000">
            <w:pPr>
              <w:spacing w:line="240" w:lineRule="exact"/>
              <w:jc w:val="right"/>
              <w:rPr>
                <w:rFonts w:cs="宋体"/>
                <w:sz w:val="18"/>
                <w:szCs w:val="18"/>
              </w:rPr>
            </w:pPr>
            <w:r w:rsidRPr="0063248C">
              <w:rPr>
                <w:rFonts w:cs="宋体"/>
                <w:sz w:val="18"/>
                <w:szCs w:val="18"/>
              </w:rPr>
              <w:t>293,885,800</w:t>
            </w:r>
          </w:p>
        </w:tc>
        <w:tc>
          <w:tcPr>
            <w:tcW w:w="992" w:type="dxa"/>
            <w:tcBorders>
              <w:top w:val="single" w:sz="2" w:space="0" w:color="auto"/>
              <w:left w:val="single" w:sz="2" w:space="0" w:color="auto"/>
              <w:bottom w:val="single" w:sz="2" w:space="0" w:color="auto"/>
              <w:right w:val="single" w:sz="2" w:space="0" w:color="auto"/>
            </w:tcBorders>
            <w:vAlign w:val="center"/>
          </w:tcPr>
          <w:p w14:paraId="5B9263E5" w14:textId="77777777" w:rsidR="007B3DB2" w:rsidRPr="0063248C" w:rsidRDefault="00000000">
            <w:pPr>
              <w:spacing w:line="240" w:lineRule="exact"/>
              <w:rPr>
                <w:rFonts w:cs="宋体"/>
                <w:sz w:val="18"/>
                <w:szCs w:val="18"/>
              </w:rPr>
            </w:pPr>
            <w:r w:rsidRPr="0063248C">
              <w:rPr>
                <w:rFonts w:cs="宋体"/>
                <w:sz w:val="18"/>
                <w:szCs w:val="18"/>
              </w:rPr>
              <w:t>质押</w:t>
            </w:r>
          </w:p>
        </w:tc>
        <w:tc>
          <w:tcPr>
            <w:tcW w:w="1134" w:type="dxa"/>
            <w:tcBorders>
              <w:top w:val="single" w:sz="2" w:space="0" w:color="auto"/>
              <w:left w:val="single" w:sz="2" w:space="0" w:color="auto"/>
              <w:bottom w:val="single" w:sz="2" w:space="0" w:color="auto"/>
              <w:right w:val="single" w:sz="2" w:space="0" w:color="auto"/>
            </w:tcBorders>
            <w:vAlign w:val="center"/>
          </w:tcPr>
          <w:p w14:paraId="1A0F27E1" w14:textId="77777777" w:rsidR="007B3DB2" w:rsidRPr="0063248C" w:rsidRDefault="00000000">
            <w:pPr>
              <w:spacing w:line="240" w:lineRule="exact"/>
              <w:jc w:val="right"/>
              <w:rPr>
                <w:rFonts w:cs="宋体"/>
                <w:sz w:val="18"/>
                <w:szCs w:val="18"/>
              </w:rPr>
            </w:pPr>
            <w:r w:rsidRPr="0063248C">
              <w:rPr>
                <w:rFonts w:cs="宋体"/>
                <w:sz w:val="18"/>
                <w:szCs w:val="18"/>
              </w:rPr>
              <w:t>87,870,000</w:t>
            </w:r>
          </w:p>
        </w:tc>
      </w:tr>
      <w:tr w:rsidR="007B3DB2" w:rsidRPr="0063248C" w14:paraId="16231D42" w14:textId="77777777" w:rsidTr="00ED579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D4270A1" w14:textId="77777777" w:rsidR="007B3DB2" w:rsidRPr="0063248C" w:rsidRDefault="00000000">
            <w:pPr>
              <w:spacing w:line="240" w:lineRule="exact"/>
              <w:rPr>
                <w:rFonts w:cs="宋体"/>
                <w:sz w:val="18"/>
                <w:szCs w:val="18"/>
              </w:rPr>
            </w:pPr>
            <w:r w:rsidRPr="0063248C">
              <w:rPr>
                <w:rFonts w:cs="宋体"/>
                <w:sz w:val="18"/>
                <w:szCs w:val="18"/>
              </w:rPr>
              <w:t>莱阳银龙投资有限公司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8E79593"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0761EE04" w14:textId="77777777" w:rsidR="007B3DB2" w:rsidRPr="0063248C" w:rsidRDefault="00000000">
            <w:pPr>
              <w:spacing w:line="240" w:lineRule="exact"/>
              <w:jc w:val="right"/>
              <w:rPr>
                <w:rFonts w:cs="宋体"/>
                <w:sz w:val="18"/>
                <w:szCs w:val="18"/>
              </w:rPr>
            </w:pPr>
            <w:r w:rsidRPr="0063248C">
              <w:rPr>
                <w:rFonts w:cs="宋体"/>
                <w:sz w:val="18"/>
                <w:szCs w:val="18"/>
              </w:rPr>
              <w:t>7.29%</w:t>
            </w:r>
          </w:p>
        </w:tc>
        <w:tc>
          <w:tcPr>
            <w:tcW w:w="1182" w:type="dxa"/>
            <w:tcBorders>
              <w:top w:val="single" w:sz="2" w:space="0" w:color="auto"/>
              <w:left w:val="single" w:sz="2" w:space="0" w:color="auto"/>
              <w:bottom w:val="single" w:sz="2" w:space="0" w:color="auto"/>
              <w:right w:val="single" w:sz="2" w:space="0" w:color="auto"/>
            </w:tcBorders>
            <w:vAlign w:val="center"/>
          </w:tcPr>
          <w:p w14:paraId="52F4B91D" w14:textId="77777777" w:rsidR="007B3DB2" w:rsidRPr="0063248C" w:rsidRDefault="00000000">
            <w:pPr>
              <w:spacing w:line="240" w:lineRule="exact"/>
              <w:jc w:val="right"/>
              <w:rPr>
                <w:rFonts w:cs="宋体"/>
                <w:sz w:val="18"/>
                <w:szCs w:val="18"/>
              </w:rPr>
            </w:pPr>
            <w:r w:rsidRPr="0063248C">
              <w:rPr>
                <w:rFonts w:cs="宋体"/>
                <w:sz w:val="18"/>
                <w:szCs w:val="18"/>
              </w:rPr>
              <w:t>78,676,000</w:t>
            </w:r>
          </w:p>
        </w:tc>
        <w:tc>
          <w:tcPr>
            <w:tcW w:w="1134" w:type="dxa"/>
            <w:tcBorders>
              <w:top w:val="single" w:sz="2" w:space="0" w:color="auto"/>
              <w:left w:val="single" w:sz="2" w:space="0" w:color="auto"/>
              <w:bottom w:val="single" w:sz="2" w:space="0" w:color="auto"/>
              <w:right w:val="single" w:sz="2" w:space="0" w:color="auto"/>
            </w:tcBorders>
            <w:vAlign w:val="center"/>
          </w:tcPr>
          <w:p w14:paraId="116E6714" w14:textId="77777777" w:rsidR="007B3DB2" w:rsidRPr="0063248C" w:rsidRDefault="00000000">
            <w:pPr>
              <w:spacing w:line="240" w:lineRule="exact"/>
              <w:rPr>
                <w:rFonts w:cs="宋体"/>
                <w:sz w:val="18"/>
                <w:szCs w:val="18"/>
              </w:rPr>
            </w:pPr>
            <w:r w:rsidRPr="0063248C">
              <w:rPr>
                <w:rFonts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14:paraId="53752010"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4F5BEFB0" w14:textId="77777777" w:rsidR="007B3DB2" w:rsidRPr="0063248C" w:rsidRDefault="00000000">
            <w:pPr>
              <w:spacing w:line="240" w:lineRule="exact"/>
              <w:jc w:val="right"/>
              <w:rPr>
                <w:rFonts w:cs="宋体"/>
                <w:sz w:val="18"/>
                <w:szCs w:val="18"/>
              </w:rPr>
            </w:pPr>
            <w:r w:rsidRPr="0063248C">
              <w:rPr>
                <w:rFonts w:cs="宋体"/>
                <w:sz w:val="18"/>
                <w:szCs w:val="18"/>
              </w:rPr>
              <w:t>78,676,000</w:t>
            </w:r>
          </w:p>
        </w:tc>
        <w:tc>
          <w:tcPr>
            <w:tcW w:w="992" w:type="dxa"/>
            <w:tcBorders>
              <w:top w:val="single" w:sz="2" w:space="0" w:color="auto"/>
              <w:left w:val="single" w:sz="2" w:space="0" w:color="auto"/>
              <w:bottom w:val="single" w:sz="2" w:space="0" w:color="auto"/>
              <w:right w:val="single" w:sz="2" w:space="0" w:color="auto"/>
            </w:tcBorders>
            <w:vAlign w:val="center"/>
          </w:tcPr>
          <w:p w14:paraId="1506FFAB" w14:textId="77777777" w:rsidR="007B3DB2" w:rsidRPr="0063248C" w:rsidRDefault="00000000">
            <w:pPr>
              <w:spacing w:line="240" w:lineRule="exact"/>
              <w:rPr>
                <w:rFonts w:cs="宋体"/>
                <w:sz w:val="18"/>
                <w:szCs w:val="18"/>
              </w:rPr>
            </w:pPr>
            <w:r w:rsidRPr="0063248C">
              <w:rPr>
                <w:rFonts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488AF699"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771CAC5A" w14:textId="77777777" w:rsidTr="00ED579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C262000" w14:textId="77777777" w:rsidR="007B3DB2" w:rsidRPr="0063248C" w:rsidRDefault="00000000">
            <w:pPr>
              <w:spacing w:line="240" w:lineRule="exact"/>
              <w:rPr>
                <w:rFonts w:cs="宋体"/>
                <w:sz w:val="18"/>
                <w:szCs w:val="18"/>
              </w:rPr>
            </w:pPr>
            <w:r w:rsidRPr="0063248C">
              <w:rPr>
                <w:rFonts w:cs="宋体"/>
                <w:sz w:val="18"/>
                <w:szCs w:val="18"/>
              </w:rPr>
              <w:t>青岛</w:t>
            </w:r>
            <w:proofErr w:type="gramStart"/>
            <w:r w:rsidRPr="0063248C">
              <w:rPr>
                <w:rFonts w:cs="宋体"/>
                <w:sz w:val="18"/>
                <w:szCs w:val="18"/>
              </w:rPr>
              <w:t>洪亨亚</w:t>
            </w:r>
            <w:proofErr w:type="gramEnd"/>
            <w:r w:rsidRPr="0063248C">
              <w:rPr>
                <w:rFonts w:cs="宋体"/>
                <w:sz w:val="18"/>
                <w:szCs w:val="18"/>
              </w:rPr>
              <w:t>和实业有限公司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DA69497"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3A9F309C" w14:textId="77777777" w:rsidR="007B3DB2" w:rsidRPr="0063248C" w:rsidRDefault="00000000">
            <w:pPr>
              <w:spacing w:line="240" w:lineRule="exact"/>
              <w:jc w:val="right"/>
              <w:rPr>
                <w:rFonts w:cs="宋体"/>
                <w:sz w:val="18"/>
                <w:szCs w:val="18"/>
              </w:rPr>
            </w:pPr>
            <w:r w:rsidRPr="0063248C">
              <w:rPr>
                <w:rFonts w:cs="宋体"/>
                <w:sz w:val="18"/>
                <w:szCs w:val="18"/>
              </w:rPr>
              <w:t>5.53%</w:t>
            </w:r>
          </w:p>
        </w:tc>
        <w:tc>
          <w:tcPr>
            <w:tcW w:w="1182" w:type="dxa"/>
            <w:tcBorders>
              <w:top w:val="single" w:sz="2" w:space="0" w:color="auto"/>
              <w:left w:val="single" w:sz="2" w:space="0" w:color="auto"/>
              <w:bottom w:val="single" w:sz="2" w:space="0" w:color="auto"/>
              <w:right w:val="single" w:sz="2" w:space="0" w:color="auto"/>
            </w:tcBorders>
            <w:vAlign w:val="center"/>
          </w:tcPr>
          <w:p w14:paraId="08189CA7" w14:textId="77777777" w:rsidR="007B3DB2" w:rsidRPr="0063248C" w:rsidRDefault="00000000">
            <w:pPr>
              <w:spacing w:line="240" w:lineRule="exact"/>
              <w:jc w:val="right"/>
              <w:rPr>
                <w:rFonts w:cs="宋体"/>
                <w:sz w:val="18"/>
                <w:szCs w:val="18"/>
              </w:rPr>
            </w:pPr>
            <w:r w:rsidRPr="0063248C">
              <w:rPr>
                <w:rFonts w:cs="宋体"/>
                <w:sz w:val="18"/>
                <w:szCs w:val="18"/>
              </w:rPr>
              <w:t>59,714,200</w:t>
            </w:r>
          </w:p>
        </w:tc>
        <w:tc>
          <w:tcPr>
            <w:tcW w:w="1134" w:type="dxa"/>
            <w:tcBorders>
              <w:top w:val="single" w:sz="2" w:space="0" w:color="auto"/>
              <w:left w:val="single" w:sz="2" w:space="0" w:color="auto"/>
              <w:bottom w:val="single" w:sz="2" w:space="0" w:color="auto"/>
              <w:right w:val="single" w:sz="2" w:space="0" w:color="auto"/>
            </w:tcBorders>
            <w:vAlign w:val="center"/>
          </w:tcPr>
          <w:p w14:paraId="333E6D30" w14:textId="77777777" w:rsidR="007B3DB2" w:rsidRPr="0063248C" w:rsidRDefault="00000000">
            <w:pPr>
              <w:spacing w:line="240" w:lineRule="exact"/>
              <w:rPr>
                <w:rFonts w:cs="宋体"/>
                <w:sz w:val="18"/>
                <w:szCs w:val="18"/>
              </w:rPr>
            </w:pPr>
            <w:r w:rsidRPr="0063248C">
              <w:rPr>
                <w:rFonts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14:paraId="7CEF9EF4"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0FB1F2A6" w14:textId="77777777" w:rsidR="007B3DB2" w:rsidRPr="0063248C" w:rsidRDefault="00000000">
            <w:pPr>
              <w:spacing w:line="240" w:lineRule="exact"/>
              <w:jc w:val="right"/>
              <w:rPr>
                <w:rFonts w:cs="宋体"/>
                <w:sz w:val="18"/>
                <w:szCs w:val="18"/>
              </w:rPr>
            </w:pPr>
            <w:r w:rsidRPr="0063248C">
              <w:rPr>
                <w:rFonts w:cs="宋体"/>
                <w:sz w:val="18"/>
                <w:szCs w:val="18"/>
              </w:rPr>
              <w:t>59,714,200</w:t>
            </w:r>
          </w:p>
        </w:tc>
        <w:tc>
          <w:tcPr>
            <w:tcW w:w="992" w:type="dxa"/>
            <w:tcBorders>
              <w:top w:val="single" w:sz="2" w:space="0" w:color="auto"/>
              <w:left w:val="single" w:sz="2" w:space="0" w:color="auto"/>
              <w:bottom w:val="single" w:sz="2" w:space="0" w:color="auto"/>
              <w:right w:val="single" w:sz="2" w:space="0" w:color="auto"/>
            </w:tcBorders>
            <w:vAlign w:val="center"/>
          </w:tcPr>
          <w:p w14:paraId="38B69575" w14:textId="77777777" w:rsidR="007B3DB2" w:rsidRPr="0063248C" w:rsidRDefault="00000000">
            <w:pPr>
              <w:spacing w:line="240" w:lineRule="exact"/>
              <w:rPr>
                <w:rFonts w:cs="宋体"/>
                <w:sz w:val="18"/>
                <w:szCs w:val="18"/>
              </w:rPr>
            </w:pPr>
            <w:r w:rsidRPr="0063248C">
              <w:rPr>
                <w:rFonts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4F908A76"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0A50C437" w14:textId="77777777" w:rsidTr="00ED579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20CF095" w14:textId="77777777" w:rsidR="007B3DB2" w:rsidRPr="0063248C" w:rsidRDefault="00000000">
            <w:pPr>
              <w:spacing w:line="240" w:lineRule="exact"/>
              <w:rPr>
                <w:rFonts w:cs="宋体"/>
                <w:sz w:val="18"/>
                <w:szCs w:val="18"/>
              </w:rPr>
            </w:pPr>
            <w:r w:rsidRPr="0063248C">
              <w:rPr>
                <w:rFonts w:cs="宋体"/>
                <w:sz w:val="18"/>
                <w:szCs w:val="18"/>
              </w:rPr>
              <w:t>银河德</w:t>
            </w:r>
            <w:proofErr w:type="gramStart"/>
            <w:r w:rsidRPr="0063248C">
              <w:rPr>
                <w:rFonts w:cs="宋体"/>
                <w:sz w:val="18"/>
                <w:szCs w:val="18"/>
              </w:rPr>
              <w:t>睿</w:t>
            </w:r>
            <w:proofErr w:type="gramEnd"/>
            <w:r w:rsidRPr="0063248C">
              <w:rPr>
                <w:rFonts w:cs="宋体"/>
                <w:sz w:val="18"/>
                <w:szCs w:val="18"/>
              </w:rPr>
              <w:t>资本管理有限公司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65764F94"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06D7DD9A" w14:textId="77777777" w:rsidR="007B3DB2" w:rsidRPr="0063248C" w:rsidRDefault="00000000">
            <w:pPr>
              <w:spacing w:line="240" w:lineRule="exact"/>
              <w:jc w:val="right"/>
              <w:rPr>
                <w:rFonts w:cs="宋体"/>
                <w:sz w:val="18"/>
                <w:szCs w:val="18"/>
              </w:rPr>
            </w:pPr>
            <w:r w:rsidRPr="0063248C">
              <w:rPr>
                <w:rFonts w:cs="宋体"/>
                <w:sz w:val="18"/>
                <w:szCs w:val="18"/>
              </w:rPr>
              <w:t>3.41%</w:t>
            </w:r>
          </w:p>
        </w:tc>
        <w:tc>
          <w:tcPr>
            <w:tcW w:w="1182" w:type="dxa"/>
            <w:tcBorders>
              <w:top w:val="single" w:sz="2" w:space="0" w:color="auto"/>
              <w:left w:val="single" w:sz="2" w:space="0" w:color="auto"/>
              <w:bottom w:val="single" w:sz="2" w:space="0" w:color="auto"/>
              <w:right w:val="single" w:sz="2" w:space="0" w:color="auto"/>
            </w:tcBorders>
            <w:vAlign w:val="center"/>
          </w:tcPr>
          <w:p w14:paraId="225D0196" w14:textId="77777777" w:rsidR="007B3DB2" w:rsidRPr="0063248C" w:rsidRDefault="00000000">
            <w:pPr>
              <w:spacing w:line="240" w:lineRule="exact"/>
              <w:jc w:val="right"/>
              <w:rPr>
                <w:rFonts w:cs="宋体"/>
                <w:sz w:val="18"/>
                <w:szCs w:val="18"/>
              </w:rPr>
            </w:pPr>
            <w:r w:rsidRPr="0063248C">
              <w:rPr>
                <w:rFonts w:cs="宋体"/>
                <w:sz w:val="18"/>
                <w:szCs w:val="18"/>
              </w:rPr>
              <w:t>36,814,305</w:t>
            </w:r>
          </w:p>
        </w:tc>
        <w:tc>
          <w:tcPr>
            <w:tcW w:w="1134" w:type="dxa"/>
            <w:tcBorders>
              <w:top w:val="single" w:sz="2" w:space="0" w:color="auto"/>
              <w:left w:val="single" w:sz="2" w:space="0" w:color="auto"/>
              <w:bottom w:val="single" w:sz="2" w:space="0" w:color="auto"/>
              <w:right w:val="single" w:sz="2" w:space="0" w:color="auto"/>
            </w:tcBorders>
            <w:vAlign w:val="center"/>
          </w:tcPr>
          <w:p w14:paraId="6512AA83" w14:textId="77777777" w:rsidR="007B3DB2" w:rsidRPr="0063248C" w:rsidRDefault="00000000">
            <w:pPr>
              <w:spacing w:line="240" w:lineRule="exact"/>
              <w:rPr>
                <w:rFonts w:cs="宋体"/>
                <w:sz w:val="18"/>
                <w:szCs w:val="18"/>
              </w:rPr>
            </w:pPr>
            <w:r w:rsidRPr="0063248C">
              <w:rPr>
                <w:rFonts w:cs="宋体"/>
                <w:sz w:val="18"/>
                <w:szCs w:val="18"/>
              </w:rPr>
              <w:t>1,000</w:t>
            </w:r>
          </w:p>
        </w:tc>
        <w:tc>
          <w:tcPr>
            <w:tcW w:w="850" w:type="dxa"/>
            <w:tcBorders>
              <w:top w:val="single" w:sz="2" w:space="0" w:color="auto"/>
              <w:left w:val="single" w:sz="2" w:space="0" w:color="auto"/>
              <w:bottom w:val="single" w:sz="2" w:space="0" w:color="auto"/>
              <w:right w:val="single" w:sz="2" w:space="0" w:color="auto"/>
            </w:tcBorders>
            <w:vAlign w:val="center"/>
          </w:tcPr>
          <w:p w14:paraId="18244752"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42D0E590" w14:textId="77777777" w:rsidR="007B3DB2" w:rsidRPr="0063248C" w:rsidRDefault="00000000">
            <w:pPr>
              <w:spacing w:line="240" w:lineRule="exact"/>
              <w:jc w:val="right"/>
              <w:rPr>
                <w:rFonts w:cs="宋体"/>
                <w:sz w:val="18"/>
                <w:szCs w:val="18"/>
              </w:rPr>
            </w:pPr>
            <w:r w:rsidRPr="0063248C">
              <w:rPr>
                <w:rFonts w:cs="宋体"/>
                <w:sz w:val="18"/>
                <w:szCs w:val="18"/>
              </w:rPr>
              <w:t>36,814,305</w:t>
            </w:r>
          </w:p>
        </w:tc>
        <w:tc>
          <w:tcPr>
            <w:tcW w:w="992" w:type="dxa"/>
            <w:tcBorders>
              <w:top w:val="single" w:sz="2" w:space="0" w:color="auto"/>
              <w:left w:val="single" w:sz="2" w:space="0" w:color="auto"/>
              <w:bottom w:val="single" w:sz="2" w:space="0" w:color="auto"/>
              <w:right w:val="single" w:sz="2" w:space="0" w:color="auto"/>
            </w:tcBorders>
            <w:vAlign w:val="center"/>
          </w:tcPr>
          <w:p w14:paraId="630397CF" w14:textId="77777777" w:rsidR="007B3DB2" w:rsidRPr="0063248C" w:rsidRDefault="00000000">
            <w:pPr>
              <w:spacing w:line="240" w:lineRule="exact"/>
              <w:rPr>
                <w:rFonts w:cs="宋体"/>
                <w:sz w:val="18"/>
                <w:szCs w:val="18"/>
              </w:rPr>
            </w:pPr>
            <w:r w:rsidRPr="0063248C">
              <w:rPr>
                <w:rFonts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1BE3B984"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0D31D619" w14:textId="77777777" w:rsidTr="00ED579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7841B7D" w14:textId="77777777" w:rsidR="007B3DB2" w:rsidRPr="0063248C" w:rsidRDefault="00000000">
            <w:pPr>
              <w:spacing w:line="240" w:lineRule="exact"/>
              <w:rPr>
                <w:rFonts w:cs="宋体"/>
                <w:sz w:val="18"/>
                <w:szCs w:val="18"/>
              </w:rPr>
            </w:pPr>
            <w:proofErr w:type="gramStart"/>
            <w:r w:rsidRPr="0063248C">
              <w:rPr>
                <w:rFonts w:cs="宋体"/>
                <w:sz w:val="18"/>
                <w:szCs w:val="18"/>
              </w:rPr>
              <w:t>晟弘资产</w:t>
            </w:r>
            <w:proofErr w:type="gramEnd"/>
            <w:r w:rsidRPr="0063248C">
              <w:rPr>
                <w:rFonts w:cs="宋体"/>
                <w:sz w:val="18"/>
                <w:szCs w:val="18"/>
              </w:rPr>
              <w:t>管理（珠海）有限公司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21F7C61"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0CF35348" w14:textId="77777777" w:rsidR="007B3DB2" w:rsidRPr="0063248C" w:rsidRDefault="00000000">
            <w:pPr>
              <w:spacing w:line="240" w:lineRule="exact"/>
              <w:jc w:val="right"/>
              <w:rPr>
                <w:rFonts w:cs="宋体"/>
                <w:sz w:val="18"/>
                <w:szCs w:val="18"/>
              </w:rPr>
            </w:pPr>
            <w:r w:rsidRPr="0063248C">
              <w:rPr>
                <w:rFonts w:cs="宋体"/>
                <w:sz w:val="18"/>
                <w:szCs w:val="18"/>
              </w:rPr>
              <w:t>2.72%</w:t>
            </w:r>
          </w:p>
        </w:tc>
        <w:tc>
          <w:tcPr>
            <w:tcW w:w="1182" w:type="dxa"/>
            <w:tcBorders>
              <w:top w:val="single" w:sz="2" w:space="0" w:color="auto"/>
              <w:left w:val="single" w:sz="2" w:space="0" w:color="auto"/>
              <w:bottom w:val="single" w:sz="2" w:space="0" w:color="auto"/>
              <w:right w:val="single" w:sz="2" w:space="0" w:color="auto"/>
            </w:tcBorders>
            <w:vAlign w:val="center"/>
          </w:tcPr>
          <w:p w14:paraId="6DCEB3EB" w14:textId="77777777" w:rsidR="007B3DB2" w:rsidRPr="0063248C" w:rsidRDefault="00000000">
            <w:pPr>
              <w:spacing w:line="240" w:lineRule="exact"/>
              <w:jc w:val="right"/>
              <w:rPr>
                <w:rFonts w:cs="宋体"/>
                <w:sz w:val="18"/>
                <w:szCs w:val="18"/>
              </w:rPr>
            </w:pPr>
            <w:r w:rsidRPr="0063248C">
              <w:rPr>
                <w:rFonts w:cs="宋体"/>
                <w:sz w:val="18"/>
                <w:szCs w:val="18"/>
              </w:rPr>
              <w:t>29,376,135</w:t>
            </w:r>
          </w:p>
        </w:tc>
        <w:tc>
          <w:tcPr>
            <w:tcW w:w="1134" w:type="dxa"/>
            <w:tcBorders>
              <w:top w:val="single" w:sz="2" w:space="0" w:color="auto"/>
              <w:left w:val="single" w:sz="2" w:space="0" w:color="auto"/>
              <w:bottom w:val="single" w:sz="2" w:space="0" w:color="auto"/>
              <w:right w:val="single" w:sz="2" w:space="0" w:color="auto"/>
            </w:tcBorders>
            <w:vAlign w:val="center"/>
          </w:tcPr>
          <w:p w14:paraId="2DD92923" w14:textId="77777777" w:rsidR="007B3DB2" w:rsidRPr="0063248C" w:rsidRDefault="00000000">
            <w:pPr>
              <w:spacing w:line="240" w:lineRule="exact"/>
              <w:rPr>
                <w:rFonts w:cs="宋体"/>
                <w:sz w:val="18"/>
                <w:szCs w:val="18"/>
              </w:rPr>
            </w:pPr>
            <w:r w:rsidRPr="0063248C">
              <w:rPr>
                <w:rFonts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14:paraId="7F0BE81F"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06D4E740" w14:textId="77777777" w:rsidR="007B3DB2" w:rsidRPr="0063248C" w:rsidRDefault="00000000">
            <w:pPr>
              <w:spacing w:line="240" w:lineRule="exact"/>
              <w:jc w:val="right"/>
              <w:rPr>
                <w:rFonts w:cs="宋体"/>
                <w:sz w:val="18"/>
                <w:szCs w:val="18"/>
              </w:rPr>
            </w:pPr>
            <w:r w:rsidRPr="0063248C">
              <w:rPr>
                <w:rFonts w:cs="宋体"/>
                <w:sz w:val="18"/>
                <w:szCs w:val="18"/>
              </w:rPr>
              <w:t>29,376,135</w:t>
            </w:r>
          </w:p>
        </w:tc>
        <w:tc>
          <w:tcPr>
            <w:tcW w:w="992" w:type="dxa"/>
            <w:tcBorders>
              <w:top w:val="single" w:sz="2" w:space="0" w:color="auto"/>
              <w:left w:val="single" w:sz="2" w:space="0" w:color="auto"/>
              <w:bottom w:val="single" w:sz="2" w:space="0" w:color="auto"/>
              <w:right w:val="single" w:sz="2" w:space="0" w:color="auto"/>
            </w:tcBorders>
            <w:vAlign w:val="center"/>
          </w:tcPr>
          <w:p w14:paraId="30B82AA3" w14:textId="77777777" w:rsidR="007B3DB2" w:rsidRPr="0063248C" w:rsidRDefault="00000000">
            <w:pPr>
              <w:spacing w:line="240" w:lineRule="exact"/>
              <w:rPr>
                <w:rFonts w:cs="宋体"/>
                <w:sz w:val="18"/>
                <w:szCs w:val="18"/>
              </w:rPr>
            </w:pPr>
            <w:r w:rsidRPr="0063248C">
              <w:rPr>
                <w:rFonts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24488562"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34314C08" w14:textId="77777777" w:rsidTr="00ED579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BEF3A39" w14:textId="77777777" w:rsidR="007B3DB2" w:rsidRPr="0063248C" w:rsidRDefault="00000000">
            <w:pPr>
              <w:spacing w:line="240" w:lineRule="exact"/>
              <w:rPr>
                <w:rFonts w:cs="宋体"/>
                <w:sz w:val="18"/>
                <w:szCs w:val="18"/>
              </w:rPr>
            </w:pPr>
            <w:r w:rsidRPr="0063248C">
              <w:rPr>
                <w:rFonts w:cs="宋体"/>
                <w:sz w:val="18"/>
                <w:szCs w:val="18"/>
              </w:rPr>
              <w:t>青岛恒南科技有限公司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3997EF0"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22A79C0D" w14:textId="77777777" w:rsidR="007B3DB2" w:rsidRPr="0063248C" w:rsidRDefault="00000000">
            <w:pPr>
              <w:spacing w:line="240" w:lineRule="exact"/>
              <w:jc w:val="right"/>
              <w:rPr>
                <w:rFonts w:cs="宋体"/>
                <w:sz w:val="18"/>
                <w:szCs w:val="18"/>
              </w:rPr>
            </w:pPr>
            <w:r w:rsidRPr="0063248C">
              <w:rPr>
                <w:rFonts w:cs="宋体"/>
                <w:sz w:val="18"/>
                <w:szCs w:val="18"/>
              </w:rPr>
              <w:t>1.86%</w:t>
            </w:r>
          </w:p>
        </w:tc>
        <w:tc>
          <w:tcPr>
            <w:tcW w:w="1182" w:type="dxa"/>
            <w:tcBorders>
              <w:top w:val="single" w:sz="2" w:space="0" w:color="auto"/>
              <w:left w:val="single" w:sz="2" w:space="0" w:color="auto"/>
              <w:bottom w:val="single" w:sz="2" w:space="0" w:color="auto"/>
              <w:right w:val="single" w:sz="2" w:space="0" w:color="auto"/>
            </w:tcBorders>
            <w:vAlign w:val="center"/>
          </w:tcPr>
          <w:p w14:paraId="131A508E" w14:textId="77777777" w:rsidR="007B3DB2" w:rsidRPr="0063248C" w:rsidRDefault="00000000">
            <w:pPr>
              <w:spacing w:line="240" w:lineRule="exact"/>
              <w:jc w:val="right"/>
              <w:rPr>
                <w:rFonts w:cs="宋体"/>
                <w:sz w:val="18"/>
                <w:szCs w:val="18"/>
              </w:rPr>
            </w:pPr>
            <w:r w:rsidRPr="0063248C">
              <w:rPr>
                <w:rFonts w:cs="宋体"/>
                <w:sz w:val="18"/>
                <w:szCs w:val="18"/>
              </w:rPr>
              <w:t>20,052,183</w:t>
            </w:r>
          </w:p>
        </w:tc>
        <w:tc>
          <w:tcPr>
            <w:tcW w:w="1134" w:type="dxa"/>
            <w:tcBorders>
              <w:top w:val="single" w:sz="2" w:space="0" w:color="auto"/>
              <w:left w:val="single" w:sz="2" w:space="0" w:color="auto"/>
              <w:bottom w:val="single" w:sz="2" w:space="0" w:color="auto"/>
              <w:right w:val="single" w:sz="2" w:space="0" w:color="auto"/>
            </w:tcBorders>
            <w:vAlign w:val="center"/>
          </w:tcPr>
          <w:p w14:paraId="7391030B" w14:textId="77777777" w:rsidR="007B3DB2" w:rsidRPr="0063248C" w:rsidRDefault="00000000">
            <w:pPr>
              <w:spacing w:line="240" w:lineRule="exact"/>
              <w:rPr>
                <w:rFonts w:cs="宋体"/>
                <w:sz w:val="18"/>
                <w:szCs w:val="18"/>
              </w:rPr>
            </w:pPr>
            <w:r w:rsidRPr="0063248C">
              <w:rPr>
                <w:rFonts w:cs="宋体"/>
                <w:sz w:val="18"/>
                <w:szCs w:val="18"/>
              </w:rPr>
              <w:t>20,052,183</w:t>
            </w:r>
          </w:p>
        </w:tc>
        <w:tc>
          <w:tcPr>
            <w:tcW w:w="850" w:type="dxa"/>
            <w:tcBorders>
              <w:top w:val="single" w:sz="2" w:space="0" w:color="auto"/>
              <w:left w:val="single" w:sz="2" w:space="0" w:color="auto"/>
              <w:bottom w:val="single" w:sz="2" w:space="0" w:color="auto"/>
              <w:right w:val="single" w:sz="2" w:space="0" w:color="auto"/>
            </w:tcBorders>
            <w:vAlign w:val="center"/>
          </w:tcPr>
          <w:p w14:paraId="1D2EA453"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2162CA36" w14:textId="77777777" w:rsidR="007B3DB2" w:rsidRPr="0063248C" w:rsidRDefault="00000000">
            <w:pPr>
              <w:spacing w:line="240" w:lineRule="exact"/>
              <w:jc w:val="right"/>
              <w:rPr>
                <w:rFonts w:cs="宋体"/>
                <w:sz w:val="18"/>
                <w:szCs w:val="18"/>
              </w:rPr>
            </w:pPr>
            <w:r w:rsidRPr="0063248C">
              <w:rPr>
                <w:rFonts w:cs="宋体"/>
                <w:sz w:val="18"/>
                <w:szCs w:val="18"/>
              </w:rPr>
              <w:t>20,052,183</w:t>
            </w:r>
          </w:p>
        </w:tc>
        <w:tc>
          <w:tcPr>
            <w:tcW w:w="992" w:type="dxa"/>
            <w:tcBorders>
              <w:top w:val="single" w:sz="2" w:space="0" w:color="auto"/>
              <w:left w:val="single" w:sz="2" w:space="0" w:color="auto"/>
              <w:bottom w:val="single" w:sz="2" w:space="0" w:color="auto"/>
              <w:right w:val="single" w:sz="2" w:space="0" w:color="auto"/>
            </w:tcBorders>
            <w:vAlign w:val="center"/>
          </w:tcPr>
          <w:p w14:paraId="65F44D16" w14:textId="77777777" w:rsidR="007B3DB2" w:rsidRPr="0063248C" w:rsidRDefault="00000000">
            <w:pPr>
              <w:spacing w:line="240" w:lineRule="exact"/>
              <w:rPr>
                <w:rFonts w:cs="宋体"/>
                <w:sz w:val="18"/>
                <w:szCs w:val="18"/>
              </w:rPr>
            </w:pPr>
            <w:r w:rsidRPr="0063248C">
              <w:rPr>
                <w:rFonts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683E2C2B"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2AFAD19C" w14:textId="77777777" w:rsidTr="00ED579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23EA3A6" w14:textId="77777777" w:rsidR="007B3DB2" w:rsidRPr="0063248C" w:rsidRDefault="00000000">
            <w:pPr>
              <w:spacing w:line="240" w:lineRule="exact"/>
              <w:rPr>
                <w:rFonts w:cs="宋体"/>
                <w:sz w:val="18"/>
                <w:szCs w:val="18"/>
              </w:rPr>
            </w:pPr>
            <w:r w:rsidRPr="0063248C">
              <w:rPr>
                <w:rFonts w:cs="宋体"/>
                <w:sz w:val="18"/>
                <w:szCs w:val="18"/>
              </w:rPr>
              <w:t>上海鼎译智能科技有限公司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81901DB"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1268ED47" w14:textId="77777777" w:rsidR="007B3DB2" w:rsidRPr="0063248C" w:rsidRDefault="00000000">
            <w:pPr>
              <w:spacing w:line="240" w:lineRule="exact"/>
              <w:jc w:val="right"/>
              <w:rPr>
                <w:rFonts w:cs="宋体"/>
                <w:sz w:val="18"/>
                <w:szCs w:val="18"/>
              </w:rPr>
            </w:pPr>
            <w:r w:rsidRPr="0063248C">
              <w:rPr>
                <w:rFonts w:cs="宋体"/>
                <w:sz w:val="18"/>
                <w:szCs w:val="18"/>
              </w:rPr>
              <w:t>1.86%</w:t>
            </w:r>
          </w:p>
        </w:tc>
        <w:tc>
          <w:tcPr>
            <w:tcW w:w="1182" w:type="dxa"/>
            <w:tcBorders>
              <w:top w:val="single" w:sz="2" w:space="0" w:color="auto"/>
              <w:left w:val="single" w:sz="2" w:space="0" w:color="auto"/>
              <w:bottom w:val="single" w:sz="2" w:space="0" w:color="auto"/>
              <w:right w:val="single" w:sz="2" w:space="0" w:color="auto"/>
            </w:tcBorders>
            <w:vAlign w:val="center"/>
          </w:tcPr>
          <w:p w14:paraId="5E63718A" w14:textId="77777777" w:rsidR="007B3DB2" w:rsidRPr="0063248C" w:rsidRDefault="00000000">
            <w:pPr>
              <w:spacing w:line="240" w:lineRule="exact"/>
              <w:jc w:val="right"/>
              <w:rPr>
                <w:rFonts w:cs="宋体"/>
                <w:sz w:val="18"/>
                <w:szCs w:val="18"/>
              </w:rPr>
            </w:pPr>
            <w:r w:rsidRPr="0063248C">
              <w:rPr>
                <w:rFonts w:cs="宋体"/>
                <w:sz w:val="18"/>
                <w:szCs w:val="18"/>
              </w:rPr>
              <w:t>20,027,971</w:t>
            </w:r>
          </w:p>
        </w:tc>
        <w:tc>
          <w:tcPr>
            <w:tcW w:w="1134" w:type="dxa"/>
            <w:tcBorders>
              <w:top w:val="single" w:sz="2" w:space="0" w:color="auto"/>
              <w:left w:val="single" w:sz="2" w:space="0" w:color="auto"/>
              <w:bottom w:val="single" w:sz="2" w:space="0" w:color="auto"/>
              <w:right w:val="single" w:sz="2" w:space="0" w:color="auto"/>
            </w:tcBorders>
            <w:vAlign w:val="center"/>
          </w:tcPr>
          <w:p w14:paraId="2807B68B" w14:textId="77777777" w:rsidR="007B3DB2" w:rsidRPr="0063248C" w:rsidRDefault="00000000">
            <w:pPr>
              <w:spacing w:line="240" w:lineRule="exact"/>
              <w:rPr>
                <w:rFonts w:cs="宋体"/>
                <w:sz w:val="18"/>
                <w:szCs w:val="18"/>
              </w:rPr>
            </w:pPr>
            <w:r w:rsidRPr="0063248C">
              <w:rPr>
                <w:rFonts w:cs="宋体"/>
                <w:sz w:val="18"/>
                <w:szCs w:val="18"/>
              </w:rPr>
              <w:t>-1,088,200</w:t>
            </w:r>
          </w:p>
        </w:tc>
        <w:tc>
          <w:tcPr>
            <w:tcW w:w="850" w:type="dxa"/>
            <w:tcBorders>
              <w:top w:val="single" w:sz="2" w:space="0" w:color="auto"/>
              <w:left w:val="single" w:sz="2" w:space="0" w:color="auto"/>
              <w:bottom w:val="single" w:sz="2" w:space="0" w:color="auto"/>
              <w:right w:val="single" w:sz="2" w:space="0" w:color="auto"/>
            </w:tcBorders>
            <w:vAlign w:val="center"/>
          </w:tcPr>
          <w:p w14:paraId="4AF2AC31"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5AC4A865" w14:textId="77777777" w:rsidR="007B3DB2" w:rsidRPr="0063248C" w:rsidRDefault="00000000">
            <w:pPr>
              <w:spacing w:line="240" w:lineRule="exact"/>
              <w:jc w:val="right"/>
              <w:rPr>
                <w:rFonts w:cs="宋体"/>
                <w:sz w:val="18"/>
                <w:szCs w:val="18"/>
              </w:rPr>
            </w:pPr>
            <w:r w:rsidRPr="0063248C">
              <w:rPr>
                <w:rFonts w:cs="宋体"/>
                <w:sz w:val="18"/>
                <w:szCs w:val="18"/>
              </w:rPr>
              <w:t>20,027,971</w:t>
            </w:r>
          </w:p>
        </w:tc>
        <w:tc>
          <w:tcPr>
            <w:tcW w:w="992" w:type="dxa"/>
            <w:tcBorders>
              <w:top w:val="single" w:sz="2" w:space="0" w:color="auto"/>
              <w:left w:val="single" w:sz="2" w:space="0" w:color="auto"/>
              <w:bottom w:val="single" w:sz="2" w:space="0" w:color="auto"/>
              <w:right w:val="single" w:sz="2" w:space="0" w:color="auto"/>
            </w:tcBorders>
            <w:vAlign w:val="center"/>
          </w:tcPr>
          <w:p w14:paraId="457D074E" w14:textId="77777777" w:rsidR="007B3DB2" w:rsidRPr="0063248C" w:rsidRDefault="00000000">
            <w:pPr>
              <w:spacing w:line="240" w:lineRule="exact"/>
              <w:rPr>
                <w:rFonts w:cs="宋体"/>
                <w:sz w:val="18"/>
                <w:szCs w:val="18"/>
              </w:rPr>
            </w:pPr>
            <w:r w:rsidRPr="0063248C">
              <w:rPr>
                <w:rFonts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688E024A"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03725DE8" w14:textId="77777777" w:rsidTr="00ED579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34829C2" w14:textId="77777777" w:rsidR="007B3DB2" w:rsidRPr="0063248C" w:rsidRDefault="00000000">
            <w:pPr>
              <w:spacing w:line="240" w:lineRule="exact"/>
              <w:rPr>
                <w:rFonts w:cs="宋体"/>
                <w:sz w:val="18"/>
                <w:szCs w:val="18"/>
              </w:rPr>
            </w:pPr>
            <w:r w:rsidRPr="0063248C">
              <w:rPr>
                <w:rFonts w:cs="宋体"/>
                <w:sz w:val="18"/>
                <w:szCs w:val="18"/>
              </w:rPr>
              <w:t>青岛源雅商贸有限公司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276DA62"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14A4B274" w14:textId="77777777" w:rsidR="007B3DB2" w:rsidRPr="0063248C" w:rsidRDefault="00000000">
            <w:pPr>
              <w:spacing w:line="240" w:lineRule="exact"/>
              <w:jc w:val="right"/>
              <w:rPr>
                <w:rFonts w:cs="宋体"/>
                <w:sz w:val="18"/>
                <w:szCs w:val="18"/>
              </w:rPr>
            </w:pPr>
            <w:r w:rsidRPr="0063248C">
              <w:rPr>
                <w:rFonts w:cs="宋体"/>
                <w:sz w:val="18"/>
                <w:szCs w:val="18"/>
              </w:rPr>
              <w:t>1.84%</w:t>
            </w:r>
          </w:p>
        </w:tc>
        <w:tc>
          <w:tcPr>
            <w:tcW w:w="1182" w:type="dxa"/>
            <w:tcBorders>
              <w:top w:val="single" w:sz="2" w:space="0" w:color="auto"/>
              <w:left w:val="single" w:sz="2" w:space="0" w:color="auto"/>
              <w:bottom w:val="single" w:sz="2" w:space="0" w:color="auto"/>
              <w:right w:val="single" w:sz="2" w:space="0" w:color="auto"/>
            </w:tcBorders>
            <w:vAlign w:val="center"/>
          </w:tcPr>
          <w:p w14:paraId="0D5EBF3F" w14:textId="77777777" w:rsidR="007B3DB2" w:rsidRPr="0063248C" w:rsidRDefault="00000000">
            <w:pPr>
              <w:spacing w:line="240" w:lineRule="exact"/>
              <w:jc w:val="right"/>
              <w:rPr>
                <w:rFonts w:cs="宋体"/>
                <w:sz w:val="18"/>
                <w:szCs w:val="18"/>
              </w:rPr>
            </w:pPr>
            <w:r w:rsidRPr="0063248C">
              <w:rPr>
                <w:rFonts w:cs="宋体"/>
                <w:sz w:val="18"/>
                <w:szCs w:val="18"/>
              </w:rPr>
              <w:t>19,859,809</w:t>
            </w:r>
          </w:p>
        </w:tc>
        <w:tc>
          <w:tcPr>
            <w:tcW w:w="1134" w:type="dxa"/>
            <w:tcBorders>
              <w:top w:val="single" w:sz="2" w:space="0" w:color="auto"/>
              <w:left w:val="single" w:sz="2" w:space="0" w:color="auto"/>
              <w:bottom w:val="single" w:sz="2" w:space="0" w:color="auto"/>
              <w:right w:val="single" w:sz="2" w:space="0" w:color="auto"/>
            </w:tcBorders>
            <w:vAlign w:val="center"/>
          </w:tcPr>
          <w:p w14:paraId="06DB82B9" w14:textId="77777777" w:rsidR="007B3DB2" w:rsidRPr="0063248C" w:rsidRDefault="00000000">
            <w:pPr>
              <w:spacing w:line="240" w:lineRule="exact"/>
              <w:rPr>
                <w:rFonts w:cs="宋体"/>
                <w:sz w:val="18"/>
                <w:szCs w:val="18"/>
              </w:rPr>
            </w:pPr>
            <w:r w:rsidRPr="0063248C">
              <w:rPr>
                <w:rFonts w:cs="宋体"/>
                <w:sz w:val="18"/>
                <w:szCs w:val="18"/>
              </w:rPr>
              <w:t>19,859,809</w:t>
            </w:r>
          </w:p>
        </w:tc>
        <w:tc>
          <w:tcPr>
            <w:tcW w:w="850" w:type="dxa"/>
            <w:tcBorders>
              <w:top w:val="single" w:sz="2" w:space="0" w:color="auto"/>
              <w:left w:val="single" w:sz="2" w:space="0" w:color="auto"/>
              <w:bottom w:val="single" w:sz="2" w:space="0" w:color="auto"/>
              <w:right w:val="single" w:sz="2" w:space="0" w:color="auto"/>
            </w:tcBorders>
            <w:vAlign w:val="center"/>
          </w:tcPr>
          <w:p w14:paraId="2E32947A"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6576D8AC" w14:textId="77777777" w:rsidR="007B3DB2" w:rsidRPr="0063248C" w:rsidRDefault="00000000">
            <w:pPr>
              <w:spacing w:line="240" w:lineRule="exact"/>
              <w:jc w:val="right"/>
              <w:rPr>
                <w:rFonts w:cs="宋体"/>
                <w:sz w:val="18"/>
                <w:szCs w:val="18"/>
              </w:rPr>
            </w:pPr>
            <w:r w:rsidRPr="0063248C">
              <w:rPr>
                <w:rFonts w:cs="宋体"/>
                <w:sz w:val="18"/>
                <w:szCs w:val="18"/>
              </w:rPr>
              <w:t>19,859,809</w:t>
            </w:r>
          </w:p>
        </w:tc>
        <w:tc>
          <w:tcPr>
            <w:tcW w:w="992" w:type="dxa"/>
            <w:tcBorders>
              <w:top w:val="single" w:sz="2" w:space="0" w:color="auto"/>
              <w:left w:val="single" w:sz="2" w:space="0" w:color="auto"/>
              <w:bottom w:val="single" w:sz="2" w:space="0" w:color="auto"/>
              <w:right w:val="single" w:sz="2" w:space="0" w:color="auto"/>
            </w:tcBorders>
            <w:vAlign w:val="center"/>
          </w:tcPr>
          <w:p w14:paraId="1B631BD9" w14:textId="77777777" w:rsidR="007B3DB2" w:rsidRPr="0063248C" w:rsidRDefault="00000000">
            <w:pPr>
              <w:spacing w:line="240" w:lineRule="exact"/>
              <w:rPr>
                <w:rFonts w:cs="宋体"/>
                <w:sz w:val="18"/>
                <w:szCs w:val="18"/>
              </w:rPr>
            </w:pPr>
            <w:r w:rsidRPr="0063248C">
              <w:rPr>
                <w:rFonts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443013BF"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311C0970" w14:textId="77777777" w:rsidTr="00ED579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58946C0" w14:textId="77777777" w:rsidR="007B3DB2" w:rsidRPr="0063248C" w:rsidRDefault="00000000">
            <w:pPr>
              <w:spacing w:line="240" w:lineRule="exact"/>
              <w:rPr>
                <w:rFonts w:cs="宋体"/>
                <w:sz w:val="18"/>
                <w:szCs w:val="18"/>
              </w:rPr>
            </w:pPr>
            <w:r w:rsidRPr="0063248C">
              <w:rPr>
                <w:rFonts w:cs="宋体"/>
                <w:sz w:val="18"/>
                <w:szCs w:val="18"/>
              </w:rPr>
              <w:t>上海芬隆实业有限公司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E6C19CE"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6426B672" w14:textId="77777777" w:rsidR="007B3DB2" w:rsidRPr="0063248C" w:rsidRDefault="00000000">
            <w:pPr>
              <w:spacing w:line="240" w:lineRule="exact"/>
              <w:jc w:val="right"/>
              <w:rPr>
                <w:rFonts w:cs="宋体"/>
                <w:sz w:val="18"/>
                <w:szCs w:val="18"/>
              </w:rPr>
            </w:pPr>
            <w:r w:rsidRPr="0063248C">
              <w:rPr>
                <w:rFonts w:cs="宋体"/>
                <w:sz w:val="18"/>
                <w:szCs w:val="18"/>
              </w:rPr>
              <w:t>1.60%</w:t>
            </w:r>
          </w:p>
        </w:tc>
        <w:tc>
          <w:tcPr>
            <w:tcW w:w="1182" w:type="dxa"/>
            <w:tcBorders>
              <w:top w:val="single" w:sz="2" w:space="0" w:color="auto"/>
              <w:left w:val="single" w:sz="2" w:space="0" w:color="auto"/>
              <w:bottom w:val="single" w:sz="2" w:space="0" w:color="auto"/>
              <w:right w:val="single" w:sz="2" w:space="0" w:color="auto"/>
            </w:tcBorders>
            <w:vAlign w:val="center"/>
          </w:tcPr>
          <w:p w14:paraId="3C321F9C" w14:textId="77777777" w:rsidR="007B3DB2" w:rsidRPr="0063248C" w:rsidRDefault="00000000">
            <w:pPr>
              <w:spacing w:line="240" w:lineRule="exact"/>
              <w:jc w:val="right"/>
              <w:rPr>
                <w:rFonts w:cs="宋体"/>
                <w:sz w:val="18"/>
                <w:szCs w:val="18"/>
              </w:rPr>
            </w:pPr>
            <w:r w:rsidRPr="0063248C">
              <w:rPr>
                <w:rFonts w:cs="宋体"/>
                <w:sz w:val="18"/>
                <w:szCs w:val="18"/>
              </w:rPr>
              <w:t>17,264,973</w:t>
            </w:r>
          </w:p>
        </w:tc>
        <w:tc>
          <w:tcPr>
            <w:tcW w:w="1134" w:type="dxa"/>
            <w:tcBorders>
              <w:top w:val="single" w:sz="2" w:space="0" w:color="auto"/>
              <w:left w:val="single" w:sz="2" w:space="0" w:color="auto"/>
              <w:bottom w:val="single" w:sz="2" w:space="0" w:color="auto"/>
              <w:right w:val="single" w:sz="2" w:space="0" w:color="auto"/>
            </w:tcBorders>
            <w:vAlign w:val="center"/>
          </w:tcPr>
          <w:p w14:paraId="69F38899" w14:textId="77777777" w:rsidR="007B3DB2" w:rsidRPr="0063248C" w:rsidRDefault="00000000">
            <w:pPr>
              <w:spacing w:line="240" w:lineRule="exact"/>
              <w:rPr>
                <w:rFonts w:cs="宋体"/>
                <w:sz w:val="18"/>
                <w:szCs w:val="18"/>
              </w:rPr>
            </w:pPr>
            <w:r w:rsidRPr="0063248C">
              <w:rPr>
                <w:rFonts w:cs="宋体"/>
                <w:sz w:val="18"/>
                <w:szCs w:val="18"/>
              </w:rPr>
              <w:t>-1,060,990</w:t>
            </w:r>
          </w:p>
        </w:tc>
        <w:tc>
          <w:tcPr>
            <w:tcW w:w="850" w:type="dxa"/>
            <w:tcBorders>
              <w:top w:val="single" w:sz="2" w:space="0" w:color="auto"/>
              <w:left w:val="single" w:sz="2" w:space="0" w:color="auto"/>
              <w:bottom w:val="single" w:sz="2" w:space="0" w:color="auto"/>
              <w:right w:val="single" w:sz="2" w:space="0" w:color="auto"/>
            </w:tcBorders>
            <w:vAlign w:val="center"/>
          </w:tcPr>
          <w:p w14:paraId="3ECC491F"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3E1E078C" w14:textId="77777777" w:rsidR="007B3DB2" w:rsidRPr="0063248C" w:rsidRDefault="00000000">
            <w:pPr>
              <w:spacing w:line="240" w:lineRule="exact"/>
              <w:jc w:val="right"/>
              <w:rPr>
                <w:rFonts w:cs="宋体"/>
                <w:sz w:val="18"/>
                <w:szCs w:val="18"/>
              </w:rPr>
            </w:pPr>
            <w:r w:rsidRPr="0063248C">
              <w:rPr>
                <w:rFonts w:cs="宋体"/>
                <w:sz w:val="18"/>
                <w:szCs w:val="18"/>
              </w:rPr>
              <w:t>17,264,973</w:t>
            </w:r>
          </w:p>
        </w:tc>
        <w:tc>
          <w:tcPr>
            <w:tcW w:w="992" w:type="dxa"/>
            <w:tcBorders>
              <w:top w:val="single" w:sz="2" w:space="0" w:color="auto"/>
              <w:left w:val="single" w:sz="2" w:space="0" w:color="auto"/>
              <w:bottom w:val="single" w:sz="2" w:space="0" w:color="auto"/>
              <w:right w:val="single" w:sz="2" w:space="0" w:color="auto"/>
            </w:tcBorders>
            <w:vAlign w:val="center"/>
          </w:tcPr>
          <w:p w14:paraId="2114652C" w14:textId="77777777" w:rsidR="007B3DB2" w:rsidRPr="0063248C" w:rsidRDefault="00000000">
            <w:pPr>
              <w:spacing w:line="240" w:lineRule="exact"/>
              <w:rPr>
                <w:rFonts w:cs="宋体"/>
                <w:sz w:val="18"/>
                <w:szCs w:val="18"/>
              </w:rPr>
            </w:pPr>
            <w:r w:rsidRPr="0063248C">
              <w:rPr>
                <w:rFonts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2679FE43"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3FE35205" w14:textId="77777777" w:rsidTr="00ED579E">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BA2D0E7" w14:textId="77777777" w:rsidR="007B3DB2" w:rsidRPr="0063248C" w:rsidRDefault="00000000">
            <w:pPr>
              <w:spacing w:line="240" w:lineRule="exact"/>
              <w:rPr>
                <w:rFonts w:cs="宋体"/>
                <w:sz w:val="18"/>
                <w:szCs w:val="18"/>
              </w:rPr>
            </w:pPr>
            <w:r w:rsidRPr="0063248C">
              <w:rPr>
                <w:rFonts w:cs="宋体"/>
                <w:sz w:val="18"/>
                <w:szCs w:val="18"/>
              </w:rPr>
              <w:t>伊藤忠（中国）集团有限公司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034DEC5"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14:paraId="175315E4" w14:textId="77777777" w:rsidR="007B3DB2" w:rsidRPr="0063248C" w:rsidRDefault="00000000">
            <w:pPr>
              <w:spacing w:line="240" w:lineRule="exact"/>
              <w:jc w:val="right"/>
              <w:rPr>
                <w:rFonts w:cs="宋体"/>
                <w:sz w:val="18"/>
                <w:szCs w:val="18"/>
              </w:rPr>
            </w:pPr>
            <w:r w:rsidRPr="0063248C">
              <w:rPr>
                <w:rFonts w:cs="宋体"/>
                <w:sz w:val="18"/>
                <w:szCs w:val="18"/>
              </w:rPr>
              <w:t>1.57%</w:t>
            </w:r>
          </w:p>
        </w:tc>
        <w:tc>
          <w:tcPr>
            <w:tcW w:w="1182" w:type="dxa"/>
            <w:tcBorders>
              <w:top w:val="single" w:sz="2" w:space="0" w:color="auto"/>
              <w:left w:val="single" w:sz="2" w:space="0" w:color="auto"/>
              <w:bottom w:val="single" w:sz="2" w:space="0" w:color="auto"/>
              <w:right w:val="single" w:sz="2" w:space="0" w:color="auto"/>
            </w:tcBorders>
            <w:vAlign w:val="center"/>
          </w:tcPr>
          <w:p w14:paraId="697B9C00" w14:textId="77777777" w:rsidR="007B3DB2" w:rsidRPr="0063248C" w:rsidRDefault="00000000">
            <w:pPr>
              <w:spacing w:line="240" w:lineRule="exact"/>
              <w:jc w:val="right"/>
              <w:rPr>
                <w:rFonts w:cs="宋体"/>
                <w:sz w:val="18"/>
                <w:szCs w:val="18"/>
              </w:rPr>
            </w:pPr>
            <w:r w:rsidRPr="0063248C">
              <w:rPr>
                <w:rFonts w:cs="宋体"/>
                <w:sz w:val="18"/>
                <w:szCs w:val="18"/>
              </w:rPr>
              <w:t>16,925,500</w:t>
            </w:r>
          </w:p>
        </w:tc>
        <w:tc>
          <w:tcPr>
            <w:tcW w:w="1134" w:type="dxa"/>
            <w:tcBorders>
              <w:top w:val="single" w:sz="2" w:space="0" w:color="auto"/>
              <w:left w:val="single" w:sz="2" w:space="0" w:color="auto"/>
              <w:bottom w:val="single" w:sz="2" w:space="0" w:color="auto"/>
              <w:right w:val="single" w:sz="2" w:space="0" w:color="auto"/>
            </w:tcBorders>
            <w:vAlign w:val="center"/>
          </w:tcPr>
          <w:p w14:paraId="461C937A" w14:textId="77777777" w:rsidR="007B3DB2" w:rsidRPr="0063248C" w:rsidRDefault="00000000">
            <w:pPr>
              <w:spacing w:line="240" w:lineRule="exact"/>
              <w:rPr>
                <w:rFonts w:cs="宋体"/>
                <w:sz w:val="18"/>
                <w:szCs w:val="18"/>
              </w:rPr>
            </w:pPr>
            <w:r w:rsidRPr="0063248C">
              <w:rPr>
                <w:rFonts w:cs="宋体"/>
                <w:sz w:val="18"/>
                <w:szCs w:val="18"/>
              </w:rPr>
              <w:t>-10,791,000</w:t>
            </w:r>
          </w:p>
        </w:tc>
        <w:tc>
          <w:tcPr>
            <w:tcW w:w="850" w:type="dxa"/>
            <w:tcBorders>
              <w:top w:val="single" w:sz="2" w:space="0" w:color="auto"/>
              <w:left w:val="single" w:sz="2" w:space="0" w:color="auto"/>
              <w:bottom w:val="single" w:sz="2" w:space="0" w:color="auto"/>
              <w:right w:val="single" w:sz="2" w:space="0" w:color="auto"/>
            </w:tcBorders>
            <w:vAlign w:val="center"/>
          </w:tcPr>
          <w:p w14:paraId="5152833D" w14:textId="77777777" w:rsidR="007B3DB2" w:rsidRPr="0063248C" w:rsidRDefault="00000000">
            <w:pPr>
              <w:spacing w:line="240" w:lineRule="exact"/>
              <w:jc w:val="right"/>
              <w:rPr>
                <w:rFonts w:cs="宋体"/>
                <w:sz w:val="18"/>
                <w:szCs w:val="18"/>
              </w:rPr>
            </w:pPr>
            <w:r w:rsidRPr="0063248C">
              <w:rPr>
                <w:rFonts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6581A5C8" w14:textId="77777777" w:rsidR="007B3DB2" w:rsidRPr="0063248C" w:rsidRDefault="00000000">
            <w:pPr>
              <w:spacing w:line="240" w:lineRule="exact"/>
              <w:jc w:val="right"/>
              <w:rPr>
                <w:rFonts w:cs="宋体"/>
                <w:sz w:val="18"/>
                <w:szCs w:val="18"/>
              </w:rPr>
            </w:pPr>
            <w:r w:rsidRPr="0063248C">
              <w:rPr>
                <w:rFonts w:cs="宋体"/>
                <w:sz w:val="18"/>
                <w:szCs w:val="18"/>
              </w:rPr>
              <w:t>16,925,500</w:t>
            </w:r>
          </w:p>
        </w:tc>
        <w:tc>
          <w:tcPr>
            <w:tcW w:w="992" w:type="dxa"/>
            <w:tcBorders>
              <w:top w:val="single" w:sz="2" w:space="0" w:color="auto"/>
              <w:left w:val="single" w:sz="2" w:space="0" w:color="auto"/>
              <w:bottom w:val="single" w:sz="2" w:space="0" w:color="auto"/>
              <w:right w:val="single" w:sz="2" w:space="0" w:color="auto"/>
            </w:tcBorders>
            <w:vAlign w:val="center"/>
          </w:tcPr>
          <w:p w14:paraId="39C1D5B4" w14:textId="77777777" w:rsidR="007B3DB2" w:rsidRPr="0063248C" w:rsidRDefault="00000000">
            <w:pPr>
              <w:spacing w:line="240" w:lineRule="exact"/>
              <w:rPr>
                <w:rFonts w:cs="宋体"/>
                <w:sz w:val="18"/>
                <w:szCs w:val="18"/>
              </w:rPr>
            </w:pPr>
            <w:r w:rsidRPr="0063248C">
              <w:rPr>
                <w:rFonts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5C303162" w14:textId="77777777" w:rsidR="007B3DB2" w:rsidRPr="0063248C" w:rsidRDefault="00000000">
            <w:pPr>
              <w:spacing w:line="240" w:lineRule="exact"/>
              <w:jc w:val="right"/>
              <w:rPr>
                <w:rFonts w:cs="宋体"/>
                <w:sz w:val="18"/>
                <w:szCs w:val="18"/>
              </w:rPr>
            </w:pPr>
            <w:r w:rsidRPr="0063248C">
              <w:rPr>
                <w:rFonts w:cs="宋体"/>
                <w:sz w:val="18"/>
                <w:szCs w:val="18"/>
              </w:rPr>
              <w:t>0</w:t>
            </w:r>
          </w:p>
        </w:tc>
      </w:tr>
      <w:tr w:rsidR="007B3DB2" w:rsidRPr="0063248C" w14:paraId="79B2B7D7"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ECE665B" w14:textId="77777777" w:rsidR="007B3DB2" w:rsidRPr="0063248C" w:rsidRDefault="00000000">
            <w:pPr>
              <w:spacing w:before="40" w:after="40" w:line="240" w:lineRule="exact"/>
              <w:rPr>
                <w:rFonts w:cs="宋体"/>
                <w:sz w:val="18"/>
                <w:szCs w:val="18"/>
              </w:rPr>
            </w:pPr>
            <w:r w:rsidRPr="0063248C">
              <w:rPr>
                <w:rFonts w:cs="宋体"/>
                <w:sz w:val="18"/>
                <w:szCs w:val="18"/>
              </w:rPr>
              <w:t>战略投资者或一般法人因配售新股成为前</w:t>
            </w:r>
            <w:r w:rsidRPr="0063248C">
              <w:rPr>
                <w:rFonts w:cs="宋体"/>
                <w:sz w:val="18"/>
                <w:szCs w:val="18"/>
              </w:rPr>
              <w:t>10</w:t>
            </w:r>
            <w:r w:rsidRPr="0063248C">
              <w:rPr>
                <w:rFonts w:cs="宋体"/>
                <w:sz w:val="18"/>
                <w:szCs w:val="18"/>
              </w:rPr>
              <w:t>名普通股股东的情况（如有）（参见注</w:t>
            </w:r>
            <w:r w:rsidRPr="0063248C">
              <w:rPr>
                <w:rFonts w:cs="宋体"/>
                <w:sz w:val="18"/>
                <w:szCs w:val="18"/>
              </w:rPr>
              <w:t>3</w:t>
            </w:r>
            <w:r w:rsidRPr="0063248C">
              <w:rPr>
                <w:rFonts w:cs="宋体"/>
                <w:sz w:val="18"/>
                <w:szCs w:val="18"/>
              </w:rPr>
              <w:t>）</w:t>
            </w:r>
          </w:p>
        </w:tc>
        <w:tc>
          <w:tcPr>
            <w:tcW w:w="7497" w:type="dxa"/>
            <w:gridSpan w:val="7"/>
            <w:tcBorders>
              <w:top w:val="single" w:sz="2" w:space="0" w:color="auto"/>
              <w:left w:val="single" w:sz="2" w:space="0" w:color="auto"/>
              <w:bottom w:val="single" w:sz="2" w:space="0" w:color="auto"/>
              <w:right w:val="single" w:sz="2" w:space="0" w:color="auto"/>
            </w:tcBorders>
            <w:vAlign w:val="center"/>
          </w:tcPr>
          <w:p w14:paraId="1F39710D" w14:textId="77777777" w:rsidR="007B3DB2" w:rsidRPr="0063248C" w:rsidRDefault="00000000">
            <w:pPr>
              <w:spacing w:line="240" w:lineRule="exact"/>
              <w:rPr>
                <w:rFonts w:cs="宋体"/>
                <w:sz w:val="18"/>
                <w:szCs w:val="18"/>
              </w:rPr>
            </w:pPr>
            <w:r w:rsidRPr="0063248C">
              <w:rPr>
                <w:rFonts w:cs="宋体"/>
                <w:sz w:val="18"/>
                <w:szCs w:val="18"/>
              </w:rPr>
              <w:t>无。</w:t>
            </w:r>
          </w:p>
        </w:tc>
      </w:tr>
      <w:tr w:rsidR="007B3DB2" w:rsidRPr="0063248C" w14:paraId="362F002B"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843B52E" w14:textId="77777777" w:rsidR="007B3DB2" w:rsidRPr="0063248C" w:rsidRDefault="00000000">
            <w:pPr>
              <w:spacing w:before="40" w:after="40" w:line="240" w:lineRule="exact"/>
              <w:rPr>
                <w:rFonts w:cs="宋体"/>
                <w:sz w:val="18"/>
                <w:szCs w:val="18"/>
              </w:rPr>
            </w:pPr>
            <w:r w:rsidRPr="0063248C">
              <w:rPr>
                <w:rFonts w:cs="宋体"/>
                <w:sz w:val="18"/>
                <w:szCs w:val="18"/>
              </w:rPr>
              <w:t>上述股东关联关系或一致行动的说明</w:t>
            </w:r>
          </w:p>
        </w:tc>
        <w:tc>
          <w:tcPr>
            <w:tcW w:w="7497" w:type="dxa"/>
            <w:gridSpan w:val="7"/>
            <w:tcBorders>
              <w:top w:val="single" w:sz="2" w:space="0" w:color="auto"/>
              <w:left w:val="single" w:sz="2" w:space="0" w:color="auto"/>
              <w:bottom w:val="single" w:sz="2" w:space="0" w:color="auto"/>
              <w:right w:val="single" w:sz="2" w:space="0" w:color="auto"/>
            </w:tcBorders>
            <w:vAlign w:val="center"/>
          </w:tcPr>
          <w:p w14:paraId="388A8C24" w14:textId="77777777" w:rsidR="007B3DB2" w:rsidRPr="0063248C" w:rsidRDefault="00000000">
            <w:pPr>
              <w:spacing w:line="240" w:lineRule="exact"/>
              <w:rPr>
                <w:rFonts w:cs="宋体"/>
                <w:sz w:val="18"/>
                <w:szCs w:val="18"/>
              </w:rPr>
            </w:pPr>
            <w:r w:rsidRPr="0063248C">
              <w:rPr>
                <w:rFonts w:cs="宋体"/>
                <w:sz w:val="18"/>
                <w:szCs w:val="18"/>
              </w:rPr>
              <w:t>公司未知前</w:t>
            </w:r>
            <w:r w:rsidRPr="0063248C">
              <w:rPr>
                <w:rFonts w:cs="宋体"/>
                <w:sz w:val="18"/>
                <w:szCs w:val="18"/>
              </w:rPr>
              <w:t>10</w:t>
            </w:r>
            <w:r w:rsidRPr="0063248C">
              <w:rPr>
                <w:rFonts w:cs="宋体"/>
                <w:sz w:val="18"/>
                <w:szCs w:val="18"/>
              </w:rPr>
              <w:t>股东之间是否存在关联关系，也未知是否属于一致行动人。</w:t>
            </w:r>
          </w:p>
        </w:tc>
      </w:tr>
      <w:tr w:rsidR="007B3DB2" w:rsidRPr="0063248C" w14:paraId="4C6581CD"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4264936" w14:textId="77777777" w:rsidR="007B3DB2" w:rsidRPr="0063248C" w:rsidRDefault="00000000">
            <w:pPr>
              <w:spacing w:before="40" w:after="40" w:line="240" w:lineRule="exact"/>
              <w:rPr>
                <w:rFonts w:cs="宋体"/>
                <w:sz w:val="18"/>
                <w:szCs w:val="18"/>
              </w:rPr>
            </w:pPr>
            <w:r w:rsidRPr="0063248C">
              <w:rPr>
                <w:rFonts w:cs="宋体"/>
                <w:sz w:val="18"/>
                <w:szCs w:val="18"/>
              </w:rPr>
              <w:t>上述股东涉及委托</w:t>
            </w:r>
            <w:r w:rsidRPr="0063248C">
              <w:rPr>
                <w:rFonts w:cs="宋体"/>
                <w:sz w:val="18"/>
                <w:szCs w:val="18"/>
              </w:rPr>
              <w:t>/</w:t>
            </w:r>
            <w:r w:rsidRPr="0063248C">
              <w:rPr>
                <w:rFonts w:cs="宋体"/>
                <w:sz w:val="18"/>
                <w:szCs w:val="18"/>
              </w:rPr>
              <w:t>受托表决权、放弃表决权情况的说明</w:t>
            </w:r>
          </w:p>
        </w:tc>
        <w:tc>
          <w:tcPr>
            <w:tcW w:w="7497" w:type="dxa"/>
            <w:gridSpan w:val="7"/>
            <w:tcBorders>
              <w:top w:val="single" w:sz="2" w:space="0" w:color="auto"/>
              <w:left w:val="single" w:sz="2" w:space="0" w:color="auto"/>
              <w:bottom w:val="single" w:sz="2" w:space="0" w:color="auto"/>
              <w:right w:val="single" w:sz="2" w:space="0" w:color="auto"/>
            </w:tcBorders>
            <w:vAlign w:val="center"/>
          </w:tcPr>
          <w:p w14:paraId="0BD3836C" w14:textId="77777777" w:rsidR="007B3DB2" w:rsidRPr="0063248C" w:rsidRDefault="00000000">
            <w:pPr>
              <w:spacing w:line="240" w:lineRule="exact"/>
              <w:rPr>
                <w:rFonts w:cs="宋体"/>
                <w:sz w:val="18"/>
                <w:szCs w:val="18"/>
              </w:rPr>
            </w:pPr>
            <w:r w:rsidRPr="0063248C">
              <w:rPr>
                <w:rFonts w:cs="宋体"/>
                <w:sz w:val="18"/>
                <w:szCs w:val="18"/>
              </w:rPr>
              <w:t>无。</w:t>
            </w:r>
          </w:p>
        </w:tc>
      </w:tr>
      <w:tr w:rsidR="007B3DB2" w:rsidRPr="0063248C" w14:paraId="5872A221"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D317ED2" w14:textId="77777777" w:rsidR="007B3DB2" w:rsidRPr="0063248C" w:rsidRDefault="00000000">
            <w:pPr>
              <w:spacing w:before="40" w:after="40" w:line="240" w:lineRule="exact"/>
              <w:rPr>
                <w:rFonts w:cs="宋体"/>
                <w:sz w:val="18"/>
                <w:szCs w:val="18"/>
              </w:rPr>
            </w:pPr>
            <w:r w:rsidRPr="0063248C">
              <w:rPr>
                <w:rFonts w:cs="宋体"/>
                <w:sz w:val="18"/>
                <w:szCs w:val="18"/>
              </w:rPr>
              <w:t>前</w:t>
            </w:r>
            <w:r w:rsidRPr="0063248C">
              <w:rPr>
                <w:rFonts w:cs="宋体"/>
                <w:sz w:val="18"/>
                <w:szCs w:val="18"/>
              </w:rPr>
              <w:t>10</w:t>
            </w:r>
            <w:r w:rsidRPr="0063248C">
              <w:rPr>
                <w:rFonts w:cs="宋体"/>
                <w:sz w:val="18"/>
                <w:szCs w:val="18"/>
              </w:rPr>
              <w:t>名股东中存在回购专户的特别说明（如有）</w:t>
            </w:r>
            <w:r w:rsidRPr="0063248C">
              <w:rPr>
                <w:rFonts w:cs="宋体"/>
                <w:sz w:val="18"/>
                <w:szCs w:val="18"/>
              </w:rPr>
              <w:lastRenderedPageBreak/>
              <w:t>（参见注</w:t>
            </w:r>
            <w:r w:rsidRPr="0063248C">
              <w:rPr>
                <w:rFonts w:cs="宋体"/>
                <w:sz w:val="18"/>
                <w:szCs w:val="18"/>
              </w:rPr>
              <w:t>11</w:t>
            </w:r>
            <w:r w:rsidRPr="0063248C">
              <w:rPr>
                <w:rFonts w:cs="宋体"/>
                <w:sz w:val="18"/>
                <w:szCs w:val="18"/>
              </w:rPr>
              <w:t>）</w:t>
            </w:r>
          </w:p>
        </w:tc>
        <w:tc>
          <w:tcPr>
            <w:tcW w:w="7497" w:type="dxa"/>
            <w:gridSpan w:val="7"/>
            <w:tcBorders>
              <w:top w:val="single" w:sz="2" w:space="0" w:color="auto"/>
              <w:left w:val="single" w:sz="2" w:space="0" w:color="auto"/>
              <w:bottom w:val="single" w:sz="2" w:space="0" w:color="auto"/>
              <w:right w:val="single" w:sz="2" w:space="0" w:color="auto"/>
            </w:tcBorders>
            <w:vAlign w:val="center"/>
          </w:tcPr>
          <w:p w14:paraId="1EDB26F7" w14:textId="77777777" w:rsidR="007B3DB2" w:rsidRPr="0063248C" w:rsidRDefault="00000000">
            <w:pPr>
              <w:spacing w:line="240" w:lineRule="exact"/>
              <w:rPr>
                <w:rFonts w:cs="宋体"/>
                <w:sz w:val="18"/>
                <w:szCs w:val="18"/>
              </w:rPr>
            </w:pPr>
            <w:r w:rsidRPr="0063248C">
              <w:rPr>
                <w:rFonts w:cs="宋体"/>
                <w:sz w:val="18"/>
                <w:szCs w:val="18"/>
              </w:rPr>
              <w:lastRenderedPageBreak/>
              <w:t>前</w:t>
            </w:r>
            <w:r w:rsidRPr="0063248C">
              <w:rPr>
                <w:rFonts w:cs="宋体"/>
                <w:sz w:val="18"/>
                <w:szCs w:val="18"/>
              </w:rPr>
              <w:t>10</w:t>
            </w:r>
            <w:r w:rsidRPr="0063248C">
              <w:rPr>
                <w:rFonts w:cs="宋体"/>
                <w:sz w:val="18"/>
                <w:szCs w:val="18"/>
              </w:rPr>
              <w:t>名股东中，山东龙大美食股份有限公司回购专用证券账户持有</w:t>
            </w:r>
            <w:r w:rsidRPr="0063248C">
              <w:rPr>
                <w:rFonts w:cs="宋体"/>
                <w:sz w:val="18"/>
                <w:szCs w:val="18"/>
              </w:rPr>
              <w:t>41,417,183</w:t>
            </w:r>
            <w:r w:rsidRPr="0063248C">
              <w:rPr>
                <w:rFonts w:cs="宋体"/>
                <w:sz w:val="18"/>
                <w:szCs w:val="18"/>
              </w:rPr>
              <w:t>股，持有比例为</w:t>
            </w:r>
            <w:r w:rsidRPr="0063248C">
              <w:rPr>
                <w:rFonts w:cs="宋体"/>
                <w:sz w:val="18"/>
                <w:szCs w:val="18"/>
              </w:rPr>
              <w:t>3.84%</w:t>
            </w:r>
            <w:r w:rsidRPr="0063248C">
              <w:rPr>
                <w:rFonts w:cs="宋体"/>
                <w:sz w:val="18"/>
                <w:szCs w:val="18"/>
              </w:rPr>
              <w:t>。</w:t>
            </w:r>
          </w:p>
        </w:tc>
      </w:tr>
      <w:tr w:rsidR="007B3DB2" w:rsidRPr="0063248C" w14:paraId="05CDEE49" w14:textId="77777777">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40C2A202" w14:textId="77777777" w:rsidR="007B3DB2" w:rsidRPr="0063248C" w:rsidRDefault="00000000">
            <w:pPr>
              <w:spacing w:before="40" w:after="40" w:line="240" w:lineRule="exact"/>
              <w:jc w:val="center"/>
              <w:rPr>
                <w:rFonts w:cs="宋体"/>
                <w:sz w:val="18"/>
                <w:szCs w:val="18"/>
              </w:rPr>
            </w:pPr>
            <w:r w:rsidRPr="0063248C">
              <w:rPr>
                <w:rFonts w:cs="宋体"/>
                <w:sz w:val="18"/>
                <w:szCs w:val="18"/>
              </w:rPr>
              <w:t>前</w:t>
            </w:r>
            <w:r w:rsidRPr="0063248C">
              <w:rPr>
                <w:rFonts w:cs="宋体"/>
                <w:sz w:val="18"/>
                <w:szCs w:val="18"/>
              </w:rPr>
              <w:t>10</w:t>
            </w:r>
            <w:r w:rsidRPr="0063248C">
              <w:rPr>
                <w:rFonts w:cs="宋体"/>
                <w:sz w:val="18"/>
                <w:szCs w:val="18"/>
              </w:rPr>
              <w:t>名无限</w:t>
            </w:r>
            <w:proofErr w:type="gramStart"/>
            <w:r w:rsidRPr="0063248C">
              <w:rPr>
                <w:rFonts w:cs="宋体"/>
                <w:sz w:val="18"/>
                <w:szCs w:val="18"/>
              </w:rPr>
              <w:t>售条件</w:t>
            </w:r>
            <w:proofErr w:type="gramEnd"/>
            <w:r w:rsidRPr="0063248C">
              <w:rPr>
                <w:rFonts w:cs="宋体"/>
                <w:sz w:val="18"/>
                <w:szCs w:val="18"/>
              </w:rPr>
              <w:t>普通股股东持股情况（不含通过转融通出借股份、高管锁定股）</w:t>
            </w:r>
          </w:p>
        </w:tc>
      </w:tr>
      <w:tr w:rsidR="007B3DB2" w:rsidRPr="0063248C" w14:paraId="610FD60A" w14:textId="77777777" w:rsidTr="00D77137">
        <w:trPr>
          <w:trHeight w:val="240"/>
        </w:trPr>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83B2BE7" w14:textId="77777777" w:rsidR="007B3DB2" w:rsidRPr="0063248C" w:rsidRDefault="00000000">
            <w:pPr>
              <w:spacing w:before="40" w:after="40" w:line="240" w:lineRule="exact"/>
              <w:jc w:val="center"/>
              <w:rPr>
                <w:rFonts w:cs="宋体"/>
                <w:sz w:val="18"/>
                <w:szCs w:val="18"/>
              </w:rPr>
            </w:pPr>
            <w:r w:rsidRPr="0063248C">
              <w:rPr>
                <w:rFonts w:cs="宋体"/>
                <w:sz w:val="18"/>
                <w:szCs w:val="18"/>
              </w:rPr>
              <w:t>股东名称</w:t>
            </w:r>
          </w:p>
        </w:tc>
        <w:tc>
          <w:tcPr>
            <w:tcW w:w="5371"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1101E67" w14:textId="77777777" w:rsidR="007B3DB2" w:rsidRPr="0063248C" w:rsidRDefault="00000000">
            <w:pPr>
              <w:spacing w:before="40" w:after="40" w:line="240" w:lineRule="exact"/>
              <w:jc w:val="center"/>
              <w:rPr>
                <w:rFonts w:cs="宋体"/>
                <w:sz w:val="18"/>
                <w:szCs w:val="18"/>
              </w:rPr>
            </w:pPr>
            <w:r w:rsidRPr="0063248C">
              <w:rPr>
                <w:rFonts w:cs="宋体"/>
                <w:sz w:val="18"/>
                <w:szCs w:val="18"/>
              </w:rPr>
              <w:t>报告期末持有无限</w:t>
            </w:r>
            <w:proofErr w:type="gramStart"/>
            <w:r w:rsidRPr="0063248C">
              <w:rPr>
                <w:rFonts w:cs="宋体"/>
                <w:sz w:val="18"/>
                <w:szCs w:val="18"/>
              </w:rPr>
              <w:t>售条件</w:t>
            </w:r>
            <w:proofErr w:type="gramEnd"/>
            <w:r w:rsidRPr="0063248C">
              <w:rPr>
                <w:rFonts w:cs="宋体"/>
                <w:sz w:val="18"/>
                <w:szCs w:val="18"/>
              </w:rPr>
              <w:t>普通股股份数量</w:t>
            </w:r>
          </w:p>
        </w:tc>
        <w:tc>
          <w:tcPr>
            <w:tcW w:w="212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26B14F6" w14:textId="77777777" w:rsidR="007B3DB2" w:rsidRPr="0063248C" w:rsidRDefault="00000000">
            <w:pPr>
              <w:spacing w:before="40" w:after="40" w:line="240" w:lineRule="exact"/>
              <w:jc w:val="center"/>
              <w:rPr>
                <w:rFonts w:cs="宋体"/>
                <w:sz w:val="18"/>
                <w:szCs w:val="18"/>
              </w:rPr>
            </w:pPr>
            <w:r w:rsidRPr="0063248C">
              <w:rPr>
                <w:rFonts w:cs="宋体"/>
                <w:sz w:val="18"/>
                <w:szCs w:val="18"/>
              </w:rPr>
              <w:t>股份种类</w:t>
            </w:r>
          </w:p>
        </w:tc>
      </w:tr>
      <w:tr w:rsidR="007B3DB2" w:rsidRPr="0063248C" w14:paraId="570AFDBA" w14:textId="77777777" w:rsidTr="00D77137">
        <w:trPr>
          <w:trHeight w:val="240"/>
        </w:trPr>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37933213" w14:textId="77777777" w:rsidR="007B3DB2" w:rsidRPr="0063248C" w:rsidRDefault="007B3DB2"/>
        </w:tc>
        <w:tc>
          <w:tcPr>
            <w:tcW w:w="5371"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14:paraId="24F4D7B9" w14:textId="77777777" w:rsidR="007B3DB2" w:rsidRPr="0063248C" w:rsidRDefault="007B3DB2"/>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60049F5C" w14:textId="77777777" w:rsidR="007B3DB2" w:rsidRPr="0063248C" w:rsidRDefault="00000000">
            <w:pPr>
              <w:spacing w:before="40" w:after="40" w:line="240" w:lineRule="exact"/>
              <w:jc w:val="center"/>
              <w:rPr>
                <w:rFonts w:cs="宋体"/>
                <w:sz w:val="18"/>
                <w:szCs w:val="18"/>
              </w:rPr>
            </w:pPr>
            <w:r w:rsidRPr="0063248C">
              <w:rPr>
                <w:rFonts w:cs="宋体"/>
                <w:sz w:val="18"/>
                <w:szCs w:val="18"/>
              </w:rPr>
              <w:t>股份种类</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C626D61" w14:textId="77777777" w:rsidR="007B3DB2" w:rsidRPr="0063248C" w:rsidRDefault="00000000">
            <w:pPr>
              <w:spacing w:before="40" w:after="40" w:line="240" w:lineRule="exact"/>
              <w:jc w:val="center"/>
              <w:rPr>
                <w:rFonts w:cs="宋体"/>
                <w:sz w:val="18"/>
                <w:szCs w:val="18"/>
              </w:rPr>
            </w:pPr>
            <w:r w:rsidRPr="0063248C">
              <w:rPr>
                <w:rFonts w:cs="宋体"/>
                <w:sz w:val="18"/>
                <w:szCs w:val="18"/>
              </w:rPr>
              <w:t>数量</w:t>
            </w:r>
          </w:p>
        </w:tc>
      </w:tr>
      <w:tr w:rsidR="007B3DB2" w:rsidRPr="0063248C" w14:paraId="2607C377" w14:textId="77777777" w:rsidTr="00D77137">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5BB49A17"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5371" w:type="dxa"/>
            <w:gridSpan w:val="5"/>
            <w:tcBorders>
              <w:top w:val="single" w:sz="2" w:space="0" w:color="auto"/>
              <w:left w:val="single" w:sz="2" w:space="0" w:color="auto"/>
              <w:bottom w:val="single" w:sz="2" w:space="0" w:color="auto"/>
              <w:right w:val="single" w:sz="2" w:space="0" w:color="auto"/>
            </w:tcBorders>
            <w:vAlign w:val="center"/>
          </w:tcPr>
          <w:p w14:paraId="3A88562C" w14:textId="77777777" w:rsidR="007B3DB2" w:rsidRPr="0063248C" w:rsidRDefault="00000000">
            <w:pPr>
              <w:spacing w:line="240" w:lineRule="exact"/>
              <w:jc w:val="right"/>
              <w:rPr>
                <w:rFonts w:cs="宋体"/>
                <w:sz w:val="18"/>
                <w:szCs w:val="18"/>
              </w:rPr>
            </w:pPr>
            <w:r w:rsidRPr="0063248C">
              <w:rPr>
                <w:rFonts w:cs="宋体"/>
                <w:sz w:val="18"/>
                <w:szCs w:val="18"/>
              </w:rPr>
              <w:t>293,885,800</w:t>
            </w:r>
          </w:p>
        </w:tc>
        <w:tc>
          <w:tcPr>
            <w:tcW w:w="992" w:type="dxa"/>
            <w:tcBorders>
              <w:top w:val="single" w:sz="2" w:space="0" w:color="auto"/>
              <w:left w:val="single" w:sz="2" w:space="0" w:color="auto"/>
              <w:bottom w:val="single" w:sz="2" w:space="0" w:color="auto"/>
              <w:right w:val="single" w:sz="2" w:space="0" w:color="auto"/>
            </w:tcBorders>
            <w:vAlign w:val="center"/>
          </w:tcPr>
          <w:p w14:paraId="1B5EAC74" w14:textId="77777777" w:rsidR="007B3DB2" w:rsidRPr="0063248C" w:rsidRDefault="00000000">
            <w:pPr>
              <w:spacing w:line="240" w:lineRule="exact"/>
              <w:rPr>
                <w:rFonts w:cs="宋体"/>
                <w:sz w:val="18"/>
                <w:szCs w:val="18"/>
              </w:rPr>
            </w:pPr>
            <w:r w:rsidRPr="0063248C">
              <w:rPr>
                <w:rFonts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1A0AA926" w14:textId="77777777" w:rsidR="007B3DB2" w:rsidRPr="0063248C" w:rsidRDefault="00000000">
            <w:pPr>
              <w:spacing w:line="240" w:lineRule="exact"/>
              <w:jc w:val="right"/>
              <w:rPr>
                <w:rFonts w:cs="宋体"/>
                <w:sz w:val="18"/>
                <w:szCs w:val="18"/>
              </w:rPr>
            </w:pPr>
            <w:r w:rsidRPr="0063248C">
              <w:rPr>
                <w:rFonts w:cs="宋体"/>
                <w:sz w:val="18"/>
                <w:szCs w:val="18"/>
              </w:rPr>
              <w:t>293,885,800</w:t>
            </w:r>
          </w:p>
        </w:tc>
      </w:tr>
      <w:tr w:rsidR="007B3DB2" w:rsidRPr="0063248C" w14:paraId="53B5512D" w14:textId="77777777" w:rsidTr="00D77137">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12E2699A" w14:textId="77777777" w:rsidR="007B3DB2" w:rsidRPr="0063248C" w:rsidRDefault="00000000">
            <w:pPr>
              <w:spacing w:line="240" w:lineRule="exact"/>
              <w:rPr>
                <w:rFonts w:cs="宋体"/>
                <w:sz w:val="18"/>
                <w:szCs w:val="18"/>
              </w:rPr>
            </w:pPr>
            <w:r w:rsidRPr="0063248C">
              <w:rPr>
                <w:rFonts w:cs="宋体"/>
                <w:sz w:val="18"/>
                <w:szCs w:val="18"/>
              </w:rPr>
              <w:t>莱阳银龙投资有限公司</w:t>
            </w:r>
          </w:p>
        </w:tc>
        <w:tc>
          <w:tcPr>
            <w:tcW w:w="5371" w:type="dxa"/>
            <w:gridSpan w:val="5"/>
            <w:tcBorders>
              <w:top w:val="single" w:sz="2" w:space="0" w:color="auto"/>
              <w:left w:val="single" w:sz="2" w:space="0" w:color="auto"/>
              <w:bottom w:val="single" w:sz="2" w:space="0" w:color="auto"/>
              <w:right w:val="single" w:sz="2" w:space="0" w:color="auto"/>
            </w:tcBorders>
            <w:vAlign w:val="center"/>
          </w:tcPr>
          <w:p w14:paraId="12F9E35C" w14:textId="77777777" w:rsidR="007B3DB2" w:rsidRPr="0063248C" w:rsidRDefault="00000000">
            <w:pPr>
              <w:spacing w:line="240" w:lineRule="exact"/>
              <w:jc w:val="right"/>
              <w:rPr>
                <w:rFonts w:cs="宋体"/>
                <w:sz w:val="18"/>
                <w:szCs w:val="18"/>
              </w:rPr>
            </w:pPr>
            <w:r w:rsidRPr="0063248C">
              <w:rPr>
                <w:rFonts w:cs="宋体"/>
                <w:sz w:val="18"/>
                <w:szCs w:val="18"/>
              </w:rPr>
              <w:t>78,676,000</w:t>
            </w:r>
          </w:p>
        </w:tc>
        <w:tc>
          <w:tcPr>
            <w:tcW w:w="992" w:type="dxa"/>
            <w:tcBorders>
              <w:top w:val="single" w:sz="2" w:space="0" w:color="auto"/>
              <w:left w:val="single" w:sz="2" w:space="0" w:color="auto"/>
              <w:bottom w:val="single" w:sz="2" w:space="0" w:color="auto"/>
              <w:right w:val="single" w:sz="2" w:space="0" w:color="auto"/>
            </w:tcBorders>
            <w:vAlign w:val="center"/>
          </w:tcPr>
          <w:p w14:paraId="1793EC8F" w14:textId="77777777" w:rsidR="007B3DB2" w:rsidRPr="0063248C" w:rsidRDefault="00000000">
            <w:pPr>
              <w:spacing w:line="240" w:lineRule="exact"/>
              <w:rPr>
                <w:rFonts w:cs="宋体"/>
                <w:sz w:val="18"/>
                <w:szCs w:val="18"/>
              </w:rPr>
            </w:pPr>
            <w:r w:rsidRPr="0063248C">
              <w:rPr>
                <w:rFonts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20E6DCE7" w14:textId="77777777" w:rsidR="007B3DB2" w:rsidRPr="0063248C" w:rsidRDefault="00000000">
            <w:pPr>
              <w:spacing w:line="240" w:lineRule="exact"/>
              <w:jc w:val="right"/>
              <w:rPr>
                <w:rFonts w:cs="宋体"/>
                <w:sz w:val="18"/>
                <w:szCs w:val="18"/>
              </w:rPr>
            </w:pPr>
            <w:r w:rsidRPr="0063248C">
              <w:rPr>
                <w:rFonts w:cs="宋体"/>
                <w:sz w:val="18"/>
                <w:szCs w:val="18"/>
              </w:rPr>
              <w:t>78,676,000</w:t>
            </w:r>
          </w:p>
        </w:tc>
      </w:tr>
      <w:tr w:rsidR="007B3DB2" w:rsidRPr="0063248C" w14:paraId="6C9D60B2" w14:textId="77777777" w:rsidTr="00D77137">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6DF7FB38" w14:textId="77777777" w:rsidR="007B3DB2" w:rsidRPr="0063248C" w:rsidRDefault="00000000">
            <w:pPr>
              <w:spacing w:line="240" w:lineRule="exact"/>
              <w:rPr>
                <w:rFonts w:cs="宋体"/>
                <w:sz w:val="18"/>
                <w:szCs w:val="18"/>
              </w:rPr>
            </w:pPr>
            <w:r w:rsidRPr="0063248C">
              <w:rPr>
                <w:rFonts w:cs="宋体"/>
                <w:sz w:val="18"/>
                <w:szCs w:val="18"/>
              </w:rPr>
              <w:t>青岛</w:t>
            </w:r>
            <w:proofErr w:type="gramStart"/>
            <w:r w:rsidRPr="0063248C">
              <w:rPr>
                <w:rFonts w:cs="宋体"/>
                <w:sz w:val="18"/>
                <w:szCs w:val="18"/>
              </w:rPr>
              <w:t>洪亨亚</w:t>
            </w:r>
            <w:proofErr w:type="gramEnd"/>
            <w:r w:rsidRPr="0063248C">
              <w:rPr>
                <w:rFonts w:cs="宋体"/>
                <w:sz w:val="18"/>
                <w:szCs w:val="18"/>
              </w:rPr>
              <w:t>和实业有限公司</w:t>
            </w:r>
          </w:p>
        </w:tc>
        <w:tc>
          <w:tcPr>
            <w:tcW w:w="5371" w:type="dxa"/>
            <w:gridSpan w:val="5"/>
            <w:tcBorders>
              <w:top w:val="single" w:sz="2" w:space="0" w:color="auto"/>
              <w:left w:val="single" w:sz="2" w:space="0" w:color="auto"/>
              <w:bottom w:val="single" w:sz="2" w:space="0" w:color="auto"/>
              <w:right w:val="single" w:sz="2" w:space="0" w:color="auto"/>
            </w:tcBorders>
            <w:vAlign w:val="center"/>
          </w:tcPr>
          <w:p w14:paraId="5D6D854F" w14:textId="77777777" w:rsidR="007B3DB2" w:rsidRPr="0063248C" w:rsidRDefault="00000000">
            <w:pPr>
              <w:spacing w:line="240" w:lineRule="exact"/>
              <w:jc w:val="right"/>
              <w:rPr>
                <w:rFonts w:cs="宋体"/>
                <w:sz w:val="18"/>
                <w:szCs w:val="18"/>
              </w:rPr>
            </w:pPr>
            <w:r w:rsidRPr="0063248C">
              <w:rPr>
                <w:rFonts w:cs="宋体"/>
                <w:sz w:val="18"/>
                <w:szCs w:val="18"/>
              </w:rPr>
              <w:t>59,714,200</w:t>
            </w:r>
          </w:p>
        </w:tc>
        <w:tc>
          <w:tcPr>
            <w:tcW w:w="992" w:type="dxa"/>
            <w:tcBorders>
              <w:top w:val="single" w:sz="2" w:space="0" w:color="auto"/>
              <w:left w:val="single" w:sz="2" w:space="0" w:color="auto"/>
              <w:bottom w:val="single" w:sz="2" w:space="0" w:color="auto"/>
              <w:right w:val="single" w:sz="2" w:space="0" w:color="auto"/>
            </w:tcBorders>
            <w:vAlign w:val="center"/>
          </w:tcPr>
          <w:p w14:paraId="4DA00C2D" w14:textId="77777777" w:rsidR="007B3DB2" w:rsidRPr="0063248C" w:rsidRDefault="00000000">
            <w:pPr>
              <w:spacing w:line="240" w:lineRule="exact"/>
              <w:rPr>
                <w:rFonts w:cs="宋体"/>
                <w:sz w:val="18"/>
                <w:szCs w:val="18"/>
              </w:rPr>
            </w:pPr>
            <w:r w:rsidRPr="0063248C">
              <w:rPr>
                <w:rFonts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10000A72" w14:textId="77777777" w:rsidR="007B3DB2" w:rsidRPr="0063248C" w:rsidRDefault="00000000">
            <w:pPr>
              <w:spacing w:line="240" w:lineRule="exact"/>
              <w:jc w:val="right"/>
              <w:rPr>
                <w:rFonts w:cs="宋体"/>
                <w:sz w:val="18"/>
                <w:szCs w:val="18"/>
              </w:rPr>
            </w:pPr>
            <w:r w:rsidRPr="0063248C">
              <w:rPr>
                <w:rFonts w:cs="宋体"/>
                <w:sz w:val="18"/>
                <w:szCs w:val="18"/>
              </w:rPr>
              <w:t>59,714,200</w:t>
            </w:r>
          </w:p>
        </w:tc>
      </w:tr>
      <w:tr w:rsidR="007B3DB2" w:rsidRPr="0063248C" w14:paraId="0F1DB90D" w14:textId="77777777" w:rsidTr="00D77137">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6C939016" w14:textId="77777777" w:rsidR="007B3DB2" w:rsidRPr="0063248C" w:rsidRDefault="00000000">
            <w:pPr>
              <w:spacing w:line="240" w:lineRule="exact"/>
              <w:rPr>
                <w:rFonts w:cs="宋体"/>
                <w:sz w:val="18"/>
                <w:szCs w:val="18"/>
              </w:rPr>
            </w:pPr>
            <w:r w:rsidRPr="0063248C">
              <w:rPr>
                <w:rFonts w:cs="宋体"/>
                <w:sz w:val="18"/>
                <w:szCs w:val="18"/>
              </w:rPr>
              <w:t>银河德</w:t>
            </w:r>
            <w:proofErr w:type="gramStart"/>
            <w:r w:rsidRPr="0063248C">
              <w:rPr>
                <w:rFonts w:cs="宋体"/>
                <w:sz w:val="18"/>
                <w:szCs w:val="18"/>
              </w:rPr>
              <w:t>睿</w:t>
            </w:r>
            <w:proofErr w:type="gramEnd"/>
            <w:r w:rsidRPr="0063248C">
              <w:rPr>
                <w:rFonts w:cs="宋体"/>
                <w:sz w:val="18"/>
                <w:szCs w:val="18"/>
              </w:rPr>
              <w:t>资本管理有限公司</w:t>
            </w:r>
          </w:p>
        </w:tc>
        <w:tc>
          <w:tcPr>
            <w:tcW w:w="5371" w:type="dxa"/>
            <w:gridSpan w:val="5"/>
            <w:tcBorders>
              <w:top w:val="single" w:sz="2" w:space="0" w:color="auto"/>
              <w:left w:val="single" w:sz="2" w:space="0" w:color="auto"/>
              <w:bottom w:val="single" w:sz="2" w:space="0" w:color="auto"/>
              <w:right w:val="single" w:sz="2" w:space="0" w:color="auto"/>
            </w:tcBorders>
            <w:vAlign w:val="center"/>
          </w:tcPr>
          <w:p w14:paraId="740B8CE8" w14:textId="77777777" w:rsidR="007B3DB2" w:rsidRPr="0063248C" w:rsidRDefault="00000000">
            <w:pPr>
              <w:spacing w:line="240" w:lineRule="exact"/>
              <w:jc w:val="right"/>
              <w:rPr>
                <w:rFonts w:cs="宋体"/>
                <w:sz w:val="18"/>
                <w:szCs w:val="18"/>
              </w:rPr>
            </w:pPr>
            <w:r w:rsidRPr="0063248C">
              <w:rPr>
                <w:rFonts w:cs="宋体"/>
                <w:sz w:val="18"/>
                <w:szCs w:val="18"/>
              </w:rPr>
              <w:t>36,814,305</w:t>
            </w:r>
          </w:p>
        </w:tc>
        <w:tc>
          <w:tcPr>
            <w:tcW w:w="992" w:type="dxa"/>
            <w:tcBorders>
              <w:top w:val="single" w:sz="2" w:space="0" w:color="auto"/>
              <w:left w:val="single" w:sz="2" w:space="0" w:color="auto"/>
              <w:bottom w:val="single" w:sz="2" w:space="0" w:color="auto"/>
              <w:right w:val="single" w:sz="2" w:space="0" w:color="auto"/>
            </w:tcBorders>
            <w:vAlign w:val="center"/>
          </w:tcPr>
          <w:p w14:paraId="7A29964A" w14:textId="77777777" w:rsidR="007B3DB2" w:rsidRPr="0063248C" w:rsidRDefault="00000000">
            <w:pPr>
              <w:spacing w:line="240" w:lineRule="exact"/>
              <w:rPr>
                <w:rFonts w:cs="宋体"/>
                <w:sz w:val="18"/>
                <w:szCs w:val="18"/>
              </w:rPr>
            </w:pPr>
            <w:r w:rsidRPr="0063248C">
              <w:rPr>
                <w:rFonts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28779862" w14:textId="77777777" w:rsidR="007B3DB2" w:rsidRPr="0063248C" w:rsidRDefault="00000000">
            <w:pPr>
              <w:spacing w:line="240" w:lineRule="exact"/>
              <w:jc w:val="right"/>
              <w:rPr>
                <w:rFonts w:cs="宋体"/>
                <w:sz w:val="18"/>
                <w:szCs w:val="18"/>
              </w:rPr>
            </w:pPr>
            <w:r w:rsidRPr="0063248C">
              <w:rPr>
                <w:rFonts w:cs="宋体"/>
                <w:sz w:val="18"/>
                <w:szCs w:val="18"/>
              </w:rPr>
              <w:t>36,814,305</w:t>
            </w:r>
          </w:p>
        </w:tc>
      </w:tr>
      <w:tr w:rsidR="007B3DB2" w:rsidRPr="0063248C" w14:paraId="387D1944" w14:textId="77777777" w:rsidTr="00D77137">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0250EC36" w14:textId="77777777" w:rsidR="007B3DB2" w:rsidRPr="0063248C" w:rsidRDefault="00000000">
            <w:pPr>
              <w:spacing w:line="240" w:lineRule="exact"/>
              <w:rPr>
                <w:rFonts w:cs="宋体"/>
                <w:sz w:val="18"/>
                <w:szCs w:val="18"/>
              </w:rPr>
            </w:pPr>
            <w:proofErr w:type="gramStart"/>
            <w:r w:rsidRPr="0063248C">
              <w:rPr>
                <w:rFonts w:cs="宋体"/>
                <w:sz w:val="18"/>
                <w:szCs w:val="18"/>
              </w:rPr>
              <w:t>晟弘资产</w:t>
            </w:r>
            <w:proofErr w:type="gramEnd"/>
            <w:r w:rsidRPr="0063248C">
              <w:rPr>
                <w:rFonts w:cs="宋体"/>
                <w:sz w:val="18"/>
                <w:szCs w:val="18"/>
              </w:rPr>
              <w:t>管理（珠海）有限公司</w:t>
            </w:r>
          </w:p>
        </w:tc>
        <w:tc>
          <w:tcPr>
            <w:tcW w:w="5371" w:type="dxa"/>
            <w:gridSpan w:val="5"/>
            <w:tcBorders>
              <w:top w:val="single" w:sz="2" w:space="0" w:color="auto"/>
              <w:left w:val="single" w:sz="2" w:space="0" w:color="auto"/>
              <w:bottom w:val="single" w:sz="2" w:space="0" w:color="auto"/>
              <w:right w:val="single" w:sz="2" w:space="0" w:color="auto"/>
            </w:tcBorders>
            <w:vAlign w:val="center"/>
          </w:tcPr>
          <w:p w14:paraId="758287D7" w14:textId="77777777" w:rsidR="007B3DB2" w:rsidRPr="0063248C" w:rsidRDefault="00000000">
            <w:pPr>
              <w:spacing w:line="240" w:lineRule="exact"/>
              <w:jc w:val="right"/>
              <w:rPr>
                <w:rFonts w:cs="宋体"/>
                <w:sz w:val="18"/>
                <w:szCs w:val="18"/>
              </w:rPr>
            </w:pPr>
            <w:r w:rsidRPr="0063248C">
              <w:rPr>
                <w:rFonts w:cs="宋体"/>
                <w:sz w:val="18"/>
                <w:szCs w:val="18"/>
              </w:rPr>
              <w:t>29,376,135</w:t>
            </w:r>
          </w:p>
        </w:tc>
        <w:tc>
          <w:tcPr>
            <w:tcW w:w="992" w:type="dxa"/>
            <w:tcBorders>
              <w:top w:val="single" w:sz="2" w:space="0" w:color="auto"/>
              <w:left w:val="single" w:sz="2" w:space="0" w:color="auto"/>
              <w:bottom w:val="single" w:sz="2" w:space="0" w:color="auto"/>
              <w:right w:val="single" w:sz="2" w:space="0" w:color="auto"/>
            </w:tcBorders>
            <w:vAlign w:val="center"/>
          </w:tcPr>
          <w:p w14:paraId="2BA2341A" w14:textId="77777777" w:rsidR="007B3DB2" w:rsidRPr="0063248C" w:rsidRDefault="00000000">
            <w:pPr>
              <w:spacing w:line="240" w:lineRule="exact"/>
              <w:rPr>
                <w:rFonts w:cs="宋体"/>
                <w:sz w:val="18"/>
                <w:szCs w:val="18"/>
              </w:rPr>
            </w:pPr>
            <w:r w:rsidRPr="0063248C">
              <w:rPr>
                <w:rFonts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08B590B5" w14:textId="77777777" w:rsidR="007B3DB2" w:rsidRPr="0063248C" w:rsidRDefault="00000000">
            <w:pPr>
              <w:spacing w:line="240" w:lineRule="exact"/>
              <w:jc w:val="right"/>
              <w:rPr>
                <w:rFonts w:cs="宋体"/>
                <w:sz w:val="18"/>
                <w:szCs w:val="18"/>
              </w:rPr>
            </w:pPr>
            <w:r w:rsidRPr="0063248C">
              <w:rPr>
                <w:rFonts w:cs="宋体"/>
                <w:sz w:val="18"/>
                <w:szCs w:val="18"/>
              </w:rPr>
              <w:t>29,376,135</w:t>
            </w:r>
          </w:p>
        </w:tc>
      </w:tr>
      <w:tr w:rsidR="007B3DB2" w:rsidRPr="0063248C" w14:paraId="5F0E2411" w14:textId="77777777" w:rsidTr="00D77137">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323F114F" w14:textId="77777777" w:rsidR="007B3DB2" w:rsidRPr="0063248C" w:rsidRDefault="00000000">
            <w:pPr>
              <w:spacing w:line="240" w:lineRule="exact"/>
              <w:rPr>
                <w:rFonts w:cs="宋体"/>
                <w:sz w:val="18"/>
                <w:szCs w:val="18"/>
              </w:rPr>
            </w:pPr>
            <w:r w:rsidRPr="0063248C">
              <w:rPr>
                <w:rFonts w:cs="宋体"/>
                <w:sz w:val="18"/>
                <w:szCs w:val="18"/>
              </w:rPr>
              <w:t>青岛恒南科技有限公司</w:t>
            </w:r>
          </w:p>
        </w:tc>
        <w:tc>
          <w:tcPr>
            <w:tcW w:w="5371" w:type="dxa"/>
            <w:gridSpan w:val="5"/>
            <w:tcBorders>
              <w:top w:val="single" w:sz="2" w:space="0" w:color="auto"/>
              <w:left w:val="single" w:sz="2" w:space="0" w:color="auto"/>
              <w:bottom w:val="single" w:sz="2" w:space="0" w:color="auto"/>
              <w:right w:val="single" w:sz="2" w:space="0" w:color="auto"/>
            </w:tcBorders>
            <w:vAlign w:val="center"/>
          </w:tcPr>
          <w:p w14:paraId="3887C1BE" w14:textId="77777777" w:rsidR="007B3DB2" w:rsidRPr="0063248C" w:rsidRDefault="00000000">
            <w:pPr>
              <w:spacing w:line="240" w:lineRule="exact"/>
              <w:jc w:val="right"/>
              <w:rPr>
                <w:rFonts w:cs="宋体"/>
                <w:sz w:val="18"/>
                <w:szCs w:val="18"/>
              </w:rPr>
            </w:pPr>
            <w:r w:rsidRPr="0063248C">
              <w:rPr>
                <w:rFonts w:cs="宋体"/>
                <w:sz w:val="18"/>
                <w:szCs w:val="18"/>
              </w:rPr>
              <w:t>20,052,183</w:t>
            </w:r>
          </w:p>
        </w:tc>
        <w:tc>
          <w:tcPr>
            <w:tcW w:w="992" w:type="dxa"/>
            <w:tcBorders>
              <w:top w:val="single" w:sz="2" w:space="0" w:color="auto"/>
              <w:left w:val="single" w:sz="2" w:space="0" w:color="auto"/>
              <w:bottom w:val="single" w:sz="2" w:space="0" w:color="auto"/>
              <w:right w:val="single" w:sz="2" w:space="0" w:color="auto"/>
            </w:tcBorders>
            <w:vAlign w:val="center"/>
          </w:tcPr>
          <w:p w14:paraId="4B2058C9" w14:textId="77777777" w:rsidR="007B3DB2" w:rsidRPr="0063248C" w:rsidRDefault="00000000">
            <w:pPr>
              <w:spacing w:line="240" w:lineRule="exact"/>
              <w:rPr>
                <w:rFonts w:cs="宋体"/>
                <w:sz w:val="18"/>
                <w:szCs w:val="18"/>
              </w:rPr>
            </w:pPr>
            <w:r w:rsidRPr="0063248C">
              <w:rPr>
                <w:rFonts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32FAEACA" w14:textId="77777777" w:rsidR="007B3DB2" w:rsidRPr="0063248C" w:rsidRDefault="00000000">
            <w:pPr>
              <w:spacing w:line="240" w:lineRule="exact"/>
              <w:jc w:val="right"/>
              <w:rPr>
                <w:rFonts w:cs="宋体"/>
                <w:sz w:val="18"/>
                <w:szCs w:val="18"/>
              </w:rPr>
            </w:pPr>
            <w:r w:rsidRPr="0063248C">
              <w:rPr>
                <w:rFonts w:cs="宋体"/>
                <w:sz w:val="18"/>
                <w:szCs w:val="18"/>
              </w:rPr>
              <w:t>20,052,183</w:t>
            </w:r>
          </w:p>
        </w:tc>
      </w:tr>
      <w:tr w:rsidR="007B3DB2" w:rsidRPr="0063248C" w14:paraId="0AC28139" w14:textId="77777777" w:rsidTr="00D77137">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3C8A9477" w14:textId="77777777" w:rsidR="007B3DB2" w:rsidRPr="0063248C" w:rsidRDefault="00000000">
            <w:pPr>
              <w:spacing w:line="240" w:lineRule="exact"/>
              <w:rPr>
                <w:rFonts w:cs="宋体"/>
                <w:sz w:val="18"/>
                <w:szCs w:val="18"/>
              </w:rPr>
            </w:pPr>
            <w:r w:rsidRPr="0063248C">
              <w:rPr>
                <w:rFonts w:cs="宋体"/>
                <w:sz w:val="18"/>
                <w:szCs w:val="18"/>
              </w:rPr>
              <w:t>上海鼎译智能科技有限公司</w:t>
            </w:r>
          </w:p>
        </w:tc>
        <w:tc>
          <w:tcPr>
            <w:tcW w:w="5371" w:type="dxa"/>
            <w:gridSpan w:val="5"/>
            <w:tcBorders>
              <w:top w:val="single" w:sz="2" w:space="0" w:color="auto"/>
              <w:left w:val="single" w:sz="2" w:space="0" w:color="auto"/>
              <w:bottom w:val="single" w:sz="2" w:space="0" w:color="auto"/>
              <w:right w:val="single" w:sz="2" w:space="0" w:color="auto"/>
            </w:tcBorders>
            <w:vAlign w:val="center"/>
          </w:tcPr>
          <w:p w14:paraId="2B6E6F79" w14:textId="77777777" w:rsidR="007B3DB2" w:rsidRPr="0063248C" w:rsidRDefault="00000000">
            <w:pPr>
              <w:spacing w:line="240" w:lineRule="exact"/>
              <w:jc w:val="right"/>
              <w:rPr>
                <w:rFonts w:cs="宋体"/>
                <w:sz w:val="18"/>
                <w:szCs w:val="18"/>
              </w:rPr>
            </w:pPr>
            <w:r w:rsidRPr="0063248C">
              <w:rPr>
                <w:rFonts w:cs="宋体"/>
                <w:sz w:val="18"/>
                <w:szCs w:val="18"/>
              </w:rPr>
              <w:t>20,027,971</w:t>
            </w:r>
          </w:p>
        </w:tc>
        <w:tc>
          <w:tcPr>
            <w:tcW w:w="992" w:type="dxa"/>
            <w:tcBorders>
              <w:top w:val="single" w:sz="2" w:space="0" w:color="auto"/>
              <w:left w:val="single" w:sz="2" w:space="0" w:color="auto"/>
              <w:bottom w:val="single" w:sz="2" w:space="0" w:color="auto"/>
              <w:right w:val="single" w:sz="2" w:space="0" w:color="auto"/>
            </w:tcBorders>
            <w:vAlign w:val="center"/>
          </w:tcPr>
          <w:p w14:paraId="46B7516B" w14:textId="77777777" w:rsidR="007B3DB2" w:rsidRPr="0063248C" w:rsidRDefault="00000000">
            <w:pPr>
              <w:spacing w:line="240" w:lineRule="exact"/>
              <w:rPr>
                <w:rFonts w:cs="宋体"/>
                <w:sz w:val="18"/>
                <w:szCs w:val="18"/>
              </w:rPr>
            </w:pPr>
            <w:r w:rsidRPr="0063248C">
              <w:rPr>
                <w:rFonts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01BB5542" w14:textId="77777777" w:rsidR="007B3DB2" w:rsidRPr="0063248C" w:rsidRDefault="00000000">
            <w:pPr>
              <w:spacing w:line="240" w:lineRule="exact"/>
              <w:jc w:val="right"/>
              <w:rPr>
                <w:rFonts w:cs="宋体"/>
                <w:sz w:val="18"/>
                <w:szCs w:val="18"/>
              </w:rPr>
            </w:pPr>
            <w:r w:rsidRPr="0063248C">
              <w:rPr>
                <w:rFonts w:cs="宋体"/>
                <w:sz w:val="18"/>
                <w:szCs w:val="18"/>
              </w:rPr>
              <w:t>20,027,971</w:t>
            </w:r>
          </w:p>
        </w:tc>
      </w:tr>
      <w:tr w:rsidR="007B3DB2" w:rsidRPr="0063248C" w14:paraId="082F78F8" w14:textId="77777777" w:rsidTr="00D77137">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62E41CAF" w14:textId="77777777" w:rsidR="007B3DB2" w:rsidRPr="0063248C" w:rsidRDefault="00000000">
            <w:pPr>
              <w:spacing w:line="240" w:lineRule="exact"/>
              <w:rPr>
                <w:rFonts w:cs="宋体"/>
                <w:sz w:val="18"/>
                <w:szCs w:val="18"/>
              </w:rPr>
            </w:pPr>
            <w:r w:rsidRPr="0063248C">
              <w:rPr>
                <w:rFonts w:cs="宋体"/>
                <w:sz w:val="18"/>
                <w:szCs w:val="18"/>
              </w:rPr>
              <w:t>青岛源雅商贸有限公司</w:t>
            </w:r>
          </w:p>
        </w:tc>
        <w:tc>
          <w:tcPr>
            <w:tcW w:w="5371" w:type="dxa"/>
            <w:gridSpan w:val="5"/>
            <w:tcBorders>
              <w:top w:val="single" w:sz="2" w:space="0" w:color="auto"/>
              <w:left w:val="single" w:sz="2" w:space="0" w:color="auto"/>
              <w:bottom w:val="single" w:sz="2" w:space="0" w:color="auto"/>
              <w:right w:val="single" w:sz="2" w:space="0" w:color="auto"/>
            </w:tcBorders>
            <w:vAlign w:val="center"/>
          </w:tcPr>
          <w:p w14:paraId="642D4027" w14:textId="77777777" w:rsidR="007B3DB2" w:rsidRPr="0063248C" w:rsidRDefault="00000000">
            <w:pPr>
              <w:spacing w:line="240" w:lineRule="exact"/>
              <w:jc w:val="right"/>
              <w:rPr>
                <w:rFonts w:cs="宋体"/>
                <w:sz w:val="18"/>
                <w:szCs w:val="18"/>
              </w:rPr>
            </w:pPr>
            <w:r w:rsidRPr="0063248C">
              <w:rPr>
                <w:rFonts w:cs="宋体"/>
                <w:sz w:val="18"/>
                <w:szCs w:val="18"/>
              </w:rPr>
              <w:t>19,859,809</w:t>
            </w:r>
          </w:p>
        </w:tc>
        <w:tc>
          <w:tcPr>
            <w:tcW w:w="992" w:type="dxa"/>
            <w:tcBorders>
              <w:top w:val="single" w:sz="2" w:space="0" w:color="auto"/>
              <w:left w:val="single" w:sz="2" w:space="0" w:color="auto"/>
              <w:bottom w:val="single" w:sz="2" w:space="0" w:color="auto"/>
              <w:right w:val="single" w:sz="2" w:space="0" w:color="auto"/>
            </w:tcBorders>
            <w:vAlign w:val="center"/>
          </w:tcPr>
          <w:p w14:paraId="3702F9E0" w14:textId="77777777" w:rsidR="007B3DB2" w:rsidRPr="0063248C" w:rsidRDefault="00000000">
            <w:pPr>
              <w:spacing w:line="240" w:lineRule="exact"/>
              <w:rPr>
                <w:rFonts w:cs="宋体"/>
                <w:sz w:val="18"/>
                <w:szCs w:val="18"/>
              </w:rPr>
            </w:pPr>
            <w:r w:rsidRPr="0063248C">
              <w:rPr>
                <w:rFonts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0838DAD3" w14:textId="77777777" w:rsidR="007B3DB2" w:rsidRPr="0063248C" w:rsidRDefault="00000000">
            <w:pPr>
              <w:spacing w:line="240" w:lineRule="exact"/>
              <w:jc w:val="right"/>
              <w:rPr>
                <w:rFonts w:cs="宋体"/>
                <w:sz w:val="18"/>
                <w:szCs w:val="18"/>
              </w:rPr>
            </w:pPr>
            <w:r w:rsidRPr="0063248C">
              <w:rPr>
                <w:rFonts w:cs="宋体"/>
                <w:sz w:val="18"/>
                <w:szCs w:val="18"/>
              </w:rPr>
              <w:t>19,859,809</w:t>
            </w:r>
          </w:p>
        </w:tc>
      </w:tr>
      <w:tr w:rsidR="007B3DB2" w:rsidRPr="0063248C" w14:paraId="624A927E" w14:textId="77777777" w:rsidTr="00D77137">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20406AEF" w14:textId="77777777" w:rsidR="007B3DB2" w:rsidRPr="0063248C" w:rsidRDefault="00000000">
            <w:pPr>
              <w:spacing w:line="240" w:lineRule="exact"/>
              <w:rPr>
                <w:rFonts w:cs="宋体"/>
                <w:sz w:val="18"/>
                <w:szCs w:val="18"/>
              </w:rPr>
            </w:pPr>
            <w:r w:rsidRPr="0063248C">
              <w:rPr>
                <w:rFonts w:cs="宋体"/>
                <w:sz w:val="18"/>
                <w:szCs w:val="18"/>
              </w:rPr>
              <w:t>上海芬隆实业有限公司</w:t>
            </w:r>
          </w:p>
        </w:tc>
        <w:tc>
          <w:tcPr>
            <w:tcW w:w="5371" w:type="dxa"/>
            <w:gridSpan w:val="5"/>
            <w:tcBorders>
              <w:top w:val="single" w:sz="2" w:space="0" w:color="auto"/>
              <w:left w:val="single" w:sz="2" w:space="0" w:color="auto"/>
              <w:bottom w:val="single" w:sz="2" w:space="0" w:color="auto"/>
              <w:right w:val="single" w:sz="2" w:space="0" w:color="auto"/>
            </w:tcBorders>
            <w:vAlign w:val="center"/>
          </w:tcPr>
          <w:p w14:paraId="62530613" w14:textId="77777777" w:rsidR="007B3DB2" w:rsidRPr="0063248C" w:rsidRDefault="00000000">
            <w:pPr>
              <w:spacing w:line="240" w:lineRule="exact"/>
              <w:jc w:val="right"/>
              <w:rPr>
                <w:rFonts w:cs="宋体"/>
                <w:sz w:val="18"/>
                <w:szCs w:val="18"/>
              </w:rPr>
            </w:pPr>
            <w:r w:rsidRPr="0063248C">
              <w:rPr>
                <w:rFonts w:cs="宋体"/>
                <w:sz w:val="18"/>
                <w:szCs w:val="18"/>
              </w:rPr>
              <w:t>17,264,973</w:t>
            </w:r>
          </w:p>
        </w:tc>
        <w:tc>
          <w:tcPr>
            <w:tcW w:w="992" w:type="dxa"/>
            <w:tcBorders>
              <w:top w:val="single" w:sz="2" w:space="0" w:color="auto"/>
              <w:left w:val="single" w:sz="2" w:space="0" w:color="auto"/>
              <w:bottom w:val="single" w:sz="2" w:space="0" w:color="auto"/>
              <w:right w:val="single" w:sz="2" w:space="0" w:color="auto"/>
            </w:tcBorders>
            <w:vAlign w:val="center"/>
          </w:tcPr>
          <w:p w14:paraId="261CEA09" w14:textId="77777777" w:rsidR="007B3DB2" w:rsidRPr="0063248C" w:rsidRDefault="00000000">
            <w:pPr>
              <w:spacing w:line="240" w:lineRule="exact"/>
              <w:rPr>
                <w:rFonts w:cs="宋体"/>
                <w:sz w:val="18"/>
                <w:szCs w:val="18"/>
              </w:rPr>
            </w:pPr>
            <w:r w:rsidRPr="0063248C">
              <w:rPr>
                <w:rFonts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3E4B1AA9" w14:textId="77777777" w:rsidR="007B3DB2" w:rsidRPr="0063248C" w:rsidRDefault="00000000">
            <w:pPr>
              <w:spacing w:line="240" w:lineRule="exact"/>
              <w:jc w:val="right"/>
              <w:rPr>
                <w:rFonts w:cs="宋体"/>
                <w:sz w:val="18"/>
                <w:szCs w:val="18"/>
              </w:rPr>
            </w:pPr>
            <w:r w:rsidRPr="0063248C">
              <w:rPr>
                <w:rFonts w:cs="宋体"/>
                <w:sz w:val="18"/>
                <w:szCs w:val="18"/>
              </w:rPr>
              <w:t>17,264,973</w:t>
            </w:r>
          </w:p>
        </w:tc>
      </w:tr>
      <w:tr w:rsidR="007B3DB2" w:rsidRPr="0063248C" w14:paraId="0C410189" w14:textId="77777777" w:rsidTr="00D77137">
        <w:trPr>
          <w:trHeight w:val="240"/>
        </w:trPr>
        <w:tc>
          <w:tcPr>
            <w:tcW w:w="2142" w:type="dxa"/>
            <w:gridSpan w:val="2"/>
            <w:tcBorders>
              <w:top w:val="single" w:sz="2" w:space="0" w:color="auto"/>
              <w:left w:val="single" w:sz="2" w:space="0" w:color="auto"/>
              <w:bottom w:val="single" w:sz="2" w:space="0" w:color="auto"/>
              <w:right w:val="single" w:sz="2" w:space="0" w:color="auto"/>
            </w:tcBorders>
            <w:vAlign w:val="center"/>
          </w:tcPr>
          <w:p w14:paraId="61E2E874" w14:textId="77777777" w:rsidR="007B3DB2" w:rsidRPr="0063248C" w:rsidRDefault="00000000">
            <w:pPr>
              <w:spacing w:line="240" w:lineRule="exact"/>
              <w:rPr>
                <w:rFonts w:cs="宋体"/>
                <w:sz w:val="18"/>
                <w:szCs w:val="18"/>
              </w:rPr>
            </w:pPr>
            <w:r w:rsidRPr="0063248C">
              <w:rPr>
                <w:rFonts w:cs="宋体"/>
                <w:sz w:val="18"/>
                <w:szCs w:val="18"/>
              </w:rPr>
              <w:t>伊藤忠（中国）集团有限公司</w:t>
            </w:r>
          </w:p>
        </w:tc>
        <w:tc>
          <w:tcPr>
            <w:tcW w:w="5371" w:type="dxa"/>
            <w:gridSpan w:val="5"/>
            <w:tcBorders>
              <w:top w:val="single" w:sz="2" w:space="0" w:color="auto"/>
              <w:left w:val="single" w:sz="2" w:space="0" w:color="auto"/>
              <w:bottom w:val="single" w:sz="2" w:space="0" w:color="auto"/>
              <w:right w:val="single" w:sz="2" w:space="0" w:color="auto"/>
            </w:tcBorders>
            <w:vAlign w:val="center"/>
          </w:tcPr>
          <w:p w14:paraId="58FC8D92" w14:textId="77777777" w:rsidR="007B3DB2" w:rsidRPr="0063248C" w:rsidRDefault="00000000">
            <w:pPr>
              <w:spacing w:line="240" w:lineRule="exact"/>
              <w:jc w:val="right"/>
              <w:rPr>
                <w:rFonts w:cs="宋体"/>
                <w:sz w:val="18"/>
                <w:szCs w:val="18"/>
              </w:rPr>
            </w:pPr>
            <w:r w:rsidRPr="0063248C">
              <w:rPr>
                <w:rFonts w:cs="宋体"/>
                <w:sz w:val="18"/>
                <w:szCs w:val="18"/>
              </w:rPr>
              <w:t>16,925,500</w:t>
            </w:r>
          </w:p>
        </w:tc>
        <w:tc>
          <w:tcPr>
            <w:tcW w:w="992" w:type="dxa"/>
            <w:tcBorders>
              <w:top w:val="single" w:sz="2" w:space="0" w:color="auto"/>
              <w:left w:val="single" w:sz="2" w:space="0" w:color="auto"/>
              <w:bottom w:val="single" w:sz="2" w:space="0" w:color="auto"/>
              <w:right w:val="single" w:sz="2" w:space="0" w:color="auto"/>
            </w:tcBorders>
            <w:vAlign w:val="center"/>
          </w:tcPr>
          <w:p w14:paraId="6BCFF54D" w14:textId="77777777" w:rsidR="007B3DB2" w:rsidRPr="0063248C" w:rsidRDefault="00000000">
            <w:pPr>
              <w:spacing w:line="240" w:lineRule="exact"/>
              <w:rPr>
                <w:rFonts w:cs="宋体"/>
                <w:sz w:val="18"/>
                <w:szCs w:val="18"/>
              </w:rPr>
            </w:pPr>
            <w:r w:rsidRPr="0063248C">
              <w:rPr>
                <w:rFonts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14:paraId="24026DF4" w14:textId="77777777" w:rsidR="007B3DB2" w:rsidRPr="0063248C" w:rsidRDefault="00000000">
            <w:pPr>
              <w:spacing w:line="240" w:lineRule="exact"/>
              <w:jc w:val="right"/>
              <w:rPr>
                <w:rFonts w:cs="宋体"/>
                <w:sz w:val="18"/>
                <w:szCs w:val="18"/>
              </w:rPr>
            </w:pPr>
            <w:r w:rsidRPr="0063248C">
              <w:rPr>
                <w:rFonts w:cs="宋体"/>
                <w:sz w:val="18"/>
                <w:szCs w:val="18"/>
              </w:rPr>
              <w:t>16,925,500</w:t>
            </w:r>
          </w:p>
        </w:tc>
      </w:tr>
      <w:tr w:rsidR="007B3DB2" w:rsidRPr="0063248C" w14:paraId="2ACB3FBB"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4E49AB8" w14:textId="77777777" w:rsidR="007B3DB2" w:rsidRPr="0063248C" w:rsidRDefault="00000000">
            <w:pPr>
              <w:spacing w:before="40" w:after="40" w:line="240" w:lineRule="exact"/>
              <w:rPr>
                <w:rFonts w:cs="宋体"/>
                <w:sz w:val="18"/>
                <w:szCs w:val="18"/>
              </w:rPr>
            </w:pPr>
            <w:r w:rsidRPr="0063248C">
              <w:rPr>
                <w:rFonts w:cs="宋体"/>
                <w:sz w:val="18"/>
                <w:szCs w:val="18"/>
              </w:rPr>
              <w:t>前</w:t>
            </w:r>
            <w:r w:rsidRPr="0063248C">
              <w:rPr>
                <w:rFonts w:cs="宋体"/>
                <w:sz w:val="18"/>
                <w:szCs w:val="18"/>
              </w:rPr>
              <w:t>10</w:t>
            </w:r>
            <w:r w:rsidRPr="0063248C">
              <w:rPr>
                <w:rFonts w:cs="宋体"/>
                <w:sz w:val="18"/>
                <w:szCs w:val="18"/>
              </w:rPr>
              <w:t>名无限</w:t>
            </w:r>
            <w:proofErr w:type="gramStart"/>
            <w:r w:rsidRPr="0063248C">
              <w:rPr>
                <w:rFonts w:cs="宋体"/>
                <w:sz w:val="18"/>
                <w:szCs w:val="18"/>
              </w:rPr>
              <w:t>售条件</w:t>
            </w:r>
            <w:proofErr w:type="gramEnd"/>
            <w:r w:rsidRPr="0063248C">
              <w:rPr>
                <w:rFonts w:cs="宋体"/>
                <w:sz w:val="18"/>
                <w:szCs w:val="18"/>
              </w:rPr>
              <w:t>普通股股东之间，以及前</w:t>
            </w:r>
            <w:r w:rsidRPr="0063248C">
              <w:rPr>
                <w:rFonts w:cs="宋体"/>
                <w:sz w:val="18"/>
                <w:szCs w:val="18"/>
              </w:rPr>
              <w:t>10</w:t>
            </w:r>
            <w:r w:rsidRPr="0063248C">
              <w:rPr>
                <w:rFonts w:cs="宋体"/>
                <w:sz w:val="18"/>
                <w:szCs w:val="18"/>
              </w:rPr>
              <w:t>名无限</w:t>
            </w:r>
            <w:proofErr w:type="gramStart"/>
            <w:r w:rsidRPr="0063248C">
              <w:rPr>
                <w:rFonts w:cs="宋体"/>
                <w:sz w:val="18"/>
                <w:szCs w:val="18"/>
              </w:rPr>
              <w:t>售条件</w:t>
            </w:r>
            <w:proofErr w:type="gramEnd"/>
            <w:r w:rsidRPr="0063248C">
              <w:rPr>
                <w:rFonts w:cs="宋体"/>
                <w:sz w:val="18"/>
                <w:szCs w:val="18"/>
              </w:rPr>
              <w:t>普通股股东和前</w:t>
            </w:r>
            <w:r w:rsidRPr="0063248C">
              <w:rPr>
                <w:rFonts w:cs="宋体"/>
                <w:sz w:val="18"/>
                <w:szCs w:val="18"/>
              </w:rPr>
              <w:t>10</w:t>
            </w:r>
            <w:r w:rsidRPr="0063248C">
              <w:rPr>
                <w:rFonts w:cs="宋体"/>
                <w:sz w:val="18"/>
                <w:szCs w:val="18"/>
              </w:rPr>
              <w:t>名普通股股东之间关联关系或一致行动的说明</w:t>
            </w:r>
          </w:p>
        </w:tc>
        <w:tc>
          <w:tcPr>
            <w:tcW w:w="7497" w:type="dxa"/>
            <w:gridSpan w:val="7"/>
            <w:tcBorders>
              <w:top w:val="single" w:sz="2" w:space="0" w:color="auto"/>
              <w:left w:val="single" w:sz="2" w:space="0" w:color="auto"/>
              <w:bottom w:val="single" w:sz="2" w:space="0" w:color="auto"/>
              <w:right w:val="single" w:sz="2" w:space="0" w:color="auto"/>
            </w:tcBorders>
            <w:vAlign w:val="center"/>
          </w:tcPr>
          <w:p w14:paraId="4110564B" w14:textId="77777777" w:rsidR="007B3DB2" w:rsidRPr="0063248C" w:rsidRDefault="00000000">
            <w:pPr>
              <w:spacing w:line="240" w:lineRule="exact"/>
              <w:rPr>
                <w:rFonts w:cs="宋体"/>
                <w:sz w:val="18"/>
                <w:szCs w:val="18"/>
              </w:rPr>
            </w:pPr>
            <w:r w:rsidRPr="0063248C">
              <w:rPr>
                <w:rFonts w:cs="宋体"/>
                <w:sz w:val="18"/>
                <w:szCs w:val="18"/>
              </w:rPr>
              <w:t>公司未知前</w:t>
            </w:r>
            <w:r w:rsidRPr="0063248C">
              <w:rPr>
                <w:rFonts w:cs="宋体"/>
                <w:sz w:val="18"/>
                <w:szCs w:val="18"/>
              </w:rPr>
              <w:t>10</w:t>
            </w:r>
            <w:r w:rsidRPr="0063248C">
              <w:rPr>
                <w:rFonts w:cs="宋体"/>
                <w:sz w:val="18"/>
                <w:szCs w:val="18"/>
              </w:rPr>
              <w:t>股东之间是否存在关联关系，也未知是否属于一致行动人。</w:t>
            </w:r>
          </w:p>
        </w:tc>
      </w:tr>
      <w:tr w:rsidR="007B3DB2" w:rsidRPr="0063248C" w14:paraId="03CBCB3F" w14:textId="77777777">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258C385" w14:textId="77777777" w:rsidR="007B3DB2" w:rsidRPr="0063248C" w:rsidRDefault="00000000">
            <w:pPr>
              <w:spacing w:before="40" w:after="40" w:line="240" w:lineRule="exact"/>
              <w:rPr>
                <w:rFonts w:cs="宋体"/>
                <w:sz w:val="18"/>
                <w:szCs w:val="18"/>
              </w:rPr>
            </w:pPr>
            <w:r w:rsidRPr="0063248C">
              <w:rPr>
                <w:rFonts w:cs="宋体"/>
                <w:sz w:val="18"/>
                <w:szCs w:val="18"/>
              </w:rPr>
              <w:t>前</w:t>
            </w:r>
            <w:r w:rsidRPr="0063248C">
              <w:rPr>
                <w:rFonts w:cs="宋体"/>
                <w:sz w:val="18"/>
                <w:szCs w:val="18"/>
              </w:rPr>
              <w:t>10</w:t>
            </w:r>
            <w:r w:rsidRPr="0063248C">
              <w:rPr>
                <w:rFonts w:cs="宋体"/>
                <w:sz w:val="18"/>
                <w:szCs w:val="18"/>
              </w:rPr>
              <w:t>名普通股股东参与融资融券业务情况说明（如有）（参见注</w:t>
            </w:r>
            <w:r w:rsidRPr="0063248C">
              <w:rPr>
                <w:rFonts w:cs="宋体"/>
                <w:sz w:val="18"/>
                <w:szCs w:val="18"/>
              </w:rPr>
              <w:t>4</w:t>
            </w:r>
            <w:r w:rsidRPr="0063248C">
              <w:rPr>
                <w:rFonts w:cs="宋体"/>
                <w:sz w:val="18"/>
                <w:szCs w:val="18"/>
              </w:rPr>
              <w:t>）</w:t>
            </w:r>
          </w:p>
        </w:tc>
        <w:tc>
          <w:tcPr>
            <w:tcW w:w="7497" w:type="dxa"/>
            <w:gridSpan w:val="7"/>
            <w:tcBorders>
              <w:top w:val="single" w:sz="2" w:space="0" w:color="auto"/>
              <w:left w:val="single" w:sz="2" w:space="0" w:color="auto"/>
              <w:bottom w:val="single" w:sz="2" w:space="0" w:color="auto"/>
              <w:right w:val="single" w:sz="2" w:space="0" w:color="auto"/>
            </w:tcBorders>
            <w:vAlign w:val="center"/>
          </w:tcPr>
          <w:p w14:paraId="3251B64F" w14:textId="77777777" w:rsidR="007B3DB2" w:rsidRPr="0063248C" w:rsidRDefault="00000000">
            <w:pPr>
              <w:spacing w:line="240" w:lineRule="exact"/>
              <w:rPr>
                <w:rFonts w:cs="宋体"/>
                <w:sz w:val="18"/>
                <w:szCs w:val="18"/>
              </w:rPr>
            </w:pPr>
            <w:r w:rsidRPr="0063248C">
              <w:rPr>
                <w:rFonts w:cs="宋体"/>
                <w:sz w:val="18"/>
                <w:szCs w:val="18"/>
              </w:rPr>
              <w:t>股东蓝润发展控股集团有限公司通过东海证券股份有限公司客户信用交易担保证券账户持有</w:t>
            </w:r>
            <w:r w:rsidRPr="0063248C">
              <w:rPr>
                <w:rFonts w:cs="宋体"/>
                <w:sz w:val="18"/>
                <w:szCs w:val="18"/>
              </w:rPr>
              <w:t>34,000,000</w:t>
            </w:r>
            <w:r w:rsidRPr="0063248C">
              <w:rPr>
                <w:rFonts w:cs="宋体"/>
                <w:sz w:val="18"/>
                <w:szCs w:val="18"/>
              </w:rPr>
              <w:t>股；股东</w:t>
            </w:r>
            <w:proofErr w:type="gramStart"/>
            <w:r w:rsidRPr="0063248C">
              <w:rPr>
                <w:rFonts w:cs="宋体"/>
                <w:sz w:val="18"/>
                <w:szCs w:val="18"/>
              </w:rPr>
              <w:t>晟弘资产</w:t>
            </w:r>
            <w:proofErr w:type="gramEnd"/>
            <w:r w:rsidRPr="0063248C">
              <w:rPr>
                <w:rFonts w:cs="宋体"/>
                <w:sz w:val="18"/>
                <w:szCs w:val="18"/>
              </w:rPr>
              <w:t>管理（珠海）有限公司通过广发证券股份有限公司客户信用交易担保证券账户持有</w:t>
            </w:r>
            <w:r w:rsidRPr="0063248C">
              <w:rPr>
                <w:rFonts w:cs="宋体"/>
                <w:sz w:val="18"/>
                <w:szCs w:val="18"/>
              </w:rPr>
              <w:t>29,376,135</w:t>
            </w:r>
            <w:r w:rsidRPr="0063248C">
              <w:rPr>
                <w:rFonts w:cs="宋体"/>
                <w:sz w:val="18"/>
                <w:szCs w:val="18"/>
              </w:rPr>
              <w:t>股；股东上海鼎译智能科技有限公司通过长城证券股份有限公司客户信用交易担保证券账户持有</w:t>
            </w:r>
            <w:r w:rsidRPr="0063248C">
              <w:rPr>
                <w:rFonts w:cs="宋体"/>
                <w:sz w:val="18"/>
                <w:szCs w:val="18"/>
              </w:rPr>
              <w:t>20,027,971</w:t>
            </w:r>
            <w:r w:rsidRPr="0063248C">
              <w:rPr>
                <w:rFonts w:cs="宋体"/>
                <w:sz w:val="18"/>
                <w:szCs w:val="18"/>
              </w:rPr>
              <w:t>股；股东上海芬隆实业有限公司通过信</w:t>
            </w:r>
            <w:proofErr w:type="gramStart"/>
            <w:r w:rsidRPr="0063248C">
              <w:rPr>
                <w:rFonts w:cs="宋体"/>
                <w:sz w:val="18"/>
                <w:szCs w:val="18"/>
              </w:rPr>
              <w:t>达证券</w:t>
            </w:r>
            <w:proofErr w:type="gramEnd"/>
            <w:r w:rsidRPr="0063248C">
              <w:rPr>
                <w:rFonts w:cs="宋体"/>
                <w:sz w:val="18"/>
                <w:szCs w:val="18"/>
              </w:rPr>
              <w:t>股份有限公司客户信用交易担保证券账户持有</w:t>
            </w:r>
            <w:r w:rsidRPr="0063248C">
              <w:rPr>
                <w:rFonts w:cs="宋体"/>
                <w:sz w:val="18"/>
                <w:szCs w:val="18"/>
              </w:rPr>
              <w:t>17,264,973</w:t>
            </w:r>
            <w:r w:rsidRPr="0063248C">
              <w:rPr>
                <w:rFonts w:cs="宋体"/>
                <w:sz w:val="18"/>
                <w:szCs w:val="18"/>
              </w:rPr>
              <w:t>股。</w:t>
            </w:r>
          </w:p>
        </w:tc>
      </w:tr>
    </w:tbl>
    <w:p w14:paraId="3C40DB7F" w14:textId="77777777" w:rsidR="007B3DB2" w:rsidRPr="0063248C" w:rsidRDefault="00000000">
      <w:pPr>
        <w:spacing w:before="100" w:after="100" w:line="240" w:lineRule="exact"/>
        <w:rPr>
          <w:rFonts w:cs="宋体"/>
          <w:sz w:val="18"/>
          <w:szCs w:val="18"/>
        </w:rPr>
      </w:pPr>
      <w:r w:rsidRPr="0063248C">
        <w:rPr>
          <w:rFonts w:cs="宋体"/>
          <w:sz w:val="18"/>
          <w:szCs w:val="18"/>
        </w:rPr>
        <w:t>持股</w:t>
      </w:r>
      <w:r w:rsidRPr="0063248C">
        <w:rPr>
          <w:rFonts w:cs="宋体"/>
          <w:sz w:val="18"/>
          <w:szCs w:val="18"/>
        </w:rPr>
        <w:t>5%</w:t>
      </w:r>
      <w:r w:rsidRPr="0063248C">
        <w:rPr>
          <w:rFonts w:cs="宋体"/>
          <w:sz w:val="18"/>
          <w:szCs w:val="18"/>
        </w:rPr>
        <w:t>以上股东、前</w:t>
      </w:r>
      <w:r w:rsidRPr="0063248C">
        <w:rPr>
          <w:rFonts w:cs="宋体"/>
          <w:sz w:val="18"/>
          <w:szCs w:val="18"/>
        </w:rPr>
        <w:t>10</w:t>
      </w:r>
      <w:r w:rsidRPr="0063248C">
        <w:rPr>
          <w:rFonts w:cs="宋体"/>
          <w:sz w:val="18"/>
          <w:szCs w:val="18"/>
        </w:rPr>
        <w:t>名股东及前</w:t>
      </w:r>
      <w:r w:rsidRPr="0063248C">
        <w:rPr>
          <w:rFonts w:cs="宋体"/>
          <w:sz w:val="18"/>
          <w:szCs w:val="18"/>
        </w:rPr>
        <w:t>10</w:t>
      </w:r>
      <w:r w:rsidRPr="0063248C">
        <w:rPr>
          <w:rFonts w:cs="宋体"/>
          <w:sz w:val="18"/>
          <w:szCs w:val="18"/>
        </w:rPr>
        <w:t>名无限</w:t>
      </w:r>
      <w:proofErr w:type="gramStart"/>
      <w:r w:rsidRPr="0063248C">
        <w:rPr>
          <w:rFonts w:cs="宋体"/>
          <w:sz w:val="18"/>
          <w:szCs w:val="18"/>
        </w:rPr>
        <w:t>售流通</w:t>
      </w:r>
      <w:proofErr w:type="gramEnd"/>
      <w:r w:rsidRPr="0063248C">
        <w:rPr>
          <w:rFonts w:cs="宋体"/>
          <w:sz w:val="18"/>
          <w:szCs w:val="18"/>
        </w:rPr>
        <w:t>股股东参与转融通业务出借股份情况</w:t>
      </w:r>
    </w:p>
    <w:p w14:paraId="1F31660A" w14:textId="77777777" w:rsidR="007B3DB2" w:rsidRPr="0063248C" w:rsidRDefault="00000000">
      <w:pPr>
        <w:spacing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5244B60" w14:textId="77777777" w:rsidR="007B3DB2" w:rsidRPr="0063248C" w:rsidRDefault="00000000">
      <w:pPr>
        <w:spacing w:before="100" w:after="100" w:line="240" w:lineRule="exact"/>
        <w:rPr>
          <w:rFonts w:cs="宋体"/>
          <w:sz w:val="18"/>
          <w:szCs w:val="18"/>
        </w:rPr>
      </w:pPr>
      <w:r w:rsidRPr="0063248C">
        <w:rPr>
          <w:rFonts w:cs="宋体"/>
          <w:sz w:val="18"/>
          <w:szCs w:val="18"/>
        </w:rPr>
        <w:t>前</w:t>
      </w:r>
      <w:r w:rsidRPr="0063248C">
        <w:rPr>
          <w:rFonts w:cs="宋体"/>
          <w:sz w:val="18"/>
          <w:szCs w:val="18"/>
        </w:rPr>
        <w:t>10</w:t>
      </w:r>
      <w:r w:rsidRPr="0063248C">
        <w:rPr>
          <w:rFonts w:cs="宋体"/>
          <w:sz w:val="18"/>
          <w:szCs w:val="18"/>
        </w:rPr>
        <w:t>名股东及前</w:t>
      </w:r>
      <w:r w:rsidRPr="0063248C">
        <w:rPr>
          <w:rFonts w:cs="宋体"/>
          <w:sz w:val="18"/>
          <w:szCs w:val="18"/>
        </w:rPr>
        <w:t>10</w:t>
      </w:r>
      <w:r w:rsidRPr="0063248C">
        <w:rPr>
          <w:rFonts w:cs="宋体"/>
          <w:sz w:val="18"/>
          <w:szCs w:val="18"/>
        </w:rPr>
        <w:t>名无限</w:t>
      </w:r>
      <w:proofErr w:type="gramStart"/>
      <w:r w:rsidRPr="0063248C">
        <w:rPr>
          <w:rFonts w:cs="宋体"/>
          <w:sz w:val="18"/>
          <w:szCs w:val="18"/>
        </w:rPr>
        <w:t>售流通</w:t>
      </w:r>
      <w:proofErr w:type="gramEnd"/>
      <w:r w:rsidRPr="0063248C">
        <w:rPr>
          <w:rFonts w:cs="宋体"/>
          <w:sz w:val="18"/>
          <w:szCs w:val="18"/>
        </w:rPr>
        <w:t>股股东因转融通出借</w:t>
      </w:r>
      <w:r w:rsidRPr="0063248C">
        <w:rPr>
          <w:rFonts w:cs="宋体"/>
          <w:sz w:val="18"/>
          <w:szCs w:val="18"/>
        </w:rPr>
        <w:t>/</w:t>
      </w:r>
      <w:r w:rsidRPr="0063248C">
        <w:rPr>
          <w:rFonts w:cs="宋体"/>
          <w:sz w:val="18"/>
          <w:szCs w:val="18"/>
        </w:rPr>
        <w:t>归还原因导致较上期发生变化</w:t>
      </w:r>
    </w:p>
    <w:p w14:paraId="1C6C6F21" w14:textId="77777777" w:rsidR="007B3DB2" w:rsidRPr="0063248C" w:rsidRDefault="00000000">
      <w:pPr>
        <w:spacing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6F002E2" w14:textId="77777777" w:rsidR="007B3DB2" w:rsidRPr="0063248C" w:rsidRDefault="00000000">
      <w:pPr>
        <w:spacing w:before="100" w:after="100" w:line="240" w:lineRule="exact"/>
        <w:rPr>
          <w:rFonts w:cs="宋体"/>
          <w:sz w:val="18"/>
          <w:szCs w:val="18"/>
        </w:rPr>
      </w:pPr>
      <w:r w:rsidRPr="0063248C">
        <w:rPr>
          <w:rFonts w:cs="宋体"/>
          <w:sz w:val="18"/>
          <w:szCs w:val="18"/>
        </w:rPr>
        <w:t>公司前</w:t>
      </w:r>
      <w:r w:rsidRPr="0063248C">
        <w:rPr>
          <w:rFonts w:cs="宋体"/>
          <w:sz w:val="18"/>
          <w:szCs w:val="18"/>
        </w:rPr>
        <w:t>10</w:t>
      </w:r>
      <w:r w:rsidRPr="0063248C">
        <w:rPr>
          <w:rFonts w:cs="宋体"/>
          <w:sz w:val="18"/>
          <w:szCs w:val="18"/>
        </w:rPr>
        <w:t>名普通股股东、前</w:t>
      </w:r>
      <w:r w:rsidRPr="0063248C">
        <w:rPr>
          <w:rFonts w:cs="宋体"/>
          <w:sz w:val="18"/>
          <w:szCs w:val="18"/>
        </w:rPr>
        <w:t>10</w:t>
      </w:r>
      <w:r w:rsidRPr="0063248C">
        <w:rPr>
          <w:rFonts w:cs="宋体"/>
          <w:sz w:val="18"/>
          <w:szCs w:val="18"/>
        </w:rPr>
        <w:t>名无限</w:t>
      </w:r>
      <w:proofErr w:type="gramStart"/>
      <w:r w:rsidRPr="0063248C">
        <w:rPr>
          <w:rFonts w:cs="宋体"/>
          <w:sz w:val="18"/>
          <w:szCs w:val="18"/>
        </w:rPr>
        <w:t>售条件</w:t>
      </w:r>
      <w:proofErr w:type="gramEnd"/>
      <w:r w:rsidRPr="0063248C">
        <w:rPr>
          <w:rFonts w:cs="宋体"/>
          <w:sz w:val="18"/>
          <w:szCs w:val="18"/>
        </w:rPr>
        <w:t>普通股股东在报告期内是否进行约定购回交易</w:t>
      </w:r>
    </w:p>
    <w:p w14:paraId="40AB4CED"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是</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否</w:t>
      </w:r>
    </w:p>
    <w:p w14:paraId="06B2FC1D" w14:textId="77777777" w:rsidR="007B3DB2" w:rsidRPr="0063248C" w:rsidRDefault="00000000">
      <w:pPr>
        <w:spacing w:before="100" w:after="100" w:line="240" w:lineRule="exact"/>
        <w:rPr>
          <w:rFonts w:cs="宋体"/>
          <w:sz w:val="18"/>
          <w:szCs w:val="18"/>
        </w:rPr>
      </w:pPr>
      <w:r w:rsidRPr="0063248C">
        <w:rPr>
          <w:rFonts w:cs="宋体"/>
          <w:sz w:val="18"/>
          <w:szCs w:val="18"/>
        </w:rPr>
        <w:t>公司前</w:t>
      </w:r>
      <w:r w:rsidRPr="0063248C">
        <w:rPr>
          <w:rFonts w:cs="宋体"/>
          <w:sz w:val="18"/>
          <w:szCs w:val="18"/>
        </w:rPr>
        <w:t>10</w:t>
      </w:r>
      <w:r w:rsidRPr="0063248C">
        <w:rPr>
          <w:rFonts w:cs="宋体"/>
          <w:sz w:val="18"/>
          <w:szCs w:val="18"/>
        </w:rPr>
        <w:t>名普通股股东、前</w:t>
      </w:r>
      <w:r w:rsidRPr="0063248C">
        <w:rPr>
          <w:rFonts w:cs="宋体"/>
          <w:sz w:val="18"/>
          <w:szCs w:val="18"/>
        </w:rPr>
        <w:t>10</w:t>
      </w:r>
      <w:r w:rsidRPr="0063248C">
        <w:rPr>
          <w:rFonts w:cs="宋体"/>
          <w:sz w:val="18"/>
          <w:szCs w:val="18"/>
        </w:rPr>
        <w:t>名无限</w:t>
      </w:r>
      <w:proofErr w:type="gramStart"/>
      <w:r w:rsidRPr="0063248C">
        <w:rPr>
          <w:rFonts w:cs="宋体"/>
          <w:sz w:val="18"/>
          <w:szCs w:val="18"/>
        </w:rPr>
        <w:t>售条件</w:t>
      </w:r>
      <w:proofErr w:type="gramEnd"/>
      <w:r w:rsidRPr="0063248C">
        <w:rPr>
          <w:rFonts w:cs="宋体"/>
          <w:sz w:val="18"/>
          <w:szCs w:val="18"/>
        </w:rPr>
        <w:t>普通股股东在报告期内未进行约定购回交易。</w:t>
      </w:r>
    </w:p>
    <w:p w14:paraId="1B7E9A1D" w14:textId="77777777" w:rsidR="007B3DB2" w:rsidRPr="0063248C" w:rsidRDefault="00000000">
      <w:pPr>
        <w:pStyle w:val="2"/>
        <w:spacing w:before="300" w:after="300" w:line="320" w:lineRule="exact"/>
        <w:rPr>
          <w:rFonts w:cs="宋体"/>
          <w:b/>
          <w:bCs/>
          <w:sz w:val="24"/>
          <w:szCs w:val="24"/>
        </w:rPr>
      </w:pPr>
      <w:bookmarkStart w:id="86" w:name="_Toc988975"/>
      <w:r w:rsidRPr="0063248C">
        <w:rPr>
          <w:rFonts w:cs="宋体"/>
          <w:b/>
          <w:bCs/>
          <w:sz w:val="24"/>
          <w:szCs w:val="24"/>
        </w:rPr>
        <w:t>四、董事、监事和高级管理人员持股变动</w:t>
      </w:r>
      <w:bookmarkEnd w:id="86"/>
    </w:p>
    <w:p w14:paraId="62EAF924"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B64B32A" w14:textId="77777777" w:rsidR="007B3DB2" w:rsidRPr="0063248C" w:rsidRDefault="00000000">
      <w:pPr>
        <w:spacing w:before="40" w:after="40" w:line="240" w:lineRule="exact"/>
        <w:rPr>
          <w:rFonts w:cs="宋体"/>
          <w:sz w:val="18"/>
          <w:szCs w:val="18"/>
        </w:rPr>
      </w:pPr>
      <w:r w:rsidRPr="0063248C">
        <w:rPr>
          <w:rFonts w:cs="宋体"/>
          <w:sz w:val="18"/>
          <w:szCs w:val="18"/>
        </w:rPr>
        <w:t>公司董事、监事和高级管理人员在报告期持股情况没有发生变动，具体可参见</w:t>
      </w:r>
      <w:r w:rsidRPr="0063248C">
        <w:rPr>
          <w:rFonts w:cs="宋体"/>
          <w:sz w:val="18"/>
          <w:szCs w:val="18"/>
        </w:rPr>
        <w:t>2023</w:t>
      </w:r>
      <w:r w:rsidRPr="0063248C">
        <w:rPr>
          <w:rFonts w:cs="宋体"/>
          <w:sz w:val="18"/>
          <w:szCs w:val="18"/>
        </w:rPr>
        <w:t>年年报。</w:t>
      </w:r>
    </w:p>
    <w:p w14:paraId="113A5157" w14:textId="77777777" w:rsidR="007B3DB2" w:rsidRPr="0063248C" w:rsidRDefault="00000000">
      <w:pPr>
        <w:pStyle w:val="2"/>
        <w:spacing w:before="300" w:after="300" w:line="320" w:lineRule="exact"/>
        <w:rPr>
          <w:rFonts w:cs="宋体"/>
          <w:b/>
          <w:bCs/>
          <w:sz w:val="24"/>
          <w:szCs w:val="24"/>
        </w:rPr>
      </w:pPr>
      <w:bookmarkStart w:id="87" w:name="_Toc988976"/>
      <w:r w:rsidRPr="0063248C">
        <w:rPr>
          <w:rFonts w:cs="宋体"/>
          <w:b/>
          <w:bCs/>
          <w:sz w:val="24"/>
          <w:szCs w:val="24"/>
        </w:rPr>
        <w:t>五、控股股东或实际控制人变更情况</w:t>
      </w:r>
      <w:bookmarkEnd w:id="87"/>
    </w:p>
    <w:p w14:paraId="054F2C7C" w14:textId="77777777" w:rsidR="007B3DB2" w:rsidRPr="0063248C" w:rsidRDefault="00000000">
      <w:pPr>
        <w:spacing w:before="40" w:after="40" w:line="240" w:lineRule="exact"/>
        <w:rPr>
          <w:rFonts w:cs="宋体"/>
          <w:sz w:val="18"/>
          <w:szCs w:val="18"/>
        </w:rPr>
      </w:pPr>
      <w:r w:rsidRPr="0063248C">
        <w:rPr>
          <w:rFonts w:cs="宋体"/>
          <w:sz w:val="18"/>
          <w:szCs w:val="18"/>
        </w:rPr>
        <w:t>控股股东报告期内变更</w:t>
      </w:r>
    </w:p>
    <w:p w14:paraId="496A3529"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lastRenderedPageBreak/>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A8654DE" w14:textId="77777777" w:rsidR="007B3DB2" w:rsidRPr="0063248C" w:rsidRDefault="00000000">
      <w:pPr>
        <w:spacing w:before="40" w:after="40" w:line="240" w:lineRule="exact"/>
        <w:rPr>
          <w:rFonts w:cs="宋体"/>
          <w:sz w:val="18"/>
          <w:szCs w:val="18"/>
        </w:rPr>
      </w:pPr>
      <w:r w:rsidRPr="0063248C">
        <w:rPr>
          <w:rFonts w:cs="宋体"/>
          <w:sz w:val="18"/>
          <w:szCs w:val="18"/>
        </w:rPr>
        <w:t>公司报告期控股股东未发生变更。</w:t>
      </w:r>
    </w:p>
    <w:p w14:paraId="5E727C7F" w14:textId="77777777" w:rsidR="007B3DB2" w:rsidRPr="0063248C" w:rsidRDefault="00000000">
      <w:pPr>
        <w:spacing w:before="100" w:after="100" w:line="240" w:lineRule="exact"/>
        <w:rPr>
          <w:rFonts w:cs="宋体"/>
          <w:sz w:val="18"/>
          <w:szCs w:val="18"/>
        </w:rPr>
      </w:pPr>
      <w:r w:rsidRPr="0063248C">
        <w:rPr>
          <w:rFonts w:cs="宋体"/>
          <w:sz w:val="18"/>
          <w:szCs w:val="18"/>
        </w:rPr>
        <w:t>实际控制人报告期内变更</w:t>
      </w:r>
    </w:p>
    <w:p w14:paraId="691F08A6"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69BB373" w14:textId="77777777" w:rsidR="007B3DB2" w:rsidRPr="0063248C" w:rsidRDefault="00000000">
      <w:pPr>
        <w:spacing w:before="40" w:after="40" w:line="240" w:lineRule="exact"/>
        <w:rPr>
          <w:rFonts w:cs="宋体"/>
          <w:sz w:val="18"/>
          <w:szCs w:val="18"/>
        </w:rPr>
      </w:pPr>
      <w:r w:rsidRPr="0063248C">
        <w:rPr>
          <w:rFonts w:cs="宋体"/>
          <w:sz w:val="18"/>
          <w:szCs w:val="18"/>
        </w:rPr>
        <w:t>公司报告期实际控制人未发生变更。</w:t>
      </w:r>
    </w:p>
    <w:p w14:paraId="7E40393C" w14:textId="77777777" w:rsidR="007B3DB2" w:rsidRPr="0063248C" w:rsidRDefault="00000000">
      <w:r w:rsidRPr="0063248C">
        <w:br w:type="page"/>
      </w:r>
    </w:p>
    <w:p w14:paraId="00E0B9AC" w14:textId="77777777" w:rsidR="007B3DB2" w:rsidRPr="0063248C" w:rsidRDefault="00000000">
      <w:pPr>
        <w:pStyle w:val="headingh1"/>
        <w:spacing w:before="340" w:after="330" w:line="773" w:lineRule="exact"/>
        <w:jc w:val="center"/>
        <w:rPr>
          <w:rFonts w:cs="宋体"/>
          <w:b/>
          <w:bCs/>
          <w:sz w:val="32"/>
          <w:szCs w:val="32"/>
        </w:rPr>
      </w:pPr>
      <w:bookmarkStart w:id="88" w:name="_Toc988977"/>
      <w:r w:rsidRPr="0063248C">
        <w:rPr>
          <w:rFonts w:cs="宋体"/>
          <w:b/>
          <w:bCs/>
          <w:sz w:val="32"/>
          <w:szCs w:val="32"/>
        </w:rPr>
        <w:lastRenderedPageBreak/>
        <w:t>第八节</w:t>
      </w:r>
      <w:r w:rsidRPr="0063248C">
        <w:rPr>
          <w:rFonts w:cs="宋体"/>
          <w:b/>
          <w:bCs/>
          <w:sz w:val="32"/>
          <w:szCs w:val="32"/>
        </w:rPr>
        <w:t xml:space="preserve"> </w:t>
      </w:r>
      <w:r w:rsidRPr="0063248C">
        <w:rPr>
          <w:rFonts w:cs="宋体"/>
          <w:b/>
          <w:bCs/>
          <w:sz w:val="32"/>
          <w:szCs w:val="32"/>
        </w:rPr>
        <w:t>优先股相关情况</w:t>
      </w:r>
      <w:bookmarkEnd w:id="88"/>
    </w:p>
    <w:p w14:paraId="483FAD29"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DE2E825" w14:textId="77777777" w:rsidR="007B3DB2" w:rsidRPr="0063248C" w:rsidRDefault="00000000">
      <w:pPr>
        <w:spacing w:line="240" w:lineRule="exact"/>
        <w:rPr>
          <w:rFonts w:cs="宋体"/>
          <w:sz w:val="18"/>
          <w:szCs w:val="18"/>
        </w:rPr>
      </w:pPr>
      <w:r w:rsidRPr="0063248C">
        <w:rPr>
          <w:rFonts w:cs="宋体"/>
          <w:sz w:val="18"/>
          <w:szCs w:val="18"/>
        </w:rPr>
        <w:t>报告期公司不存在优先股。</w:t>
      </w:r>
    </w:p>
    <w:p w14:paraId="14F0A81D" w14:textId="77777777" w:rsidR="007B3DB2" w:rsidRPr="0063248C" w:rsidRDefault="00000000">
      <w:r w:rsidRPr="0063248C">
        <w:br w:type="page"/>
      </w:r>
    </w:p>
    <w:p w14:paraId="6F6E1DC0" w14:textId="77777777" w:rsidR="007B3DB2" w:rsidRPr="0063248C" w:rsidRDefault="00000000">
      <w:pPr>
        <w:pStyle w:val="headingh1"/>
        <w:spacing w:before="340" w:after="330" w:line="773" w:lineRule="exact"/>
        <w:jc w:val="center"/>
        <w:rPr>
          <w:rFonts w:cs="宋体"/>
          <w:b/>
          <w:bCs/>
          <w:sz w:val="32"/>
          <w:szCs w:val="32"/>
        </w:rPr>
      </w:pPr>
      <w:bookmarkStart w:id="89" w:name="_Toc988978"/>
      <w:r w:rsidRPr="0063248C">
        <w:rPr>
          <w:rFonts w:cs="宋体"/>
          <w:b/>
          <w:bCs/>
          <w:sz w:val="32"/>
          <w:szCs w:val="32"/>
        </w:rPr>
        <w:lastRenderedPageBreak/>
        <w:t>第九节</w:t>
      </w:r>
      <w:r w:rsidRPr="0063248C">
        <w:rPr>
          <w:rFonts w:cs="宋体"/>
          <w:b/>
          <w:bCs/>
          <w:sz w:val="32"/>
          <w:szCs w:val="32"/>
        </w:rPr>
        <w:t xml:space="preserve"> </w:t>
      </w:r>
      <w:r w:rsidRPr="0063248C">
        <w:rPr>
          <w:rFonts w:cs="宋体"/>
          <w:b/>
          <w:bCs/>
          <w:sz w:val="32"/>
          <w:szCs w:val="32"/>
        </w:rPr>
        <w:t>债券相关情况</w:t>
      </w:r>
      <w:bookmarkEnd w:id="89"/>
    </w:p>
    <w:p w14:paraId="6E7837F2"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15074005" w14:textId="77777777" w:rsidR="007B3DB2" w:rsidRPr="0063248C" w:rsidRDefault="00000000">
      <w:pPr>
        <w:pStyle w:val="2"/>
        <w:spacing w:before="300" w:after="300" w:line="320" w:lineRule="exact"/>
        <w:rPr>
          <w:rFonts w:cs="宋体"/>
          <w:b/>
          <w:bCs/>
          <w:sz w:val="24"/>
          <w:szCs w:val="24"/>
        </w:rPr>
      </w:pPr>
      <w:bookmarkStart w:id="90" w:name="_Toc988979"/>
      <w:r w:rsidRPr="0063248C">
        <w:rPr>
          <w:rFonts w:cs="宋体"/>
          <w:b/>
          <w:bCs/>
          <w:sz w:val="24"/>
          <w:szCs w:val="24"/>
        </w:rPr>
        <w:t>一、企业债券</w:t>
      </w:r>
      <w:bookmarkEnd w:id="90"/>
    </w:p>
    <w:p w14:paraId="522FB218"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AD017FE" w14:textId="77777777" w:rsidR="007B3DB2" w:rsidRPr="0063248C" w:rsidRDefault="00000000">
      <w:pPr>
        <w:spacing w:line="240" w:lineRule="exact"/>
        <w:rPr>
          <w:rFonts w:cs="宋体"/>
          <w:sz w:val="18"/>
          <w:szCs w:val="18"/>
        </w:rPr>
      </w:pPr>
      <w:r w:rsidRPr="0063248C">
        <w:rPr>
          <w:rFonts w:cs="宋体"/>
          <w:sz w:val="18"/>
          <w:szCs w:val="18"/>
        </w:rPr>
        <w:t>报告期公司不存在企业债券。</w:t>
      </w:r>
    </w:p>
    <w:p w14:paraId="6C351382" w14:textId="77777777" w:rsidR="007B3DB2" w:rsidRPr="0063248C" w:rsidRDefault="00000000">
      <w:pPr>
        <w:pStyle w:val="2"/>
        <w:spacing w:before="300" w:after="300" w:line="320" w:lineRule="exact"/>
        <w:rPr>
          <w:rFonts w:cs="宋体"/>
          <w:b/>
          <w:bCs/>
          <w:sz w:val="24"/>
          <w:szCs w:val="24"/>
        </w:rPr>
      </w:pPr>
      <w:bookmarkStart w:id="91" w:name="_Toc988980"/>
      <w:r w:rsidRPr="0063248C">
        <w:rPr>
          <w:rFonts w:cs="宋体"/>
          <w:b/>
          <w:bCs/>
          <w:sz w:val="24"/>
          <w:szCs w:val="24"/>
        </w:rPr>
        <w:t>二、公司债券</w:t>
      </w:r>
      <w:bookmarkEnd w:id="91"/>
    </w:p>
    <w:p w14:paraId="4B3A50D2"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73B6607" w14:textId="77777777" w:rsidR="007B3DB2" w:rsidRPr="0063248C" w:rsidRDefault="00000000">
      <w:pPr>
        <w:spacing w:line="240" w:lineRule="exact"/>
        <w:rPr>
          <w:rFonts w:cs="宋体"/>
          <w:sz w:val="18"/>
          <w:szCs w:val="18"/>
        </w:rPr>
      </w:pPr>
      <w:r w:rsidRPr="0063248C">
        <w:rPr>
          <w:rFonts w:cs="宋体"/>
          <w:sz w:val="18"/>
          <w:szCs w:val="18"/>
        </w:rPr>
        <w:t>报告期公司不存在公司债券。</w:t>
      </w:r>
    </w:p>
    <w:p w14:paraId="5CC5D6EF" w14:textId="77777777" w:rsidR="007B3DB2" w:rsidRPr="0063248C" w:rsidRDefault="00000000">
      <w:pPr>
        <w:pStyle w:val="2"/>
        <w:spacing w:before="300" w:after="300" w:line="320" w:lineRule="exact"/>
        <w:rPr>
          <w:rFonts w:cs="宋体"/>
          <w:b/>
          <w:bCs/>
          <w:sz w:val="24"/>
          <w:szCs w:val="24"/>
        </w:rPr>
      </w:pPr>
      <w:bookmarkStart w:id="92" w:name="_Toc988981"/>
      <w:r w:rsidRPr="0063248C">
        <w:rPr>
          <w:rFonts w:cs="宋体"/>
          <w:b/>
          <w:bCs/>
          <w:sz w:val="24"/>
          <w:szCs w:val="24"/>
        </w:rPr>
        <w:t>三、非金融企业债务融资工具</w:t>
      </w:r>
      <w:bookmarkEnd w:id="92"/>
    </w:p>
    <w:p w14:paraId="2CD3781A"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7B338CA" w14:textId="77777777" w:rsidR="007B3DB2" w:rsidRPr="0063248C" w:rsidRDefault="00000000">
      <w:pPr>
        <w:spacing w:line="240" w:lineRule="exact"/>
        <w:rPr>
          <w:rFonts w:cs="宋体"/>
          <w:sz w:val="18"/>
          <w:szCs w:val="18"/>
        </w:rPr>
      </w:pPr>
      <w:r w:rsidRPr="0063248C">
        <w:rPr>
          <w:rFonts w:cs="宋体"/>
          <w:sz w:val="18"/>
          <w:szCs w:val="18"/>
        </w:rPr>
        <w:t>报告期公司不存在非金融企业债务融资工具。</w:t>
      </w:r>
    </w:p>
    <w:p w14:paraId="419671D4" w14:textId="77777777" w:rsidR="007B3DB2" w:rsidRPr="0063248C" w:rsidRDefault="00000000">
      <w:pPr>
        <w:pStyle w:val="2"/>
        <w:spacing w:before="300" w:after="300" w:line="320" w:lineRule="exact"/>
        <w:rPr>
          <w:rFonts w:cs="宋体"/>
          <w:b/>
          <w:bCs/>
          <w:sz w:val="24"/>
          <w:szCs w:val="24"/>
        </w:rPr>
      </w:pPr>
      <w:bookmarkStart w:id="93" w:name="_Toc988982"/>
      <w:r w:rsidRPr="0063248C">
        <w:rPr>
          <w:rFonts w:cs="宋体"/>
          <w:b/>
          <w:bCs/>
          <w:sz w:val="24"/>
          <w:szCs w:val="24"/>
        </w:rPr>
        <w:t>四、可转换公司债</w:t>
      </w:r>
      <w:proofErr w:type="gramStart"/>
      <w:r w:rsidRPr="0063248C">
        <w:rPr>
          <w:rFonts w:cs="宋体"/>
          <w:b/>
          <w:bCs/>
          <w:sz w:val="24"/>
          <w:szCs w:val="24"/>
        </w:rPr>
        <w:t>券</w:t>
      </w:r>
      <w:bookmarkEnd w:id="93"/>
      <w:proofErr w:type="gramEnd"/>
    </w:p>
    <w:p w14:paraId="4399A0B1"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77B6757F" w14:textId="77777777" w:rsidR="007B3DB2" w:rsidRPr="0063248C" w:rsidRDefault="00000000">
      <w:pPr>
        <w:pStyle w:val="3"/>
        <w:spacing w:line="280" w:lineRule="exact"/>
        <w:jc w:val="left"/>
        <w:rPr>
          <w:rFonts w:cs="宋体"/>
          <w:b/>
          <w:bCs/>
        </w:rPr>
      </w:pPr>
      <w:bookmarkStart w:id="94" w:name="_Toc988983"/>
      <w:r w:rsidRPr="0063248C">
        <w:rPr>
          <w:rFonts w:cs="宋体"/>
          <w:b/>
          <w:bCs/>
        </w:rPr>
        <w:t>1</w:t>
      </w:r>
      <w:r w:rsidRPr="0063248C">
        <w:rPr>
          <w:rFonts w:cs="宋体"/>
          <w:b/>
          <w:bCs/>
        </w:rPr>
        <w:t>、转股价格历次调整、修正情况</w:t>
      </w:r>
      <w:bookmarkEnd w:id="94"/>
    </w:p>
    <w:p w14:paraId="0A8E1244" w14:textId="77777777" w:rsidR="00D77137" w:rsidRPr="00D77137" w:rsidRDefault="00000000" w:rsidP="00D77137">
      <w:pPr>
        <w:spacing w:line="276" w:lineRule="auto"/>
        <w:ind w:firstLineChars="200" w:firstLine="360"/>
        <w:jc w:val="both"/>
        <w:divId w:val="1724326382"/>
        <w:rPr>
          <w:rFonts w:cs="Times New Roman"/>
          <w:sz w:val="18"/>
          <w:szCs w:val="18"/>
        </w:rPr>
      </w:pPr>
      <w:r w:rsidRPr="00D77137">
        <w:rPr>
          <w:rFonts w:cs="Times New Roman"/>
          <w:sz w:val="18"/>
          <w:szCs w:val="18"/>
        </w:rPr>
        <w:t xml:space="preserve"> </w:t>
      </w:r>
      <w:r w:rsidRPr="00D77137">
        <w:rPr>
          <w:rFonts w:cs="Times New Roman"/>
          <w:sz w:val="18"/>
          <w:szCs w:val="18"/>
        </w:rPr>
        <w:t>经中国证券监督管理委员会</w:t>
      </w:r>
      <w:r w:rsidRPr="00D77137">
        <w:rPr>
          <w:rFonts w:cs="Times New Roman"/>
          <w:sz w:val="18"/>
          <w:szCs w:val="18"/>
        </w:rPr>
        <w:t>“</w:t>
      </w:r>
      <w:r w:rsidRPr="00D77137">
        <w:rPr>
          <w:rFonts w:cs="Times New Roman"/>
          <w:sz w:val="18"/>
          <w:szCs w:val="18"/>
        </w:rPr>
        <w:t>证监许可</w:t>
      </w:r>
      <w:r w:rsidRPr="00D77137">
        <w:rPr>
          <w:rFonts w:cs="Times New Roman"/>
          <w:sz w:val="18"/>
          <w:szCs w:val="18"/>
        </w:rPr>
        <w:t xml:space="preserve">[2020]1077 </w:t>
      </w:r>
      <w:r w:rsidRPr="00D77137">
        <w:rPr>
          <w:rFonts w:cs="Times New Roman"/>
          <w:sz w:val="18"/>
          <w:szCs w:val="18"/>
        </w:rPr>
        <w:t>号</w:t>
      </w:r>
      <w:r w:rsidRPr="00D77137">
        <w:rPr>
          <w:rFonts w:cs="Times New Roman"/>
          <w:sz w:val="18"/>
          <w:szCs w:val="18"/>
        </w:rPr>
        <w:t>”</w:t>
      </w:r>
      <w:r w:rsidRPr="00D77137">
        <w:rPr>
          <w:rFonts w:cs="Times New Roman"/>
          <w:sz w:val="18"/>
          <w:szCs w:val="18"/>
        </w:rPr>
        <w:t>核准，公司于</w:t>
      </w:r>
      <w:r w:rsidRPr="00D77137">
        <w:rPr>
          <w:rFonts w:cs="Times New Roman"/>
          <w:sz w:val="18"/>
          <w:szCs w:val="18"/>
        </w:rPr>
        <w:t xml:space="preserve"> 2020 </w:t>
      </w:r>
      <w:r w:rsidRPr="00D77137">
        <w:rPr>
          <w:rFonts w:cs="Times New Roman"/>
          <w:sz w:val="18"/>
          <w:szCs w:val="18"/>
        </w:rPr>
        <w:t>年</w:t>
      </w:r>
      <w:r w:rsidRPr="00D77137">
        <w:rPr>
          <w:rFonts w:cs="Times New Roman"/>
          <w:sz w:val="18"/>
          <w:szCs w:val="18"/>
        </w:rPr>
        <w:t xml:space="preserve"> 7 </w:t>
      </w:r>
      <w:r w:rsidRPr="00D77137">
        <w:rPr>
          <w:rFonts w:cs="Times New Roman"/>
          <w:sz w:val="18"/>
          <w:szCs w:val="18"/>
        </w:rPr>
        <w:t>月</w:t>
      </w:r>
      <w:r w:rsidRPr="00D77137">
        <w:rPr>
          <w:rFonts w:cs="Times New Roman"/>
          <w:sz w:val="18"/>
          <w:szCs w:val="18"/>
        </w:rPr>
        <w:t xml:space="preserve"> 13 </w:t>
      </w:r>
      <w:r w:rsidRPr="00D77137">
        <w:rPr>
          <w:rFonts w:cs="Times New Roman"/>
          <w:sz w:val="18"/>
          <w:szCs w:val="18"/>
        </w:rPr>
        <w:t>日公开发行了</w:t>
      </w:r>
      <w:r w:rsidRPr="00D77137">
        <w:rPr>
          <w:rFonts w:cs="Times New Roman"/>
          <w:sz w:val="18"/>
          <w:szCs w:val="18"/>
        </w:rPr>
        <w:t xml:space="preserve"> 950 </w:t>
      </w:r>
      <w:r w:rsidRPr="00D77137">
        <w:rPr>
          <w:rFonts w:cs="Times New Roman"/>
          <w:sz w:val="18"/>
          <w:szCs w:val="18"/>
        </w:rPr>
        <w:t>万张可转换公司债</w:t>
      </w:r>
      <w:proofErr w:type="gramStart"/>
      <w:r w:rsidRPr="00D77137">
        <w:rPr>
          <w:rFonts w:cs="Times New Roman"/>
          <w:sz w:val="18"/>
          <w:szCs w:val="18"/>
        </w:rPr>
        <w:t>券</w:t>
      </w:r>
      <w:proofErr w:type="gramEnd"/>
      <w:r w:rsidRPr="00D77137">
        <w:rPr>
          <w:rFonts w:cs="Times New Roman"/>
          <w:sz w:val="18"/>
          <w:szCs w:val="18"/>
        </w:rPr>
        <w:t>，每张面值</w:t>
      </w:r>
      <w:r w:rsidRPr="00D77137">
        <w:rPr>
          <w:rFonts w:cs="Times New Roman"/>
          <w:sz w:val="18"/>
          <w:szCs w:val="18"/>
        </w:rPr>
        <w:t xml:space="preserve"> 100 </w:t>
      </w:r>
      <w:r w:rsidRPr="00D77137">
        <w:rPr>
          <w:rFonts w:cs="Times New Roman"/>
          <w:sz w:val="18"/>
          <w:szCs w:val="18"/>
        </w:rPr>
        <w:t>元，发行总额</w:t>
      </w:r>
      <w:r w:rsidRPr="00D77137">
        <w:rPr>
          <w:rFonts w:cs="Times New Roman"/>
          <w:sz w:val="18"/>
          <w:szCs w:val="18"/>
        </w:rPr>
        <w:t xml:space="preserve"> 95,000.00 </w:t>
      </w:r>
      <w:r w:rsidRPr="00D77137">
        <w:rPr>
          <w:rFonts w:cs="Times New Roman"/>
          <w:sz w:val="18"/>
          <w:szCs w:val="18"/>
        </w:rPr>
        <w:t>万元。经深交所</w:t>
      </w:r>
      <w:r w:rsidRPr="00D77137">
        <w:rPr>
          <w:rFonts w:cs="Times New Roman"/>
          <w:sz w:val="18"/>
          <w:szCs w:val="18"/>
        </w:rPr>
        <w:t>“</w:t>
      </w:r>
      <w:r w:rsidRPr="00D77137">
        <w:rPr>
          <w:rFonts w:cs="Times New Roman"/>
          <w:sz w:val="18"/>
          <w:szCs w:val="18"/>
        </w:rPr>
        <w:t>深证上</w:t>
      </w:r>
      <w:r w:rsidRPr="00D77137">
        <w:rPr>
          <w:rFonts w:cs="Times New Roman"/>
          <w:sz w:val="18"/>
          <w:szCs w:val="18"/>
        </w:rPr>
        <w:t xml:space="preserve">[2020]683 </w:t>
      </w:r>
      <w:r w:rsidRPr="00D77137">
        <w:rPr>
          <w:rFonts w:cs="Times New Roman"/>
          <w:sz w:val="18"/>
          <w:szCs w:val="18"/>
        </w:rPr>
        <w:t>号</w:t>
      </w:r>
      <w:r w:rsidRPr="00D77137">
        <w:rPr>
          <w:rFonts w:cs="Times New Roman"/>
          <w:sz w:val="18"/>
          <w:szCs w:val="18"/>
        </w:rPr>
        <w:t>”</w:t>
      </w:r>
      <w:r w:rsidRPr="00D77137">
        <w:rPr>
          <w:rFonts w:cs="Times New Roman"/>
          <w:sz w:val="18"/>
          <w:szCs w:val="18"/>
        </w:rPr>
        <w:t>文同意，公司</w:t>
      </w:r>
      <w:r w:rsidRPr="00D77137">
        <w:rPr>
          <w:rFonts w:cs="Times New Roman"/>
          <w:sz w:val="18"/>
          <w:szCs w:val="18"/>
        </w:rPr>
        <w:t xml:space="preserve"> 95,000.00 </w:t>
      </w:r>
      <w:r w:rsidRPr="00D77137">
        <w:rPr>
          <w:rFonts w:cs="Times New Roman"/>
          <w:sz w:val="18"/>
          <w:szCs w:val="18"/>
        </w:rPr>
        <w:t>万元可转换公司债</w:t>
      </w:r>
      <w:proofErr w:type="gramStart"/>
      <w:r w:rsidRPr="00D77137">
        <w:rPr>
          <w:rFonts w:cs="Times New Roman"/>
          <w:sz w:val="18"/>
          <w:szCs w:val="18"/>
        </w:rPr>
        <w:t>券</w:t>
      </w:r>
      <w:proofErr w:type="gramEnd"/>
      <w:r w:rsidRPr="00D77137">
        <w:rPr>
          <w:rFonts w:cs="Times New Roman"/>
          <w:sz w:val="18"/>
          <w:szCs w:val="18"/>
        </w:rPr>
        <w:t>于</w:t>
      </w:r>
      <w:r w:rsidRPr="00D77137">
        <w:rPr>
          <w:rFonts w:cs="Times New Roman"/>
          <w:sz w:val="18"/>
          <w:szCs w:val="18"/>
        </w:rPr>
        <w:t xml:space="preserve"> 2020 </w:t>
      </w:r>
      <w:r w:rsidRPr="00D77137">
        <w:rPr>
          <w:rFonts w:cs="Times New Roman"/>
          <w:sz w:val="18"/>
          <w:szCs w:val="18"/>
        </w:rPr>
        <w:t>年</w:t>
      </w:r>
      <w:r w:rsidRPr="00D77137">
        <w:rPr>
          <w:rFonts w:cs="Times New Roman"/>
          <w:sz w:val="18"/>
          <w:szCs w:val="18"/>
        </w:rPr>
        <w:t xml:space="preserve"> 8 </w:t>
      </w:r>
      <w:r w:rsidRPr="00D77137">
        <w:rPr>
          <w:rFonts w:cs="Times New Roman"/>
          <w:sz w:val="18"/>
          <w:szCs w:val="18"/>
        </w:rPr>
        <w:t>月</w:t>
      </w:r>
      <w:r w:rsidRPr="00D77137">
        <w:rPr>
          <w:rFonts w:cs="Times New Roman"/>
          <w:sz w:val="18"/>
          <w:szCs w:val="18"/>
        </w:rPr>
        <w:t xml:space="preserve"> 7 </w:t>
      </w:r>
      <w:r w:rsidRPr="00D77137">
        <w:rPr>
          <w:rFonts w:cs="Times New Roman"/>
          <w:sz w:val="18"/>
          <w:szCs w:val="18"/>
        </w:rPr>
        <w:t>日起在深交所挂牌交易，债券简称</w:t>
      </w:r>
      <w:r w:rsidRPr="00D77137">
        <w:rPr>
          <w:rFonts w:cs="Times New Roman"/>
          <w:sz w:val="18"/>
          <w:szCs w:val="18"/>
        </w:rPr>
        <w:t>“</w:t>
      </w:r>
      <w:r w:rsidRPr="00D77137">
        <w:rPr>
          <w:rFonts w:cs="Times New Roman"/>
          <w:sz w:val="18"/>
          <w:szCs w:val="18"/>
        </w:rPr>
        <w:t>龙大转债</w:t>
      </w:r>
      <w:r w:rsidRPr="00D77137">
        <w:rPr>
          <w:rFonts w:cs="Times New Roman"/>
          <w:sz w:val="18"/>
          <w:szCs w:val="18"/>
        </w:rPr>
        <w:t>”</w:t>
      </w:r>
      <w:r w:rsidRPr="00D77137">
        <w:rPr>
          <w:rFonts w:cs="Times New Roman"/>
          <w:sz w:val="18"/>
          <w:szCs w:val="18"/>
        </w:rPr>
        <w:t>，债券代码</w:t>
      </w:r>
      <w:r w:rsidRPr="00D77137">
        <w:rPr>
          <w:rFonts w:cs="Times New Roman"/>
          <w:sz w:val="18"/>
          <w:szCs w:val="18"/>
        </w:rPr>
        <w:t>“128119.SZ”</w:t>
      </w:r>
      <w:r w:rsidRPr="00D77137">
        <w:rPr>
          <w:rFonts w:cs="Times New Roman"/>
          <w:sz w:val="18"/>
          <w:szCs w:val="18"/>
        </w:rPr>
        <w:t>。因公司实施完成了</w:t>
      </w:r>
      <w:r w:rsidRPr="00D77137">
        <w:rPr>
          <w:rFonts w:cs="Times New Roman"/>
          <w:sz w:val="18"/>
          <w:szCs w:val="18"/>
        </w:rPr>
        <w:t xml:space="preserve"> 3 </w:t>
      </w:r>
      <w:r w:rsidRPr="00D77137">
        <w:rPr>
          <w:rFonts w:cs="Times New Roman"/>
          <w:sz w:val="18"/>
          <w:szCs w:val="18"/>
        </w:rPr>
        <w:t>名股权激励对象限制性股票的回购注销事宜，公司总股本发生变化。根据公司可转换公司债</w:t>
      </w:r>
      <w:proofErr w:type="gramStart"/>
      <w:r w:rsidRPr="00D77137">
        <w:rPr>
          <w:rFonts w:cs="Times New Roman"/>
          <w:sz w:val="18"/>
          <w:szCs w:val="18"/>
        </w:rPr>
        <w:t>券</w:t>
      </w:r>
      <w:proofErr w:type="gramEnd"/>
      <w:r w:rsidRPr="00D77137">
        <w:rPr>
          <w:rFonts w:cs="Times New Roman"/>
          <w:sz w:val="18"/>
          <w:szCs w:val="18"/>
        </w:rPr>
        <w:t>转股价格调整的相关条款，</w:t>
      </w:r>
      <w:r w:rsidRPr="00D77137">
        <w:rPr>
          <w:rFonts w:cs="Times New Roman"/>
          <w:sz w:val="18"/>
          <w:szCs w:val="18"/>
        </w:rPr>
        <w:t>“</w:t>
      </w:r>
      <w:r w:rsidRPr="00D77137">
        <w:rPr>
          <w:rFonts w:cs="Times New Roman"/>
          <w:sz w:val="18"/>
          <w:szCs w:val="18"/>
        </w:rPr>
        <w:t>龙大转债</w:t>
      </w:r>
      <w:r w:rsidRPr="00D77137">
        <w:rPr>
          <w:rFonts w:cs="Times New Roman"/>
          <w:sz w:val="18"/>
          <w:szCs w:val="18"/>
        </w:rPr>
        <w:t>”</w:t>
      </w:r>
      <w:r w:rsidRPr="00D77137">
        <w:rPr>
          <w:rFonts w:cs="Times New Roman"/>
          <w:sz w:val="18"/>
          <w:szCs w:val="18"/>
        </w:rPr>
        <w:t>的转股价由</w:t>
      </w:r>
      <w:proofErr w:type="gramStart"/>
      <w:r w:rsidRPr="00D77137">
        <w:rPr>
          <w:rFonts w:cs="Times New Roman"/>
          <w:sz w:val="18"/>
          <w:szCs w:val="18"/>
        </w:rPr>
        <w:t>初始转</w:t>
      </w:r>
      <w:proofErr w:type="gramEnd"/>
      <w:r w:rsidRPr="00D77137">
        <w:rPr>
          <w:rFonts w:cs="Times New Roman"/>
          <w:sz w:val="18"/>
          <w:szCs w:val="18"/>
        </w:rPr>
        <w:t>股价格</w:t>
      </w:r>
      <w:r w:rsidRPr="00D77137">
        <w:rPr>
          <w:rFonts w:cs="Times New Roman"/>
          <w:sz w:val="18"/>
          <w:szCs w:val="18"/>
        </w:rPr>
        <w:t xml:space="preserve"> 9.56 </w:t>
      </w:r>
      <w:r w:rsidRPr="00D77137">
        <w:rPr>
          <w:rFonts w:cs="Times New Roman"/>
          <w:sz w:val="18"/>
          <w:szCs w:val="18"/>
        </w:rPr>
        <w:t>元</w:t>
      </w:r>
      <w:r w:rsidRPr="00D77137">
        <w:rPr>
          <w:rFonts w:cs="Times New Roman"/>
          <w:sz w:val="18"/>
          <w:szCs w:val="18"/>
        </w:rPr>
        <w:t>/</w:t>
      </w:r>
      <w:r w:rsidRPr="00D77137">
        <w:rPr>
          <w:rFonts w:cs="Times New Roman"/>
          <w:sz w:val="18"/>
          <w:szCs w:val="18"/>
        </w:rPr>
        <w:t>股调整为</w:t>
      </w:r>
      <w:r w:rsidRPr="00D77137">
        <w:rPr>
          <w:rFonts w:cs="Times New Roman"/>
          <w:sz w:val="18"/>
          <w:szCs w:val="18"/>
        </w:rPr>
        <w:t xml:space="preserve"> 9.57 </w:t>
      </w:r>
      <w:r w:rsidRPr="00D77137">
        <w:rPr>
          <w:rFonts w:cs="Times New Roman"/>
          <w:sz w:val="18"/>
          <w:szCs w:val="18"/>
        </w:rPr>
        <w:t>元</w:t>
      </w:r>
      <w:r w:rsidRPr="00D77137">
        <w:rPr>
          <w:rFonts w:cs="Times New Roman"/>
          <w:sz w:val="18"/>
          <w:szCs w:val="18"/>
        </w:rPr>
        <w:t>/</w:t>
      </w:r>
      <w:r w:rsidRPr="00D77137">
        <w:rPr>
          <w:rFonts w:cs="Times New Roman"/>
          <w:sz w:val="18"/>
          <w:szCs w:val="18"/>
        </w:rPr>
        <w:t>股。调整后的转股价格自</w:t>
      </w:r>
      <w:r w:rsidRPr="00D77137">
        <w:rPr>
          <w:rFonts w:cs="Times New Roman"/>
          <w:sz w:val="18"/>
          <w:szCs w:val="18"/>
        </w:rPr>
        <w:t xml:space="preserve"> 2020 </w:t>
      </w:r>
      <w:r w:rsidRPr="00D77137">
        <w:rPr>
          <w:rFonts w:cs="Times New Roman"/>
          <w:sz w:val="18"/>
          <w:szCs w:val="18"/>
        </w:rPr>
        <w:t>年</w:t>
      </w:r>
      <w:r w:rsidRPr="00D77137">
        <w:rPr>
          <w:rFonts w:cs="Times New Roman"/>
          <w:sz w:val="18"/>
          <w:szCs w:val="18"/>
        </w:rPr>
        <w:t xml:space="preserve"> 12 </w:t>
      </w:r>
      <w:r w:rsidRPr="00D77137">
        <w:rPr>
          <w:rFonts w:cs="Times New Roman"/>
          <w:sz w:val="18"/>
          <w:szCs w:val="18"/>
        </w:rPr>
        <w:t>月</w:t>
      </w:r>
      <w:r w:rsidRPr="00D77137">
        <w:rPr>
          <w:rFonts w:cs="Times New Roman"/>
          <w:sz w:val="18"/>
          <w:szCs w:val="18"/>
        </w:rPr>
        <w:t xml:space="preserve">14 </w:t>
      </w:r>
      <w:r w:rsidRPr="00D77137">
        <w:rPr>
          <w:rFonts w:cs="Times New Roman"/>
          <w:sz w:val="18"/>
          <w:szCs w:val="18"/>
        </w:rPr>
        <w:t>日起生效。</w:t>
      </w:r>
    </w:p>
    <w:p w14:paraId="2DC6891E" w14:textId="76E35703" w:rsidR="00517D34" w:rsidRPr="00D77137" w:rsidRDefault="00000000" w:rsidP="00D77137">
      <w:pPr>
        <w:spacing w:line="276" w:lineRule="auto"/>
        <w:ind w:firstLineChars="200" w:firstLine="360"/>
        <w:jc w:val="both"/>
        <w:divId w:val="1724326382"/>
        <w:rPr>
          <w:rFonts w:cs="Times New Roman"/>
          <w:sz w:val="18"/>
          <w:szCs w:val="18"/>
        </w:rPr>
      </w:pPr>
      <w:r w:rsidRPr="00D77137">
        <w:rPr>
          <w:rFonts w:cs="Times New Roman"/>
          <w:sz w:val="18"/>
          <w:szCs w:val="18"/>
        </w:rPr>
        <w:t xml:space="preserve">2021 </w:t>
      </w:r>
      <w:r w:rsidRPr="00D77137">
        <w:rPr>
          <w:rFonts w:cs="Times New Roman"/>
          <w:sz w:val="18"/>
          <w:szCs w:val="18"/>
        </w:rPr>
        <w:t>年</w:t>
      </w:r>
      <w:r w:rsidRPr="00D77137">
        <w:rPr>
          <w:rFonts w:cs="Times New Roman"/>
          <w:sz w:val="18"/>
          <w:szCs w:val="18"/>
        </w:rPr>
        <w:t xml:space="preserve"> 4 </w:t>
      </w:r>
      <w:r w:rsidRPr="00D77137">
        <w:rPr>
          <w:rFonts w:cs="Times New Roman"/>
          <w:sz w:val="18"/>
          <w:szCs w:val="18"/>
        </w:rPr>
        <w:t>月</w:t>
      </w:r>
      <w:r w:rsidRPr="00D77137">
        <w:rPr>
          <w:rFonts w:cs="Times New Roman"/>
          <w:sz w:val="18"/>
          <w:szCs w:val="18"/>
        </w:rPr>
        <w:t xml:space="preserve"> 30 </w:t>
      </w:r>
      <w:r w:rsidRPr="00D77137">
        <w:rPr>
          <w:rFonts w:cs="Times New Roman"/>
          <w:sz w:val="18"/>
          <w:szCs w:val="18"/>
        </w:rPr>
        <w:t>日，公司实施完成了</w:t>
      </w:r>
      <w:r w:rsidRPr="00D77137">
        <w:rPr>
          <w:rFonts w:cs="Times New Roman"/>
          <w:sz w:val="18"/>
          <w:szCs w:val="18"/>
        </w:rPr>
        <w:t xml:space="preserve"> 2020 </w:t>
      </w:r>
      <w:r w:rsidRPr="00D77137">
        <w:rPr>
          <w:rFonts w:cs="Times New Roman"/>
          <w:sz w:val="18"/>
          <w:szCs w:val="18"/>
        </w:rPr>
        <w:t>年度权益分派方案。根据公司可转换公司债</w:t>
      </w:r>
      <w:proofErr w:type="gramStart"/>
      <w:r w:rsidRPr="00D77137">
        <w:rPr>
          <w:rFonts w:cs="Times New Roman"/>
          <w:sz w:val="18"/>
          <w:szCs w:val="18"/>
        </w:rPr>
        <w:t>券</w:t>
      </w:r>
      <w:proofErr w:type="gramEnd"/>
      <w:r w:rsidRPr="00D77137">
        <w:rPr>
          <w:rFonts w:cs="Times New Roman"/>
          <w:sz w:val="18"/>
          <w:szCs w:val="18"/>
        </w:rPr>
        <w:t>转股价格调整的相关条款，</w:t>
      </w:r>
      <w:r w:rsidRPr="00D77137">
        <w:rPr>
          <w:rFonts w:cs="Times New Roman"/>
          <w:sz w:val="18"/>
          <w:szCs w:val="18"/>
        </w:rPr>
        <w:t>“</w:t>
      </w:r>
      <w:r w:rsidRPr="00D77137">
        <w:rPr>
          <w:rFonts w:cs="Times New Roman"/>
          <w:sz w:val="18"/>
          <w:szCs w:val="18"/>
        </w:rPr>
        <w:t>龙大转债</w:t>
      </w:r>
      <w:r w:rsidRPr="00D77137">
        <w:rPr>
          <w:rFonts w:cs="Times New Roman"/>
          <w:sz w:val="18"/>
          <w:szCs w:val="18"/>
        </w:rPr>
        <w:t>”</w:t>
      </w:r>
      <w:r w:rsidRPr="00D77137">
        <w:rPr>
          <w:rFonts w:cs="Times New Roman"/>
          <w:sz w:val="18"/>
          <w:szCs w:val="18"/>
        </w:rPr>
        <w:t>的转股价格由</w:t>
      </w:r>
      <w:r w:rsidRPr="00D77137">
        <w:rPr>
          <w:rFonts w:cs="Times New Roman"/>
          <w:sz w:val="18"/>
          <w:szCs w:val="18"/>
        </w:rPr>
        <w:t xml:space="preserve"> 9.57 </w:t>
      </w:r>
      <w:r w:rsidRPr="00D77137">
        <w:rPr>
          <w:rFonts w:cs="Times New Roman"/>
          <w:sz w:val="18"/>
          <w:szCs w:val="18"/>
        </w:rPr>
        <w:t>元</w:t>
      </w:r>
      <w:r w:rsidRPr="00D77137">
        <w:rPr>
          <w:rFonts w:cs="Times New Roman"/>
          <w:sz w:val="18"/>
          <w:szCs w:val="18"/>
        </w:rPr>
        <w:t>/</w:t>
      </w:r>
      <w:r w:rsidRPr="00D77137">
        <w:rPr>
          <w:rFonts w:cs="Times New Roman"/>
          <w:sz w:val="18"/>
          <w:szCs w:val="18"/>
        </w:rPr>
        <w:t>股调整为</w:t>
      </w:r>
      <w:r w:rsidRPr="00D77137">
        <w:rPr>
          <w:rFonts w:cs="Times New Roman"/>
          <w:sz w:val="18"/>
          <w:szCs w:val="18"/>
        </w:rPr>
        <w:t xml:space="preserve"> 9.38 </w:t>
      </w:r>
      <w:r w:rsidRPr="00D77137">
        <w:rPr>
          <w:rFonts w:cs="Times New Roman"/>
          <w:sz w:val="18"/>
          <w:szCs w:val="18"/>
        </w:rPr>
        <w:t>元</w:t>
      </w:r>
      <w:r w:rsidRPr="00D77137">
        <w:rPr>
          <w:rFonts w:cs="Times New Roman"/>
          <w:sz w:val="18"/>
          <w:szCs w:val="18"/>
        </w:rPr>
        <w:t>/</w:t>
      </w:r>
      <w:r w:rsidRPr="00D77137">
        <w:rPr>
          <w:rFonts w:cs="Times New Roman"/>
          <w:sz w:val="18"/>
          <w:szCs w:val="18"/>
        </w:rPr>
        <w:t>股。调整后的转股价格自</w:t>
      </w:r>
      <w:r w:rsidRPr="00D77137">
        <w:rPr>
          <w:rFonts w:cs="Times New Roman"/>
          <w:sz w:val="18"/>
          <w:szCs w:val="18"/>
        </w:rPr>
        <w:t xml:space="preserve"> 2021 </w:t>
      </w:r>
      <w:r w:rsidRPr="00D77137">
        <w:rPr>
          <w:rFonts w:cs="Times New Roman"/>
          <w:sz w:val="18"/>
          <w:szCs w:val="18"/>
        </w:rPr>
        <w:t>年</w:t>
      </w:r>
      <w:r w:rsidRPr="00D77137">
        <w:rPr>
          <w:rFonts w:cs="Times New Roman"/>
          <w:sz w:val="18"/>
          <w:szCs w:val="18"/>
        </w:rPr>
        <w:t xml:space="preserve"> 4 </w:t>
      </w:r>
      <w:r w:rsidRPr="00D77137">
        <w:rPr>
          <w:rFonts w:cs="Times New Roman"/>
          <w:sz w:val="18"/>
          <w:szCs w:val="18"/>
        </w:rPr>
        <w:t>月</w:t>
      </w:r>
      <w:r w:rsidRPr="00D77137">
        <w:rPr>
          <w:rFonts w:cs="Times New Roman"/>
          <w:sz w:val="18"/>
          <w:szCs w:val="18"/>
        </w:rPr>
        <w:t xml:space="preserve"> 30 </w:t>
      </w:r>
      <w:r w:rsidRPr="00D77137">
        <w:rPr>
          <w:rFonts w:cs="Times New Roman"/>
          <w:sz w:val="18"/>
          <w:szCs w:val="18"/>
        </w:rPr>
        <w:t>日起生效。</w:t>
      </w:r>
    </w:p>
    <w:p w14:paraId="39D89B1D" w14:textId="77777777" w:rsidR="00D77137" w:rsidRPr="00D77137" w:rsidRDefault="00000000" w:rsidP="00D77137">
      <w:pPr>
        <w:spacing w:line="276" w:lineRule="auto"/>
        <w:ind w:firstLineChars="200" w:firstLine="360"/>
        <w:jc w:val="both"/>
        <w:divId w:val="1724326382"/>
        <w:rPr>
          <w:rFonts w:cs="Times New Roman"/>
          <w:sz w:val="18"/>
          <w:szCs w:val="18"/>
        </w:rPr>
      </w:pPr>
      <w:r w:rsidRPr="00D77137">
        <w:rPr>
          <w:rFonts w:cs="Times New Roman"/>
          <w:sz w:val="18"/>
          <w:szCs w:val="18"/>
        </w:rPr>
        <w:t> </w:t>
      </w:r>
      <w:r w:rsidRPr="00D77137">
        <w:rPr>
          <w:rFonts w:cs="Times New Roman"/>
          <w:sz w:val="18"/>
          <w:szCs w:val="18"/>
        </w:rPr>
        <w:t>自前次转股价格调整日</w:t>
      </w:r>
      <w:r w:rsidRPr="00D77137">
        <w:rPr>
          <w:rFonts w:cs="Times New Roman"/>
          <w:sz w:val="18"/>
          <w:szCs w:val="18"/>
        </w:rPr>
        <w:t xml:space="preserve"> 2021 </w:t>
      </w:r>
      <w:r w:rsidRPr="00D77137">
        <w:rPr>
          <w:rFonts w:cs="Times New Roman"/>
          <w:sz w:val="18"/>
          <w:szCs w:val="18"/>
        </w:rPr>
        <w:t>年</w:t>
      </w:r>
      <w:r w:rsidRPr="00D77137">
        <w:rPr>
          <w:rFonts w:cs="Times New Roman"/>
          <w:sz w:val="18"/>
          <w:szCs w:val="18"/>
        </w:rPr>
        <w:t xml:space="preserve"> 4 </w:t>
      </w:r>
      <w:r w:rsidRPr="00D77137">
        <w:rPr>
          <w:rFonts w:cs="Times New Roman"/>
          <w:sz w:val="18"/>
          <w:szCs w:val="18"/>
        </w:rPr>
        <w:t>月</w:t>
      </w:r>
      <w:r w:rsidRPr="00D77137">
        <w:rPr>
          <w:rFonts w:cs="Times New Roman"/>
          <w:sz w:val="18"/>
          <w:szCs w:val="18"/>
        </w:rPr>
        <w:t xml:space="preserve"> 30 </w:t>
      </w:r>
      <w:r w:rsidRPr="00D77137">
        <w:rPr>
          <w:rFonts w:cs="Times New Roman"/>
          <w:sz w:val="18"/>
          <w:szCs w:val="18"/>
        </w:rPr>
        <w:t>日起至</w:t>
      </w:r>
      <w:r w:rsidRPr="00D77137">
        <w:rPr>
          <w:rFonts w:cs="Times New Roman"/>
          <w:sz w:val="18"/>
          <w:szCs w:val="18"/>
        </w:rPr>
        <w:t xml:space="preserve"> 2021 </w:t>
      </w:r>
      <w:r w:rsidRPr="00D77137">
        <w:rPr>
          <w:rFonts w:cs="Times New Roman"/>
          <w:sz w:val="18"/>
          <w:szCs w:val="18"/>
        </w:rPr>
        <w:t>年</w:t>
      </w:r>
      <w:r w:rsidRPr="00D77137">
        <w:rPr>
          <w:rFonts w:cs="Times New Roman"/>
          <w:sz w:val="18"/>
          <w:szCs w:val="18"/>
        </w:rPr>
        <w:t xml:space="preserve"> 8 </w:t>
      </w:r>
      <w:r w:rsidRPr="00D77137">
        <w:rPr>
          <w:rFonts w:cs="Times New Roman"/>
          <w:sz w:val="18"/>
          <w:szCs w:val="18"/>
        </w:rPr>
        <w:t>月</w:t>
      </w:r>
      <w:r w:rsidRPr="00D77137">
        <w:rPr>
          <w:rFonts w:cs="Times New Roman"/>
          <w:sz w:val="18"/>
          <w:szCs w:val="18"/>
        </w:rPr>
        <w:t xml:space="preserve"> 2 </w:t>
      </w:r>
      <w:r w:rsidRPr="00D77137">
        <w:rPr>
          <w:rFonts w:cs="Times New Roman"/>
          <w:sz w:val="18"/>
          <w:szCs w:val="18"/>
        </w:rPr>
        <w:t>日，公司总股本因激励对象自主行权以及公司非公开发行股票上市成功发生变化，根据公司可转换公司债</w:t>
      </w:r>
      <w:proofErr w:type="gramStart"/>
      <w:r w:rsidRPr="00D77137">
        <w:rPr>
          <w:rFonts w:cs="Times New Roman"/>
          <w:sz w:val="18"/>
          <w:szCs w:val="18"/>
        </w:rPr>
        <w:t>券</w:t>
      </w:r>
      <w:proofErr w:type="gramEnd"/>
      <w:r w:rsidRPr="00D77137">
        <w:rPr>
          <w:rFonts w:cs="Times New Roman"/>
          <w:sz w:val="18"/>
          <w:szCs w:val="18"/>
        </w:rPr>
        <w:t>转股价格调整的相关条款，</w:t>
      </w:r>
      <w:r w:rsidRPr="00D77137">
        <w:rPr>
          <w:rFonts w:cs="Times New Roman"/>
          <w:sz w:val="18"/>
          <w:szCs w:val="18"/>
        </w:rPr>
        <w:t>“</w:t>
      </w:r>
      <w:r w:rsidRPr="00D77137">
        <w:rPr>
          <w:rFonts w:cs="Times New Roman"/>
          <w:sz w:val="18"/>
          <w:szCs w:val="18"/>
        </w:rPr>
        <w:t>龙大转债</w:t>
      </w:r>
      <w:r w:rsidRPr="00D77137">
        <w:rPr>
          <w:rFonts w:cs="Times New Roman"/>
          <w:sz w:val="18"/>
          <w:szCs w:val="18"/>
        </w:rPr>
        <w:t>”</w:t>
      </w:r>
      <w:r w:rsidRPr="00D77137">
        <w:rPr>
          <w:rFonts w:cs="Times New Roman"/>
          <w:sz w:val="18"/>
          <w:szCs w:val="18"/>
        </w:rPr>
        <w:t>的转股价由</w:t>
      </w:r>
      <w:r w:rsidRPr="00D77137">
        <w:rPr>
          <w:rFonts w:cs="Times New Roman"/>
          <w:sz w:val="18"/>
          <w:szCs w:val="18"/>
        </w:rPr>
        <w:t xml:space="preserve"> 9.38 </w:t>
      </w:r>
      <w:r w:rsidRPr="00D77137">
        <w:rPr>
          <w:rFonts w:cs="Times New Roman"/>
          <w:sz w:val="18"/>
          <w:szCs w:val="18"/>
        </w:rPr>
        <w:t>元</w:t>
      </w:r>
      <w:r w:rsidRPr="00D77137">
        <w:rPr>
          <w:rFonts w:cs="Times New Roman"/>
          <w:sz w:val="18"/>
          <w:szCs w:val="18"/>
        </w:rPr>
        <w:t>/</w:t>
      </w:r>
      <w:r w:rsidRPr="00D77137">
        <w:rPr>
          <w:rFonts w:cs="Times New Roman"/>
          <w:sz w:val="18"/>
          <w:szCs w:val="18"/>
        </w:rPr>
        <w:t>股调整为</w:t>
      </w:r>
      <w:r w:rsidRPr="00D77137">
        <w:rPr>
          <w:rFonts w:cs="Times New Roman"/>
          <w:sz w:val="18"/>
          <w:szCs w:val="18"/>
        </w:rPr>
        <w:t xml:space="preserve"> 9.29</w:t>
      </w:r>
      <w:r w:rsidRPr="00D77137">
        <w:rPr>
          <w:rFonts w:cs="Times New Roman"/>
          <w:sz w:val="18"/>
          <w:szCs w:val="18"/>
        </w:rPr>
        <w:t>元</w:t>
      </w:r>
      <w:r w:rsidRPr="00D77137">
        <w:rPr>
          <w:rFonts w:cs="Times New Roman"/>
          <w:sz w:val="18"/>
          <w:szCs w:val="18"/>
        </w:rPr>
        <w:t>/</w:t>
      </w:r>
      <w:r w:rsidRPr="00D77137">
        <w:rPr>
          <w:rFonts w:cs="Times New Roman"/>
          <w:sz w:val="18"/>
          <w:szCs w:val="18"/>
        </w:rPr>
        <w:t>股。调整后的转股价格自</w:t>
      </w:r>
      <w:r w:rsidRPr="00D77137">
        <w:rPr>
          <w:rFonts w:cs="Times New Roman"/>
          <w:sz w:val="18"/>
          <w:szCs w:val="18"/>
        </w:rPr>
        <w:t xml:space="preserve"> 2021 </w:t>
      </w:r>
      <w:r w:rsidRPr="00D77137">
        <w:rPr>
          <w:rFonts w:cs="Times New Roman"/>
          <w:sz w:val="18"/>
          <w:szCs w:val="18"/>
        </w:rPr>
        <w:t>年</w:t>
      </w:r>
      <w:r w:rsidRPr="00D77137">
        <w:rPr>
          <w:rFonts w:cs="Times New Roman"/>
          <w:sz w:val="18"/>
          <w:szCs w:val="18"/>
        </w:rPr>
        <w:t xml:space="preserve"> 8 </w:t>
      </w:r>
      <w:r w:rsidRPr="00D77137">
        <w:rPr>
          <w:rFonts w:cs="Times New Roman"/>
          <w:sz w:val="18"/>
          <w:szCs w:val="18"/>
        </w:rPr>
        <w:t>月</w:t>
      </w:r>
      <w:r w:rsidRPr="00D77137">
        <w:rPr>
          <w:rFonts w:cs="Times New Roman"/>
          <w:sz w:val="18"/>
          <w:szCs w:val="18"/>
        </w:rPr>
        <w:t xml:space="preserve"> 12 </w:t>
      </w:r>
      <w:r w:rsidRPr="00D77137">
        <w:rPr>
          <w:rFonts w:cs="Times New Roman"/>
          <w:sz w:val="18"/>
          <w:szCs w:val="18"/>
        </w:rPr>
        <w:t>日起生效。</w:t>
      </w:r>
    </w:p>
    <w:p w14:paraId="30D73D9C" w14:textId="77777777" w:rsidR="00D77137" w:rsidRPr="00D77137" w:rsidRDefault="00000000" w:rsidP="00D77137">
      <w:pPr>
        <w:spacing w:line="276" w:lineRule="auto"/>
        <w:ind w:firstLineChars="200" w:firstLine="360"/>
        <w:jc w:val="both"/>
        <w:divId w:val="1724326382"/>
        <w:rPr>
          <w:rFonts w:cs="Times New Roman"/>
          <w:sz w:val="18"/>
          <w:szCs w:val="18"/>
        </w:rPr>
      </w:pPr>
      <w:r w:rsidRPr="00D77137">
        <w:rPr>
          <w:rFonts w:cs="Times New Roman"/>
          <w:sz w:val="18"/>
          <w:szCs w:val="18"/>
        </w:rPr>
        <w:t>自前次转股价格调整日至</w:t>
      </w:r>
      <w:r w:rsidRPr="00D77137">
        <w:rPr>
          <w:rFonts w:cs="Times New Roman"/>
          <w:sz w:val="18"/>
          <w:szCs w:val="18"/>
        </w:rPr>
        <w:t xml:space="preserve"> 2022 </w:t>
      </w:r>
      <w:r w:rsidRPr="00D77137">
        <w:rPr>
          <w:rFonts w:cs="Times New Roman"/>
          <w:sz w:val="18"/>
          <w:szCs w:val="18"/>
        </w:rPr>
        <w:t>年</w:t>
      </w:r>
      <w:r w:rsidRPr="00D77137">
        <w:rPr>
          <w:rFonts w:cs="Times New Roman"/>
          <w:sz w:val="18"/>
          <w:szCs w:val="18"/>
        </w:rPr>
        <w:t xml:space="preserve"> 3 </w:t>
      </w:r>
      <w:r w:rsidRPr="00D77137">
        <w:rPr>
          <w:rFonts w:cs="Times New Roman"/>
          <w:sz w:val="18"/>
          <w:szCs w:val="18"/>
        </w:rPr>
        <w:t>月</w:t>
      </w:r>
      <w:r w:rsidRPr="00D77137">
        <w:rPr>
          <w:rFonts w:cs="Times New Roman"/>
          <w:sz w:val="18"/>
          <w:szCs w:val="18"/>
        </w:rPr>
        <w:t xml:space="preserve"> 28 </w:t>
      </w:r>
      <w:r w:rsidRPr="00D77137">
        <w:rPr>
          <w:rFonts w:cs="Times New Roman"/>
          <w:sz w:val="18"/>
          <w:szCs w:val="18"/>
        </w:rPr>
        <w:t>日，公司总股本因激励对象自主行权以及限制性股票回购注销而发生变化，根据公司可转换公司债</w:t>
      </w:r>
      <w:proofErr w:type="gramStart"/>
      <w:r w:rsidRPr="00D77137">
        <w:rPr>
          <w:rFonts w:cs="Times New Roman"/>
          <w:sz w:val="18"/>
          <w:szCs w:val="18"/>
        </w:rPr>
        <w:t>券</w:t>
      </w:r>
      <w:proofErr w:type="gramEnd"/>
      <w:r w:rsidRPr="00D77137">
        <w:rPr>
          <w:rFonts w:cs="Times New Roman"/>
          <w:sz w:val="18"/>
          <w:szCs w:val="18"/>
        </w:rPr>
        <w:t>转股价格</w:t>
      </w:r>
      <w:r w:rsidRPr="00D77137">
        <w:rPr>
          <w:rFonts w:cs="Times New Roman"/>
          <w:sz w:val="18"/>
          <w:szCs w:val="18"/>
        </w:rPr>
        <w:t xml:space="preserve"> </w:t>
      </w:r>
      <w:r w:rsidRPr="00D77137">
        <w:rPr>
          <w:rFonts w:cs="Times New Roman"/>
          <w:sz w:val="18"/>
          <w:szCs w:val="18"/>
        </w:rPr>
        <w:t>调整的相关条款，</w:t>
      </w:r>
      <w:r w:rsidRPr="00D77137">
        <w:rPr>
          <w:rFonts w:cs="Times New Roman"/>
          <w:sz w:val="18"/>
          <w:szCs w:val="18"/>
        </w:rPr>
        <w:t>“</w:t>
      </w:r>
      <w:r w:rsidRPr="00D77137">
        <w:rPr>
          <w:rFonts w:cs="Times New Roman"/>
          <w:sz w:val="18"/>
          <w:szCs w:val="18"/>
        </w:rPr>
        <w:t>龙大转债</w:t>
      </w:r>
      <w:r w:rsidRPr="00D77137">
        <w:rPr>
          <w:rFonts w:cs="Times New Roman"/>
          <w:sz w:val="18"/>
          <w:szCs w:val="18"/>
        </w:rPr>
        <w:t>”</w:t>
      </w:r>
      <w:r w:rsidRPr="00D77137">
        <w:rPr>
          <w:rFonts w:cs="Times New Roman"/>
          <w:sz w:val="18"/>
          <w:szCs w:val="18"/>
        </w:rPr>
        <w:t>的转股价由</w:t>
      </w:r>
      <w:r w:rsidRPr="00D77137">
        <w:rPr>
          <w:rFonts w:cs="Times New Roman"/>
          <w:sz w:val="18"/>
          <w:szCs w:val="18"/>
        </w:rPr>
        <w:t xml:space="preserve"> 9.29 </w:t>
      </w:r>
      <w:r w:rsidRPr="00D77137">
        <w:rPr>
          <w:rFonts w:cs="Times New Roman"/>
          <w:sz w:val="18"/>
          <w:szCs w:val="18"/>
        </w:rPr>
        <w:t>元</w:t>
      </w:r>
      <w:r w:rsidRPr="00D77137">
        <w:rPr>
          <w:rFonts w:cs="Times New Roman"/>
          <w:sz w:val="18"/>
          <w:szCs w:val="18"/>
        </w:rPr>
        <w:t>/</w:t>
      </w:r>
      <w:r w:rsidRPr="00D77137">
        <w:rPr>
          <w:rFonts w:cs="Times New Roman"/>
          <w:sz w:val="18"/>
          <w:szCs w:val="18"/>
        </w:rPr>
        <w:t>股调整为</w:t>
      </w:r>
      <w:r w:rsidRPr="00D77137">
        <w:rPr>
          <w:rFonts w:cs="Times New Roman"/>
          <w:sz w:val="18"/>
          <w:szCs w:val="18"/>
        </w:rPr>
        <w:t xml:space="preserve"> 9.28 </w:t>
      </w:r>
      <w:r w:rsidRPr="00D77137">
        <w:rPr>
          <w:rFonts w:cs="Times New Roman"/>
          <w:sz w:val="18"/>
          <w:szCs w:val="18"/>
        </w:rPr>
        <w:t>元</w:t>
      </w:r>
      <w:r w:rsidRPr="00D77137">
        <w:rPr>
          <w:rFonts w:cs="Times New Roman"/>
          <w:sz w:val="18"/>
          <w:szCs w:val="18"/>
        </w:rPr>
        <w:t>/</w:t>
      </w:r>
      <w:r w:rsidRPr="00D77137">
        <w:rPr>
          <w:rFonts w:cs="Times New Roman"/>
          <w:sz w:val="18"/>
          <w:szCs w:val="18"/>
        </w:rPr>
        <w:t>股。调整后的转股价格自</w:t>
      </w:r>
      <w:r w:rsidRPr="00D77137">
        <w:rPr>
          <w:rFonts w:cs="Times New Roman"/>
          <w:sz w:val="18"/>
          <w:szCs w:val="18"/>
        </w:rPr>
        <w:t xml:space="preserve">2022 </w:t>
      </w:r>
      <w:r w:rsidRPr="00D77137">
        <w:rPr>
          <w:rFonts w:cs="Times New Roman"/>
          <w:sz w:val="18"/>
          <w:szCs w:val="18"/>
        </w:rPr>
        <w:t>年</w:t>
      </w:r>
      <w:r w:rsidRPr="00D77137">
        <w:rPr>
          <w:rFonts w:cs="Times New Roman"/>
          <w:sz w:val="18"/>
          <w:szCs w:val="18"/>
        </w:rPr>
        <w:t xml:space="preserve"> 3 </w:t>
      </w:r>
      <w:r w:rsidRPr="00D77137">
        <w:rPr>
          <w:rFonts w:cs="Times New Roman"/>
          <w:sz w:val="18"/>
          <w:szCs w:val="18"/>
        </w:rPr>
        <w:t>月</w:t>
      </w:r>
      <w:r w:rsidRPr="00D77137">
        <w:rPr>
          <w:rFonts w:cs="Times New Roman"/>
          <w:sz w:val="18"/>
          <w:szCs w:val="18"/>
        </w:rPr>
        <w:t xml:space="preserve"> 31 </w:t>
      </w:r>
      <w:r w:rsidRPr="00D77137">
        <w:rPr>
          <w:rFonts w:cs="Times New Roman"/>
          <w:sz w:val="18"/>
          <w:szCs w:val="18"/>
        </w:rPr>
        <w:t>日起生效。</w:t>
      </w:r>
    </w:p>
    <w:p w14:paraId="4319B0DE" w14:textId="77777777" w:rsidR="00C117DA" w:rsidRDefault="00000000" w:rsidP="00C117DA">
      <w:pPr>
        <w:spacing w:line="276" w:lineRule="auto"/>
        <w:ind w:firstLineChars="200" w:firstLine="360"/>
        <w:jc w:val="both"/>
        <w:divId w:val="1724326382"/>
        <w:rPr>
          <w:rFonts w:cs="Times New Roman"/>
          <w:sz w:val="18"/>
          <w:szCs w:val="18"/>
        </w:rPr>
      </w:pPr>
      <w:r w:rsidRPr="00D77137">
        <w:rPr>
          <w:rFonts w:cs="Times New Roman"/>
          <w:sz w:val="18"/>
          <w:szCs w:val="18"/>
        </w:rPr>
        <w:t xml:space="preserve"> </w:t>
      </w:r>
      <w:r w:rsidRPr="00D77137">
        <w:rPr>
          <w:rFonts w:cs="Times New Roman"/>
          <w:sz w:val="18"/>
          <w:szCs w:val="18"/>
        </w:rPr>
        <w:t>自前次转股价格调整日至</w:t>
      </w:r>
      <w:r w:rsidRPr="00D77137">
        <w:rPr>
          <w:rFonts w:cs="Times New Roman"/>
          <w:sz w:val="18"/>
          <w:szCs w:val="18"/>
        </w:rPr>
        <w:t xml:space="preserve"> 2022 </w:t>
      </w:r>
      <w:r w:rsidRPr="00D77137">
        <w:rPr>
          <w:rFonts w:cs="Times New Roman"/>
          <w:sz w:val="18"/>
          <w:szCs w:val="18"/>
        </w:rPr>
        <w:t>年</w:t>
      </w:r>
      <w:r w:rsidRPr="00D77137">
        <w:rPr>
          <w:rFonts w:cs="Times New Roman"/>
          <w:sz w:val="18"/>
          <w:szCs w:val="18"/>
        </w:rPr>
        <w:t xml:space="preserve"> 8 </w:t>
      </w:r>
      <w:r w:rsidRPr="00D77137">
        <w:rPr>
          <w:rFonts w:cs="Times New Roman"/>
          <w:sz w:val="18"/>
          <w:szCs w:val="18"/>
        </w:rPr>
        <w:t>月</w:t>
      </w:r>
      <w:r w:rsidRPr="00D77137">
        <w:rPr>
          <w:rFonts w:cs="Times New Roman"/>
          <w:sz w:val="18"/>
          <w:szCs w:val="18"/>
        </w:rPr>
        <w:t xml:space="preserve"> 17 </w:t>
      </w:r>
      <w:r w:rsidRPr="00D77137">
        <w:rPr>
          <w:rFonts w:cs="Times New Roman"/>
          <w:sz w:val="18"/>
          <w:szCs w:val="18"/>
        </w:rPr>
        <w:t>日，公司总股本因激励对象自主行权以及限制性股票回购注销而发生变化，根据公司可转换公司债</w:t>
      </w:r>
      <w:proofErr w:type="gramStart"/>
      <w:r w:rsidRPr="00D77137">
        <w:rPr>
          <w:rFonts w:cs="Times New Roman"/>
          <w:sz w:val="18"/>
          <w:szCs w:val="18"/>
        </w:rPr>
        <w:t>券</w:t>
      </w:r>
      <w:proofErr w:type="gramEnd"/>
      <w:r w:rsidRPr="00D77137">
        <w:rPr>
          <w:rFonts w:cs="Times New Roman"/>
          <w:sz w:val="18"/>
          <w:szCs w:val="18"/>
        </w:rPr>
        <w:t>转股价格调整的相关条款，</w:t>
      </w:r>
      <w:r w:rsidRPr="00D77137">
        <w:rPr>
          <w:rFonts w:cs="Times New Roman"/>
          <w:sz w:val="18"/>
          <w:szCs w:val="18"/>
        </w:rPr>
        <w:t>“</w:t>
      </w:r>
      <w:r w:rsidRPr="00D77137">
        <w:rPr>
          <w:rFonts w:cs="Times New Roman"/>
          <w:sz w:val="18"/>
          <w:szCs w:val="18"/>
        </w:rPr>
        <w:t>龙大转债</w:t>
      </w:r>
      <w:r w:rsidRPr="00D77137">
        <w:rPr>
          <w:rFonts w:cs="Times New Roman"/>
          <w:sz w:val="18"/>
          <w:szCs w:val="18"/>
        </w:rPr>
        <w:t>”</w:t>
      </w:r>
      <w:r w:rsidRPr="00D77137">
        <w:rPr>
          <w:rFonts w:cs="Times New Roman"/>
          <w:sz w:val="18"/>
          <w:szCs w:val="18"/>
        </w:rPr>
        <w:t>的转股价由</w:t>
      </w:r>
      <w:r w:rsidRPr="00D77137">
        <w:rPr>
          <w:rFonts w:cs="Times New Roman"/>
          <w:sz w:val="18"/>
          <w:szCs w:val="18"/>
        </w:rPr>
        <w:t xml:space="preserve"> 9.28 </w:t>
      </w:r>
      <w:r w:rsidRPr="00D77137">
        <w:rPr>
          <w:rFonts w:cs="Times New Roman"/>
          <w:sz w:val="18"/>
          <w:szCs w:val="18"/>
        </w:rPr>
        <w:t>元</w:t>
      </w:r>
      <w:r w:rsidRPr="00D77137">
        <w:rPr>
          <w:rFonts w:cs="Times New Roman"/>
          <w:sz w:val="18"/>
          <w:szCs w:val="18"/>
        </w:rPr>
        <w:t>/</w:t>
      </w:r>
      <w:r w:rsidRPr="00D77137">
        <w:rPr>
          <w:rFonts w:cs="Times New Roman"/>
          <w:sz w:val="18"/>
          <w:szCs w:val="18"/>
        </w:rPr>
        <w:t>股调整为</w:t>
      </w:r>
      <w:r w:rsidRPr="00D77137">
        <w:rPr>
          <w:rFonts w:cs="Times New Roman"/>
          <w:sz w:val="18"/>
          <w:szCs w:val="18"/>
        </w:rPr>
        <w:t xml:space="preserve"> 9.30 </w:t>
      </w:r>
      <w:r w:rsidRPr="00D77137">
        <w:rPr>
          <w:rFonts w:cs="Times New Roman"/>
          <w:sz w:val="18"/>
          <w:szCs w:val="18"/>
        </w:rPr>
        <w:t>元</w:t>
      </w:r>
      <w:r w:rsidRPr="00D77137">
        <w:rPr>
          <w:rFonts w:cs="Times New Roman"/>
          <w:sz w:val="18"/>
          <w:szCs w:val="18"/>
        </w:rPr>
        <w:t>/</w:t>
      </w:r>
      <w:r w:rsidRPr="00D77137">
        <w:rPr>
          <w:rFonts w:cs="Times New Roman"/>
          <w:sz w:val="18"/>
          <w:szCs w:val="18"/>
        </w:rPr>
        <w:t>股。调整后的转股价格自</w:t>
      </w:r>
      <w:r w:rsidRPr="00D77137">
        <w:rPr>
          <w:rFonts w:cs="Times New Roman"/>
          <w:sz w:val="18"/>
          <w:szCs w:val="18"/>
        </w:rPr>
        <w:t xml:space="preserve"> 2022 </w:t>
      </w:r>
      <w:r w:rsidRPr="00D77137">
        <w:rPr>
          <w:rFonts w:cs="Times New Roman"/>
          <w:sz w:val="18"/>
          <w:szCs w:val="18"/>
        </w:rPr>
        <w:t>年</w:t>
      </w:r>
      <w:r w:rsidRPr="00D77137">
        <w:rPr>
          <w:rFonts w:cs="Times New Roman"/>
          <w:sz w:val="18"/>
          <w:szCs w:val="18"/>
        </w:rPr>
        <w:t xml:space="preserve"> 8 </w:t>
      </w:r>
      <w:r w:rsidRPr="00D77137">
        <w:rPr>
          <w:rFonts w:cs="Times New Roman"/>
          <w:sz w:val="18"/>
          <w:szCs w:val="18"/>
        </w:rPr>
        <w:t>月</w:t>
      </w:r>
      <w:r w:rsidRPr="00D77137">
        <w:rPr>
          <w:rFonts w:cs="Times New Roman"/>
          <w:sz w:val="18"/>
          <w:szCs w:val="18"/>
        </w:rPr>
        <w:t xml:space="preserve"> 19 </w:t>
      </w:r>
      <w:r w:rsidRPr="00D77137">
        <w:rPr>
          <w:rFonts w:cs="Times New Roman"/>
          <w:sz w:val="18"/>
          <w:szCs w:val="18"/>
        </w:rPr>
        <w:t>日起生效。</w:t>
      </w:r>
    </w:p>
    <w:p w14:paraId="3A315F83" w14:textId="0A71997B" w:rsidR="00517D34" w:rsidRPr="00D77137" w:rsidRDefault="00C117DA" w:rsidP="00C117DA">
      <w:pPr>
        <w:spacing w:line="276" w:lineRule="auto"/>
        <w:ind w:firstLineChars="200" w:firstLine="360"/>
        <w:jc w:val="both"/>
        <w:divId w:val="1724326382"/>
        <w:rPr>
          <w:rFonts w:cs="Times New Roman"/>
          <w:sz w:val="18"/>
          <w:szCs w:val="18"/>
        </w:rPr>
      </w:pPr>
      <w:r>
        <w:rPr>
          <w:rFonts w:cs="Times New Roman" w:hint="eastAsia"/>
          <w:sz w:val="18"/>
          <w:szCs w:val="18"/>
        </w:rPr>
        <w:t xml:space="preserve"> </w:t>
      </w:r>
      <w:r w:rsidRPr="00D77137">
        <w:rPr>
          <w:rFonts w:cs="Times New Roman"/>
          <w:sz w:val="18"/>
          <w:szCs w:val="18"/>
        </w:rPr>
        <w:t>本报告期内，公司不存在可转债转股价格调整的情况。</w:t>
      </w:r>
    </w:p>
    <w:p w14:paraId="1329F1B2" w14:textId="77777777" w:rsidR="007B3DB2" w:rsidRPr="0063248C" w:rsidRDefault="00000000">
      <w:pPr>
        <w:pStyle w:val="3"/>
        <w:spacing w:line="280" w:lineRule="exact"/>
        <w:jc w:val="left"/>
        <w:rPr>
          <w:rFonts w:cs="宋体"/>
          <w:b/>
          <w:bCs/>
        </w:rPr>
      </w:pPr>
      <w:bookmarkStart w:id="95" w:name="_Toc988984"/>
      <w:r w:rsidRPr="0063248C">
        <w:rPr>
          <w:rFonts w:cs="宋体"/>
          <w:b/>
          <w:bCs/>
        </w:rPr>
        <w:lastRenderedPageBreak/>
        <w:t>2</w:t>
      </w:r>
      <w:r w:rsidRPr="0063248C">
        <w:rPr>
          <w:rFonts w:cs="宋体"/>
          <w:b/>
          <w:bCs/>
        </w:rPr>
        <w:t>、累计转股情况</w:t>
      </w:r>
      <w:bookmarkEnd w:id="95"/>
    </w:p>
    <w:p w14:paraId="4B29E99E"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942"/>
        <w:gridCol w:w="1134"/>
        <w:gridCol w:w="850"/>
        <w:gridCol w:w="1276"/>
        <w:gridCol w:w="1153"/>
        <w:gridCol w:w="1071"/>
        <w:gridCol w:w="1071"/>
        <w:gridCol w:w="1241"/>
        <w:gridCol w:w="901"/>
      </w:tblGrid>
      <w:tr w:rsidR="007B3DB2" w:rsidRPr="0063248C" w14:paraId="0C1E4FF1" w14:textId="77777777" w:rsidTr="00D77137">
        <w:trPr>
          <w:trHeight w:val="240"/>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21F435D5" w14:textId="77777777" w:rsidR="007B3DB2" w:rsidRPr="0063248C" w:rsidRDefault="00000000">
            <w:pPr>
              <w:spacing w:before="40" w:after="40" w:line="240" w:lineRule="exact"/>
              <w:jc w:val="center"/>
              <w:rPr>
                <w:rFonts w:cs="宋体"/>
                <w:sz w:val="18"/>
                <w:szCs w:val="18"/>
              </w:rPr>
            </w:pPr>
            <w:r w:rsidRPr="0063248C">
              <w:rPr>
                <w:rFonts w:cs="宋体"/>
                <w:sz w:val="18"/>
                <w:szCs w:val="18"/>
              </w:rPr>
              <w:t>转债简称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0C1E148" w14:textId="77777777" w:rsidR="007B3DB2" w:rsidRPr="0063248C" w:rsidRDefault="00000000">
            <w:pPr>
              <w:spacing w:before="40" w:after="40" w:line="240" w:lineRule="exact"/>
              <w:jc w:val="center"/>
              <w:rPr>
                <w:rFonts w:cs="宋体"/>
                <w:sz w:val="18"/>
                <w:szCs w:val="18"/>
              </w:rPr>
            </w:pPr>
            <w:r w:rsidRPr="0063248C">
              <w:rPr>
                <w:rFonts w:cs="宋体"/>
                <w:sz w:val="18"/>
                <w:szCs w:val="18"/>
              </w:rPr>
              <w:t>转股起止日期</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8EC43C7" w14:textId="77777777" w:rsidR="007B3DB2" w:rsidRPr="0063248C" w:rsidRDefault="00000000">
            <w:pPr>
              <w:spacing w:before="40" w:after="40" w:line="240" w:lineRule="exact"/>
              <w:jc w:val="center"/>
              <w:rPr>
                <w:rFonts w:cs="宋体"/>
                <w:sz w:val="18"/>
                <w:szCs w:val="18"/>
              </w:rPr>
            </w:pPr>
            <w:r w:rsidRPr="0063248C">
              <w:rPr>
                <w:rFonts w:cs="宋体"/>
                <w:sz w:val="18"/>
                <w:szCs w:val="18"/>
              </w:rPr>
              <w:t>发行总量（张）</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AF0DABF" w14:textId="77777777" w:rsidR="007B3DB2" w:rsidRPr="0063248C" w:rsidRDefault="00000000">
            <w:pPr>
              <w:spacing w:before="40" w:after="40" w:line="240" w:lineRule="exact"/>
              <w:jc w:val="center"/>
              <w:rPr>
                <w:rFonts w:cs="宋体"/>
                <w:sz w:val="18"/>
                <w:szCs w:val="18"/>
              </w:rPr>
            </w:pPr>
            <w:r w:rsidRPr="0063248C">
              <w:rPr>
                <w:rFonts w:cs="宋体"/>
                <w:sz w:val="18"/>
                <w:szCs w:val="18"/>
              </w:rPr>
              <w:t>发行总金额（元）</w:t>
            </w:r>
          </w:p>
        </w:tc>
        <w:tc>
          <w:tcPr>
            <w:tcW w:w="1153" w:type="dxa"/>
            <w:tcBorders>
              <w:top w:val="single" w:sz="2" w:space="0" w:color="auto"/>
              <w:left w:val="single" w:sz="2" w:space="0" w:color="auto"/>
              <w:bottom w:val="single" w:sz="2" w:space="0" w:color="auto"/>
              <w:right w:val="single" w:sz="2" w:space="0" w:color="auto"/>
            </w:tcBorders>
            <w:shd w:val="clear" w:color="auto" w:fill="D3D3D3"/>
            <w:vAlign w:val="center"/>
          </w:tcPr>
          <w:p w14:paraId="4504A6BB" w14:textId="77777777" w:rsidR="007B3DB2" w:rsidRPr="0063248C" w:rsidRDefault="00000000">
            <w:pPr>
              <w:spacing w:before="40" w:after="40" w:line="240" w:lineRule="exact"/>
              <w:jc w:val="center"/>
              <w:rPr>
                <w:rFonts w:cs="宋体"/>
                <w:sz w:val="18"/>
                <w:szCs w:val="18"/>
              </w:rPr>
            </w:pPr>
            <w:r w:rsidRPr="0063248C">
              <w:rPr>
                <w:rFonts w:cs="宋体"/>
                <w:sz w:val="18"/>
                <w:szCs w:val="18"/>
              </w:rPr>
              <w:t>累计转股金额（元）</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E7D2980" w14:textId="77777777" w:rsidR="007B3DB2" w:rsidRPr="0063248C" w:rsidRDefault="00000000">
            <w:pPr>
              <w:spacing w:before="40" w:after="40" w:line="240" w:lineRule="exact"/>
              <w:jc w:val="center"/>
              <w:rPr>
                <w:rFonts w:cs="宋体"/>
                <w:sz w:val="18"/>
                <w:szCs w:val="18"/>
              </w:rPr>
            </w:pPr>
            <w:r w:rsidRPr="0063248C">
              <w:rPr>
                <w:rFonts w:cs="宋体"/>
                <w:sz w:val="18"/>
                <w:szCs w:val="18"/>
              </w:rPr>
              <w:t>累计转股数</w:t>
            </w:r>
          </w:p>
          <w:p w14:paraId="02ADFDFA" w14:textId="77777777" w:rsidR="007B3DB2" w:rsidRPr="0063248C" w:rsidRDefault="00000000">
            <w:pPr>
              <w:spacing w:before="40" w:after="40" w:line="240" w:lineRule="exact"/>
              <w:jc w:val="center"/>
              <w:rPr>
                <w:rFonts w:cs="宋体"/>
                <w:sz w:val="18"/>
                <w:szCs w:val="18"/>
              </w:rPr>
            </w:pPr>
            <w:r w:rsidRPr="0063248C">
              <w:rPr>
                <w:rFonts w:cs="宋体"/>
                <w:sz w:val="18"/>
                <w:szCs w:val="18"/>
              </w:rPr>
              <w:t>（股）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7F51791" w14:textId="77777777" w:rsidR="007B3DB2" w:rsidRPr="0063248C" w:rsidRDefault="00000000">
            <w:pPr>
              <w:spacing w:before="40" w:after="40" w:line="240" w:lineRule="exact"/>
              <w:jc w:val="center"/>
              <w:rPr>
                <w:rFonts w:cs="宋体"/>
                <w:sz w:val="18"/>
                <w:szCs w:val="18"/>
              </w:rPr>
            </w:pPr>
            <w:r w:rsidRPr="0063248C">
              <w:rPr>
                <w:rFonts w:cs="宋体"/>
                <w:sz w:val="18"/>
                <w:szCs w:val="18"/>
              </w:rPr>
              <w:t>转股</w:t>
            </w:r>
            <w:proofErr w:type="gramStart"/>
            <w:r w:rsidRPr="0063248C">
              <w:rPr>
                <w:rFonts w:cs="宋体"/>
                <w:sz w:val="18"/>
                <w:szCs w:val="18"/>
              </w:rPr>
              <w:t>数量占转股</w:t>
            </w:r>
            <w:proofErr w:type="gramEnd"/>
            <w:r w:rsidRPr="0063248C">
              <w:rPr>
                <w:rFonts w:cs="宋体"/>
                <w:sz w:val="18"/>
                <w:szCs w:val="18"/>
              </w:rPr>
              <w:t>开始日前公司已发行股份总额的比例</w:t>
            </w:r>
          </w:p>
        </w:tc>
        <w:tc>
          <w:tcPr>
            <w:tcW w:w="1241" w:type="dxa"/>
            <w:tcBorders>
              <w:top w:val="single" w:sz="2" w:space="0" w:color="auto"/>
              <w:left w:val="single" w:sz="2" w:space="0" w:color="auto"/>
              <w:bottom w:val="single" w:sz="2" w:space="0" w:color="auto"/>
              <w:right w:val="single" w:sz="2" w:space="0" w:color="auto"/>
            </w:tcBorders>
            <w:shd w:val="clear" w:color="auto" w:fill="D3D3D3"/>
            <w:vAlign w:val="center"/>
          </w:tcPr>
          <w:p w14:paraId="4095F4EA" w14:textId="73B107A0" w:rsidR="007B3DB2" w:rsidRPr="0063248C" w:rsidRDefault="00000000">
            <w:pPr>
              <w:spacing w:before="40" w:after="40" w:line="240" w:lineRule="exact"/>
              <w:jc w:val="center"/>
              <w:rPr>
                <w:rFonts w:cs="宋体"/>
                <w:sz w:val="18"/>
                <w:szCs w:val="18"/>
              </w:rPr>
            </w:pPr>
            <w:r w:rsidRPr="0063248C">
              <w:rPr>
                <w:rFonts w:cs="宋体"/>
                <w:sz w:val="18"/>
                <w:szCs w:val="18"/>
              </w:rPr>
              <w:t>尚未转股金额</w:t>
            </w:r>
            <w:r w:rsidR="00ED579E" w:rsidRPr="0063248C">
              <w:rPr>
                <w:rFonts w:cs="宋体"/>
                <w:sz w:val="18"/>
                <w:szCs w:val="18"/>
              </w:rPr>
              <w:t>（元）</w:t>
            </w:r>
          </w:p>
        </w:tc>
        <w:tc>
          <w:tcPr>
            <w:tcW w:w="901" w:type="dxa"/>
            <w:tcBorders>
              <w:top w:val="single" w:sz="2" w:space="0" w:color="auto"/>
              <w:left w:val="single" w:sz="2" w:space="0" w:color="auto"/>
              <w:bottom w:val="single" w:sz="2" w:space="0" w:color="auto"/>
              <w:right w:val="single" w:sz="2" w:space="0" w:color="auto"/>
            </w:tcBorders>
            <w:shd w:val="clear" w:color="auto" w:fill="D3D3D3"/>
            <w:vAlign w:val="center"/>
          </w:tcPr>
          <w:p w14:paraId="53E17A51" w14:textId="77777777" w:rsidR="007B3DB2" w:rsidRPr="0063248C" w:rsidRDefault="00000000">
            <w:pPr>
              <w:spacing w:before="40" w:after="40" w:line="240" w:lineRule="exact"/>
              <w:jc w:val="center"/>
              <w:rPr>
                <w:rFonts w:cs="宋体"/>
                <w:sz w:val="18"/>
                <w:szCs w:val="18"/>
              </w:rPr>
            </w:pPr>
            <w:r w:rsidRPr="0063248C">
              <w:rPr>
                <w:rFonts w:cs="宋体"/>
                <w:sz w:val="18"/>
                <w:szCs w:val="18"/>
              </w:rPr>
              <w:t>未转股金额占发行总金额的比例</w:t>
            </w:r>
          </w:p>
        </w:tc>
      </w:tr>
      <w:tr w:rsidR="007B3DB2" w:rsidRPr="0063248C" w14:paraId="415FEA33" w14:textId="77777777" w:rsidTr="00D77137">
        <w:trPr>
          <w:trHeight w:val="240"/>
        </w:trPr>
        <w:tc>
          <w:tcPr>
            <w:tcW w:w="942" w:type="dxa"/>
            <w:tcBorders>
              <w:top w:val="single" w:sz="2" w:space="0" w:color="auto"/>
              <w:left w:val="single" w:sz="2" w:space="0" w:color="auto"/>
              <w:bottom w:val="single" w:sz="2" w:space="0" w:color="auto"/>
              <w:right w:val="single" w:sz="2" w:space="0" w:color="auto"/>
            </w:tcBorders>
            <w:vAlign w:val="center"/>
          </w:tcPr>
          <w:p w14:paraId="01ED9437" w14:textId="77777777" w:rsidR="007B3DB2" w:rsidRPr="0063248C" w:rsidRDefault="00000000">
            <w:pPr>
              <w:spacing w:line="240" w:lineRule="exact"/>
              <w:rPr>
                <w:rFonts w:cs="宋体"/>
                <w:sz w:val="18"/>
                <w:szCs w:val="18"/>
              </w:rPr>
            </w:pPr>
            <w:r w:rsidRPr="0063248C">
              <w:rPr>
                <w:rFonts w:cs="宋体"/>
                <w:sz w:val="18"/>
                <w:szCs w:val="18"/>
              </w:rPr>
              <w:t>龙大转债</w:t>
            </w:r>
          </w:p>
        </w:tc>
        <w:tc>
          <w:tcPr>
            <w:tcW w:w="1134" w:type="dxa"/>
            <w:tcBorders>
              <w:top w:val="single" w:sz="2" w:space="0" w:color="auto"/>
              <w:left w:val="single" w:sz="2" w:space="0" w:color="auto"/>
              <w:bottom w:val="single" w:sz="2" w:space="0" w:color="auto"/>
              <w:right w:val="single" w:sz="2" w:space="0" w:color="auto"/>
            </w:tcBorders>
            <w:vAlign w:val="center"/>
          </w:tcPr>
          <w:p w14:paraId="125BB649" w14:textId="77777777" w:rsidR="007B3DB2" w:rsidRPr="0063248C" w:rsidRDefault="00000000">
            <w:pPr>
              <w:spacing w:line="240" w:lineRule="exact"/>
              <w:rPr>
                <w:rFonts w:cs="宋体"/>
                <w:sz w:val="18"/>
                <w:szCs w:val="18"/>
              </w:rPr>
            </w:pPr>
            <w:r w:rsidRPr="0063248C">
              <w:rPr>
                <w:rFonts w:cs="宋体"/>
                <w:sz w:val="18"/>
                <w:szCs w:val="18"/>
              </w:rPr>
              <w:t>2021</w:t>
            </w:r>
            <w:r w:rsidRPr="0063248C">
              <w:rPr>
                <w:rFonts w:cs="宋体"/>
                <w:sz w:val="18"/>
                <w:szCs w:val="18"/>
              </w:rPr>
              <w:t>年</w:t>
            </w:r>
            <w:r w:rsidRPr="0063248C">
              <w:rPr>
                <w:rFonts w:cs="宋体"/>
                <w:sz w:val="18"/>
                <w:szCs w:val="18"/>
              </w:rPr>
              <w:t>1</w:t>
            </w:r>
            <w:r w:rsidRPr="0063248C">
              <w:rPr>
                <w:rFonts w:cs="宋体"/>
                <w:sz w:val="18"/>
                <w:szCs w:val="18"/>
              </w:rPr>
              <w:t>月</w:t>
            </w:r>
            <w:r w:rsidRPr="0063248C">
              <w:rPr>
                <w:rFonts w:cs="宋体"/>
                <w:sz w:val="18"/>
                <w:szCs w:val="18"/>
              </w:rPr>
              <w:t>18</w:t>
            </w:r>
            <w:r w:rsidRPr="0063248C">
              <w:rPr>
                <w:rFonts w:cs="宋体"/>
                <w:sz w:val="18"/>
                <w:szCs w:val="18"/>
              </w:rPr>
              <w:t>日至</w:t>
            </w:r>
            <w:r w:rsidRPr="0063248C">
              <w:rPr>
                <w:rFonts w:cs="宋体"/>
                <w:sz w:val="18"/>
                <w:szCs w:val="18"/>
              </w:rPr>
              <w:t>2026</w:t>
            </w:r>
            <w:r w:rsidRPr="0063248C">
              <w:rPr>
                <w:rFonts w:cs="宋体"/>
                <w:sz w:val="18"/>
                <w:szCs w:val="18"/>
              </w:rPr>
              <w:t>年</w:t>
            </w:r>
            <w:r w:rsidRPr="0063248C">
              <w:rPr>
                <w:rFonts w:cs="宋体"/>
                <w:sz w:val="18"/>
                <w:szCs w:val="18"/>
              </w:rPr>
              <w:t>7</w:t>
            </w:r>
            <w:r w:rsidRPr="0063248C">
              <w:rPr>
                <w:rFonts w:cs="宋体"/>
                <w:sz w:val="18"/>
                <w:szCs w:val="18"/>
              </w:rPr>
              <w:t>月</w:t>
            </w:r>
            <w:r w:rsidRPr="0063248C">
              <w:rPr>
                <w:rFonts w:cs="宋体"/>
                <w:sz w:val="18"/>
                <w:szCs w:val="18"/>
              </w:rPr>
              <w:t>12</w:t>
            </w:r>
            <w:r w:rsidRPr="0063248C">
              <w:rPr>
                <w:rFonts w:cs="宋体"/>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636CB9C1" w14:textId="77777777" w:rsidR="007B3DB2" w:rsidRPr="0063248C" w:rsidRDefault="00000000">
            <w:pPr>
              <w:spacing w:line="240" w:lineRule="exact"/>
              <w:jc w:val="right"/>
              <w:rPr>
                <w:rFonts w:cs="宋体"/>
                <w:sz w:val="18"/>
                <w:szCs w:val="18"/>
              </w:rPr>
            </w:pPr>
            <w:r w:rsidRPr="0063248C">
              <w:rPr>
                <w:rFonts w:cs="宋体"/>
                <w:sz w:val="18"/>
                <w:szCs w:val="18"/>
              </w:rPr>
              <w:t>9,500,000</w:t>
            </w:r>
          </w:p>
        </w:tc>
        <w:tc>
          <w:tcPr>
            <w:tcW w:w="1276" w:type="dxa"/>
            <w:tcBorders>
              <w:top w:val="single" w:sz="2" w:space="0" w:color="auto"/>
              <w:left w:val="single" w:sz="2" w:space="0" w:color="auto"/>
              <w:bottom w:val="single" w:sz="2" w:space="0" w:color="auto"/>
              <w:right w:val="single" w:sz="2" w:space="0" w:color="auto"/>
            </w:tcBorders>
            <w:vAlign w:val="center"/>
          </w:tcPr>
          <w:p w14:paraId="5D1F0A89" w14:textId="77777777" w:rsidR="007B3DB2" w:rsidRPr="0063248C" w:rsidRDefault="00000000">
            <w:pPr>
              <w:spacing w:line="240" w:lineRule="exact"/>
              <w:jc w:val="right"/>
              <w:rPr>
                <w:rFonts w:cs="宋体"/>
                <w:sz w:val="18"/>
                <w:szCs w:val="18"/>
              </w:rPr>
            </w:pPr>
            <w:r w:rsidRPr="0063248C">
              <w:rPr>
                <w:rFonts w:cs="宋体"/>
                <w:sz w:val="18"/>
                <w:szCs w:val="18"/>
              </w:rPr>
              <w:t>950,000,000.00</w:t>
            </w:r>
          </w:p>
        </w:tc>
        <w:tc>
          <w:tcPr>
            <w:tcW w:w="1153" w:type="dxa"/>
            <w:tcBorders>
              <w:top w:val="single" w:sz="2" w:space="0" w:color="auto"/>
              <w:left w:val="single" w:sz="2" w:space="0" w:color="auto"/>
              <w:bottom w:val="single" w:sz="2" w:space="0" w:color="auto"/>
              <w:right w:val="single" w:sz="2" w:space="0" w:color="auto"/>
            </w:tcBorders>
            <w:vAlign w:val="center"/>
          </w:tcPr>
          <w:p w14:paraId="0AE4196B" w14:textId="77777777" w:rsidR="007B3DB2" w:rsidRPr="0063248C" w:rsidRDefault="00000000">
            <w:pPr>
              <w:spacing w:line="240" w:lineRule="exact"/>
              <w:jc w:val="right"/>
              <w:rPr>
                <w:rFonts w:cs="宋体"/>
                <w:sz w:val="18"/>
                <w:szCs w:val="18"/>
              </w:rPr>
            </w:pPr>
            <w:r w:rsidRPr="0063248C">
              <w:rPr>
                <w:rFonts w:cs="宋体"/>
                <w:sz w:val="18"/>
                <w:szCs w:val="18"/>
              </w:rPr>
              <w:t>3,944,300.00</w:t>
            </w:r>
          </w:p>
        </w:tc>
        <w:tc>
          <w:tcPr>
            <w:tcW w:w="1071" w:type="dxa"/>
            <w:tcBorders>
              <w:top w:val="single" w:sz="2" w:space="0" w:color="auto"/>
              <w:left w:val="single" w:sz="2" w:space="0" w:color="auto"/>
              <w:bottom w:val="single" w:sz="2" w:space="0" w:color="auto"/>
              <w:right w:val="single" w:sz="2" w:space="0" w:color="auto"/>
            </w:tcBorders>
            <w:vAlign w:val="center"/>
          </w:tcPr>
          <w:p w14:paraId="6BAFC3B5" w14:textId="77777777" w:rsidR="007B3DB2" w:rsidRPr="0063248C" w:rsidRDefault="00000000">
            <w:pPr>
              <w:spacing w:line="240" w:lineRule="exact"/>
              <w:jc w:val="right"/>
              <w:rPr>
                <w:rFonts w:cs="宋体"/>
                <w:sz w:val="18"/>
                <w:szCs w:val="18"/>
              </w:rPr>
            </w:pPr>
            <w:r w:rsidRPr="0063248C">
              <w:rPr>
                <w:rFonts w:cs="宋体"/>
                <w:sz w:val="18"/>
                <w:szCs w:val="18"/>
              </w:rPr>
              <w:t>418,172</w:t>
            </w:r>
          </w:p>
        </w:tc>
        <w:tc>
          <w:tcPr>
            <w:tcW w:w="1071" w:type="dxa"/>
            <w:tcBorders>
              <w:top w:val="single" w:sz="2" w:space="0" w:color="auto"/>
              <w:left w:val="single" w:sz="2" w:space="0" w:color="auto"/>
              <w:bottom w:val="single" w:sz="2" w:space="0" w:color="auto"/>
              <w:right w:val="single" w:sz="2" w:space="0" w:color="auto"/>
            </w:tcBorders>
            <w:vAlign w:val="center"/>
          </w:tcPr>
          <w:p w14:paraId="50F3EC8A" w14:textId="0A91B195" w:rsidR="007B3DB2" w:rsidRPr="0063248C" w:rsidRDefault="00D77137">
            <w:pPr>
              <w:spacing w:line="240" w:lineRule="exact"/>
              <w:jc w:val="right"/>
              <w:rPr>
                <w:rFonts w:cs="宋体"/>
                <w:sz w:val="18"/>
                <w:szCs w:val="18"/>
              </w:rPr>
            </w:pPr>
            <w:r>
              <w:rPr>
                <w:rFonts w:cs="宋体" w:hint="eastAsia"/>
                <w:sz w:val="18"/>
                <w:szCs w:val="18"/>
              </w:rPr>
              <w:t>0.04%</w:t>
            </w:r>
          </w:p>
        </w:tc>
        <w:tc>
          <w:tcPr>
            <w:tcW w:w="1241" w:type="dxa"/>
            <w:tcBorders>
              <w:top w:val="single" w:sz="2" w:space="0" w:color="auto"/>
              <w:left w:val="single" w:sz="2" w:space="0" w:color="auto"/>
              <w:bottom w:val="single" w:sz="2" w:space="0" w:color="auto"/>
              <w:right w:val="single" w:sz="2" w:space="0" w:color="auto"/>
            </w:tcBorders>
            <w:vAlign w:val="center"/>
          </w:tcPr>
          <w:p w14:paraId="38C658A7" w14:textId="77777777" w:rsidR="007B3DB2" w:rsidRPr="0063248C" w:rsidRDefault="00000000">
            <w:pPr>
              <w:spacing w:line="240" w:lineRule="exact"/>
              <w:jc w:val="right"/>
              <w:rPr>
                <w:rFonts w:cs="宋体"/>
                <w:sz w:val="18"/>
                <w:szCs w:val="18"/>
              </w:rPr>
            </w:pPr>
            <w:r w:rsidRPr="0063248C">
              <w:rPr>
                <w:rFonts w:cs="宋体"/>
                <w:sz w:val="18"/>
                <w:szCs w:val="18"/>
              </w:rPr>
              <w:t>946,055,700.00</w:t>
            </w:r>
          </w:p>
        </w:tc>
        <w:tc>
          <w:tcPr>
            <w:tcW w:w="901" w:type="dxa"/>
            <w:tcBorders>
              <w:top w:val="single" w:sz="2" w:space="0" w:color="auto"/>
              <w:left w:val="single" w:sz="2" w:space="0" w:color="auto"/>
              <w:bottom w:val="single" w:sz="2" w:space="0" w:color="auto"/>
              <w:right w:val="single" w:sz="2" w:space="0" w:color="auto"/>
            </w:tcBorders>
            <w:vAlign w:val="center"/>
          </w:tcPr>
          <w:p w14:paraId="2C43D570" w14:textId="77777777" w:rsidR="007B3DB2" w:rsidRPr="0063248C" w:rsidRDefault="00000000">
            <w:pPr>
              <w:spacing w:line="240" w:lineRule="exact"/>
              <w:jc w:val="right"/>
              <w:rPr>
                <w:rFonts w:cs="宋体"/>
                <w:sz w:val="18"/>
                <w:szCs w:val="18"/>
              </w:rPr>
            </w:pPr>
            <w:r w:rsidRPr="0063248C">
              <w:rPr>
                <w:rFonts w:cs="宋体"/>
                <w:sz w:val="18"/>
                <w:szCs w:val="18"/>
              </w:rPr>
              <w:t>99.58%</w:t>
            </w:r>
          </w:p>
        </w:tc>
      </w:tr>
    </w:tbl>
    <w:p w14:paraId="17A88F6E" w14:textId="77777777" w:rsidR="007B3DB2" w:rsidRPr="0063248C" w:rsidRDefault="00000000">
      <w:pPr>
        <w:pStyle w:val="3"/>
        <w:spacing w:line="280" w:lineRule="exact"/>
        <w:jc w:val="left"/>
        <w:rPr>
          <w:rFonts w:cs="宋体"/>
          <w:b/>
          <w:bCs/>
        </w:rPr>
      </w:pPr>
      <w:bookmarkStart w:id="96" w:name="_Toc988985"/>
      <w:r w:rsidRPr="0063248C">
        <w:rPr>
          <w:rFonts w:cs="宋体"/>
          <w:b/>
          <w:bCs/>
        </w:rPr>
        <w:t>3</w:t>
      </w:r>
      <w:r w:rsidRPr="0063248C">
        <w:rPr>
          <w:rFonts w:cs="宋体"/>
          <w:b/>
          <w:bCs/>
        </w:rPr>
        <w:t>、前十名可转债持有人情况</w:t>
      </w:r>
      <w:bookmarkEnd w:id="96"/>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09"/>
        <w:gridCol w:w="2552"/>
        <w:gridCol w:w="1559"/>
        <w:gridCol w:w="1605"/>
        <w:gridCol w:w="1607"/>
        <w:gridCol w:w="1607"/>
      </w:tblGrid>
      <w:tr w:rsidR="007B3DB2" w:rsidRPr="0063248C" w14:paraId="5EC3C601" w14:textId="77777777" w:rsidTr="00D77137">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8932DD4" w14:textId="77777777" w:rsidR="007B3DB2" w:rsidRPr="0063248C" w:rsidRDefault="00000000">
            <w:pPr>
              <w:spacing w:before="40" w:after="40" w:line="240" w:lineRule="exact"/>
              <w:jc w:val="center"/>
              <w:rPr>
                <w:rFonts w:cs="宋体"/>
                <w:sz w:val="18"/>
                <w:szCs w:val="18"/>
              </w:rPr>
            </w:pPr>
            <w:r w:rsidRPr="0063248C">
              <w:rPr>
                <w:rFonts w:cs="宋体"/>
                <w:sz w:val="18"/>
                <w:szCs w:val="18"/>
              </w:rPr>
              <w:t>序号</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0151E0B5" w14:textId="77777777" w:rsidR="007B3DB2" w:rsidRPr="0063248C" w:rsidRDefault="00000000">
            <w:pPr>
              <w:spacing w:before="40" w:after="40" w:line="240" w:lineRule="exact"/>
              <w:jc w:val="center"/>
              <w:rPr>
                <w:rFonts w:cs="宋体"/>
                <w:sz w:val="18"/>
                <w:szCs w:val="18"/>
              </w:rPr>
            </w:pPr>
            <w:r w:rsidRPr="0063248C">
              <w:rPr>
                <w:rFonts w:cs="宋体"/>
                <w:sz w:val="18"/>
                <w:szCs w:val="18"/>
              </w:rPr>
              <w:t>可转债持有人名称</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3D262631" w14:textId="77777777" w:rsidR="007B3DB2" w:rsidRPr="0063248C" w:rsidRDefault="00000000">
            <w:pPr>
              <w:spacing w:before="40" w:after="40" w:line="240" w:lineRule="exact"/>
              <w:jc w:val="center"/>
              <w:rPr>
                <w:rFonts w:cs="宋体"/>
                <w:sz w:val="18"/>
                <w:szCs w:val="18"/>
              </w:rPr>
            </w:pPr>
            <w:r w:rsidRPr="0063248C">
              <w:rPr>
                <w:rFonts w:cs="宋体"/>
                <w:sz w:val="18"/>
                <w:szCs w:val="18"/>
              </w:rPr>
              <w:t>可转债持有人性质</w:t>
            </w:r>
          </w:p>
        </w:tc>
        <w:tc>
          <w:tcPr>
            <w:tcW w:w="1605" w:type="dxa"/>
            <w:tcBorders>
              <w:top w:val="single" w:sz="2" w:space="0" w:color="auto"/>
              <w:left w:val="single" w:sz="2" w:space="0" w:color="auto"/>
              <w:bottom w:val="single" w:sz="2" w:space="0" w:color="auto"/>
              <w:right w:val="single" w:sz="2" w:space="0" w:color="auto"/>
            </w:tcBorders>
            <w:shd w:val="clear" w:color="auto" w:fill="D3D3D3"/>
            <w:vAlign w:val="center"/>
          </w:tcPr>
          <w:p w14:paraId="7B94069B" w14:textId="77777777" w:rsidR="007B3DB2" w:rsidRPr="0063248C" w:rsidRDefault="00000000">
            <w:pPr>
              <w:spacing w:before="40" w:after="40" w:line="240" w:lineRule="exact"/>
              <w:jc w:val="center"/>
              <w:rPr>
                <w:rFonts w:cs="宋体"/>
                <w:sz w:val="18"/>
                <w:szCs w:val="18"/>
              </w:rPr>
            </w:pPr>
            <w:r w:rsidRPr="0063248C">
              <w:rPr>
                <w:rFonts w:cs="宋体"/>
                <w:sz w:val="18"/>
                <w:szCs w:val="18"/>
              </w:rPr>
              <w:t>报告期末持有可转债数量（张）</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78CE67AF" w14:textId="77777777" w:rsidR="007B3DB2" w:rsidRPr="0063248C" w:rsidRDefault="00000000">
            <w:pPr>
              <w:spacing w:before="40" w:after="40" w:line="240" w:lineRule="exact"/>
              <w:jc w:val="center"/>
              <w:rPr>
                <w:rFonts w:cs="宋体"/>
                <w:sz w:val="18"/>
                <w:szCs w:val="18"/>
              </w:rPr>
            </w:pPr>
            <w:r w:rsidRPr="0063248C">
              <w:rPr>
                <w:rFonts w:cs="宋体"/>
                <w:sz w:val="18"/>
                <w:szCs w:val="18"/>
              </w:rPr>
              <w:t>报告期末持有可转债金额（元）</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216C9CB0" w14:textId="77777777" w:rsidR="007B3DB2" w:rsidRPr="0063248C" w:rsidRDefault="00000000">
            <w:pPr>
              <w:spacing w:before="40" w:after="40" w:line="240" w:lineRule="exact"/>
              <w:jc w:val="center"/>
              <w:rPr>
                <w:rFonts w:cs="宋体"/>
                <w:sz w:val="18"/>
                <w:szCs w:val="18"/>
              </w:rPr>
            </w:pPr>
            <w:r w:rsidRPr="0063248C">
              <w:rPr>
                <w:rFonts w:cs="宋体"/>
                <w:sz w:val="18"/>
                <w:szCs w:val="18"/>
              </w:rPr>
              <w:t>报告期末持有</w:t>
            </w:r>
            <w:proofErr w:type="gramStart"/>
            <w:r w:rsidRPr="0063248C">
              <w:rPr>
                <w:rFonts w:cs="宋体"/>
                <w:sz w:val="18"/>
                <w:szCs w:val="18"/>
              </w:rPr>
              <w:t>可转债占比</w:t>
            </w:r>
            <w:proofErr w:type="gramEnd"/>
          </w:p>
        </w:tc>
      </w:tr>
      <w:tr w:rsidR="007B3DB2" w:rsidRPr="0063248C" w14:paraId="72BA7239" w14:textId="77777777" w:rsidTr="00D77137">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7900BCD" w14:textId="77777777" w:rsidR="007B3DB2" w:rsidRPr="0063248C" w:rsidRDefault="00000000">
            <w:pPr>
              <w:spacing w:before="40" w:after="40" w:line="240" w:lineRule="exact"/>
              <w:jc w:val="center"/>
              <w:rPr>
                <w:rFonts w:cs="宋体"/>
                <w:sz w:val="18"/>
                <w:szCs w:val="18"/>
              </w:rPr>
            </w:pPr>
            <w:r w:rsidRPr="0063248C">
              <w:rPr>
                <w:rFonts w:cs="宋体"/>
                <w:sz w:val="18"/>
                <w:szCs w:val="18"/>
              </w:rPr>
              <w:t>1</w:t>
            </w:r>
          </w:p>
        </w:tc>
        <w:tc>
          <w:tcPr>
            <w:tcW w:w="2552" w:type="dxa"/>
            <w:tcBorders>
              <w:top w:val="single" w:sz="2" w:space="0" w:color="auto"/>
              <w:left w:val="single" w:sz="2" w:space="0" w:color="auto"/>
              <w:bottom w:val="single" w:sz="2" w:space="0" w:color="auto"/>
              <w:right w:val="single" w:sz="2" w:space="0" w:color="auto"/>
            </w:tcBorders>
            <w:vAlign w:val="center"/>
          </w:tcPr>
          <w:p w14:paraId="0C217F7B" w14:textId="77777777" w:rsidR="007B3DB2" w:rsidRPr="0063248C" w:rsidRDefault="00000000">
            <w:pPr>
              <w:spacing w:line="240" w:lineRule="exact"/>
              <w:rPr>
                <w:rFonts w:cs="宋体"/>
                <w:sz w:val="18"/>
                <w:szCs w:val="18"/>
              </w:rPr>
            </w:pPr>
            <w:r w:rsidRPr="0063248C">
              <w:rPr>
                <w:rFonts w:cs="宋体"/>
                <w:sz w:val="18"/>
                <w:szCs w:val="18"/>
              </w:rPr>
              <w:t>中国建设银行股份有限公司－光大保德信增利收益债券型证券投资基金</w:t>
            </w:r>
          </w:p>
        </w:tc>
        <w:tc>
          <w:tcPr>
            <w:tcW w:w="1559" w:type="dxa"/>
            <w:tcBorders>
              <w:top w:val="single" w:sz="2" w:space="0" w:color="auto"/>
              <w:left w:val="single" w:sz="2" w:space="0" w:color="auto"/>
              <w:bottom w:val="single" w:sz="2" w:space="0" w:color="auto"/>
              <w:right w:val="single" w:sz="2" w:space="0" w:color="auto"/>
            </w:tcBorders>
            <w:vAlign w:val="center"/>
          </w:tcPr>
          <w:p w14:paraId="7C245A83"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605" w:type="dxa"/>
            <w:tcBorders>
              <w:top w:val="single" w:sz="2" w:space="0" w:color="auto"/>
              <w:left w:val="single" w:sz="2" w:space="0" w:color="auto"/>
              <w:bottom w:val="single" w:sz="2" w:space="0" w:color="auto"/>
              <w:right w:val="single" w:sz="2" w:space="0" w:color="auto"/>
            </w:tcBorders>
            <w:vAlign w:val="center"/>
          </w:tcPr>
          <w:p w14:paraId="19B142B6" w14:textId="77777777" w:rsidR="007B3DB2" w:rsidRPr="0063248C" w:rsidRDefault="00000000">
            <w:pPr>
              <w:spacing w:line="240" w:lineRule="exact"/>
              <w:jc w:val="right"/>
              <w:rPr>
                <w:rFonts w:cs="宋体"/>
                <w:sz w:val="18"/>
                <w:szCs w:val="18"/>
              </w:rPr>
            </w:pPr>
            <w:r w:rsidRPr="0063248C">
              <w:rPr>
                <w:rFonts w:cs="宋体"/>
                <w:sz w:val="18"/>
                <w:szCs w:val="18"/>
              </w:rPr>
              <w:t>782,696</w:t>
            </w:r>
          </w:p>
        </w:tc>
        <w:tc>
          <w:tcPr>
            <w:tcW w:w="1607" w:type="dxa"/>
            <w:tcBorders>
              <w:top w:val="single" w:sz="2" w:space="0" w:color="auto"/>
              <w:left w:val="single" w:sz="2" w:space="0" w:color="auto"/>
              <w:bottom w:val="single" w:sz="2" w:space="0" w:color="auto"/>
              <w:right w:val="single" w:sz="2" w:space="0" w:color="auto"/>
            </w:tcBorders>
            <w:vAlign w:val="center"/>
          </w:tcPr>
          <w:p w14:paraId="405901FB" w14:textId="77777777" w:rsidR="007B3DB2" w:rsidRPr="0063248C" w:rsidRDefault="00000000">
            <w:pPr>
              <w:spacing w:line="240" w:lineRule="exact"/>
              <w:jc w:val="right"/>
              <w:rPr>
                <w:rFonts w:cs="宋体"/>
                <w:sz w:val="18"/>
                <w:szCs w:val="18"/>
              </w:rPr>
            </w:pPr>
            <w:r w:rsidRPr="0063248C">
              <w:rPr>
                <w:rFonts w:cs="宋体"/>
                <w:sz w:val="18"/>
                <w:szCs w:val="18"/>
              </w:rPr>
              <w:t>78,269,600.00</w:t>
            </w:r>
          </w:p>
        </w:tc>
        <w:tc>
          <w:tcPr>
            <w:tcW w:w="1607" w:type="dxa"/>
            <w:tcBorders>
              <w:top w:val="single" w:sz="2" w:space="0" w:color="auto"/>
              <w:left w:val="single" w:sz="2" w:space="0" w:color="auto"/>
              <w:bottom w:val="single" w:sz="2" w:space="0" w:color="auto"/>
              <w:right w:val="single" w:sz="2" w:space="0" w:color="auto"/>
            </w:tcBorders>
            <w:vAlign w:val="center"/>
          </w:tcPr>
          <w:p w14:paraId="31ADC710" w14:textId="77777777" w:rsidR="007B3DB2" w:rsidRPr="0063248C" w:rsidRDefault="00000000">
            <w:pPr>
              <w:spacing w:line="240" w:lineRule="exact"/>
              <w:jc w:val="right"/>
              <w:rPr>
                <w:rFonts w:cs="宋体"/>
                <w:sz w:val="18"/>
                <w:szCs w:val="18"/>
              </w:rPr>
            </w:pPr>
            <w:r w:rsidRPr="0063248C">
              <w:rPr>
                <w:rFonts w:cs="宋体"/>
                <w:sz w:val="18"/>
                <w:szCs w:val="18"/>
              </w:rPr>
              <w:t>8.27%</w:t>
            </w:r>
          </w:p>
        </w:tc>
      </w:tr>
      <w:tr w:rsidR="007B3DB2" w:rsidRPr="0063248C" w14:paraId="5731B88B" w14:textId="77777777" w:rsidTr="00D77137">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5BCE47F" w14:textId="77777777" w:rsidR="007B3DB2" w:rsidRPr="0063248C" w:rsidRDefault="00000000">
            <w:pPr>
              <w:spacing w:before="40" w:after="40" w:line="240" w:lineRule="exact"/>
              <w:jc w:val="center"/>
              <w:rPr>
                <w:rFonts w:cs="宋体"/>
                <w:sz w:val="18"/>
                <w:szCs w:val="18"/>
              </w:rPr>
            </w:pPr>
            <w:r w:rsidRPr="0063248C">
              <w:rPr>
                <w:rFonts w:cs="宋体"/>
                <w:sz w:val="18"/>
                <w:szCs w:val="18"/>
              </w:rPr>
              <w:t>2</w:t>
            </w:r>
          </w:p>
        </w:tc>
        <w:tc>
          <w:tcPr>
            <w:tcW w:w="2552" w:type="dxa"/>
            <w:tcBorders>
              <w:top w:val="single" w:sz="2" w:space="0" w:color="auto"/>
              <w:left w:val="single" w:sz="2" w:space="0" w:color="auto"/>
              <w:bottom w:val="single" w:sz="2" w:space="0" w:color="auto"/>
              <w:right w:val="single" w:sz="2" w:space="0" w:color="auto"/>
            </w:tcBorders>
            <w:vAlign w:val="center"/>
          </w:tcPr>
          <w:p w14:paraId="6A96DCA3" w14:textId="77777777" w:rsidR="007B3DB2" w:rsidRPr="0063248C" w:rsidRDefault="00000000">
            <w:pPr>
              <w:spacing w:line="240" w:lineRule="exact"/>
              <w:rPr>
                <w:rFonts w:cs="宋体"/>
                <w:sz w:val="18"/>
                <w:szCs w:val="18"/>
              </w:rPr>
            </w:pPr>
            <w:r w:rsidRPr="0063248C">
              <w:rPr>
                <w:rFonts w:cs="宋体"/>
                <w:sz w:val="18"/>
                <w:szCs w:val="18"/>
              </w:rPr>
              <w:t>中国银行股份有限公司－易方达稳健收益债券型证券投资基金</w:t>
            </w:r>
          </w:p>
        </w:tc>
        <w:tc>
          <w:tcPr>
            <w:tcW w:w="1559" w:type="dxa"/>
            <w:tcBorders>
              <w:top w:val="single" w:sz="2" w:space="0" w:color="auto"/>
              <w:left w:val="single" w:sz="2" w:space="0" w:color="auto"/>
              <w:bottom w:val="single" w:sz="2" w:space="0" w:color="auto"/>
              <w:right w:val="single" w:sz="2" w:space="0" w:color="auto"/>
            </w:tcBorders>
            <w:vAlign w:val="center"/>
          </w:tcPr>
          <w:p w14:paraId="389B46D6"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605" w:type="dxa"/>
            <w:tcBorders>
              <w:top w:val="single" w:sz="2" w:space="0" w:color="auto"/>
              <w:left w:val="single" w:sz="2" w:space="0" w:color="auto"/>
              <w:bottom w:val="single" w:sz="2" w:space="0" w:color="auto"/>
              <w:right w:val="single" w:sz="2" w:space="0" w:color="auto"/>
            </w:tcBorders>
            <w:vAlign w:val="center"/>
          </w:tcPr>
          <w:p w14:paraId="37F94F9E" w14:textId="77777777" w:rsidR="007B3DB2" w:rsidRPr="0063248C" w:rsidRDefault="00000000">
            <w:pPr>
              <w:spacing w:line="240" w:lineRule="exact"/>
              <w:jc w:val="right"/>
              <w:rPr>
                <w:rFonts w:cs="宋体"/>
                <w:sz w:val="18"/>
                <w:szCs w:val="18"/>
              </w:rPr>
            </w:pPr>
            <w:r w:rsidRPr="0063248C">
              <w:rPr>
                <w:rFonts w:cs="宋体"/>
                <w:sz w:val="18"/>
                <w:szCs w:val="18"/>
              </w:rPr>
              <w:t>550,366</w:t>
            </w:r>
          </w:p>
        </w:tc>
        <w:tc>
          <w:tcPr>
            <w:tcW w:w="1607" w:type="dxa"/>
            <w:tcBorders>
              <w:top w:val="single" w:sz="2" w:space="0" w:color="auto"/>
              <w:left w:val="single" w:sz="2" w:space="0" w:color="auto"/>
              <w:bottom w:val="single" w:sz="2" w:space="0" w:color="auto"/>
              <w:right w:val="single" w:sz="2" w:space="0" w:color="auto"/>
            </w:tcBorders>
            <w:vAlign w:val="center"/>
          </w:tcPr>
          <w:p w14:paraId="72702C00" w14:textId="77777777" w:rsidR="007B3DB2" w:rsidRPr="0063248C" w:rsidRDefault="00000000">
            <w:pPr>
              <w:spacing w:line="240" w:lineRule="exact"/>
              <w:jc w:val="right"/>
              <w:rPr>
                <w:rFonts w:cs="宋体"/>
                <w:sz w:val="18"/>
                <w:szCs w:val="18"/>
              </w:rPr>
            </w:pPr>
            <w:r w:rsidRPr="0063248C">
              <w:rPr>
                <w:rFonts w:cs="宋体"/>
                <w:sz w:val="18"/>
                <w:szCs w:val="18"/>
              </w:rPr>
              <w:t>55,036,600.00</w:t>
            </w:r>
          </w:p>
        </w:tc>
        <w:tc>
          <w:tcPr>
            <w:tcW w:w="1607" w:type="dxa"/>
            <w:tcBorders>
              <w:top w:val="single" w:sz="2" w:space="0" w:color="auto"/>
              <w:left w:val="single" w:sz="2" w:space="0" w:color="auto"/>
              <w:bottom w:val="single" w:sz="2" w:space="0" w:color="auto"/>
              <w:right w:val="single" w:sz="2" w:space="0" w:color="auto"/>
            </w:tcBorders>
            <w:vAlign w:val="center"/>
          </w:tcPr>
          <w:p w14:paraId="5454E067" w14:textId="77777777" w:rsidR="007B3DB2" w:rsidRPr="0063248C" w:rsidRDefault="00000000">
            <w:pPr>
              <w:spacing w:line="240" w:lineRule="exact"/>
              <w:jc w:val="right"/>
              <w:rPr>
                <w:rFonts w:cs="宋体"/>
                <w:sz w:val="18"/>
                <w:szCs w:val="18"/>
              </w:rPr>
            </w:pPr>
            <w:r w:rsidRPr="0063248C">
              <w:rPr>
                <w:rFonts w:cs="宋体"/>
                <w:sz w:val="18"/>
                <w:szCs w:val="18"/>
              </w:rPr>
              <w:t>5.82%</w:t>
            </w:r>
          </w:p>
        </w:tc>
      </w:tr>
      <w:tr w:rsidR="007B3DB2" w:rsidRPr="0063248C" w14:paraId="57BC3A22" w14:textId="77777777" w:rsidTr="00D77137">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9818045" w14:textId="77777777" w:rsidR="007B3DB2" w:rsidRPr="0063248C" w:rsidRDefault="00000000">
            <w:pPr>
              <w:spacing w:before="40" w:after="40" w:line="240" w:lineRule="exact"/>
              <w:jc w:val="center"/>
              <w:rPr>
                <w:rFonts w:cs="宋体"/>
                <w:sz w:val="18"/>
                <w:szCs w:val="18"/>
              </w:rPr>
            </w:pPr>
            <w:r w:rsidRPr="0063248C">
              <w:rPr>
                <w:rFonts w:cs="宋体"/>
                <w:sz w:val="18"/>
                <w:szCs w:val="18"/>
              </w:rPr>
              <w:t>3</w:t>
            </w:r>
          </w:p>
        </w:tc>
        <w:tc>
          <w:tcPr>
            <w:tcW w:w="2552" w:type="dxa"/>
            <w:tcBorders>
              <w:top w:val="single" w:sz="2" w:space="0" w:color="auto"/>
              <w:left w:val="single" w:sz="2" w:space="0" w:color="auto"/>
              <w:bottom w:val="single" w:sz="2" w:space="0" w:color="auto"/>
              <w:right w:val="single" w:sz="2" w:space="0" w:color="auto"/>
            </w:tcBorders>
            <w:vAlign w:val="center"/>
          </w:tcPr>
          <w:p w14:paraId="68228D63" w14:textId="77777777" w:rsidR="007B3DB2" w:rsidRPr="0063248C" w:rsidRDefault="00000000">
            <w:pPr>
              <w:spacing w:line="240" w:lineRule="exact"/>
              <w:rPr>
                <w:rFonts w:cs="宋体"/>
                <w:sz w:val="18"/>
                <w:szCs w:val="18"/>
              </w:rPr>
            </w:pPr>
            <w:r w:rsidRPr="0063248C">
              <w:rPr>
                <w:rFonts w:cs="宋体"/>
                <w:sz w:val="18"/>
                <w:szCs w:val="18"/>
              </w:rPr>
              <w:t>西北投资管理（香港）有限公司－西北飞龙基金有限公司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10970342"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605" w:type="dxa"/>
            <w:tcBorders>
              <w:top w:val="single" w:sz="2" w:space="0" w:color="auto"/>
              <w:left w:val="single" w:sz="2" w:space="0" w:color="auto"/>
              <w:bottom w:val="single" w:sz="2" w:space="0" w:color="auto"/>
              <w:right w:val="single" w:sz="2" w:space="0" w:color="auto"/>
            </w:tcBorders>
            <w:vAlign w:val="center"/>
          </w:tcPr>
          <w:p w14:paraId="0C64AADC" w14:textId="77777777" w:rsidR="007B3DB2" w:rsidRPr="0063248C" w:rsidRDefault="00000000">
            <w:pPr>
              <w:spacing w:line="240" w:lineRule="exact"/>
              <w:jc w:val="right"/>
              <w:rPr>
                <w:rFonts w:cs="宋体"/>
                <w:sz w:val="18"/>
                <w:szCs w:val="18"/>
              </w:rPr>
            </w:pPr>
            <w:r w:rsidRPr="0063248C">
              <w:rPr>
                <w:rFonts w:cs="宋体"/>
                <w:sz w:val="18"/>
                <w:szCs w:val="18"/>
              </w:rPr>
              <w:t>465,099</w:t>
            </w:r>
          </w:p>
        </w:tc>
        <w:tc>
          <w:tcPr>
            <w:tcW w:w="1607" w:type="dxa"/>
            <w:tcBorders>
              <w:top w:val="single" w:sz="2" w:space="0" w:color="auto"/>
              <w:left w:val="single" w:sz="2" w:space="0" w:color="auto"/>
              <w:bottom w:val="single" w:sz="2" w:space="0" w:color="auto"/>
              <w:right w:val="single" w:sz="2" w:space="0" w:color="auto"/>
            </w:tcBorders>
            <w:vAlign w:val="center"/>
          </w:tcPr>
          <w:p w14:paraId="0CFB7006" w14:textId="77777777" w:rsidR="007B3DB2" w:rsidRPr="0063248C" w:rsidRDefault="00000000">
            <w:pPr>
              <w:spacing w:line="240" w:lineRule="exact"/>
              <w:jc w:val="right"/>
              <w:rPr>
                <w:rFonts w:cs="宋体"/>
                <w:sz w:val="18"/>
                <w:szCs w:val="18"/>
              </w:rPr>
            </w:pPr>
            <w:r w:rsidRPr="0063248C">
              <w:rPr>
                <w:rFonts w:cs="宋体"/>
                <w:sz w:val="18"/>
                <w:szCs w:val="18"/>
              </w:rPr>
              <w:t>46,509,900.00</w:t>
            </w:r>
          </w:p>
        </w:tc>
        <w:tc>
          <w:tcPr>
            <w:tcW w:w="1607" w:type="dxa"/>
            <w:tcBorders>
              <w:top w:val="single" w:sz="2" w:space="0" w:color="auto"/>
              <w:left w:val="single" w:sz="2" w:space="0" w:color="auto"/>
              <w:bottom w:val="single" w:sz="2" w:space="0" w:color="auto"/>
              <w:right w:val="single" w:sz="2" w:space="0" w:color="auto"/>
            </w:tcBorders>
            <w:vAlign w:val="center"/>
          </w:tcPr>
          <w:p w14:paraId="25054F34" w14:textId="77777777" w:rsidR="007B3DB2" w:rsidRPr="0063248C" w:rsidRDefault="00000000">
            <w:pPr>
              <w:spacing w:line="240" w:lineRule="exact"/>
              <w:jc w:val="right"/>
              <w:rPr>
                <w:rFonts w:cs="宋体"/>
                <w:sz w:val="18"/>
                <w:szCs w:val="18"/>
              </w:rPr>
            </w:pPr>
            <w:r w:rsidRPr="0063248C">
              <w:rPr>
                <w:rFonts w:cs="宋体"/>
                <w:sz w:val="18"/>
                <w:szCs w:val="18"/>
              </w:rPr>
              <w:t>4.92%</w:t>
            </w:r>
          </w:p>
        </w:tc>
      </w:tr>
      <w:tr w:rsidR="007B3DB2" w:rsidRPr="0063248C" w14:paraId="3807F2DC" w14:textId="77777777" w:rsidTr="00D77137">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6B0F05B0" w14:textId="77777777" w:rsidR="007B3DB2" w:rsidRPr="0063248C" w:rsidRDefault="00000000">
            <w:pPr>
              <w:spacing w:before="40" w:after="40" w:line="240" w:lineRule="exact"/>
              <w:jc w:val="center"/>
              <w:rPr>
                <w:rFonts w:cs="宋体"/>
                <w:sz w:val="18"/>
                <w:szCs w:val="18"/>
              </w:rPr>
            </w:pPr>
            <w:r w:rsidRPr="0063248C">
              <w:rPr>
                <w:rFonts w:cs="宋体"/>
                <w:sz w:val="18"/>
                <w:szCs w:val="18"/>
              </w:rPr>
              <w:t>4</w:t>
            </w:r>
          </w:p>
        </w:tc>
        <w:tc>
          <w:tcPr>
            <w:tcW w:w="2552" w:type="dxa"/>
            <w:tcBorders>
              <w:top w:val="single" w:sz="2" w:space="0" w:color="auto"/>
              <w:left w:val="single" w:sz="2" w:space="0" w:color="auto"/>
              <w:bottom w:val="single" w:sz="2" w:space="0" w:color="auto"/>
              <w:right w:val="single" w:sz="2" w:space="0" w:color="auto"/>
            </w:tcBorders>
            <w:vAlign w:val="center"/>
          </w:tcPr>
          <w:p w14:paraId="3A5A1AE3" w14:textId="77777777" w:rsidR="007B3DB2" w:rsidRPr="0063248C" w:rsidRDefault="00000000">
            <w:pPr>
              <w:spacing w:line="240" w:lineRule="exact"/>
              <w:rPr>
                <w:rFonts w:cs="宋体"/>
                <w:sz w:val="18"/>
                <w:szCs w:val="18"/>
              </w:rPr>
            </w:pPr>
            <w:r w:rsidRPr="0063248C">
              <w:rPr>
                <w:rFonts w:cs="宋体"/>
                <w:sz w:val="18"/>
                <w:szCs w:val="18"/>
              </w:rPr>
              <w:t>中信银行股份有限公司－</w:t>
            </w:r>
            <w:proofErr w:type="gramStart"/>
            <w:r w:rsidRPr="0063248C">
              <w:rPr>
                <w:rFonts w:cs="宋体"/>
                <w:sz w:val="18"/>
                <w:szCs w:val="18"/>
              </w:rPr>
              <w:t>华夏鼎利债券</w:t>
            </w:r>
            <w:proofErr w:type="gramEnd"/>
            <w:r w:rsidRPr="0063248C">
              <w:rPr>
                <w:rFonts w:cs="宋体"/>
                <w:sz w:val="18"/>
                <w:szCs w:val="18"/>
              </w:rPr>
              <w:t>型发起式证券投资基金</w:t>
            </w:r>
          </w:p>
        </w:tc>
        <w:tc>
          <w:tcPr>
            <w:tcW w:w="1559" w:type="dxa"/>
            <w:tcBorders>
              <w:top w:val="single" w:sz="2" w:space="0" w:color="auto"/>
              <w:left w:val="single" w:sz="2" w:space="0" w:color="auto"/>
              <w:bottom w:val="single" w:sz="2" w:space="0" w:color="auto"/>
              <w:right w:val="single" w:sz="2" w:space="0" w:color="auto"/>
            </w:tcBorders>
            <w:vAlign w:val="center"/>
          </w:tcPr>
          <w:p w14:paraId="2DC64A50"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605" w:type="dxa"/>
            <w:tcBorders>
              <w:top w:val="single" w:sz="2" w:space="0" w:color="auto"/>
              <w:left w:val="single" w:sz="2" w:space="0" w:color="auto"/>
              <w:bottom w:val="single" w:sz="2" w:space="0" w:color="auto"/>
              <w:right w:val="single" w:sz="2" w:space="0" w:color="auto"/>
            </w:tcBorders>
            <w:vAlign w:val="center"/>
          </w:tcPr>
          <w:p w14:paraId="2B1D9C5B" w14:textId="77777777" w:rsidR="007B3DB2" w:rsidRPr="0063248C" w:rsidRDefault="00000000">
            <w:pPr>
              <w:spacing w:line="240" w:lineRule="exact"/>
              <w:jc w:val="right"/>
              <w:rPr>
                <w:rFonts w:cs="宋体"/>
                <w:sz w:val="18"/>
                <w:szCs w:val="18"/>
              </w:rPr>
            </w:pPr>
            <w:r w:rsidRPr="0063248C">
              <w:rPr>
                <w:rFonts w:cs="宋体"/>
                <w:sz w:val="18"/>
                <w:szCs w:val="18"/>
              </w:rPr>
              <w:t>436,380</w:t>
            </w:r>
          </w:p>
        </w:tc>
        <w:tc>
          <w:tcPr>
            <w:tcW w:w="1607" w:type="dxa"/>
            <w:tcBorders>
              <w:top w:val="single" w:sz="2" w:space="0" w:color="auto"/>
              <w:left w:val="single" w:sz="2" w:space="0" w:color="auto"/>
              <w:bottom w:val="single" w:sz="2" w:space="0" w:color="auto"/>
              <w:right w:val="single" w:sz="2" w:space="0" w:color="auto"/>
            </w:tcBorders>
            <w:vAlign w:val="center"/>
          </w:tcPr>
          <w:p w14:paraId="2A0418DD" w14:textId="77777777" w:rsidR="007B3DB2" w:rsidRPr="0063248C" w:rsidRDefault="00000000">
            <w:pPr>
              <w:spacing w:line="240" w:lineRule="exact"/>
              <w:jc w:val="right"/>
              <w:rPr>
                <w:rFonts w:cs="宋体"/>
                <w:sz w:val="18"/>
                <w:szCs w:val="18"/>
              </w:rPr>
            </w:pPr>
            <w:r w:rsidRPr="0063248C">
              <w:rPr>
                <w:rFonts w:cs="宋体"/>
                <w:sz w:val="18"/>
                <w:szCs w:val="18"/>
              </w:rPr>
              <w:t>43,638,000.00</w:t>
            </w:r>
          </w:p>
        </w:tc>
        <w:tc>
          <w:tcPr>
            <w:tcW w:w="1607" w:type="dxa"/>
            <w:tcBorders>
              <w:top w:val="single" w:sz="2" w:space="0" w:color="auto"/>
              <w:left w:val="single" w:sz="2" w:space="0" w:color="auto"/>
              <w:bottom w:val="single" w:sz="2" w:space="0" w:color="auto"/>
              <w:right w:val="single" w:sz="2" w:space="0" w:color="auto"/>
            </w:tcBorders>
            <w:vAlign w:val="center"/>
          </w:tcPr>
          <w:p w14:paraId="7A3AACE6" w14:textId="77777777" w:rsidR="007B3DB2" w:rsidRPr="0063248C" w:rsidRDefault="00000000">
            <w:pPr>
              <w:spacing w:line="240" w:lineRule="exact"/>
              <w:jc w:val="right"/>
              <w:rPr>
                <w:rFonts w:cs="宋体"/>
                <w:sz w:val="18"/>
                <w:szCs w:val="18"/>
              </w:rPr>
            </w:pPr>
            <w:r w:rsidRPr="0063248C">
              <w:rPr>
                <w:rFonts w:cs="宋体"/>
                <w:sz w:val="18"/>
                <w:szCs w:val="18"/>
              </w:rPr>
              <w:t>4.61%</w:t>
            </w:r>
          </w:p>
        </w:tc>
      </w:tr>
      <w:tr w:rsidR="007B3DB2" w:rsidRPr="0063248C" w14:paraId="5028AF65" w14:textId="77777777" w:rsidTr="00D77137">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3FCACC7" w14:textId="77777777" w:rsidR="007B3DB2" w:rsidRPr="0063248C" w:rsidRDefault="00000000">
            <w:pPr>
              <w:spacing w:before="40" w:after="40" w:line="240" w:lineRule="exact"/>
              <w:jc w:val="center"/>
              <w:rPr>
                <w:rFonts w:cs="宋体"/>
                <w:sz w:val="18"/>
                <w:szCs w:val="18"/>
              </w:rPr>
            </w:pPr>
            <w:r w:rsidRPr="0063248C">
              <w:rPr>
                <w:rFonts w:cs="宋体"/>
                <w:sz w:val="18"/>
                <w:szCs w:val="18"/>
              </w:rPr>
              <w:t>5</w:t>
            </w:r>
          </w:p>
        </w:tc>
        <w:tc>
          <w:tcPr>
            <w:tcW w:w="2552" w:type="dxa"/>
            <w:tcBorders>
              <w:top w:val="single" w:sz="2" w:space="0" w:color="auto"/>
              <w:left w:val="single" w:sz="2" w:space="0" w:color="auto"/>
              <w:bottom w:val="single" w:sz="2" w:space="0" w:color="auto"/>
              <w:right w:val="single" w:sz="2" w:space="0" w:color="auto"/>
            </w:tcBorders>
            <w:vAlign w:val="center"/>
          </w:tcPr>
          <w:p w14:paraId="2F7D1361" w14:textId="77777777" w:rsidR="007B3DB2" w:rsidRPr="0063248C" w:rsidRDefault="00000000">
            <w:pPr>
              <w:spacing w:line="240" w:lineRule="exact"/>
              <w:rPr>
                <w:rFonts w:cs="宋体"/>
                <w:sz w:val="18"/>
                <w:szCs w:val="18"/>
              </w:rPr>
            </w:pPr>
            <w:r w:rsidRPr="0063248C">
              <w:rPr>
                <w:rFonts w:cs="宋体"/>
                <w:sz w:val="18"/>
                <w:szCs w:val="18"/>
              </w:rPr>
              <w:t>UBS AG</w:t>
            </w:r>
          </w:p>
        </w:tc>
        <w:tc>
          <w:tcPr>
            <w:tcW w:w="1559" w:type="dxa"/>
            <w:tcBorders>
              <w:top w:val="single" w:sz="2" w:space="0" w:color="auto"/>
              <w:left w:val="single" w:sz="2" w:space="0" w:color="auto"/>
              <w:bottom w:val="single" w:sz="2" w:space="0" w:color="auto"/>
              <w:right w:val="single" w:sz="2" w:space="0" w:color="auto"/>
            </w:tcBorders>
            <w:vAlign w:val="center"/>
          </w:tcPr>
          <w:p w14:paraId="6C5D35D8" w14:textId="77777777" w:rsidR="007B3DB2" w:rsidRPr="0063248C" w:rsidRDefault="00000000">
            <w:pPr>
              <w:spacing w:line="240" w:lineRule="exact"/>
              <w:rPr>
                <w:rFonts w:cs="宋体"/>
                <w:sz w:val="18"/>
                <w:szCs w:val="18"/>
              </w:rPr>
            </w:pPr>
            <w:r w:rsidRPr="0063248C">
              <w:rPr>
                <w:rFonts w:cs="宋体"/>
                <w:sz w:val="18"/>
                <w:szCs w:val="18"/>
              </w:rPr>
              <w:t>境外法人</w:t>
            </w:r>
          </w:p>
        </w:tc>
        <w:tc>
          <w:tcPr>
            <w:tcW w:w="1605" w:type="dxa"/>
            <w:tcBorders>
              <w:top w:val="single" w:sz="2" w:space="0" w:color="auto"/>
              <w:left w:val="single" w:sz="2" w:space="0" w:color="auto"/>
              <w:bottom w:val="single" w:sz="2" w:space="0" w:color="auto"/>
              <w:right w:val="single" w:sz="2" w:space="0" w:color="auto"/>
            </w:tcBorders>
            <w:vAlign w:val="center"/>
          </w:tcPr>
          <w:p w14:paraId="4EE795DB" w14:textId="77777777" w:rsidR="007B3DB2" w:rsidRPr="0063248C" w:rsidRDefault="00000000">
            <w:pPr>
              <w:spacing w:line="240" w:lineRule="exact"/>
              <w:jc w:val="right"/>
              <w:rPr>
                <w:rFonts w:cs="宋体"/>
                <w:sz w:val="18"/>
                <w:szCs w:val="18"/>
              </w:rPr>
            </w:pPr>
            <w:r w:rsidRPr="0063248C">
              <w:rPr>
                <w:rFonts w:cs="宋体"/>
                <w:sz w:val="18"/>
                <w:szCs w:val="18"/>
              </w:rPr>
              <w:t>341,970</w:t>
            </w:r>
          </w:p>
        </w:tc>
        <w:tc>
          <w:tcPr>
            <w:tcW w:w="1607" w:type="dxa"/>
            <w:tcBorders>
              <w:top w:val="single" w:sz="2" w:space="0" w:color="auto"/>
              <w:left w:val="single" w:sz="2" w:space="0" w:color="auto"/>
              <w:bottom w:val="single" w:sz="2" w:space="0" w:color="auto"/>
              <w:right w:val="single" w:sz="2" w:space="0" w:color="auto"/>
            </w:tcBorders>
            <w:vAlign w:val="center"/>
          </w:tcPr>
          <w:p w14:paraId="256CCC1A" w14:textId="77777777" w:rsidR="007B3DB2" w:rsidRPr="0063248C" w:rsidRDefault="00000000">
            <w:pPr>
              <w:spacing w:line="240" w:lineRule="exact"/>
              <w:jc w:val="right"/>
              <w:rPr>
                <w:rFonts w:cs="宋体"/>
                <w:sz w:val="18"/>
                <w:szCs w:val="18"/>
              </w:rPr>
            </w:pPr>
            <w:r w:rsidRPr="0063248C">
              <w:rPr>
                <w:rFonts w:cs="宋体"/>
                <w:sz w:val="18"/>
                <w:szCs w:val="18"/>
              </w:rPr>
              <w:t>34,197,000.00</w:t>
            </w:r>
          </w:p>
        </w:tc>
        <w:tc>
          <w:tcPr>
            <w:tcW w:w="1607" w:type="dxa"/>
            <w:tcBorders>
              <w:top w:val="single" w:sz="2" w:space="0" w:color="auto"/>
              <w:left w:val="single" w:sz="2" w:space="0" w:color="auto"/>
              <w:bottom w:val="single" w:sz="2" w:space="0" w:color="auto"/>
              <w:right w:val="single" w:sz="2" w:space="0" w:color="auto"/>
            </w:tcBorders>
            <w:vAlign w:val="center"/>
          </w:tcPr>
          <w:p w14:paraId="59DEB73E" w14:textId="77777777" w:rsidR="007B3DB2" w:rsidRPr="0063248C" w:rsidRDefault="00000000">
            <w:pPr>
              <w:spacing w:line="240" w:lineRule="exact"/>
              <w:jc w:val="right"/>
              <w:rPr>
                <w:rFonts w:cs="宋体"/>
                <w:sz w:val="18"/>
                <w:szCs w:val="18"/>
              </w:rPr>
            </w:pPr>
            <w:r w:rsidRPr="0063248C">
              <w:rPr>
                <w:rFonts w:cs="宋体"/>
                <w:sz w:val="18"/>
                <w:szCs w:val="18"/>
              </w:rPr>
              <w:t>3.61%</w:t>
            </w:r>
          </w:p>
        </w:tc>
      </w:tr>
      <w:tr w:rsidR="007B3DB2" w:rsidRPr="0063248C" w14:paraId="490D8094" w14:textId="77777777" w:rsidTr="00D77137">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43DDA8C8" w14:textId="77777777" w:rsidR="007B3DB2" w:rsidRPr="0063248C" w:rsidRDefault="00000000">
            <w:pPr>
              <w:spacing w:before="40" w:after="40" w:line="240" w:lineRule="exact"/>
              <w:jc w:val="center"/>
              <w:rPr>
                <w:rFonts w:cs="宋体"/>
                <w:sz w:val="18"/>
                <w:szCs w:val="18"/>
              </w:rPr>
            </w:pPr>
            <w:r w:rsidRPr="0063248C">
              <w:rPr>
                <w:rFonts w:cs="宋体"/>
                <w:sz w:val="18"/>
                <w:szCs w:val="18"/>
              </w:rPr>
              <w:t>6</w:t>
            </w:r>
          </w:p>
        </w:tc>
        <w:tc>
          <w:tcPr>
            <w:tcW w:w="2552" w:type="dxa"/>
            <w:tcBorders>
              <w:top w:val="single" w:sz="2" w:space="0" w:color="auto"/>
              <w:left w:val="single" w:sz="2" w:space="0" w:color="auto"/>
              <w:bottom w:val="single" w:sz="2" w:space="0" w:color="auto"/>
              <w:right w:val="single" w:sz="2" w:space="0" w:color="auto"/>
            </w:tcBorders>
            <w:vAlign w:val="center"/>
          </w:tcPr>
          <w:p w14:paraId="29A0DA7F" w14:textId="77777777" w:rsidR="007B3DB2" w:rsidRPr="0063248C" w:rsidRDefault="00000000">
            <w:pPr>
              <w:spacing w:line="240" w:lineRule="exact"/>
              <w:rPr>
                <w:rFonts w:cs="宋体"/>
                <w:sz w:val="18"/>
                <w:szCs w:val="18"/>
              </w:rPr>
            </w:pPr>
            <w:r w:rsidRPr="0063248C">
              <w:rPr>
                <w:rFonts w:cs="宋体"/>
                <w:sz w:val="18"/>
                <w:szCs w:val="18"/>
              </w:rPr>
              <w:t>大成国际资产管理有限公司－大成中国灵活配置基金</w:t>
            </w:r>
          </w:p>
        </w:tc>
        <w:tc>
          <w:tcPr>
            <w:tcW w:w="1559" w:type="dxa"/>
            <w:tcBorders>
              <w:top w:val="single" w:sz="2" w:space="0" w:color="auto"/>
              <w:left w:val="single" w:sz="2" w:space="0" w:color="auto"/>
              <w:bottom w:val="single" w:sz="2" w:space="0" w:color="auto"/>
              <w:right w:val="single" w:sz="2" w:space="0" w:color="auto"/>
            </w:tcBorders>
            <w:vAlign w:val="center"/>
          </w:tcPr>
          <w:p w14:paraId="1AEB0BD0" w14:textId="77777777" w:rsidR="007B3DB2" w:rsidRPr="0063248C" w:rsidRDefault="00000000">
            <w:pPr>
              <w:spacing w:line="240" w:lineRule="exact"/>
              <w:rPr>
                <w:rFonts w:cs="宋体"/>
                <w:sz w:val="18"/>
                <w:szCs w:val="18"/>
              </w:rPr>
            </w:pPr>
            <w:r w:rsidRPr="0063248C">
              <w:rPr>
                <w:rFonts w:cs="宋体"/>
                <w:sz w:val="18"/>
                <w:szCs w:val="18"/>
              </w:rPr>
              <w:t>境外法人</w:t>
            </w:r>
          </w:p>
        </w:tc>
        <w:tc>
          <w:tcPr>
            <w:tcW w:w="1605" w:type="dxa"/>
            <w:tcBorders>
              <w:top w:val="single" w:sz="2" w:space="0" w:color="auto"/>
              <w:left w:val="single" w:sz="2" w:space="0" w:color="auto"/>
              <w:bottom w:val="single" w:sz="2" w:space="0" w:color="auto"/>
              <w:right w:val="single" w:sz="2" w:space="0" w:color="auto"/>
            </w:tcBorders>
            <w:vAlign w:val="center"/>
          </w:tcPr>
          <w:p w14:paraId="4630DD97" w14:textId="77777777" w:rsidR="007B3DB2" w:rsidRPr="0063248C" w:rsidRDefault="00000000">
            <w:pPr>
              <w:spacing w:line="240" w:lineRule="exact"/>
              <w:jc w:val="right"/>
              <w:rPr>
                <w:rFonts w:cs="宋体"/>
                <w:sz w:val="18"/>
                <w:szCs w:val="18"/>
              </w:rPr>
            </w:pPr>
            <w:r w:rsidRPr="0063248C">
              <w:rPr>
                <w:rFonts w:cs="宋体"/>
                <w:sz w:val="18"/>
                <w:szCs w:val="18"/>
              </w:rPr>
              <w:t>285,320</w:t>
            </w:r>
          </w:p>
        </w:tc>
        <w:tc>
          <w:tcPr>
            <w:tcW w:w="1607" w:type="dxa"/>
            <w:tcBorders>
              <w:top w:val="single" w:sz="2" w:space="0" w:color="auto"/>
              <w:left w:val="single" w:sz="2" w:space="0" w:color="auto"/>
              <w:bottom w:val="single" w:sz="2" w:space="0" w:color="auto"/>
              <w:right w:val="single" w:sz="2" w:space="0" w:color="auto"/>
            </w:tcBorders>
            <w:vAlign w:val="center"/>
          </w:tcPr>
          <w:p w14:paraId="5BB1B814" w14:textId="77777777" w:rsidR="007B3DB2" w:rsidRPr="0063248C" w:rsidRDefault="00000000">
            <w:pPr>
              <w:spacing w:line="240" w:lineRule="exact"/>
              <w:jc w:val="right"/>
              <w:rPr>
                <w:rFonts w:cs="宋体"/>
                <w:sz w:val="18"/>
                <w:szCs w:val="18"/>
              </w:rPr>
            </w:pPr>
            <w:r w:rsidRPr="0063248C">
              <w:rPr>
                <w:rFonts w:cs="宋体"/>
                <w:sz w:val="18"/>
                <w:szCs w:val="18"/>
              </w:rPr>
              <w:t>28,532,000.00</w:t>
            </w:r>
          </w:p>
        </w:tc>
        <w:tc>
          <w:tcPr>
            <w:tcW w:w="1607" w:type="dxa"/>
            <w:tcBorders>
              <w:top w:val="single" w:sz="2" w:space="0" w:color="auto"/>
              <w:left w:val="single" w:sz="2" w:space="0" w:color="auto"/>
              <w:bottom w:val="single" w:sz="2" w:space="0" w:color="auto"/>
              <w:right w:val="single" w:sz="2" w:space="0" w:color="auto"/>
            </w:tcBorders>
            <w:vAlign w:val="center"/>
          </w:tcPr>
          <w:p w14:paraId="4BEFC962" w14:textId="77777777" w:rsidR="007B3DB2" w:rsidRPr="0063248C" w:rsidRDefault="00000000">
            <w:pPr>
              <w:spacing w:line="240" w:lineRule="exact"/>
              <w:jc w:val="right"/>
              <w:rPr>
                <w:rFonts w:cs="宋体"/>
                <w:sz w:val="18"/>
                <w:szCs w:val="18"/>
              </w:rPr>
            </w:pPr>
            <w:r w:rsidRPr="0063248C">
              <w:rPr>
                <w:rFonts w:cs="宋体"/>
                <w:sz w:val="18"/>
                <w:szCs w:val="18"/>
              </w:rPr>
              <w:t>3.02%</w:t>
            </w:r>
          </w:p>
        </w:tc>
      </w:tr>
      <w:tr w:rsidR="007B3DB2" w:rsidRPr="0063248C" w14:paraId="1D7A151B" w14:textId="77777777" w:rsidTr="00D77137">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60A8EA6" w14:textId="77777777" w:rsidR="007B3DB2" w:rsidRPr="0063248C" w:rsidRDefault="00000000">
            <w:pPr>
              <w:spacing w:before="40" w:after="40" w:line="240" w:lineRule="exact"/>
              <w:jc w:val="center"/>
              <w:rPr>
                <w:rFonts w:cs="宋体"/>
                <w:sz w:val="18"/>
                <w:szCs w:val="18"/>
              </w:rPr>
            </w:pPr>
            <w:r w:rsidRPr="0063248C">
              <w:rPr>
                <w:rFonts w:cs="宋体"/>
                <w:sz w:val="18"/>
                <w:szCs w:val="18"/>
              </w:rPr>
              <w:t>7</w:t>
            </w:r>
          </w:p>
        </w:tc>
        <w:tc>
          <w:tcPr>
            <w:tcW w:w="2552" w:type="dxa"/>
            <w:tcBorders>
              <w:top w:val="single" w:sz="2" w:space="0" w:color="auto"/>
              <w:left w:val="single" w:sz="2" w:space="0" w:color="auto"/>
              <w:bottom w:val="single" w:sz="2" w:space="0" w:color="auto"/>
              <w:right w:val="single" w:sz="2" w:space="0" w:color="auto"/>
            </w:tcBorders>
            <w:vAlign w:val="center"/>
          </w:tcPr>
          <w:p w14:paraId="7E0F4AD2" w14:textId="77777777" w:rsidR="007B3DB2" w:rsidRPr="0063248C" w:rsidRDefault="00000000">
            <w:pPr>
              <w:spacing w:line="240" w:lineRule="exact"/>
              <w:rPr>
                <w:rFonts w:cs="宋体"/>
                <w:sz w:val="18"/>
                <w:szCs w:val="18"/>
              </w:rPr>
            </w:pPr>
            <w:r w:rsidRPr="0063248C">
              <w:rPr>
                <w:rFonts w:cs="宋体"/>
                <w:sz w:val="18"/>
                <w:szCs w:val="18"/>
              </w:rPr>
              <w:t>中国工商银行－富国天利增长债券投资基金</w:t>
            </w:r>
          </w:p>
        </w:tc>
        <w:tc>
          <w:tcPr>
            <w:tcW w:w="1559" w:type="dxa"/>
            <w:tcBorders>
              <w:top w:val="single" w:sz="2" w:space="0" w:color="auto"/>
              <w:left w:val="single" w:sz="2" w:space="0" w:color="auto"/>
              <w:bottom w:val="single" w:sz="2" w:space="0" w:color="auto"/>
              <w:right w:val="single" w:sz="2" w:space="0" w:color="auto"/>
            </w:tcBorders>
            <w:vAlign w:val="center"/>
          </w:tcPr>
          <w:p w14:paraId="2BB6564C"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605" w:type="dxa"/>
            <w:tcBorders>
              <w:top w:val="single" w:sz="2" w:space="0" w:color="auto"/>
              <w:left w:val="single" w:sz="2" w:space="0" w:color="auto"/>
              <w:bottom w:val="single" w:sz="2" w:space="0" w:color="auto"/>
              <w:right w:val="single" w:sz="2" w:space="0" w:color="auto"/>
            </w:tcBorders>
            <w:vAlign w:val="center"/>
          </w:tcPr>
          <w:p w14:paraId="0D196CC4" w14:textId="77777777" w:rsidR="007B3DB2" w:rsidRPr="0063248C" w:rsidRDefault="00000000">
            <w:pPr>
              <w:spacing w:line="240" w:lineRule="exact"/>
              <w:jc w:val="right"/>
              <w:rPr>
                <w:rFonts w:cs="宋体"/>
                <w:sz w:val="18"/>
                <w:szCs w:val="18"/>
              </w:rPr>
            </w:pPr>
            <w:r w:rsidRPr="0063248C">
              <w:rPr>
                <w:rFonts w:cs="宋体"/>
                <w:sz w:val="18"/>
                <w:szCs w:val="18"/>
              </w:rPr>
              <w:t>262,968</w:t>
            </w:r>
          </w:p>
        </w:tc>
        <w:tc>
          <w:tcPr>
            <w:tcW w:w="1607" w:type="dxa"/>
            <w:tcBorders>
              <w:top w:val="single" w:sz="2" w:space="0" w:color="auto"/>
              <w:left w:val="single" w:sz="2" w:space="0" w:color="auto"/>
              <w:bottom w:val="single" w:sz="2" w:space="0" w:color="auto"/>
              <w:right w:val="single" w:sz="2" w:space="0" w:color="auto"/>
            </w:tcBorders>
            <w:vAlign w:val="center"/>
          </w:tcPr>
          <w:p w14:paraId="236E55CD" w14:textId="77777777" w:rsidR="007B3DB2" w:rsidRPr="0063248C" w:rsidRDefault="00000000">
            <w:pPr>
              <w:spacing w:line="240" w:lineRule="exact"/>
              <w:jc w:val="right"/>
              <w:rPr>
                <w:rFonts w:cs="宋体"/>
                <w:sz w:val="18"/>
                <w:szCs w:val="18"/>
              </w:rPr>
            </w:pPr>
            <w:r w:rsidRPr="0063248C">
              <w:rPr>
                <w:rFonts w:cs="宋体"/>
                <w:sz w:val="18"/>
                <w:szCs w:val="18"/>
              </w:rPr>
              <w:t>26,296,800.00</w:t>
            </w:r>
          </w:p>
        </w:tc>
        <w:tc>
          <w:tcPr>
            <w:tcW w:w="1607" w:type="dxa"/>
            <w:tcBorders>
              <w:top w:val="single" w:sz="2" w:space="0" w:color="auto"/>
              <w:left w:val="single" w:sz="2" w:space="0" w:color="auto"/>
              <w:bottom w:val="single" w:sz="2" w:space="0" w:color="auto"/>
              <w:right w:val="single" w:sz="2" w:space="0" w:color="auto"/>
            </w:tcBorders>
            <w:vAlign w:val="center"/>
          </w:tcPr>
          <w:p w14:paraId="5ADE4E98" w14:textId="77777777" w:rsidR="007B3DB2" w:rsidRPr="0063248C" w:rsidRDefault="00000000">
            <w:pPr>
              <w:spacing w:line="240" w:lineRule="exact"/>
              <w:jc w:val="right"/>
              <w:rPr>
                <w:rFonts w:cs="宋体"/>
                <w:sz w:val="18"/>
                <w:szCs w:val="18"/>
              </w:rPr>
            </w:pPr>
            <w:r w:rsidRPr="0063248C">
              <w:rPr>
                <w:rFonts w:cs="宋体"/>
                <w:sz w:val="18"/>
                <w:szCs w:val="18"/>
              </w:rPr>
              <w:t>2.78%</w:t>
            </w:r>
          </w:p>
        </w:tc>
      </w:tr>
      <w:tr w:rsidR="007B3DB2" w:rsidRPr="0063248C" w14:paraId="77817F68" w14:textId="77777777" w:rsidTr="00D77137">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6F887842" w14:textId="77777777" w:rsidR="007B3DB2" w:rsidRPr="0063248C" w:rsidRDefault="00000000">
            <w:pPr>
              <w:spacing w:before="40" w:after="40" w:line="240" w:lineRule="exact"/>
              <w:jc w:val="center"/>
              <w:rPr>
                <w:rFonts w:cs="宋体"/>
                <w:sz w:val="18"/>
                <w:szCs w:val="18"/>
              </w:rPr>
            </w:pPr>
            <w:r w:rsidRPr="0063248C">
              <w:rPr>
                <w:rFonts w:cs="宋体"/>
                <w:sz w:val="18"/>
                <w:szCs w:val="18"/>
              </w:rPr>
              <w:t>8</w:t>
            </w:r>
          </w:p>
        </w:tc>
        <w:tc>
          <w:tcPr>
            <w:tcW w:w="2552" w:type="dxa"/>
            <w:tcBorders>
              <w:top w:val="single" w:sz="2" w:space="0" w:color="auto"/>
              <w:left w:val="single" w:sz="2" w:space="0" w:color="auto"/>
              <w:bottom w:val="single" w:sz="2" w:space="0" w:color="auto"/>
              <w:right w:val="single" w:sz="2" w:space="0" w:color="auto"/>
            </w:tcBorders>
            <w:vAlign w:val="center"/>
          </w:tcPr>
          <w:p w14:paraId="617A78CE" w14:textId="77777777" w:rsidR="007B3DB2" w:rsidRPr="0063248C" w:rsidRDefault="00000000">
            <w:pPr>
              <w:spacing w:line="240" w:lineRule="exact"/>
              <w:rPr>
                <w:rFonts w:cs="宋体"/>
                <w:sz w:val="18"/>
                <w:szCs w:val="18"/>
              </w:rPr>
            </w:pPr>
            <w:r w:rsidRPr="0063248C">
              <w:rPr>
                <w:rFonts w:cs="宋体"/>
                <w:sz w:val="18"/>
                <w:szCs w:val="18"/>
              </w:rPr>
              <w:t>中国工商银行股份有限公司－广发可转债债券型发起式证券投资基金</w:t>
            </w:r>
          </w:p>
        </w:tc>
        <w:tc>
          <w:tcPr>
            <w:tcW w:w="1559" w:type="dxa"/>
            <w:tcBorders>
              <w:top w:val="single" w:sz="2" w:space="0" w:color="auto"/>
              <w:left w:val="single" w:sz="2" w:space="0" w:color="auto"/>
              <w:bottom w:val="single" w:sz="2" w:space="0" w:color="auto"/>
              <w:right w:val="single" w:sz="2" w:space="0" w:color="auto"/>
            </w:tcBorders>
            <w:vAlign w:val="center"/>
          </w:tcPr>
          <w:p w14:paraId="3279685A"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605" w:type="dxa"/>
            <w:tcBorders>
              <w:top w:val="single" w:sz="2" w:space="0" w:color="auto"/>
              <w:left w:val="single" w:sz="2" w:space="0" w:color="auto"/>
              <w:bottom w:val="single" w:sz="2" w:space="0" w:color="auto"/>
              <w:right w:val="single" w:sz="2" w:space="0" w:color="auto"/>
            </w:tcBorders>
            <w:vAlign w:val="center"/>
          </w:tcPr>
          <w:p w14:paraId="76A525A6" w14:textId="77777777" w:rsidR="007B3DB2" w:rsidRPr="0063248C" w:rsidRDefault="00000000">
            <w:pPr>
              <w:spacing w:line="240" w:lineRule="exact"/>
              <w:jc w:val="right"/>
              <w:rPr>
                <w:rFonts w:cs="宋体"/>
                <w:sz w:val="18"/>
                <w:szCs w:val="18"/>
              </w:rPr>
            </w:pPr>
            <w:r w:rsidRPr="0063248C">
              <w:rPr>
                <w:rFonts w:cs="宋体"/>
                <w:sz w:val="18"/>
                <w:szCs w:val="18"/>
              </w:rPr>
              <w:t>232,845</w:t>
            </w:r>
          </w:p>
        </w:tc>
        <w:tc>
          <w:tcPr>
            <w:tcW w:w="1607" w:type="dxa"/>
            <w:tcBorders>
              <w:top w:val="single" w:sz="2" w:space="0" w:color="auto"/>
              <w:left w:val="single" w:sz="2" w:space="0" w:color="auto"/>
              <w:bottom w:val="single" w:sz="2" w:space="0" w:color="auto"/>
              <w:right w:val="single" w:sz="2" w:space="0" w:color="auto"/>
            </w:tcBorders>
            <w:vAlign w:val="center"/>
          </w:tcPr>
          <w:p w14:paraId="38A25328" w14:textId="77777777" w:rsidR="007B3DB2" w:rsidRPr="0063248C" w:rsidRDefault="00000000">
            <w:pPr>
              <w:spacing w:line="240" w:lineRule="exact"/>
              <w:jc w:val="right"/>
              <w:rPr>
                <w:rFonts w:cs="宋体"/>
                <w:sz w:val="18"/>
                <w:szCs w:val="18"/>
              </w:rPr>
            </w:pPr>
            <w:r w:rsidRPr="0063248C">
              <w:rPr>
                <w:rFonts w:cs="宋体"/>
                <w:sz w:val="18"/>
                <w:szCs w:val="18"/>
              </w:rPr>
              <w:t>23,284,500.00</w:t>
            </w:r>
          </w:p>
        </w:tc>
        <w:tc>
          <w:tcPr>
            <w:tcW w:w="1607" w:type="dxa"/>
            <w:tcBorders>
              <w:top w:val="single" w:sz="2" w:space="0" w:color="auto"/>
              <w:left w:val="single" w:sz="2" w:space="0" w:color="auto"/>
              <w:bottom w:val="single" w:sz="2" w:space="0" w:color="auto"/>
              <w:right w:val="single" w:sz="2" w:space="0" w:color="auto"/>
            </w:tcBorders>
            <w:vAlign w:val="center"/>
          </w:tcPr>
          <w:p w14:paraId="465CF721" w14:textId="77777777" w:rsidR="007B3DB2" w:rsidRPr="0063248C" w:rsidRDefault="00000000">
            <w:pPr>
              <w:spacing w:line="240" w:lineRule="exact"/>
              <w:jc w:val="right"/>
              <w:rPr>
                <w:rFonts w:cs="宋体"/>
                <w:sz w:val="18"/>
                <w:szCs w:val="18"/>
              </w:rPr>
            </w:pPr>
            <w:r w:rsidRPr="0063248C">
              <w:rPr>
                <w:rFonts w:cs="宋体"/>
                <w:sz w:val="18"/>
                <w:szCs w:val="18"/>
              </w:rPr>
              <w:t>2.46%</w:t>
            </w:r>
          </w:p>
        </w:tc>
      </w:tr>
      <w:tr w:rsidR="007B3DB2" w:rsidRPr="0063248C" w14:paraId="3F820C51" w14:textId="77777777" w:rsidTr="00D77137">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E01B17E" w14:textId="77777777" w:rsidR="007B3DB2" w:rsidRPr="0063248C" w:rsidRDefault="00000000">
            <w:pPr>
              <w:spacing w:before="40" w:after="40" w:line="240" w:lineRule="exact"/>
              <w:jc w:val="center"/>
              <w:rPr>
                <w:rFonts w:cs="宋体"/>
                <w:sz w:val="18"/>
                <w:szCs w:val="18"/>
              </w:rPr>
            </w:pPr>
            <w:r w:rsidRPr="0063248C">
              <w:rPr>
                <w:rFonts w:cs="宋体"/>
                <w:sz w:val="18"/>
                <w:szCs w:val="18"/>
              </w:rPr>
              <w:t>9</w:t>
            </w:r>
          </w:p>
        </w:tc>
        <w:tc>
          <w:tcPr>
            <w:tcW w:w="2552" w:type="dxa"/>
            <w:tcBorders>
              <w:top w:val="single" w:sz="2" w:space="0" w:color="auto"/>
              <w:left w:val="single" w:sz="2" w:space="0" w:color="auto"/>
              <w:bottom w:val="single" w:sz="2" w:space="0" w:color="auto"/>
              <w:right w:val="single" w:sz="2" w:space="0" w:color="auto"/>
            </w:tcBorders>
            <w:vAlign w:val="center"/>
          </w:tcPr>
          <w:p w14:paraId="6202FA39" w14:textId="77777777" w:rsidR="007B3DB2" w:rsidRPr="0063248C" w:rsidRDefault="00000000">
            <w:pPr>
              <w:spacing w:line="240" w:lineRule="exact"/>
              <w:rPr>
                <w:rFonts w:cs="宋体"/>
                <w:sz w:val="18"/>
                <w:szCs w:val="18"/>
              </w:rPr>
            </w:pPr>
            <w:r w:rsidRPr="0063248C">
              <w:rPr>
                <w:rFonts w:cs="宋体"/>
                <w:sz w:val="18"/>
                <w:szCs w:val="18"/>
              </w:rPr>
              <w:t>中国工商银行股份有限公司－中欧可转债债券型证券投资基金</w:t>
            </w:r>
          </w:p>
        </w:tc>
        <w:tc>
          <w:tcPr>
            <w:tcW w:w="1559" w:type="dxa"/>
            <w:tcBorders>
              <w:top w:val="single" w:sz="2" w:space="0" w:color="auto"/>
              <w:left w:val="single" w:sz="2" w:space="0" w:color="auto"/>
              <w:bottom w:val="single" w:sz="2" w:space="0" w:color="auto"/>
              <w:right w:val="single" w:sz="2" w:space="0" w:color="auto"/>
            </w:tcBorders>
            <w:vAlign w:val="center"/>
          </w:tcPr>
          <w:p w14:paraId="2746598A"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605" w:type="dxa"/>
            <w:tcBorders>
              <w:top w:val="single" w:sz="2" w:space="0" w:color="auto"/>
              <w:left w:val="single" w:sz="2" w:space="0" w:color="auto"/>
              <w:bottom w:val="single" w:sz="2" w:space="0" w:color="auto"/>
              <w:right w:val="single" w:sz="2" w:space="0" w:color="auto"/>
            </w:tcBorders>
            <w:vAlign w:val="center"/>
          </w:tcPr>
          <w:p w14:paraId="50E5CE23" w14:textId="77777777" w:rsidR="007B3DB2" w:rsidRPr="0063248C" w:rsidRDefault="00000000">
            <w:pPr>
              <w:spacing w:line="240" w:lineRule="exact"/>
              <w:jc w:val="right"/>
              <w:rPr>
                <w:rFonts w:cs="宋体"/>
                <w:sz w:val="18"/>
                <w:szCs w:val="18"/>
              </w:rPr>
            </w:pPr>
            <w:r w:rsidRPr="0063248C">
              <w:rPr>
                <w:rFonts w:cs="宋体"/>
                <w:sz w:val="18"/>
                <w:szCs w:val="18"/>
              </w:rPr>
              <w:t>202,950</w:t>
            </w:r>
          </w:p>
        </w:tc>
        <w:tc>
          <w:tcPr>
            <w:tcW w:w="1607" w:type="dxa"/>
            <w:tcBorders>
              <w:top w:val="single" w:sz="2" w:space="0" w:color="auto"/>
              <w:left w:val="single" w:sz="2" w:space="0" w:color="auto"/>
              <w:bottom w:val="single" w:sz="2" w:space="0" w:color="auto"/>
              <w:right w:val="single" w:sz="2" w:space="0" w:color="auto"/>
            </w:tcBorders>
            <w:vAlign w:val="center"/>
          </w:tcPr>
          <w:p w14:paraId="1B21E7BD" w14:textId="77777777" w:rsidR="007B3DB2" w:rsidRPr="0063248C" w:rsidRDefault="00000000">
            <w:pPr>
              <w:spacing w:line="240" w:lineRule="exact"/>
              <w:jc w:val="right"/>
              <w:rPr>
                <w:rFonts w:cs="宋体"/>
                <w:sz w:val="18"/>
                <w:szCs w:val="18"/>
              </w:rPr>
            </w:pPr>
            <w:r w:rsidRPr="0063248C">
              <w:rPr>
                <w:rFonts w:cs="宋体"/>
                <w:sz w:val="18"/>
                <w:szCs w:val="18"/>
              </w:rPr>
              <w:t>20,295,000.00</w:t>
            </w:r>
          </w:p>
        </w:tc>
        <w:tc>
          <w:tcPr>
            <w:tcW w:w="1607" w:type="dxa"/>
            <w:tcBorders>
              <w:top w:val="single" w:sz="2" w:space="0" w:color="auto"/>
              <w:left w:val="single" w:sz="2" w:space="0" w:color="auto"/>
              <w:bottom w:val="single" w:sz="2" w:space="0" w:color="auto"/>
              <w:right w:val="single" w:sz="2" w:space="0" w:color="auto"/>
            </w:tcBorders>
            <w:vAlign w:val="center"/>
          </w:tcPr>
          <w:p w14:paraId="7EC3FB06" w14:textId="77777777" w:rsidR="007B3DB2" w:rsidRPr="0063248C" w:rsidRDefault="00000000">
            <w:pPr>
              <w:spacing w:line="240" w:lineRule="exact"/>
              <w:jc w:val="right"/>
              <w:rPr>
                <w:rFonts w:cs="宋体"/>
                <w:sz w:val="18"/>
                <w:szCs w:val="18"/>
              </w:rPr>
            </w:pPr>
            <w:r w:rsidRPr="0063248C">
              <w:rPr>
                <w:rFonts w:cs="宋体"/>
                <w:sz w:val="18"/>
                <w:szCs w:val="18"/>
              </w:rPr>
              <w:t>2.15%</w:t>
            </w:r>
          </w:p>
        </w:tc>
      </w:tr>
      <w:tr w:rsidR="007B3DB2" w:rsidRPr="0063248C" w14:paraId="2383F000" w14:textId="77777777" w:rsidTr="00D77137">
        <w:trPr>
          <w:trHeight w:val="240"/>
        </w:trPr>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B1F5212" w14:textId="77777777" w:rsidR="007B3DB2" w:rsidRPr="0063248C" w:rsidRDefault="00000000">
            <w:pPr>
              <w:spacing w:before="40" w:after="40" w:line="240" w:lineRule="exact"/>
              <w:jc w:val="center"/>
              <w:rPr>
                <w:rFonts w:cs="宋体"/>
                <w:sz w:val="18"/>
                <w:szCs w:val="18"/>
              </w:rPr>
            </w:pPr>
            <w:r w:rsidRPr="0063248C">
              <w:rPr>
                <w:rFonts w:cs="宋体"/>
                <w:sz w:val="18"/>
                <w:szCs w:val="18"/>
              </w:rPr>
              <w:t>10</w:t>
            </w:r>
          </w:p>
        </w:tc>
        <w:tc>
          <w:tcPr>
            <w:tcW w:w="2552" w:type="dxa"/>
            <w:tcBorders>
              <w:top w:val="single" w:sz="2" w:space="0" w:color="auto"/>
              <w:left w:val="single" w:sz="2" w:space="0" w:color="auto"/>
              <w:bottom w:val="single" w:sz="2" w:space="0" w:color="auto"/>
              <w:right w:val="single" w:sz="2" w:space="0" w:color="auto"/>
            </w:tcBorders>
            <w:vAlign w:val="center"/>
          </w:tcPr>
          <w:p w14:paraId="7B9C63C9" w14:textId="77777777" w:rsidR="007B3DB2" w:rsidRPr="0063248C" w:rsidRDefault="00000000">
            <w:pPr>
              <w:spacing w:line="240" w:lineRule="exact"/>
              <w:rPr>
                <w:rFonts w:cs="宋体"/>
                <w:sz w:val="18"/>
                <w:szCs w:val="18"/>
              </w:rPr>
            </w:pPr>
            <w:r w:rsidRPr="0063248C">
              <w:rPr>
                <w:rFonts w:cs="宋体"/>
                <w:sz w:val="18"/>
                <w:szCs w:val="18"/>
              </w:rPr>
              <w:t>中国建设银行股份有限公司－国联安添利增长债券型证券投资基金</w:t>
            </w:r>
          </w:p>
        </w:tc>
        <w:tc>
          <w:tcPr>
            <w:tcW w:w="1559" w:type="dxa"/>
            <w:tcBorders>
              <w:top w:val="single" w:sz="2" w:space="0" w:color="auto"/>
              <w:left w:val="single" w:sz="2" w:space="0" w:color="auto"/>
              <w:bottom w:val="single" w:sz="2" w:space="0" w:color="auto"/>
              <w:right w:val="single" w:sz="2" w:space="0" w:color="auto"/>
            </w:tcBorders>
            <w:vAlign w:val="center"/>
          </w:tcPr>
          <w:p w14:paraId="39AD21E9" w14:textId="77777777" w:rsidR="007B3DB2" w:rsidRPr="0063248C" w:rsidRDefault="00000000">
            <w:pPr>
              <w:spacing w:line="240" w:lineRule="exact"/>
              <w:rPr>
                <w:rFonts w:cs="宋体"/>
                <w:sz w:val="18"/>
                <w:szCs w:val="18"/>
              </w:rPr>
            </w:pPr>
            <w:r w:rsidRPr="0063248C">
              <w:rPr>
                <w:rFonts w:cs="宋体"/>
                <w:sz w:val="18"/>
                <w:szCs w:val="18"/>
              </w:rPr>
              <w:t>境内非国有法人</w:t>
            </w:r>
          </w:p>
        </w:tc>
        <w:tc>
          <w:tcPr>
            <w:tcW w:w="1605" w:type="dxa"/>
            <w:tcBorders>
              <w:top w:val="single" w:sz="2" w:space="0" w:color="auto"/>
              <w:left w:val="single" w:sz="2" w:space="0" w:color="auto"/>
              <w:bottom w:val="single" w:sz="2" w:space="0" w:color="auto"/>
              <w:right w:val="single" w:sz="2" w:space="0" w:color="auto"/>
            </w:tcBorders>
            <w:vAlign w:val="center"/>
          </w:tcPr>
          <w:p w14:paraId="41FAC647" w14:textId="77777777" w:rsidR="007B3DB2" w:rsidRPr="0063248C" w:rsidRDefault="00000000">
            <w:pPr>
              <w:spacing w:line="240" w:lineRule="exact"/>
              <w:jc w:val="right"/>
              <w:rPr>
                <w:rFonts w:cs="宋体"/>
                <w:sz w:val="18"/>
                <w:szCs w:val="18"/>
              </w:rPr>
            </w:pPr>
            <w:r w:rsidRPr="0063248C">
              <w:rPr>
                <w:rFonts w:cs="宋体"/>
                <w:sz w:val="18"/>
                <w:szCs w:val="18"/>
              </w:rPr>
              <w:t>140,000</w:t>
            </w:r>
          </w:p>
        </w:tc>
        <w:tc>
          <w:tcPr>
            <w:tcW w:w="1607" w:type="dxa"/>
            <w:tcBorders>
              <w:top w:val="single" w:sz="2" w:space="0" w:color="auto"/>
              <w:left w:val="single" w:sz="2" w:space="0" w:color="auto"/>
              <w:bottom w:val="single" w:sz="2" w:space="0" w:color="auto"/>
              <w:right w:val="single" w:sz="2" w:space="0" w:color="auto"/>
            </w:tcBorders>
            <w:vAlign w:val="center"/>
          </w:tcPr>
          <w:p w14:paraId="4C957B71" w14:textId="77777777" w:rsidR="007B3DB2" w:rsidRPr="0063248C" w:rsidRDefault="00000000">
            <w:pPr>
              <w:spacing w:line="240" w:lineRule="exact"/>
              <w:jc w:val="right"/>
              <w:rPr>
                <w:rFonts w:cs="宋体"/>
                <w:sz w:val="18"/>
                <w:szCs w:val="18"/>
              </w:rPr>
            </w:pPr>
            <w:r w:rsidRPr="0063248C">
              <w:rPr>
                <w:rFonts w:cs="宋体"/>
                <w:sz w:val="18"/>
                <w:szCs w:val="18"/>
              </w:rPr>
              <w:t>14,000,000.00</w:t>
            </w:r>
          </w:p>
        </w:tc>
        <w:tc>
          <w:tcPr>
            <w:tcW w:w="1607" w:type="dxa"/>
            <w:tcBorders>
              <w:top w:val="single" w:sz="2" w:space="0" w:color="auto"/>
              <w:left w:val="single" w:sz="2" w:space="0" w:color="auto"/>
              <w:bottom w:val="single" w:sz="2" w:space="0" w:color="auto"/>
              <w:right w:val="single" w:sz="2" w:space="0" w:color="auto"/>
            </w:tcBorders>
            <w:vAlign w:val="center"/>
          </w:tcPr>
          <w:p w14:paraId="1DAD7C3D" w14:textId="77777777" w:rsidR="007B3DB2" w:rsidRPr="0063248C" w:rsidRDefault="00000000">
            <w:pPr>
              <w:spacing w:line="240" w:lineRule="exact"/>
              <w:jc w:val="right"/>
              <w:rPr>
                <w:rFonts w:cs="宋体"/>
                <w:sz w:val="18"/>
                <w:szCs w:val="18"/>
              </w:rPr>
            </w:pPr>
            <w:r w:rsidRPr="0063248C">
              <w:rPr>
                <w:rFonts w:cs="宋体"/>
                <w:sz w:val="18"/>
                <w:szCs w:val="18"/>
              </w:rPr>
              <w:t>1.48%</w:t>
            </w:r>
          </w:p>
        </w:tc>
      </w:tr>
    </w:tbl>
    <w:p w14:paraId="179B008D" w14:textId="77777777" w:rsidR="007B3DB2" w:rsidRPr="0063248C" w:rsidRDefault="00000000">
      <w:pPr>
        <w:pStyle w:val="3"/>
        <w:spacing w:line="280" w:lineRule="exact"/>
        <w:jc w:val="left"/>
        <w:rPr>
          <w:rFonts w:cs="宋体"/>
          <w:b/>
          <w:bCs/>
        </w:rPr>
      </w:pPr>
      <w:bookmarkStart w:id="97" w:name="_Toc988986"/>
      <w:r w:rsidRPr="0063248C">
        <w:rPr>
          <w:rFonts w:cs="宋体"/>
          <w:b/>
          <w:bCs/>
        </w:rPr>
        <w:t>4</w:t>
      </w:r>
      <w:r w:rsidRPr="0063248C">
        <w:rPr>
          <w:rFonts w:cs="宋体"/>
          <w:b/>
          <w:bCs/>
        </w:rPr>
        <w:t>、担保人盈利能力、资产状况和信用状况发生重大变化的情况</w:t>
      </w:r>
      <w:bookmarkEnd w:id="97"/>
    </w:p>
    <w:p w14:paraId="3070DED1"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520B73D" w14:textId="77777777" w:rsidR="007B3DB2" w:rsidRPr="0063248C" w:rsidRDefault="00000000">
      <w:pPr>
        <w:pStyle w:val="3"/>
        <w:spacing w:line="280" w:lineRule="exact"/>
        <w:jc w:val="left"/>
        <w:rPr>
          <w:rFonts w:cs="宋体"/>
          <w:b/>
          <w:bCs/>
        </w:rPr>
      </w:pPr>
      <w:bookmarkStart w:id="98" w:name="_Toc988987"/>
      <w:r w:rsidRPr="0063248C">
        <w:rPr>
          <w:rFonts w:cs="宋体"/>
          <w:b/>
          <w:bCs/>
        </w:rPr>
        <w:t>5</w:t>
      </w:r>
      <w:r w:rsidRPr="0063248C">
        <w:rPr>
          <w:rFonts w:cs="宋体"/>
          <w:b/>
          <w:bCs/>
        </w:rPr>
        <w:t>、报告期末公司的负债情况、资信变化情况以及在未来年度还债的现金安排</w:t>
      </w:r>
      <w:bookmarkEnd w:id="98"/>
    </w:p>
    <w:p w14:paraId="3AB481F0" w14:textId="70FB6700" w:rsidR="00D77137" w:rsidRPr="00D77137" w:rsidRDefault="00000000" w:rsidP="00D77137">
      <w:pPr>
        <w:spacing w:line="276" w:lineRule="auto"/>
        <w:ind w:firstLineChars="200" w:firstLine="360"/>
        <w:rPr>
          <w:sz w:val="18"/>
          <w:szCs w:val="18"/>
        </w:rPr>
      </w:pPr>
      <w:r w:rsidRPr="00D77137">
        <w:rPr>
          <w:rFonts w:hint="eastAsia"/>
          <w:sz w:val="18"/>
          <w:szCs w:val="18"/>
        </w:rPr>
        <w:t>（</w:t>
      </w:r>
      <w:r w:rsidRPr="00D77137">
        <w:rPr>
          <w:rFonts w:hint="eastAsia"/>
          <w:sz w:val="18"/>
          <w:szCs w:val="18"/>
        </w:rPr>
        <w:t>1</w:t>
      </w:r>
      <w:r w:rsidRPr="00D77137">
        <w:rPr>
          <w:rFonts w:hint="eastAsia"/>
          <w:sz w:val="18"/>
          <w:szCs w:val="18"/>
        </w:rPr>
        <w:t>）报告期末公司的会计指标详见本节“六、截至报告期末公司近两年的主要会计数据和财务指标”</w:t>
      </w:r>
      <w:r w:rsidR="00D77137">
        <w:rPr>
          <w:rFonts w:hint="eastAsia"/>
          <w:sz w:val="18"/>
          <w:szCs w:val="18"/>
        </w:rPr>
        <w:t>。</w:t>
      </w:r>
    </w:p>
    <w:p w14:paraId="03228BA9" w14:textId="486736F7" w:rsidR="00517D34" w:rsidRPr="00D77137" w:rsidRDefault="00000000" w:rsidP="00D77137">
      <w:pPr>
        <w:spacing w:line="276" w:lineRule="auto"/>
        <w:ind w:firstLineChars="200" w:firstLine="360"/>
        <w:rPr>
          <w:sz w:val="18"/>
          <w:szCs w:val="18"/>
        </w:rPr>
      </w:pPr>
      <w:r w:rsidRPr="00D77137">
        <w:rPr>
          <w:rFonts w:hint="eastAsia"/>
          <w:sz w:val="18"/>
          <w:szCs w:val="18"/>
        </w:rPr>
        <w:t>（</w:t>
      </w:r>
      <w:r w:rsidRPr="00D77137">
        <w:rPr>
          <w:rFonts w:hint="eastAsia"/>
          <w:sz w:val="18"/>
          <w:szCs w:val="18"/>
        </w:rPr>
        <w:t>2</w:t>
      </w:r>
      <w:r w:rsidRPr="00D77137">
        <w:rPr>
          <w:rFonts w:hint="eastAsia"/>
          <w:sz w:val="18"/>
          <w:szCs w:val="18"/>
        </w:rPr>
        <w:t>）本年度可转债资信评级情况</w:t>
      </w:r>
    </w:p>
    <w:p w14:paraId="5F548678" w14:textId="77777777" w:rsidR="00517D34" w:rsidRPr="00D77137" w:rsidRDefault="00000000" w:rsidP="00D77137">
      <w:pPr>
        <w:spacing w:line="276" w:lineRule="auto"/>
        <w:ind w:firstLineChars="200" w:firstLine="360"/>
        <w:rPr>
          <w:sz w:val="18"/>
          <w:szCs w:val="18"/>
        </w:rPr>
      </w:pPr>
      <w:r w:rsidRPr="00D77137">
        <w:rPr>
          <w:rFonts w:hint="eastAsia"/>
          <w:sz w:val="18"/>
          <w:szCs w:val="18"/>
        </w:rPr>
        <w:t>联</w:t>
      </w:r>
      <w:proofErr w:type="gramStart"/>
      <w:r w:rsidRPr="00D77137">
        <w:rPr>
          <w:rFonts w:hint="eastAsia"/>
          <w:sz w:val="18"/>
          <w:szCs w:val="18"/>
        </w:rPr>
        <w:t>合资信</w:t>
      </w:r>
      <w:proofErr w:type="gramEnd"/>
      <w:r w:rsidRPr="00D77137">
        <w:rPr>
          <w:rFonts w:hint="eastAsia"/>
          <w:sz w:val="18"/>
          <w:szCs w:val="18"/>
        </w:rPr>
        <w:t>评估股份有限公司于</w:t>
      </w:r>
      <w:r w:rsidRPr="00D77137">
        <w:rPr>
          <w:rFonts w:hint="eastAsia"/>
          <w:sz w:val="18"/>
          <w:szCs w:val="18"/>
        </w:rPr>
        <w:t>2024</w:t>
      </w:r>
      <w:r w:rsidRPr="00D77137">
        <w:rPr>
          <w:rFonts w:hint="eastAsia"/>
          <w:sz w:val="18"/>
          <w:szCs w:val="18"/>
        </w:rPr>
        <w:t>年</w:t>
      </w:r>
      <w:r w:rsidRPr="00D77137">
        <w:rPr>
          <w:rFonts w:hint="eastAsia"/>
          <w:sz w:val="18"/>
          <w:szCs w:val="18"/>
        </w:rPr>
        <w:t>6</w:t>
      </w:r>
      <w:r w:rsidRPr="00D77137">
        <w:rPr>
          <w:rFonts w:hint="eastAsia"/>
          <w:sz w:val="18"/>
          <w:szCs w:val="18"/>
        </w:rPr>
        <w:t>月</w:t>
      </w:r>
      <w:r w:rsidRPr="00D77137">
        <w:rPr>
          <w:rFonts w:hint="eastAsia"/>
          <w:sz w:val="18"/>
          <w:szCs w:val="18"/>
        </w:rPr>
        <w:t>14</w:t>
      </w:r>
      <w:r w:rsidRPr="00D77137">
        <w:rPr>
          <w:rFonts w:hint="eastAsia"/>
          <w:sz w:val="18"/>
          <w:szCs w:val="18"/>
        </w:rPr>
        <w:t>日出具了《山东龙大美食股份有限公司公开发行可转换公司债券</w:t>
      </w:r>
      <w:r w:rsidRPr="00D77137">
        <w:rPr>
          <w:rFonts w:hint="eastAsia"/>
          <w:sz w:val="18"/>
          <w:szCs w:val="18"/>
        </w:rPr>
        <w:t>2024</w:t>
      </w:r>
      <w:r w:rsidRPr="00D77137">
        <w:rPr>
          <w:rFonts w:hint="eastAsia"/>
          <w:sz w:val="18"/>
          <w:szCs w:val="18"/>
        </w:rPr>
        <w:lastRenderedPageBreak/>
        <w:t>年跟踪评级报告》（联合〔</w:t>
      </w:r>
      <w:r w:rsidRPr="00D77137">
        <w:rPr>
          <w:rFonts w:hint="eastAsia"/>
          <w:sz w:val="18"/>
          <w:szCs w:val="18"/>
        </w:rPr>
        <w:t>2024</w:t>
      </w:r>
      <w:r w:rsidRPr="00D77137">
        <w:rPr>
          <w:rFonts w:hint="eastAsia"/>
          <w:sz w:val="18"/>
          <w:szCs w:val="18"/>
        </w:rPr>
        <w:t>〕</w:t>
      </w:r>
      <w:r w:rsidRPr="00D77137">
        <w:rPr>
          <w:rFonts w:hint="eastAsia"/>
          <w:sz w:val="18"/>
          <w:szCs w:val="18"/>
        </w:rPr>
        <w:t>4318</w:t>
      </w:r>
      <w:r w:rsidRPr="00D77137">
        <w:rPr>
          <w:rFonts w:hint="eastAsia"/>
          <w:sz w:val="18"/>
          <w:szCs w:val="18"/>
        </w:rPr>
        <w:t>号），公司主体长期信用等级为</w:t>
      </w:r>
      <w:r w:rsidRPr="00D77137">
        <w:rPr>
          <w:rFonts w:hint="eastAsia"/>
          <w:sz w:val="18"/>
          <w:szCs w:val="18"/>
        </w:rPr>
        <w:t>A</w:t>
      </w:r>
      <w:r w:rsidRPr="00B84D72">
        <w:rPr>
          <w:rFonts w:hint="eastAsia"/>
          <w:sz w:val="18"/>
          <w:szCs w:val="18"/>
          <w:vertAlign w:val="superscript"/>
        </w:rPr>
        <w:t>+</w:t>
      </w:r>
      <w:r w:rsidRPr="00D77137">
        <w:rPr>
          <w:rFonts w:hint="eastAsia"/>
          <w:sz w:val="18"/>
          <w:szCs w:val="18"/>
        </w:rPr>
        <w:t>，“龙大转债”信用等级为</w:t>
      </w:r>
      <w:r w:rsidRPr="00D77137">
        <w:rPr>
          <w:rFonts w:hint="eastAsia"/>
          <w:sz w:val="18"/>
          <w:szCs w:val="18"/>
        </w:rPr>
        <w:t>A</w:t>
      </w:r>
      <w:r w:rsidRPr="00B84D72">
        <w:rPr>
          <w:rFonts w:hint="eastAsia"/>
          <w:sz w:val="18"/>
          <w:szCs w:val="18"/>
          <w:vertAlign w:val="superscript"/>
        </w:rPr>
        <w:t>+</w:t>
      </w:r>
      <w:r w:rsidRPr="00D77137">
        <w:rPr>
          <w:rFonts w:hint="eastAsia"/>
          <w:sz w:val="18"/>
          <w:szCs w:val="18"/>
        </w:rPr>
        <w:t>，评级展望为稳定。</w:t>
      </w:r>
    </w:p>
    <w:p w14:paraId="48B78CA7" w14:textId="77777777" w:rsidR="00517D34" w:rsidRPr="00D77137" w:rsidRDefault="00000000" w:rsidP="00D77137">
      <w:pPr>
        <w:spacing w:line="276" w:lineRule="auto"/>
        <w:ind w:firstLineChars="200" w:firstLine="360"/>
        <w:rPr>
          <w:sz w:val="18"/>
          <w:szCs w:val="18"/>
        </w:rPr>
      </w:pPr>
      <w:r w:rsidRPr="00D77137">
        <w:rPr>
          <w:rFonts w:hint="eastAsia"/>
          <w:sz w:val="18"/>
          <w:szCs w:val="18"/>
        </w:rPr>
        <w:t>（</w:t>
      </w:r>
      <w:r w:rsidRPr="00D77137">
        <w:rPr>
          <w:rFonts w:hint="eastAsia"/>
          <w:sz w:val="18"/>
          <w:szCs w:val="18"/>
        </w:rPr>
        <w:t>3</w:t>
      </w:r>
      <w:r w:rsidRPr="00D77137">
        <w:rPr>
          <w:rFonts w:hint="eastAsia"/>
          <w:sz w:val="18"/>
          <w:szCs w:val="18"/>
        </w:rPr>
        <w:t>）公司主营业务稳定，经营情况良好，资产负债率保持在较合理水平。公司将做好资金规划，为债券还本付息做好充足准备。</w:t>
      </w:r>
    </w:p>
    <w:p w14:paraId="449BB218" w14:textId="77777777" w:rsidR="007B3DB2" w:rsidRPr="0063248C" w:rsidRDefault="00000000">
      <w:pPr>
        <w:pStyle w:val="2"/>
        <w:spacing w:before="300" w:after="300" w:line="320" w:lineRule="exact"/>
        <w:rPr>
          <w:rFonts w:cs="宋体"/>
          <w:b/>
          <w:bCs/>
          <w:sz w:val="24"/>
          <w:szCs w:val="24"/>
        </w:rPr>
      </w:pPr>
      <w:bookmarkStart w:id="99" w:name="_Toc988988"/>
      <w:r w:rsidRPr="0063248C">
        <w:rPr>
          <w:rFonts w:cs="宋体"/>
          <w:b/>
          <w:bCs/>
          <w:sz w:val="24"/>
          <w:szCs w:val="24"/>
        </w:rPr>
        <w:t>五、报告期内合并报表范围亏损超过上年末净资产</w:t>
      </w:r>
      <w:r w:rsidRPr="0063248C">
        <w:rPr>
          <w:rFonts w:cs="宋体"/>
          <w:b/>
          <w:bCs/>
          <w:sz w:val="24"/>
          <w:szCs w:val="24"/>
        </w:rPr>
        <w:t>10%</w:t>
      </w:r>
      <w:bookmarkEnd w:id="99"/>
    </w:p>
    <w:p w14:paraId="240C0AE0"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D0A0A23" w14:textId="77777777" w:rsidR="007B3DB2" w:rsidRPr="0063248C" w:rsidRDefault="00000000">
      <w:pPr>
        <w:pStyle w:val="2"/>
        <w:spacing w:before="300" w:after="300" w:line="320" w:lineRule="exact"/>
        <w:rPr>
          <w:rFonts w:cs="宋体"/>
          <w:b/>
          <w:bCs/>
          <w:sz w:val="24"/>
          <w:szCs w:val="24"/>
        </w:rPr>
      </w:pPr>
      <w:bookmarkStart w:id="100" w:name="_Toc988989"/>
      <w:r w:rsidRPr="0063248C">
        <w:rPr>
          <w:rFonts w:cs="宋体"/>
          <w:b/>
          <w:bCs/>
          <w:sz w:val="24"/>
          <w:szCs w:val="24"/>
        </w:rPr>
        <w:t>六、截至报告期末公司近两年的主要会计数据和财务指标</w:t>
      </w:r>
      <w:bookmarkEnd w:id="100"/>
    </w:p>
    <w:p w14:paraId="0533EDF5"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0E6C13A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43C929E"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2D17D3C"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9BE255E" w14:textId="77777777" w:rsidR="007B3DB2" w:rsidRPr="0063248C" w:rsidRDefault="00000000">
            <w:pPr>
              <w:spacing w:before="40" w:after="40" w:line="240" w:lineRule="exact"/>
              <w:jc w:val="center"/>
              <w:rPr>
                <w:rFonts w:cs="宋体"/>
                <w:sz w:val="18"/>
                <w:szCs w:val="18"/>
              </w:rPr>
            </w:pPr>
            <w:r w:rsidRPr="0063248C">
              <w:rPr>
                <w:rFonts w:cs="宋体"/>
                <w:sz w:val="18"/>
                <w:szCs w:val="18"/>
              </w:rPr>
              <w:t>上年末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EAC2DF6"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本报告期末比上年末增减</w:t>
            </w:r>
          </w:p>
        </w:tc>
      </w:tr>
      <w:tr w:rsidR="007B3DB2" w:rsidRPr="0063248C" w14:paraId="0EB3E7D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33ACCFA" w14:textId="77777777" w:rsidR="007B3DB2" w:rsidRPr="0063248C" w:rsidRDefault="00000000">
            <w:pPr>
              <w:spacing w:before="40" w:after="40" w:line="240" w:lineRule="exact"/>
              <w:rPr>
                <w:rFonts w:cs="宋体"/>
                <w:sz w:val="18"/>
                <w:szCs w:val="18"/>
              </w:rPr>
            </w:pPr>
            <w:r w:rsidRPr="0063248C">
              <w:rPr>
                <w:rFonts w:cs="宋体"/>
                <w:sz w:val="18"/>
                <w:szCs w:val="18"/>
              </w:rPr>
              <w:t>流动比率</w:t>
            </w:r>
          </w:p>
        </w:tc>
        <w:tc>
          <w:tcPr>
            <w:tcW w:w="2410" w:type="dxa"/>
            <w:tcBorders>
              <w:top w:val="single" w:sz="2" w:space="0" w:color="auto"/>
              <w:left w:val="single" w:sz="2" w:space="0" w:color="auto"/>
              <w:bottom w:val="single" w:sz="2" w:space="0" w:color="auto"/>
              <w:right w:val="single" w:sz="2" w:space="0" w:color="auto"/>
            </w:tcBorders>
            <w:vAlign w:val="center"/>
          </w:tcPr>
          <w:p w14:paraId="61D66E75" w14:textId="77777777" w:rsidR="007B3DB2" w:rsidRPr="0063248C" w:rsidRDefault="00000000">
            <w:pPr>
              <w:spacing w:line="240" w:lineRule="exact"/>
              <w:jc w:val="right"/>
              <w:rPr>
                <w:rFonts w:cs="宋体"/>
                <w:sz w:val="18"/>
                <w:szCs w:val="18"/>
              </w:rPr>
            </w:pPr>
            <w:r w:rsidRPr="0063248C">
              <w:rPr>
                <w:rFonts w:cs="宋体"/>
                <w:sz w:val="18"/>
                <w:szCs w:val="18"/>
              </w:rPr>
              <w:t>90.85</w:t>
            </w:r>
          </w:p>
        </w:tc>
        <w:tc>
          <w:tcPr>
            <w:tcW w:w="2410" w:type="dxa"/>
            <w:tcBorders>
              <w:top w:val="single" w:sz="2" w:space="0" w:color="auto"/>
              <w:left w:val="single" w:sz="2" w:space="0" w:color="auto"/>
              <w:bottom w:val="single" w:sz="2" w:space="0" w:color="auto"/>
              <w:right w:val="single" w:sz="2" w:space="0" w:color="auto"/>
            </w:tcBorders>
            <w:vAlign w:val="center"/>
          </w:tcPr>
          <w:p w14:paraId="7A585DF6" w14:textId="77777777" w:rsidR="007B3DB2" w:rsidRPr="0063248C" w:rsidRDefault="00000000">
            <w:pPr>
              <w:spacing w:line="240" w:lineRule="exact"/>
              <w:jc w:val="right"/>
              <w:rPr>
                <w:rFonts w:cs="宋体"/>
                <w:sz w:val="18"/>
                <w:szCs w:val="18"/>
              </w:rPr>
            </w:pPr>
            <w:r w:rsidRPr="0063248C">
              <w:rPr>
                <w:rFonts w:cs="宋体"/>
                <w:sz w:val="18"/>
                <w:szCs w:val="18"/>
              </w:rPr>
              <w:t>88.47</w:t>
            </w:r>
          </w:p>
        </w:tc>
        <w:tc>
          <w:tcPr>
            <w:tcW w:w="2410" w:type="dxa"/>
            <w:tcBorders>
              <w:top w:val="single" w:sz="2" w:space="0" w:color="auto"/>
              <w:left w:val="single" w:sz="2" w:space="0" w:color="auto"/>
              <w:bottom w:val="single" w:sz="2" w:space="0" w:color="auto"/>
              <w:right w:val="single" w:sz="2" w:space="0" w:color="auto"/>
            </w:tcBorders>
            <w:vAlign w:val="center"/>
          </w:tcPr>
          <w:p w14:paraId="2B198FF1" w14:textId="77777777" w:rsidR="007B3DB2" w:rsidRPr="0063248C" w:rsidRDefault="00000000">
            <w:pPr>
              <w:spacing w:line="240" w:lineRule="exact"/>
              <w:jc w:val="right"/>
              <w:rPr>
                <w:rFonts w:cs="宋体"/>
                <w:sz w:val="18"/>
                <w:szCs w:val="18"/>
              </w:rPr>
            </w:pPr>
            <w:r w:rsidRPr="0063248C">
              <w:rPr>
                <w:rFonts w:cs="宋体"/>
                <w:sz w:val="18"/>
                <w:szCs w:val="18"/>
              </w:rPr>
              <w:t>2.69%</w:t>
            </w:r>
          </w:p>
        </w:tc>
      </w:tr>
      <w:tr w:rsidR="007B3DB2" w:rsidRPr="0063248C" w14:paraId="307080C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D21466" w14:textId="77777777" w:rsidR="007B3DB2" w:rsidRPr="0063248C" w:rsidRDefault="00000000">
            <w:pPr>
              <w:spacing w:before="40" w:after="40" w:line="240" w:lineRule="exact"/>
              <w:rPr>
                <w:rFonts w:cs="宋体"/>
                <w:sz w:val="18"/>
                <w:szCs w:val="18"/>
              </w:rPr>
            </w:pPr>
            <w:r w:rsidRPr="0063248C">
              <w:rPr>
                <w:rFonts w:cs="宋体"/>
                <w:sz w:val="18"/>
                <w:szCs w:val="18"/>
              </w:rPr>
              <w:t>资产负债率</w:t>
            </w:r>
          </w:p>
        </w:tc>
        <w:tc>
          <w:tcPr>
            <w:tcW w:w="2410" w:type="dxa"/>
            <w:tcBorders>
              <w:top w:val="single" w:sz="2" w:space="0" w:color="auto"/>
              <w:left w:val="single" w:sz="2" w:space="0" w:color="auto"/>
              <w:bottom w:val="single" w:sz="2" w:space="0" w:color="auto"/>
              <w:right w:val="single" w:sz="2" w:space="0" w:color="auto"/>
            </w:tcBorders>
            <w:vAlign w:val="center"/>
          </w:tcPr>
          <w:p w14:paraId="6465591B" w14:textId="77777777" w:rsidR="007B3DB2" w:rsidRPr="0063248C" w:rsidRDefault="00000000">
            <w:pPr>
              <w:spacing w:line="240" w:lineRule="exact"/>
              <w:jc w:val="right"/>
              <w:rPr>
                <w:rFonts w:cs="宋体"/>
                <w:sz w:val="18"/>
                <w:szCs w:val="18"/>
              </w:rPr>
            </w:pPr>
            <w:r w:rsidRPr="0063248C">
              <w:rPr>
                <w:rFonts w:cs="宋体"/>
                <w:sz w:val="18"/>
                <w:szCs w:val="18"/>
              </w:rPr>
              <w:t>71.01%</w:t>
            </w:r>
          </w:p>
        </w:tc>
        <w:tc>
          <w:tcPr>
            <w:tcW w:w="2410" w:type="dxa"/>
            <w:tcBorders>
              <w:top w:val="single" w:sz="2" w:space="0" w:color="auto"/>
              <w:left w:val="single" w:sz="2" w:space="0" w:color="auto"/>
              <w:bottom w:val="single" w:sz="2" w:space="0" w:color="auto"/>
              <w:right w:val="single" w:sz="2" w:space="0" w:color="auto"/>
            </w:tcBorders>
            <w:vAlign w:val="center"/>
          </w:tcPr>
          <w:p w14:paraId="1F1848A9" w14:textId="77777777" w:rsidR="007B3DB2" w:rsidRPr="0063248C" w:rsidRDefault="00000000">
            <w:pPr>
              <w:spacing w:line="240" w:lineRule="exact"/>
              <w:jc w:val="right"/>
              <w:rPr>
                <w:rFonts w:cs="宋体"/>
                <w:sz w:val="18"/>
                <w:szCs w:val="18"/>
              </w:rPr>
            </w:pPr>
            <w:r w:rsidRPr="0063248C">
              <w:rPr>
                <w:rFonts w:cs="宋体"/>
                <w:sz w:val="18"/>
                <w:szCs w:val="18"/>
              </w:rPr>
              <w:t>73.77%</w:t>
            </w:r>
          </w:p>
        </w:tc>
        <w:tc>
          <w:tcPr>
            <w:tcW w:w="2410" w:type="dxa"/>
            <w:tcBorders>
              <w:top w:val="single" w:sz="2" w:space="0" w:color="auto"/>
              <w:left w:val="single" w:sz="2" w:space="0" w:color="auto"/>
              <w:bottom w:val="single" w:sz="2" w:space="0" w:color="auto"/>
              <w:right w:val="single" w:sz="2" w:space="0" w:color="auto"/>
            </w:tcBorders>
            <w:vAlign w:val="center"/>
          </w:tcPr>
          <w:p w14:paraId="01A84BCC" w14:textId="77777777" w:rsidR="007B3DB2" w:rsidRPr="0063248C" w:rsidRDefault="00000000">
            <w:pPr>
              <w:spacing w:line="240" w:lineRule="exact"/>
              <w:jc w:val="right"/>
              <w:rPr>
                <w:rFonts w:cs="宋体"/>
                <w:sz w:val="18"/>
                <w:szCs w:val="18"/>
              </w:rPr>
            </w:pPr>
            <w:r w:rsidRPr="0063248C">
              <w:rPr>
                <w:rFonts w:cs="宋体"/>
                <w:sz w:val="18"/>
                <w:szCs w:val="18"/>
              </w:rPr>
              <w:t>-2.76%</w:t>
            </w:r>
          </w:p>
        </w:tc>
      </w:tr>
      <w:tr w:rsidR="007B3DB2" w:rsidRPr="0063248C" w14:paraId="219869D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708A6C2" w14:textId="77777777" w:rsidR="007B3DB2" w:rsidRPr="0063248C" w:rsidRDefault="00000000">
            <w:pPr>
              <w:spacing w:before="40" w:after="40" w:line="240" w:lineRule="exact"/>
              <w:rPr>
                <w:rFonts w:cs="宋体"/>
                <w:sz w:val="18"/>
                <w:szCs w:val="18"/>
              </w:rPr>
            </w:pPr>
            <w:r w:rsidRPr="0063248C">
              <w:rPr>
                <w:rFonts w:cs="宋体"/>
                <w:sz w:val="18"/>
                <w:szCs w:val="18"/>
              </w:rPr>
              <w:t>速动比率</w:t>
            </w:r>
          </w:p>
        </w:tc>
        <w:tc>
          <w:tcPr>
            <w:tcW w:w="2410" w:type="dxa"/>
            <w:tcBorders>
              <w:top w:val="single" w:sz="2" w:space="0" w:color="auto"/>
              <w:left w:val="single" w:sz="2" w:space="0" w:color="auto"/>
              <w:bottom w:val="single" w:sz="2" w:space="0" w:color="auto"/>
              <w:right w:val="single" w:sz="2" w:space="0" w:color="auto"/>
            </w:tcBorders>
            <w:vAlign w:val="center"/>
          </w:tcPr>
          <w:p w14:paraId="51F257B9" w14:textId="77777777" w:rsidR="007B3DB2" w:rsidRPr="0063248C" w:rsidRDefault="00000000">
            <w:pPr>
              <w:spacing w:line="240" w:lineRule="exact"/>
              <w:jc w:val="right"/>
              <w:rPr>
                <w:rFonts w:cs="宋体"/>
                <w:sz w:val="18"/>
                <w:szCs w:val="18"/>
              </w:rPr>
            </w:pPr>
            <w:r w:rsidRPr="0063248C">
              <w:rPr>
                <w:rFonts w:cs="宋体"/>
                <w:sz w:val="18"/>
                <w:szCs w:val="18"/>
              </w:rPr>
              <w:t>49.35</w:t>
            </w:r>
          </w:p>
        </w:tc>
        <w:tc>
          <w:tcPr>
            <w:tcW w:w="2410" w:type="dxa"/>
            <w:tcBorders>
              <w:top w:val="single" w:sz="2" w:space="0" w:color="auto"/>
              <w:left w:val="single" w:sz="2" w:space="0" w:color="auto"/>
              <w:bottom w:val="single" w:sz="2" w:space="0" w:color="auto"/>
              <w:right w:val="single" w:sz="2" w:space="0" w:color="auto"/>
            </w:tcBorders>
            <w:vAlign w:val="center"/>
          </w:tcPr>
          <w:p w14:paraId="591C444C" w14:textId="77777777" w:rsidR="007B3DB2" w:rsidRPr="0063248C" w:rsidRDefault="00000000">
            <w:pPr>
              <w:spacing w:line="240" w:lineRule="exact"/>
              <w:jc w:val="right"/>
              <w:rPr>
                <w:rFonts w:cs="宋体"/>
                <w:sz w:val="18"/>
                <w:szCs w:val="18"/>
              </w:rPr>
            </w:pPr>
            <w:r w:rsidRPr="0063248C">
              <w:rPr>
                <w:rFonts w:cs="宋体"/>
                <w:sz w:val="18"/>
                <w:szCs w:val="18"/>
              </w:rPr>
              <w:t>56.36</w:t>
            </w:r>
          </w:p>
        </w:tc>
        <w:tc>
          <w:tcPr>
            <w:tcW w:w="2410" w:type="dxa"/>
            <w:tcBorders>
              <w:top w:val="single" w:sz="2" w:space="0" w:color="auto"/>
              <w:left w:val="single" w:sz="2" w:space="0" w:color="auto"/>
              <w:bottom w:val="single" w:sz="2" w:space="0" w:color="auto"/>
              <w:right w:val="single" w:sz="2" w:space="0" w:color="auto"/>
            </w:tcBorders>
            <w:vAlign w:val="center"/>
          </w:tcPr>
          <w:p w14:paraId="2C750D9F" w14:textId="77777777" w:rsidR="007B3DB2" w:rsidRPr="0063248C" w:rsidRDefault="00000000">
            <w:pPr>
              <w:spacing w:line="240" w:lineRule="exact"/>
              <w:jc w:val="right"/>
              <w:rPr>
                <w:rFonts w:cs="宋体"/>
                <w:sz w:val="18"/>
                <w:szCs w:val="18"/>
              </w:rPr>
            </w:pPr>
            <w:r w:rsidRPr="0063248C">
              <w:rPr>
                <w:rFonts w:cs="宋体"/>
                <w:sz w:val="18"/>
                <w:szCs w:val="18"/>
              </w:rPr>
              <w:t>-12.44%</w:t>
            </w:r>
          </w:p>
        </w:tc>
      </w:tr>
      <w:tr w:rsidR="007B3DB2" w:rsidRPr="0063248C" w14:paraId="62A5468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F208E0E"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EF69716"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50F0553" w14:textId="77777777" w:rsidR="007B3DB2" w:rsidRPr="0063248C" w:rsidRDefault="00000000">
            <w:pPr>
              <w:spacing w:before="40" w:after="40" w:line="240" w:lineRule="exact"/>
              <w:jc w:val="center"/>
              <w:rPr>
                <w:rFonts w:cs="宋体"/>
                <w:sz w:val="18"/>
                <w:szCs w:val="18"/>
              </w:rPr>
            </w:pPr>
            <w:r w:rsidRPr="0063248C">
              <w:rPr>
                <w:rFonts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C4C354B"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本报告期比上年同期增减</w:t>
            </w:r>
          </w:p>
        </w:tc>
      </w:tr>
      <w:tr w:rsidR="007B3DB2" w:rsidRPr="0063248C" w14:paraId="52DFEB2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99073EC" w14:textId="77777777" w:rsidR="007B3DB2" w:rsidRPr="0063248C" w:rsidRDefault="00000000">
            <w:pPr>
              <w:spacing w:before="40" w:after="40" w:line="240" w:lineRule="exact"/>
              <w:rPr>
                <w:rFonts w:cs="宋体"/>
                <w:sz w:val="18"/>
                <w:szCs w:val="18"/>
              </w:rPr>
            </w:pPr>
            <w:r w:rsidRPr="0063248C">
              <w:rPr>
                <w:rFonts w:cs="宋体"/>
                <w:sz w:val="18"/>
                <w:szCs w:val="18"/>
              </w:rPr>
              <w:t>扣除非经常性损益后净利润</w:t>
            </w:r>
          </w:p>
        </w:tc>
        <w:tc>
          <w:tcPr>
            <w:tcW w:w="2410" w:type="dxa"/>
            <w:tcBorders>
              <w:top w:val="single" w:sz="2" w:space="0" w:color="auto"/>
              <w:left w:val="single" w:sz="2" w:space="0" w:color="auto"/>
              <w:bottom w:val="single" w:sz="2" w:space="0" w:color="auto"/>
              <w:right w:val="single" w:sz="2" w:space="0" w:color="auto"/>
            </w:tcBorders>
            <w:vAlign w:val="center"/>
          </w:tcPr>
          <w:p w14:paraId="35BC29BC" w14:textId="77777777" w:rsidR="007B3DB2" w:rsidRPr="0063248C" w:rsidRDefault="00000000">
            <w:pPr>
              <w:spacing w:line="240" w:lineRule="exact"/>
              <w:jc w:val="right"/>
              <w:rPr>
                <w:rFonts w:cs="宋体"/>
                <w:sz w:val="18"/>
                <w:szCs w:val="18"/>
              </w:rPr>
            </w:pPr>
            <w:r w:rsidRPr="0063248C">
              <w:rPr>
                <w:rFonts w:cs="宋体"/>
                <w:sz w:val="18"/>
                <w:szCs w:val="18"/>
              </w:rPr>
              <w:t>5,579.46</w:t>
            </w:r>
          </w:p>
        </w:tc>
        <w:tc>
          <w:tcPr>
            <w:tcW w:w="2410" w:type="dxa"/>
            <w:tcBorders>
              <w:top w:val="single" w:sz="2" w:space="0" w:color="auto"/>
              <w:left w:val="single" w:sz="2" w:space="0" w:color="auto"/>
              <w:bottom w:val="single" w:sz="2" w:space="0" w:color="auto"/>
              <w:right w:val="single" w:sz="2" w:space="0" w:color="auto"/>
            </w:tcBorders>
            <w:vAlign w:val="center"/>
          </w:tcPr>
          <w:p w14:paraId="0E99D4A9" w14:textId="77777777" w:rsidR="007B3DB2" w:rsidRPr="0063248C" w:rsidRDefault="00000000">
            <w:pPr>
              <w:spacing w:line="240" w:lineRule="exact"/>
              <w:jc w:val="right"/>
              <w:rPr>
                <w:rFonts w:cs="宋体"/>
                <w:sz w:val="18"/>
                <w:szCs w:val="18"/>
              </w:rPr>
            </w:pPr>
            <w:r w:rsidRPr="0063248C">
              <w:rPr>
                <w:rFonts w:cs="宋体"/>
                <w:sz w:val="18"/>
                <w:szCs w:val="18"/>
              </w:rPr>
              <w:t>-46,408.77</w:t>
            </w:r>
          </w:p>
        </w:tc>
        <w:tc>
          <w:tcPr>
            <w:tcW w:w="2410" w:type="dxa"/>
            <w:tcBorders>
              <w:top w:val="single" w:sz="2" w:space="0" w:color="auto"/>
              <w:left w:val="single" w:sz="2" w:space="0" w:color="auto"/>
              <w:bottom w:val="single" w:sz="2" w:space="0" w:color="auto"/>
              <w:right w:val="single" w:sz="2" w:space="0" w:color="auto"/>
            </w:tcBorders>
            <w:vAlign w:val="center"/>
          </w:tcPr>
          <w:p w14:paraId="3E80162F" w14:textId="77777777" w:rsidR="007B3DB2" w:rsidRPr="0063248C" w:rsidRDefault="00000000">
            <w:pPr>
              <w:spacing w:line="240" w:lineRule="exact"/>
              <w:jc w:val="right"/>
              <w:rPr>
                <w:rFonts w:cs="宋体"/>
                <w:sz w:val="18"/>
                <w:szCs w:val="18"/>
              </w:rPr>
            </w:pPr>
            <w:r w:rsidRPr="0063248C">
              <w:rPr>
                <w:rFonts w:cs="宋体"/>
                <w:sz w:val="18"/>
                <w:szCs w:val="18"/>
              </w:rPr>
              <w:t>112.02%</w:t>
            </w:r>
          </w:p>
        </w:tc>
      </w:tr>
      <w:tr w:rsidR="007B3DB2" w:rsidRPr="0063248C" w14:paraId="308AE91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4D2E73" w14:textId="77777777" w:rsidR="007B3DB2" w:rsidRPr="0063248C" w:rsidRDefault="00000000">
            <w:pPr>
              <w:spacing w:before="40" w:after="40" w:line="240" w:lineRule="exact"/>
              <w:rPr>
                <w:rFonts w:cs="宋体"/>
                <w:sz w:val="18"/>
                <w:szCs w:val="18"/>
              </w:rPr>
            </w:pPr>
            <w:r w:rsidRPr="0063248C">
              <w:rPr>
                <w:rFonts w:cs="宋体"/>
                <w:sz w:val="18"/>
                <w:szCs w:val="18"/>
              </w:rPr>
              <w:t>EBITDA</w:t>
            </w:r>
            <w:r w:rsidRPr="0063248C">
              <w:rPr>
                <w:rFonts w:cs="宋体"/>
                <w:sz w:val="18"/>
                <w:szCs w:val="18"/>
              </w:rPr>
              <w:t>全部债务比</w:t>
            </w:r>
          </w:p>
        </w:tc>
        <w:tc>
          <w:tcPr>
            <w:tcW w:w="2410" w:type="dxa"/>
            <w:tcBorders>
              <w:top w:val="single" w:sz="2" w:space="0" w:color="auto"/>
              <w:left w:val="single" w:sz="2" w:space="0" w:color="auto"/>
              <w:bottom w:val="single" w:sz="2" w:space="0" w:color="auto"/>
              <w:right w:val="single" w:sz="2" w:space="0" w:color="auto"/>
            </w:tcBorders>
            <w:vAlign w:val="center"/>
          </w:tcPr>
          <w:p w14:paraId="72FBF892" w14:textId="77777777" w:rsidR="007B3DB2" w:rsidRPr="0063248C" w:rsidRDefault="00000000">
            <w:pPr>
              <w:spacing w:line="240" w:lineRule="exact"/>
              <w:jc w:val="right"/>
              <w:rPr>
                <w:rFonts w:cs="宋体"/>
                <w:sz w:val="18"/>
                <w:szCs w:val="18"/>
              </w:rPr>
            </w:pPr>
            <w:r w:rsidRPr="0063248C">
              <w:rPr>
                <w:rFonts w:cs="宋体"/>
                <w:sz w:val="18"/>
                <w:szCs w:val="18"/>
              </w:rPr>
              <w:t>4.33%</w:t>
            </w:r>
          </w:p>
        </w:tc>
        <w:tc>
          <w:tcPr>
            <w:tcW w:w="2410" w:type="dxa"/>
            <w:tcBorders>
              <w:top w:val="single" w:sz="2" w:space="0" w:color="auto"/>
              <w:left w:val="single" w:sz="2" w:space="0" w:color="auto"/>
              <w:bottom w:val="single" w:sz="2" w:space="0" w:color="auto"/>
              <w:right w:val="single" w:sz="2" w:space="0" w:color="auto"/>
            </w:tcBorders>
            <w:vAlign w:val="center"/>
          </w:tcPr>
          <w:p w14:paraId="477BF08D" w14:textId="77777777" w:rsidR="007B3DB2" w:rsidRPr="0063248C" w:rsidRDefault="00000000">
            <w:pPr>
              <w:spacing w:line="240" w:lineRule="exact"/>
              <w:jc w:val="right"/>
              <w:rPr>
                <w:rFonts w:cs="宋体"/>
                <w:sz w:val="18"/>
                <w:szCs w:val="18"/>
              </w:rPr>
            </w:pPr>
            <w:r w:rsidRPr="0063248C">
              <w:rPr>
                <w:rFonts w:cs="宋体"/>
                <w:sz w:val="18"/>
                <w:szCs w:val="18"/>
              </w:rPr>
              <w:t>-14.17%</w:t>
            </w:r>
          </w:p>
        </w:tc>
        <w:tc>
          <w:tcPr>
            <w:tcW w:w="2410" w:type="dxa"/>
            <w:tcBorders>
              <w:top w:val="single" w:sz="2" w:space="0" w:color="auto"/>
              <w:left w:val="single" w:sz="2" w:space="0" w:color="auto"/>
              <w:bottom w:val="single" w:sz="2" w:space="0" w:color="auto"/>
              <w:right w:val="single" w:sz="2" w:space="0" w:color="auto"/>
            </w:tcBorders>
            <w:vAlign w:val="center"/>
          </w:tcPr>
          <w:p w14:paraId="78C82045" w14:textId="77777777" w:rsidR="007B3DB2" w:rsidRPr="0063248C" w:rsidRDefault="00000000">
            <w:pPr>
              <w:spacing w:line="240" w:lineRule="exact"/>
              <w:jc w:val="right"/>
              <w:rPr>
                <w:rFonts w:cs="宋体"/>
                <w:sz w:val="18"/>
                <w:szCs w:val="18"/>
              </w:rPr>
            </w:pPr>
            <w:r w:rsidRPr="0063248C">
              <w:rPr>
                <w:rFonts w:cs="宋体"/>
                <w:sz w:val="18"/>
                <w:szCs w:val="18"/>
              </w:rPr>
              <w:t>18.50%</w:t>
            </w:r>
          </w:p>
        </w:tc>
      </w:tr>
      <w:tr w:rsidR="007B3DB2" w:rsidRPr="0063248C" w14:paraId="0B44B52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C1D9C54" w14:textId="77777777" w:rsidR="007B3DB2" w:rsidRPr="0063248C" w:rsidRDefault="00000000">
            <w:pPr>
              <w:spacing w:before="40" w:after="40" w:line="240" w:lineRule="exact"/>
              <w:rPr>
                <w:rFonts w:cs="宋体"/>
                <w:sz w:val="18"/>
                <w:szCs w:val="18"/>
              </w:rPr>
            </w:pPr>
            <w:r w:rsidRPr="0063248C">
              <w:rPr>
                <w:rFonts w:cs="宋体"/>
                <w:sz w:val="18"/>
                <w:szCs w:val="18"/>
              </w:rPr>
              <w:t>利息保障倍数</w:t>
            </w:r>
          </w:p>
        </w:tc>
        <w:tc>
          <w:tcPr>
            <w:tcW w:w="2410" w:type="dxa"/>
            <w:tcBorders>
              <w:top w:val="single" w:sz="2" w:space="0" w:color="auto"/>
              <w:left w:val="single" w:sz="2" w:space="0" w:color="auto"/>
              <w:bottom w:val="single" w:sz="2" w:space="0" w:color="auto"/>
              <w:right w:val="single" w:sz="2" w:space="0" w:color="auto"/>
            </w:tcBorders>
            <w:vAlign w:val="center"/>
          </w:tcPr>
          <w:p w14:paraId="77033574" w14:textId="77777777" w:rsidR="007B3DB2" w:rsidRPr="0063248C" w:rsidRDefault="00000000">
            <w:pPr>
              <w:spacing w:line="240" w:lineRule="exact"/>
              <w:jc w:val="right"/>
              <w:rPr>
                <w:rFonts w:cs="宋体"/>
                <w:sz w:val="18"/>
                <w:szCs w:val="18"/>
              </w:rPr>
            </w:pPr>
            <w:r w:rsidRPr="0063248C">
              <w:rPr>
                <w:rFonts w:cs="宋体"/>
                <w:sz w:val="18"/>
                <w:szCs w:val="18"/>
              </w:rPr>
              <w:t>0.91</w:t>
            </w:r>
          </w:p>
        </w:tc>
        <w:tc>
          <w:tcPr>
            <w:tcW w:w="2410" w:type="dxa"/>
            <w:tcBorders>
              <w:top w:val="single" w:sz="2" w:space="0" w:color="auto"/>
              <w:left w:val="single" w:sz="2" w:space="0" w:color="auto"/>
              <w:bottom w:val="single" w:sz="2" w:space="0" w:color="auto"/>
              <w:right w:val="single" w:sz="2" w:space="0" w:color="auto"/>
            </w:tcBorders>
            <w:vAlign w:val="center"/>
          </w:tcPr>
          <w:p w14:paraId="51269568" w14:textId="77777777" w:rsidR="007B3DB2" w:rsidRPr="0063248C" w:rsidRDefault="00000000">
            <w:pPr>
              <w:spacing w:line="240" w:lineRule="exact"/>
              <w:jc w:val="right"/>
              <w:rPr>
                <w:rFonts w:cs="宋体"/>
                <w:sz w:val="18"/>
                <w:szCs w:val="18"/>
              </w:rPr>
            </w:pPr>
            <w:r w:rsidRPr="0063248C">
              <w:rPr>
                <w:rFonts w:cs="宋体"/>
                <w:sz w:val="18"/>
                <w:szCs w:val="18"/>
              </w:rPr>
              <w:t>-8.84</w:t>
            </w:r>
          </w:p>
        </w:tc>
        <w:tc>
          <w:tcPr>
            <w:tcW w:w="2410" w:type="dxa"/>
            <w:tcBorders>
              <w:top w:val="single" w:sz="2" w:space="0" w:color="auto"/>
              <w:left w:val="single" w:sz="2" w:space="0" w:color="auto"/>
              <w:bottom w:val="single" w:sz="2" w:space="0" w:color="auto"/>
              <w:right w:val="single" w:sz="2" w:space="0" w:color="auto"/>
            </w:tcBorders>
            <w:vAlign w:val="center"/>
          </w:tcPr>
          <w:p w14:paraId="503E90C5" w14:textId="77777777" w:rsidR="007B3DB2" w:rsidRPr="0063248C" w:rsidRDefault="00000000">
            <w:pPr>
              <w:spacing w:line="240" w:lineRule="exact"/>
              <w:jc w:val="right"/>
              <w:rPr>
                <w:rFonts w:cs="宋体"/>
                <w:sz w:val="18"/>
                <w:szCs w:val="18"/>
              </w:rPr>
            </w:pPr>
            <w:r w:rsidRPr="0063248C">
              <w:rPr>
                <w:rFonts w:cs="宋体"/>
                <w:sz w:val="18"/>
                <w:szCs w:val="18"/>
              </w:rPr>
              <w:t>110.29%</w:t>
            </w:r>
          </w:p>
        </w:tc>
      </w:tr>
      <w:tr w:rsidR="007B3DB2" w:rsidRPr="0063248C" w14:paraId="2437B7F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5E7507E" w14:textId="77777777" w:rsidR="007B3DB2" w:rsidRPr="0063248C" w:rsidRDefault="00000000">
            <w:pPr>
              <w:spacing w:before="40" w:after="40" w:line="240" w:lineRule="exact"/>
              <w:rPr>
                <w:rFonts w:cs="宋体"/>
                <w:sz w:val="18"/>
                <w:szCs w:val="18"/>
              </w:rPr>
            </w:pPr>
            <w:r w:rsidRPr="0063248C">
              <w:rPr>
                <w:rFonts w:cs="宋体"/>
                <w:sz w:val="18"/>
                <w:szCs w:val="18"/>
              </w:rPr>
              <w:t>现金利息保障倍数</w:t>
            </w:r>
          </w:p>
        </w:tc>
        <w:tc>
          <w:tcPr>
            <w:tcW w:w="2410" w:type="dxa"/>
            <w:tcBorders>
              <w:top w:val="single" w:sz="2" w:space="0" w:color="auto"/>
              <w:left w:val="single" w:sz="2" w:space="0" w:color="auto"/>
              <w:bottom w:val="single" w:sz="2" w:space="0" w:color="auto"/>
              <w:right w:val="single" w:sz="2" w:space="0" w:color="auto"/>
            </w:tcBorders>
            <w:vAlign w:val="center"/>
          </w:tcPr>
          <w:p w14:paraId="7607E71C" w14:textId="77777777" w:rsidR="007B3DB2" w:rsidRPr="0063248C" w:rsidRDefault="00000000">
            <w:pPr>
              <w:spacing w:line="240" w:lineRule="exact"/>
              <w:jc w:val="right"/>
              <w:rPr>
                <w:rFonts w:cs="宋体"/>
                <w:sz w:val="18"/>
                <w:szCs w:val="18"/>
              </w:rPr>
            </w:pPr>
            <w:r w:rsidRPr="0063248C">
              <w:rPr>
                <w:rFonts w:cs="宋体"/>
                <w:sz w:val="18"/>
                <w:szCs w:val="18"/>
              </w:rPr>
              <w:t>1.91</w:t>
            </w:r>
          </w:p>
        </w:tc>
        <w:tc>
          <w:tcPr>
            <w:tcW w:w="2410" w:type="dxa"/>
            <w:tcBorders>
              <w:top w:val="single" w:sz="2" w:space="0" w:color="auto"/>
              <w:left w:val="single" w:sz="2" w:space="0" w:color="auto"/>
              <w:bottom w:val="single" w:sz="2" w:space="0" w:color="auto"/>
              <w:right w:val="single" w:sz="2" w:space="0" w:color="auto"/>
            </w:tcBorders>
            <w:vAlign w:val="center"/>
          </w:tcPr>
          <w:p w14:paraId="283A083F" w14:textId="77777777" w:rsidR="007B3DB2" w:rsidRPr="0063248C" w:rsidRDefault="00000000">
            <w:pPr>
              <w:spacing w:line="240" w:lineRule="exact"/>
              <w:jc w:val="right"/>
              <w:rPr>
                <w:rFonts w:cs="宋体"/>
                <w:sz w:val="18"/>
                <w:szCs w:val="18"/>
              </w:rPr>
            </w:pPr>
            <w:r w:rsidRPr="0063248C">
              <w:rPr>
                <w:rFonts w:cs="宋体"/>
                <w:sz w:val="18"/>
                <w:szCs w:val="18"/>
              </w:rPr>
              <w:t>-6.46</w:t>
            </w:r>
          </w:p>
        </w:tc>
        <w:tc>
          <w:tcPr>
            <w:tcW w:w="2410" w:type="dxa"/>
            <w:tcBorders>
              <w:top w:val="single" w:sz="2" w:space="0" w:color="auto"/>
              <w:left w:val="single" w:sz="2" w:space="0" w:color="auto"/>
              <w:bottom w:val="single" w:sz="2" w:space="0" w:color="auto"/>
              <w:right w:val="single" w:sz="2" w:space="0" w:color="auto"/>
            </w:tcBorders>
            <w:vAlign w:val="center"/>
          </w:tcPr>
          <w:p w14:paraId="555B2217" w14:textId="77777777" w:rsidR="007B3DB2" w:rsidRPr="0063248C" w:rsidRDefault="00000000">
            <w:pPr>
              <w:spacing w:line="240" w:lineRule="exact"/>
              <w:jc w:val="right"/>
              <w:rPr>
                <w:rFonts w:cs="宋体"/>
                <w:sz w:val="18"/>
                <w:szCs w:val="18"/>
              </w:rPr>
            </w:pPr>
            <w:r w:rsidRPr="0063248C">
              <w:rPr>
                <w:rFonts w:cs="宋体"/>
                <w:sz w:val="18"/>
                <w:szCs w:val="18"/>
              </w:rPr>
              <w:t>129.57%</w:t>
            </w:r>
          </w:p>
        </w:tc>
      </w:tr>
      <w:tr w:rsidR="007B3DB2" w:rsidRPr="0063248C" w14:paraId="719859F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898DF30" w14:textId="77777777" w:rsidR="007B3DB2" w:rsidRPr="0063248C" w:rsidRDefault="00000000">
            <w:pPr>
              <w:spacing w:before="40" w:after="40" w:line="240" w:lineRule="exact"/>
              <w:rPr>
                <w:rFonts w:cs="宋体"/>
                <w:sz w:val="18"/>
                <w:szCs w:val="18"/>
              </w:rPr>
            </w:pPr>
            <w:r w:rsidRPr="0063248C">
              <w:rPr>
                <w:rFonts w:cs="宋体"/>
                <w:sz w:val="18"/>
                <w:szCs w:val="18"/>
              </w:rPr>
              <w:t>EBITDA</w:t>
            </w:r>
            <w:r w:rsidRPr="0063248C">
              <w:rPr>
                <w:rFonts w:cs="宋体"/>
                <w:sz w:val="18"/>
                <w:szCs w:val="18"/>
              </w:rPr>
              <w:t>利息保障倍数</w:t>
            </w:r>
          </w:p>
        </w:tc>
        <w:tc>
          <w:tcPr>
            <w:tcW w:w="2410" w:type="dxa"/>
            <w:tcBorders>
              <w:top w:val="single" w:sz="2" w:space="0" w:color="auto"/>
              <w:left w:val="single" w:sz="2" w:space="0" w:color="auto"/>
              <w:bottom w:val="single" w:sz="2" w:space="0" w:color="auto"/>
              <w:right w:val="single" w:sz="2" w:space="0" w:color="auto"/>
            </w:tcBorders>
            <w:vAlign w:val="center"/>
          </w:tcPr>
          <w:p w14:paraId="6BB6FC37" w14:textId="77777777" w:rsidR="007B3DB2" w:rsidRPr="0063248C" w:rsidRDefault="00000000">
            <w:pPr>
              <w:spacing w:line="240" w:lineRule="exact"/>
              <w:jc w:val="right"/>
              <w:rPr>
                <w:rFonts w:cs="宋体"/>
                <w:sz w:val="18"/>
                <w:szCs w:val="18"/>
              </w:rPr>
            </w:pPr>
            <w:r w:rsidRPr="0063248C">
              <w:rPr>
                <w:rFonts w:cs="宋体"/>
                <w:sz w:val="18"/>
                <w:szCs w:val="18"/>
              </w:rPr>
              <w:t>1.15</w:t>
            </w:r>
          </w:p>
        </w:tc>
        <w:tc>
          <w:tcPr>
            <w:tcW w:w="2410" w:type="dxa"/>
            <w:tcBorders>
              <w:top w:val="single" w:sz="2" w:space="0" w:color="auto"/>
              <w:left w:val="single" w:sz="2" w:space="0" w:color="auto"/>
              <w:bottom w:val="single" w:sz="2" w:space="0" w:color="auto"/>
              <w:right w:val="single" w:sz="2" w:space="0" w:color="auto"/>
            </w:tcBorders>
            <w:vAlign w:val="center"/>
          </w:tcPr>
          <w:p w14:paraId="65F6CAA1" w14:textId="77777777" w:rsidR="007B3DB2" w:rsidRPr="0063248C" w:rsidRDefault="00000000">
            <w:pPr>
              <w:spacing w:line="240" w:lineRule="exact"/>
              <w:jc w:val="right"/>
              <w:rPr>
                <w:rFonts w:cs="宋体"/>
                <w:sz w:val="18"/>
                <w:szCs w:val="18"/>
              </w:rPr>
            </w:pPr>
            <w:r w:rsidRPr="0063248C">
              <w:rPr>
                <w:rFonts w:cs="宋体"/>
                <w:sz w:val="18"/>
                <w:szCs w:val="18"/>
              </w:rPr>
              <w:t>-7.05</w:t>
            </w:r>
          </w:p>
        </w:tc>
        <w:tc>
          <w:tcPr>
            <w:tcW w:w="2410" w:type="dxa"/>
            <w:tcBorders>
              <w:top w:val="single" w:sz="2" w:space="0" w:color="auto"/>
              <w:left w:val="single" w:sz="2" w:space="0" w:color="auto"/>
              <w:bottom w:val="single" w:sz="2" w:space="0" w:color="auto"/>
              <w:right w:val="single" w:sz="2" w:space="0" w:color="auto"/>
            </w:tcBorders>
            <w:vAlign w:val="center"/>
          </w:tcPr>
          <w:p w14:paraId="47C87E0B" w14:textId="77777777" w:rsidR="007B3DB2" w:rsidRPr="0063248C" w:rsidRDefault="00000000">
            <w:pPr>
              <w:spacing w:line="240" w:lineRule="exact"/>
              <w:jc w:val="right"/>
              <w:rPr>
                <w:rFonts w:cs="宋体"/>
                <w:sz w:val="18"/>
                <w:szCs w:val="18"/>
              </w:rPr>
            </w:pPr>
            <w:r w:rsidRPr="0063248C">
              <w:rPr>
                <w:rFonts w:cs="宋体"/>
                <w:sz w:val="18"/>
                <w:szCs w:val="18"/>
              </w:rPr>
              <w:t>116.31%</w:t>
            </w:r>
          </w:p>
        </w:tc>
      </w:tr>
      <w:tr w:rsidR="007B3DB2" w:rsidRPr="0063248C" w14:paraId="2D18CC0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CC1319F" w14:textId="77777777" w:rsidR="007B3DB2" w:rsidRPr="0063248C" w:rsidRDefault="00000000">
            <w:pPr>
              <w:spacing w:before="40" w:after="40" w:line="240" w:lineRule="exact"/>
              <w:rPr>
                <w:rFonts w:cs="宋体"/>
                <w:sz w:val="18"/>
                <w:szCs w:val="18"/>
              </w:rPr>
            </w:pPr>
            <w:r w:rsidRPr="0063248C">
              <w:rPr>
                <w:rFonts w:cs="宋体"/>
                <w:sz w:val="18"/>
                <w:szCs w:val="18"/>
              </w:rPr>
              <w:t>贷款偿还率</w:t>
            </w:r>
          </w:p>
        </w:tc>
        <w:tc>
          <w:tcPr>
            <w:tcW w:w="2410" w:type="dxa"/>
            <w:tcBorders>
              <w:top w:val="single" w:sz="2" w:space="0" w:color="auto"/>
              <w:left w:val="single" w:sz="2" w:space="0" w:color="auto"/>
              <w:bottom w:val="single" w:sz="2" w:space="0" w:color="auto"/>
              <w:right w:val="single" w:sz="2" w:space="0" w:color="auto"/>
            </w:tcBorders>
            <w:vAlign w:val="center"/>
          </w:tcPr>
          <w:p w14:paraId="1A99A490"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134AEF46"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3CCA046E"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03D32AF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B58CB44" w14:textId="77777777" w:rsidR="007B3DB2" w:rsidRPr="0063248C" w:rsidRDefault="00000000">
            <w:pPr>
              <w:spacing w:before="40" w:after="40" w:line="240" w:lineRule="exact"/>
              <w:rPr>
                <w:rFonts w:cs="宋体"/>
                <w:sz w:val="18"/>
                <w:szCs w:val="18"/>
              </w:rPr>
            </w:pPr>
            <w:r w:rsidRPr="0063248C">
              <w:rPr>
                <w:rFonts w:cs="宋体"/>
                <w:sz w:val="18"/>
                <w:szCs w:val="18"/>
              </w:rPr>
              <w:t>利息偿付率</w:t>
            </w:r>
          </w:p>
        </w:tc>
        <w:tc>
          <w:tcPr>
            <w:tcW w:w="2410" w:type="dxa"/>
            <w:tcBorders>
              <w:top w:val="single" w:sz="2" w:space="0" w:color="auto"/>
              <w:left w:val="single" w:sz="2" w:space="0" w:color="auto"/>
              <w:bottom w:val="single" w:sz="2" w:space="0" w:color="auto"/>
              <w:right w:val="single" w:sz="2" w:space="0" w:color="auto"/>
            </w:tcBorders>
            <w:vAlign w:val="center"/>
          </w:tcPr>
          <w:p w14:paraId="087AC08E"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6839BAAF"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09BBC722" w14:textId="77777777" w:rsidR="007B3DB2" w:rsidRPr="0063248C" w:rsidRDefault="00000000">
            <w:pPr>
              <w:spacing w:line="240" w:lineRule="exact"/>
              <w:jc w:val="right"/>
              <w:rPr>
                <w:rFonts w:cs="宋体"/>
                <w:sz w:val="18"/>
                <w:szCs w:val="18"/>
              </w:rPr>
            </w:pPr>
            <w:r w:rsidRPr="0063248C">
              <w:rPr>
                <w:rFonts w:cs="宋体"/>
                <w:sz w:val="18"/>
                <w:szCs w:val="18"/>
              </w:rPr>
              <w:t>0.00%</w:t>
            </w:r>
          </w:p>
        </w:tc>
      </w:tr>
    </w:tbl>
    <w:p w14:paraId="5724D1E6" w14:textId="77777777" w:rsidR="007B3DB2" w:rsidRPr="0063248C" w:rsidRDefault="00000000">
      <w:r w:rsidRPr="0063248C">
        <w:br w:type="page"/>
      </w:r>
    </w:p>
    <w:p w14:paraId="3A9541EA" w14:textId="77777777" w:rsidR="007B3DB2" w:rsidRPr="0063248C" w:rsidRDefault="00000000">
      <w:pPr>
        <w:pStyle w:val="headingh1"/>
        <w:spacing w:before="340" w:after="330" w:line="773" w:lineRule="exact"/>
        <w:jc w:val="center"/>
        <w:rPr>
          <w:rFonts w:cs="宋体"/>
          <w:b/>
          <w:bCs/>
          <w:sz w:val="32"/>
          <w:szCs w:val="32"/>
        </w:rPr>
      </w:pPr>
      <w:bookmarkStart w:id="101" w:name="_Toc988990"/>
      <w:r w:rsidRPr="0063248C">
        <w:rPr>
          <w:rFonts w:cs="宋体"/>
          <w:b/>
          <w:bCs/>
          <w:sz w:val="32"/>
          <w:szCs w:val="32"/>
        </w:rPr>
        <w:lastRenderedPageBreak/>
        <w:t>第十节</w:t>
      </w:r>
      <w:r w:rsidRPr="0063248C">
        <w:rPr>
          <w:rFonts w:cs="宋体"/>
          <w:b/>
          <w:bCs/>
          <w:sz w:val="32"/>
          <w:szCs w:val="32"/>
        </w:rPr>
        <w:t xml:space="preserve"> </w:t>
      </w:r>
      <w:r w:rsidRPr="0063248C">
        <w:rPr>
          <w:rFonts w:cs="宋体"/>
          <w:b/>
          <w:bCs/>
          <w:sz w:val="32"/>
          <w:szCs w:val="32"/>
        </w:rPr>
        <w:t>财务报告</w:t>
      </w:r>
      <w:bookmarkEnd w:id="101"/>
    </w:p>
    <w:p w14:paraId="0B0E944A" w14:textId="77777777" w:rsidR="007B3DB2" w:rsidRPr="0063248C" w:rsidRDefault="00000000">
      <w:pPr>
        <w:pStyle w:val="2"/>
        <w:spacing w:before="300" w:after="300" w:line="320" w:lineRule="exact"/>
        <w:rPr>
          <w:rFonts w:cs="宋体"/>
          <w:b/>
          <w:bCs/>
          <w:sz w:val="24"/>
          <w:szCs w:val="24"/>
        </w:rPr>
      </w:pPr>
      <w:bookmarkStart w:id="102" w:name="_Toc988991"/>
      <w:r w:rsidRPr="0063248C">
        <w:rPr>
          <w:rFonts w:cs="宋体"/>
          <w:b/>
          <w:bCs/>
          <w:sz w:val="24"/>
          <w:szCs w:val="24"/>
        </w:rPr>
        <w:t>一、审计报告</w:t>
      </w:r>
      <w:bookmarkEnd w:id="102"/>
    </w:p>
    <w:p w14:paraId="495B8C09" w14:textId="77777777" w:rsidR="007B3DB2" w:rsidRPr="0063248C" w:rsidRDefault="00000000">
      <w:pPr>
        <w:spacing w:before="40" w:after="40" w:line="240" w:lineRule="exact"/>
        <w:rPr>
          <w:rFonts w:cs="宋体"/>
          <w:sz w:val="18"/>
          <w:szCs w:val="18"/>
        </w:rPr>
      </w:pPr>
      <w:r w:rsidRPr="0063248C">
        <w:rPr>
          <w:rFonts w:cs="宋体"/>
          <w:sz w:val="18"/>
          <w:szCs w:val="18"/>
        </w:rPr>
        <w:t>半年度报告是否经过审计</w:t>
      </w:r>
    </w:p>
    <w:p w14:paraId="5818151A"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是</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否</w:t>
      </w:r>
    </w:p>
    <w:p w14:paraId="2EEE6C80" w14:textId="77777777" w:rsidR="007B3DB2" w:rsidRPr="0063248C" w:rsidRDefault="00000000">
      <w:pPr>
        <w:spacing w:before="40" w:after="40" w:line="240" w:lineRule="exact"/>
        <w:rPr>
          <w:rFonts w:cs="宋体"/>
          <w:sz w:val="18"/>
          <w:szCs w:val="18"/>
        </w:rPr>
      </w:pPr>
      <w:r w:rsidRPr="0063248C">
        <w:rPr>
          <w:rFonts w:cs="宋体"/>
          <w:sz w:val="18"/>
          <w:szCs w:val="18"/>
        </w:rPr>
        <w:t>公司半年度财务报告未经审计。</w:t>
      </w:r>
    </w:p>
    <w:p w14:paraId="0BC52D1D" w14:textId="77777777" w:rsidR="007B3DB2" w:rsidRPr="0063248C" w:rsidRDefault="00000000">
      <w:pPr>
        <w:pStyle w:val="2"/>
        <w:spacing w:before="300" w:after="300" w:line="320" w:lineRule="exact"/>
        <w:rPr>
          <w:rFonts w:cs="宋体"/>
          <w:b/>
          <w:bCs/>
          <w:sz w:val="24"/>
          <w:szCs w:val="24"/>
        </w:rPr>
      </w:pPr>
      <w:bookmarkStart w:id="103" w:name="_Toc988992"/>
      <w:r w:rsidRPr="0063248C">
        <w:rPr>
          <w:rFonts w:cs="宋体"/>
          <w:b/>
          <w:bCs/>
          <w:sz w:val="24"/>
          <w:szCs w:val="24"/>
        </w:rPr>
        <w:t>二、财务报表</w:t>
      </w:r>
      <w:bookmarkEnd w:id="103"/>
    </w:p>
    <w:p w14:paraId="2660775F" w14:textId="77777777" w:rsidR="007B3DB2" w:rsidRPr="0063248C" w:rsidRDefault="00000000">
      <w:pPr>
        <w:spacing w:before="40" w:after="40" w:line="240" w:lineRule="exact"/>
        <w:rPr>
          <w:rFonts w:cs="宋体"/>
          <w:sz w:val="18"/>
          <w:szCs w:val="18"/>
        </w:rPr>
      </w:pPr>
      <w:r w:rsidRPr="0063248C">
        <w:rPr>
          <w:rFonts w:cs="宋体"/>
          <w:sz w:val="18"/>
          <w:szCs w:val="18"/>
        </w:rPr>
        <w:t>财务附注中报表的单位为：元</w:t>
      </w:r>
    </w:p>
    <w:p w14:paraId="5DD03613" w14:textId="77777777" w:rsidR="007B3DB2" w:rsidRPr="0063248C" w:rsidRDefault="00000000">
      <w:pPr>
        <w:pStyle w:val="3"/>
        <w:spacing w:line="280" w:lineRule="exact"/>
        <w:jc w:val="left"/>
        <w:rPr>
          <w:rFonts w:cs="宋体"/>
          <w:b/>
          <w:bCs/>
        </w:rPr>
      </w:pPr>
      <w:bookmarkStart w:id="104" w:name="_Toc988993"/>
      <w:r w:rsidRPr="0063248C">
        <w:rPr>
          <w:rFonts w:cs="宋体"/>
          <w:b/>
          <w:bCs/>
        </w:rPr>
        <w:t>1</w:t>
      </w:r>
      <w:r w:rsidRPr="0063248C">
        <w:rPr>
          <w:rFonts w:cs="宋体"/>
          <w:b/>
          <w:bCs/>
        </w:rPr>
        <w:t>、合并资产负债表</w:t>
      </w:r>
      <w:bookmarkEnd w:id="104"/>
    </w:p>
    <w:p w14:paraId="17B76A72" w14:textId="77777777" w:rsidR="007B3DB2" w:rsidRPr="0063248C" w:rsidRDefault="00000000">
      <w:pPr>
        <w:spacing w:line="240" w:lineRule="exact"/>
        <w:rPr>
          <w:rFonts w:cs="宋体"/>
          <w:sz w:val="18"/>
          <w:szCs w:val="18"/>
        </w:rPr>
      </w:pPr>
      <w:r w:rsidRPr="0063248C">
        <w:rPr>
          <w:rFonts w:cs="宋体"/>
          <w:sz w:val="18"/>
          <w:szCs w:val="18"/>
        </w:rPr>
        <w:t>编制单位：山东龙大美食股份有限公司</w:t>
      </w:r>
    </w:p>
    <w:p w14:paraId="727B4E55" w14:textId="77777777" w:rsidR="007B3DB2" w:rsidRPr="0063248C" w:rsidRDefault="00000000">
      <w:pPr>
        <w:spacing w:line="240" w:lineRule="exact"/>
        <w:jc w:val="center"/>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30</w:t>
      </w:r>
      <w:r w:rsidRPr="0063248C">
        <w:rPr>
          <w:rFonts w:cs="宋体"/>
          <w:sz w:val="18"/>
          <w:szCs w:val="18"/>
        </w:rPr>
        <w:t>日</w:t>
      </w:r>
    </w:p>
    <w:p w14:paraId="7F79188C"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201E29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AFB4DC"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BA3B7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87C1B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5C28C4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316FD2" w14:textId="77777777" w:rsidR="007B3DB2" w:rsidRPr="0063248C" w:rsidRDefault="00000000">
            <w:pPr>
              <w:spacing w:before="40" w:after="40" w:line="240" w:lineRule="exact"/>
              <w:rPr>
                <w:rFonts w:cs="宋体"/>
                <w:sz w:val="18"/>
                <w:szCs w:val="18"/>
              </w:rPr>
            </w:pPr>
            <w:r w:rsidRPr="0063248C">
              <w:rPr>
                <w:rFonts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9B97F1"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20CB6C" w14:textId="77777777" w:rsidR="007B3DB2" w:rsidRPr="0063248C" w:rsidRDefault="007B3DB2"/>
        </w:tc>
      </w:tr>
      <w:tr w:rsidR="007B3DB2" w:rsidRPr="0063248C" w14:paraId="3411DD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F5198F"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2FE254B3" w14:textId="77777777" w:rsidR="007B3DB2" w:rsidRPr="0063248C" w:rsidRDefault="00000000">
            <w:pPr>
              <w:spacing w:line="240" w:lineRule="exact"/>
              <w:jc w:val="right"/>
              <w:rPr>
                <w:rFonts w:cs="宋体"/>
                <w:sz w:val="18"/>
                <w:szCs w:val="18"/>
              </w:rPr>
            </w:pPr>
            <w:r w:rsidRPr="0063248C">
              <w:rPr>
                <w:rFonts w:cs="宋体"/>
                <w:sz w:val="18"/>
                <w:szCs w:val="18"/>
              </w:rPr>
              <w:t>1,014,256,136.20</w:t>
            </w:r>
          </w:p>
        </w:tc>
        <w:tc>
          <w:tcPr>
            <w:tcW w:w="3213" w:type="dxa"/>
            <w:tcBorders>
              <w:top w:val="single" w:sz="2" w:space="0" w:color="auto"/>
              <w:left w:val="single" w:sz="2" w:space="0" w:color="auto"/>
              <w:bottom w:val="single" w:sz="2" w:space="0" w:color="auto"/>
              <w:right w:val="single" w:sz="2" w:space="0" w:color="auto"/>
            </w:tcBorders>
            <w:vAlign w:val="center"/>
          </w:tcPr>
          <w:p w14:paraId="18D81106" w14:textId="77777777" w:rsidR="007B3DB2" w:rsidRPr="0063248C" w:rsidRDefault="00000000">
            <w:pPr>
              <w:spacing w:line="240" w:lineRule="exact"/>
              <w:jc w:val="right"/>
              <w:rPr>
                <w:rFonts w:cs="宋体"/>
                <w:sz w:val="18"/>
                <w:szCs w:val="18"/>
              </w:rPr>
            </w:pPr>
            <w:r w:rsidRPr="0063248C">
              <w:rPr>
                <w:rFonts w:cs="宋体"/>
                <w:sz w:val="18"/>
                <w:szCs w:val="18"/>
              </w:rPr>
              <w:t>1,392,572,096.51</w:t>
            </w:r>
          </w:p>
        </w:tc>
      </w:tr>
      <w:tr w:rsidR="007B3DB2" w:rsidRPr="0063248C" w14:paraId="048327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6305A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6DDC79C2"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37FA1E" w14:textId="77777777" w:rsidR="007B3DB2" w:rsidRPr="0063248C" w:rsidRDefault="007B3DB2">
            <w:pPr>
              <w:spacing w:line="240" w:lineRule="exact"/>
              <w:jc w:val="right"/>
              <w:rPr>
                <w:rFonts w:cs="宋体"/>
                <w:sz w:val="18"/>
                <w:szCs w:val="18"/>
              </w:rPr>
            </w:pPr>
          </w:p>
        </w:tc>
      </w:tr>
      <w:tr w:rsidR="007B3DB2" w:rsidRPr="0063248C" w14:paraId="601739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8CEC0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5747711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C9F05E" w14:textId="77777777" w:rsidR="007B3DB2" w:rsidRPr="0063248C" w:rsidRDefault="007B3DB2">
            <w:pPr>
              <w:spacing w:line="240" w:lineRule="exact"/>
              <w:jc w:val="right"/>
              <w:rPr>
                <w:rFonts w:cs="宋体"/>
                <w:sz w:val="18"/>
                <w:szCs w:val="18"/>
              </w:rPr>
            </w:pPr>
          </w:p>
        </w:tc>
      </w:tr>
      <w:tr w:rsidR="007B3DB2" w:rsidRPr="0063248C" w14:paraId="02A7AE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0FD22A"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7FE9DC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F7B355" w14:textId="77777777" w:rsidR="007B3DB2" w:rsidRPr="0063248C" w:rsidRDefault="007B3DB2">
            <w:pPr>
              <w:spacing w:line="240" w:lineRule="exact"/>
              <w:jc w:val="right"/>
              <w:rPr>
                <w:rFonts w:cs="宋体"/>
                <w:sz w:val="18"/>
                <w:szCs w:val="18"/>
              </w:rPr>
            </w:pPr>
          </w:p>
        </w:tc>
      </w:tr>
      <w:tr w:rsidR="007B3DB2" w:rsidRPr="0063248C" w14:paraId="3DAEAF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CFF13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564D066"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9BC3AD" w14:textId="77777777" w:rsidR="007B3DB2" w:rsidRPr="0063248C" w:rsidRDefault="007B3DB2">
            <w:pPr>
              <w:spacing w:line="240" w:lineRule="exact"/>
              <w:jc w:val="right"/>
              <w:rPr>
                <w:rFonts w:cs="宋体"/>
                <w:sz w:val="18"/>
                <w:szCs w:val="18"/>
              </w:rPr>
            </w:pPr>
          </w:p>
        </w:tc>
      </w:tr>
      <w:tr w:rsidR="007B3DB2" w:rsidRPr="0063248C" w14:paraId="16014A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9EBB2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717FCF7D" w14:textId="77777777" w:rsidR="007B3DB2" w:rsidRPr="0063248C" w:rsidRDefault="00000000">
            <w:pPr>
              <w:spacing w:line="240" w:lineRule="exact"/>
              <w:jc w:val="right"/>
              <w:rPr>
                <w:rFonts w:cs="宋体"/>
                <w:sz w:val="18"/>
                <w:szCs w:val="18"/>
              </w:rPr>
            </w:pPr>
            <w:r w:rsidRPr="0063248C">
              <w:rPr>
                <w:rFonts w:cs="宋体"/>
                <w:sz w:val="18"/>
                <w:szCs w:val="18"/>
              </w:rPr>
              <w:t>935,836.78</w:t>
            </w:r>
          </w:p>
        </w:tc>
        <w:tc>
          <w:tcPr>
            <w:tcW w:w="3213" w:type="dxa"/>
            <w:tcBorders>
              <w:top w:val="single" w:sz="2" w:space="0" w:color="auto"/>
              <w:left w:val="single" w:sz="2" w:space="0" w:color="auto"/>
              <w:bottom w:val="single" w:sz="2" w:space="0" w:color="auto"/>
              <w:right w:val="single" w:sz="2" w:space="0" w:color="auto"/>
            </w:tcBorders>
            <w:vAlign w:val="center"/>
          </w:tcPr>
          <w:p w14:paraId="4F47F14F" w14:textId="77777777" w:rsidR="007B3DB2" w:rsidRPr="0063248C" w:rsidRDefault="00000000">
            <w:pPr>
              <w:spacing w:line="240" w:lineRule="exact"/>
              <w:jc w:val="right"/>
              <w:rPr>
                <w:rFonts w:cs="宋体"/>
                <w:sz w:val="18"/>
                <w:szCs w:val="18"/>
              </w:rPr>
            </w:pPr>
            <w:r w:rsidRPr="0063248C">
              <w:rPr>
                <w:rFonts w:cs="宋体"/>
                <w:sz w:val="18"/>
                <w:szCs w:val="18"/>
              </w:rPr>
              <w:t>2,341,021.98</w:t>
            </w:r>
          </w:p>
        </w:tc>
      </w:tr>
      <w:tr w:rsidR="007B3DB2" w:rsidRPr="0063248C" w14:paraId="56E768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85931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01683DDC" w14:textId="77777777" w:rsidR="007B3DB2" w:rsidRPr="0063248C" w:rsidRDefault="00000000">
            <w:pPr>
              <w:spacing w:line="240" w:lineRule="exact"/>
              <w:jc w:val="right"/>
              <w:rPr>
                <w:rFonts w:cs="宋体"/>
                <w:sz w:val="18"/>
                <w:szCs w:val="18"/>
              </w:rPr>
            </w:pPr>
            <w:r w:rsidRPr="0063248C">
              <w:rPr>
                <w:rFonts w:cs="宋体"/>
                <w:sz w:val="18"/>
                <w:szCs w:val="18"/>
              </w:rPr>
              <w:t>340,974,348.34</w:t>
            </w:r>
          </w:p>
        </w:tc>
        <w:tc>
          <w:tcPr>
            <w:tcW w:w="3213" w:type="dxa"/>
            <w:tcBorders>
              <w:top w:val="single" w:sz="2" w:space="0" w:color="auto"/>
              <w:left w:val="single" w:sz="2" w:space="0" w:color="auto"/>
              <w:bottom w:val="single" w:sz="2" w:space="0" w:color="auto"/>
              <w:right w:val="single" w:sz="2" w:space="0" w:color="auto"/>
            </w:tcBorders>
            <w:vAlign w:val="center"/>
          </w:tcPr>
          <w:p w14:paraId="1719E15D" w14:textId="77777777" w:rsidR="007B3DB2" w:rsidRPr="0063248C" w:rsidRDefault="00000000">
            <w:pPr>
              <w:spacing w:line="240" w:lineRule="exact"/>
              <w:jc w:val="right"/>
              <w:rPr>
                <w:rFonts w:cs="宋体"/>
                <w:sz w:val="18"/>
                <w:szCs w:val="18"/>
              </w:rPr>
            </w:pPr>
            <w:r w:rsidRPr="0063248C">
              <w:rPr>
                <w:rFonts w:cs="宋体"/>
                <w:sz w:val="18"/>
                <w:szCs w:val="18"/>
              </w:rPr>
              <w:t>444,427,112.07</w:t>
            </w:r>
          </w:p>
        </w:tc>
      </w:tr>
      <w:tr w:rsidR="007B3DB2" w:rsidRPr="0063248C" w14:paraId="6BCE98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9B398D"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0BFB80C9"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885917" w14:textId="77777777" w:rsidR="007B3DB2" w:rsidRPr="0063248C" w:rsidRDefault="007B3DB2">
            <w:pPr>
              <w:spacing w:line="240" w:lineRule="exact"/>
              <w:jc w:val="right"/>
              <w:rPr>
                <w:rFonts w:cs="宋体"/>
                <w:sz w:val="18"/>
                <w:szCs w:val="18"/>
              </w:rPr>
            </w:pPr>
          </w:p>
        </w:tc>
      </w:tr>
      <w:tr w:rsidR="007B3DB2" w:rsidRPr="0063248C" w14:paraId="1CE7E2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BA7BF7"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6032A1FF" w14:textId="77777777" w:rsidR="007B3DB2" w:rsidRPr="0063248C" w:rsidRDefault="00000000">
            <w:pPr>
              <w:spacing w:line="240" w:lineRule="exact"/>
              <w:jc w:val="right"/>
              <w:rPr>
                <w:rFonts w:cs="宋体"/>
                <w:sz w:val="18"/>
                <w:szCs w:val="18"/>
              </w:rPr>
            </w:pPr>
            <w:r w:rsidRPr="0063248C">
              <w:rPr>
                <w:rFonts w:cs="宋体"/>
                <w:sz w:val="18"/>
                <w:szCs w:val="18"/>
              </w:rPr>
              <w:t>65,210,031.48</w:t>
            </w:r>
          </w:p>
        </w:tc>
        <w:tc>
          <w:tcPr>
            <w:tcW w:w="3213" w:type="dxa"/>
            <w:tcBorders>
              <w:top w:val="single" w:sz="2" w:space="0" w:color="auto"/>
              <w:left w:val="single" w:sz="2" w:space="0" w:color="auto"/>
              <w:bottom w:val="single" w:sz="2" w:space="0" w:color="auto"/>
              <w:right w:val="single" w:sz="2" w:space="0" w:color="auto"/>
            </w:tcBorders>
            <w:vAlign w:val="center"/>
          </w:tcPr>
          <w:p w14:paraId="117DA9CD" w14:textId="77777777" w:rsidR="007B3DB2" w:rsidRPr="0063248C" w:rsidRDefault="00000000">
            <w:pPr>
              <w:spacing w:line="240" w:lineRule="exact"/>
              <w:jc w:val="right"/>
              <w:rPr>
                <w:rFonts w:cs="宋体"/>
                <w:sz w:val="18"/>
                <w:szCs w:val="18"/>
              </w:rPr>
            </w:pPr>
            <w:r w:rsidRPr="0063248C">
              <w:rPr>
                <w:rFonts w:cs="宋体"/>
                <w:sz w:val="18"/>
                <w:szCs w:val="18"/>
              </w:rPr>
              <w:t>81,395,478.79</w:t>
            </w:r>
          </w:p>
        </w:tc>
      </w:tr>
      <w:tr w:rsidR="007B3DB2" w:rsidRPr="0063248C" w14:paraId="4C6851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DA0E5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7664BBA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7EE6C8" w14:textId="77777777" w:rsidR="007B3DB2" w:rsidRPr="0063248C" w:rsidRDefault="007B3DB2">
            <w:pPr>
              <w:spacing w:line="240" w:lineRule="exact"/>
              <w:jc w:val="right"/>
              <w:rPr>
                <w:rFonts w:cs="宋体"/>
                <w:sz w:val="18"/>
                <w:szCs w:val="18"/>
              </w:rPr>
            </w:pPr>
          </w:p>
        </w:tc>
      </w:tr>
      <w:tr w:rsidR="007B3DB2" w:rsidRPr="0063248C" w14:paraId="17579C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11936A"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12512D3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414DEF" w14:textId="77777777" w:rsidR="007B3DB2" w:rsidRPr="0063248C" w:rsidRDefault="007B3DB2">
            <w:pPr>
              <w:spacing w:line="240" w:lineRule="exact"/>
              <w:jc w:val="right"/>
              <w:rPr>
                <w:rFonts w:cs="宋体"/>
                <w:sz w:val="18"/>
                <w:szCs w:val="18"/>
              </w:rPr>
            </w:pPr>
          </w:p>
        </w:tc>
      </w:tr>
      <w:tr w:rsidR="007B3DB2" w:rsidRPr="0063248C" w14:paraId="2267E0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14CF1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145A0612"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A78A0C" w14:textId="77777777" w:rsidR="007B3DB2" w:rsidRPr="0063248C" w:rsidRDefault="007B3DB2">
            <w:pPr>
              <w:spacing w:line="240" w:lineRule="exact"/>
              <w:jc w:val="right"/>
              <w:rPr>
                <w:rFonts w:cs="宋体"/>
                <w:sz w:val="18"/>
                <w:szCs w:val="18"/>
              </w:rPr>
            </w:pPr>
          </w:p>
        </w:tc>
      </w:tr>
      <w:tr w:rsidR="007B3DB2" w:rsidRPr="0063248C" w14:paraId="36CA2A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15B48F"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09BC94B7" w14:textId="77777777" w:rsidR="007B3DB2" w:rsidRPr="0063248C" w:rsidRDefault="00000000">
            <w:pPr>
              <w:spacing w:line="240" w:lineRule="exact"/>
              <w:jc w:val="right"/>
              <w:rPr>
                <w:rFonts w:cs="宋体"/>
                <w:sz w:val="18"/>
                <w:szCs w:val="18"/>
              </w:rPr>
            </w:pPr>
            <w:r w:rsidRPr="0063248C">
              <w:rPr>
                <w:rFonts w:cs="宋体"/>
                <w:sz w:val="18"/>
                <w:szCs w:val="18"/>
              </w:rPr>
              <w:t>49,195,639.85</w:t>
            </w:r>
          </w:p>
        </w:tc>
        <w:tc>
          <w:tcPr>
            <w:tcW w:w="3213" w:type="dxa"/>
            <w:tcBorders>
              <w:top w:val="single" w:sz="2" w:space="0" w:color="auto"/>
              <w:left w:val="single" w:sz="2" w:space="0" w:color="auto"/>
              <w:bottom w:val="single" w:sz="2" w:space="0" w:color="auto"/>
              <w:right w:val="single" w:sz="2" w:space="0" w:color="auto"/>
            </w:tcBorders>
            <w:vAlign w:val="center"/>
          </w:tcPr>
          <w:p w14:paraId="22A1DDE4" w14:textId="77777777" w:rsidR="007B3DB2" w:rsidRPr="0063248C" w:rsidRDefault="00000000">
            <w:pPr>
              <w:spacing w:line="240" w:lineRule="exact"/>
              <w:jc w:val="right"/>
              <w:rPr>
                <w:rFonts w:cs="宋体"/>
                <w:sz w:val="18"/>
                <w:szCs w:val="18"/>
              </w:rPr>
            </w:pPr>
            <w:r w:rsidRPr="0063248C">
              <w:rPr>
                <w:rFonts w:cs="宋体"/>
                <w:sz w:val="18"/>
                <w:szCs w:val="18"/>
              </w:rPr>
              <w:t>44,828,566.76</w:t>
            </w:r>
          </w:p>
        </w:tc>
      </w:tr>
      <w:tr w:rsidR="007B3DB2" w:rsidRPr="0063248C" w14:paraId="0DCEBF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BFE819"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5137B6F6"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72D7D4" w14:textId="77777777" w:rsidR="007B3DB2" w:rsidRPr="0063248C" w:rsidRDefault="007B3DB2">
            <w:pPr>
              <w:spacing w:line="240" w:lineRule="exact"/>
              <w:jc w:val="right"/>
              <w:rPr>
                <w:rFonts w:cs="宋体"/>
                <w:sz w:val="18"/>
                <w:szCs w:val="18"/>
              </w:rPr>
            </w:pPr>
          </w:p>
        </w:tc>
      </w:tr>
      <w:tr w:rsidR="007B3DB2" w:rsidRPr="0063248C" w14:paraId="2E3F68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918EA9" w14:textId="77777777" w:rsidR="007B3DB2" w:rsidRPr="0063248C" w:rsidRDefault="00000000">
            <w:pPr>
              <w:spacing w:before="40" w:after="40" w:line="240" w:lineRule="exact"/>
              <w:ind w:firstLineChars="500" w:firstLine="900"/>
              <w:rPr>
                <w:rFonts w:cs="宋体"/>
                <w:sz w:val="18"/>
                <w:szCs w:val="18"/>
              </w:rPr>
            </w:pPr>
            <w:r w:rsidRPr="0063248C">
              <w:rPr>
                <w:rFonts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1E1AC4B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FA23E3" w14:textId="77777777" w:rsidR="007B3DB2" w:rsidRPr="0063248C" w:rsidRDefault="007B3DB2">
            <w:pPr>
              <w:spacing w:line="240" w:lineRule="exact"/>
              <w:jc w:val="right"/>
              <w:rPr>
                <w:rFonts w:cs="宋体"/>
                <w:sz w:val="18"/>
                <w:szCs w:val="18"/>
              </w:rPr>
            </w:pPr>
          </w:p>
        </w:tc>
      </w:tr>
      <w:tr w:rsidR="007B3DB2" w:rsidRPr="0063248C" w14:paraId="36DBDC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A42FD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2CBAA1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47FDAD" w14:textId="77777777" w:rsidR="007B3DB2" w:rsidRPr="0063248C" w:rsidRDefault="007B3DB2">
            <w:pPr>
              <w:spacing w:line="240" w:lineRule="exact"/>
              <w:jc w:val="right"/>
              <w:rPr>
                <w:rFonts w:cs="宋体"/>
                <w:sz w:val="18"/>
                <w:szCs w:val="18"/>
              </w:rPr>
            </w:pPr>
          </w:p>
        </w:tc>
      </w:tr>
      <w:tr w:rsidR="007B3DB2" w:rsidRPr="0063248C" w14:paraId="7FDE96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9B37D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7CBB00FC" w14:textId="77777777" w:rsidR="007B3DB2" w:rsidRPr="0063248C" w:rsidRDefault="00000000">
            <w:pPr>
              <w:spacing w:line="240" w:lineRule="exact"/>
              <w:jc w:val="right"/>
              <w:rPr>
                <w:rFonts w:cs="宋体"/>
                <w:sz w:val="18"/>
                <w:szCs w:val="18"/>
              </w:rPr>
            </w:pPr>
            <w:r w:rsidRPr="0063248C">
              <w:rPr>
                <w:rFonts w:cs="宋体"/>
                <w:sz w:val="18"/>
                <w:szCs w:val="18"/>
              </w:rPr>
              <w:t>1,116,048,932.67</w:t>
            </w:r>
          </w:p>
        </w:tc>
        <w:tc>
          <w:tcPr>
            <w:tcW w:w="3213" w:type="dxa"/>
            <w:tcBorders>
              <w:top w:val="single" w:sz="2" w:space="0" w:color="auto"/>
              <w:left w:val="single" w:sz="2" w:space="0" w:color="auto"/>
              <w:bottom w:val="single" w:sz="2" w:space="0" w:color="auto"/>
              <w:right w:val="single" w:sz="2" w:space="0" w:color="auto"/>
            </w:tcBorders>
            <w:vAlign w:val="center"/>
          </w:tcPr>
          <w:p w14:paraId="2D21AC5F" w14:textId="77777777" w:rsidR="007B3DB2" w:rsidRPr="0063248C" w:rsidRDefault="00000000">
            <w:pPr>
              <w:spacing w:line="240" w:lineRule="exact"/>
              <w:jc w:val="right"/>
              <w:rPr>
                <w:rFonts w:cs="宋体"/>
                <w:sz w:val="18"/>
                <w:szCs w:val="18"/>
              </w:rPr>
            </w:pPr>
            <w:r w:rsidRPr="0063248C">
              <w:rPr>
                <w:rFonts w:cs="宋体"/>
                <w:sz w:val="18"/>
                <w:szCs w:val="18"/>
              </w:rPr>
              <w:t>991,835,506.20</w:t>
            </w:r>
          </w:p>
        </w:tc>
      </w:tr>
      <w:tr w:rsidR="007B3DB2" w:rsidRPr="0063248C" w14:paraId="646B4E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4DD09C"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5948B92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F2F344" w14:textId="77777777" w:rsidR="007B3DB2" w:rsidRPr="0063248C" w:rsidRDefault="007B3DB2">
            <w:pPr>
              <w:spacing w:line="240" w:lineRule="exact"/>
              <w:jc w:val="right"/>
              <w:rPr>
                <w:rFonts w:cs="宋体"/>
                <w:sz w:val="18"/>
                <w:szCs w:val="18"/>
              </w:rPr>
            </w:pPr>
          </w:p>
        </w:tc>
      </w:tr>
      <w:tr w:rsidR="007B3DB2" w:rsidRPr="0063248C" w14:paraId="17BA1B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9FD91F"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26592B0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D501FD" w14:textId="77777777" w:rsidR="007B3DB2" w:rsidRPr="0063248C" w:rsidRDefault="007B3DB2">
            <w:pPr>
              <w:spacing w:line="240" w:lineRule="exact"/>
              <w:jc w:val="right"/>
              <w:rPr>
                <w:rFonts w:cs="宋体"/>
                <w:sz w:val="18"/>
                <w:szCs w:val="18"/>
              </w:rPr>
            </w:pPr>
          </w:p>
        </w:tc>
      </w:tr>
      <w:tr w:rsidR="007B3DB2" w:rsidRPr="0063248C" w14:paraId="6FF80A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B280F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300B67B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96B059" w14:textId="77777777" w:rsidR="007B3DB2" w:rsidRPr="0063248C" w:rsidRDefault="007B3DB2">
            <w:pPr>
              <w:spacing w:line="240" w:lineRule="exact"/>
              <w:jc w:val="right"/>
              <w:rPr>
                <w:rFonts w:cs="宋体"/>
                <w:sz w:val="18"/>
                <w:szCs w:val="18"/>
              </w:rPr>
            </w:pPr>
          </w:p>
        </w:tc>
      </w:tr>
      <w:tr w:rsidR="007B3DB2" w:rsidRPr="0063248C" w14:paraId="7DA0F0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A9EFA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275CAF91"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C820D9" w14:textId="77777777" w:rsidR="007B3DB2" w:rsidRPr="0063248C" w:rsidRDefault="007B3DB2">
            <w:pPr>
              <w:spacing w:line="240" w:lineRule="exact"/>
              <w:jc w:val="right"/>
              <w:rPr>
                <w:rFonts w:cs="宋体"/>
                <w:sz w:val="18"/>
                <w:szCs w:val="18"/>
              </w:rPr>
            </w:pPr>
          </w:p>
        </w:tc>
      </w:tr>
      <w:tr w:rsidR="007B3DB2" w:rsidRPr="0063248C" w14:paraId="3CD837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29373F"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22393F22" w14:textId="77777777" w:rsidR="007B3DB2" w:rsidRPr="0063248C" w:rsidRDefault="00000000">
            <w:pPr>
              <w:spacing w:line="240" w:lineRule="exact"/>
              <w:jc w:val="right"/>
              <w:rPr>
                <w:rFonts w:cs="宋体"/>
                <w:sz w:val="18"/>
                <w:szCs w:val="18"/>
              </w:rPr>
            </w:pPr>
            <w:r w:rsidRPr="0063248C">
              <w:rPr>
                <w:rFonts w:cs="宋体"/>
                <w:sz w:val="18"/>
                <w:szCs w:val="18"/>
              </w:rPr>
              <w:t>179,318.75</w:t>
            </w:r>
          </w:p>
        </w:tc>
        <w:tc>
          <w:tcPr>
            <w:tcW w:w="3213" w:type="dxa"/>
            <w:tcBorders>
              <w:top w:val="single" w:sz="2" w:space="0" w:color="auto"/>
              <w:left w:val="single" w:sz="2" w:space="0" w:color="auto"/>
              <w:bottom w:val="single" w:sz="2" w:space="0" w:color="auto"/>
              <w:right w:val="single" w:sz="2" w:space="0" w:color="auto"/>
            </w:tcBorders>
            <w:vAlign w:val="center"/>
          </w:tcPr>
          <w:p w14:paraId="0937CDA0" w14:textId="77777777" w:rsidR="007B3DB2" w:rsidRPr="0063248C" w:rsidRDefault="00000000">
            <w:pPr>
              <w:spacing w:line="240" w:lineRule="exact"/>
              <w:jc w:val="right"/>
              <w:rPr>
                <w:rFonts w:cs="宋体"/>
                <w:sz w:val="18"/>
                <w:szCs w:val="18"/>
              </w:rPr>
            </w:pPr>
            <w:r w:rsidRPr="0063248C">
              <w:rPr>
                <w:rFonts w:cs="宋体"/>
                <w:sz w:val="18"/>
                <w:szCs w:val="18"/>
              </w:rPr>
              <w:t>218,758.72</w:t>
            </w:r>
          </w:p>
        </w:tc>
      </w:tr>
      <w:tr w:rsidR="007B3DB2" w:rsidRPr="0063248C" w14:paraId="2E91E9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D75664" w14:textId="77777777" w:rsidR="007B3DB2" w:rsidRPr="0063248C" w:rsidRDefault="00000000">
            <w:pPr>
              <w:spacing w:before="40" w:after="40" w:line="240" w:lineRule="exact"/>
              <w:rPr>
                <w:rFonts w:cs="宋体"/>
                <w:sz w:val="18"/>
                <w:szCs w:val="18"/>
              </w:rPr>
            </w:pPr>
            <w:r w:rsidRPr="0063248C">
              <w:rPr>
                <w:rFonts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591A0914" w14:textId="77777777" w:rsidR="007B3DB2" w:rsidRPr="0063248C" w:rsidRDefault="00000000">
            <w:pPr>
              <w:spacing w:line="240" w:lineRule="exact"/>
              <w:jc w:val="right"/>
              <w:rPr>
                <w:rFonts w:cs="宋体"/>
                <w:sz w:val="18"/>
                <w:szCs w:val="18"/>
              </w:rPr>
            </w:pPr>
            <w:r w:rsidRPr="0063248C">
              <w:rPr>
                <w:rFonts w:cs="宋体"/>
                <w:sz w:val="18"/>
                <w:szCs w:val="18"/>
              </w:rPr>
              <w:t>2,586,800,244.07</w:t>
            </w:r>
          </w:p>
        </w:tc>
        <w:tc>
          <w:tcPr>
            <w:tcW w:w="3213" w:type="dxa"/>
            <w:tcBorders>
              <w:top w:val="single" w:sz="2" w:space="0" w:color="auto"/>
              <w:left w:val="single" w:sz="2" w:space="0" w:color="auto"/>
              <w:bottom w:val="single" w:sz="2" w:space="0" w:color="auto"/>
              <w:right w:val="single" w:sz="2" w:space="0" w:color="auto"/>
            </w:tcBorders>
            <w:vAlign w:val="center"/>
          </w:tcPr>
          <w:p w14:paraId="56DB1A6F" w14:textId="77777777" w:rsidR="007B3DB2" w:rsidRPr="0063248C" w:rsidRDefault="00000000">
            <w:pPr>
              <w:spacing w:line="240" w:lineRule="exact"/>
              <w:jc w:val="right"/>
              <w:rPr>
                <w:rFonts w:cs="宋体"/>
                <w:sz w:val="18"/>
                <w:szCs w:val="18"/>
              </w:rPr>
            </w:pPr>
            <w:r w:rsidRPr="0063248C">
              <w:rPr>
                <w:rFonts w:cs="宋体"/>
                <w:sz w:val="18"/>
                <w:szCs w:val="18"/>
              </w:rPr>
              <w:t>2,957,618,541.03</w:t>
            </w:r>
          </w:p>
        </w:tc>
      </w:tr>
      <w:tr w:rsidR="007B3DB2" w:rsidRPr="0063248C" w14:paraId="2619D9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C3DA6F"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9F9032"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6B86A9" w14:textId="77777777" w:rsidR="007B3DB2" w:rsidRPr="0063248C" w:rsidRDefault="007B3DB2"/>
        </w:tc>
      </w:tr>
      <w:tr w:rsidR="007B3DB2" w:rsidRPr="0063248C" w14:paraId="3652EC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BD215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1AB3E16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DA7F51" w14:textId="77777777" w:rsidR="007B3DB2" w:rsidRPr="0063248C" w:rsidRDefault="007B3DB2">
            <w:pPr>
              <w:spacing w:line="240" w:lineRule="exact"/>
              <w:jc w:val="right"/>
              <w:rPr>
                <w:rFonts w:cs="宋体"/>
                <w:sz w:val="18"/>
                <w:szCs w:val="18"/>
              </w:rPr>
            </w:pPr>
          </w:p>
        </w:tc>
      </w:tr>
      <w:tr w:rsidR="007B3DB2" w:rsidRPr="0063248C" w14:paraId="579982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4A3B9D"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08DDC4B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D04951" w14:textId="77777777" w:rsidR="007B3DB2" w:rsidRPr="0063248C" w:rsidRDefault="007B3DB2">
            <w:pPr>
              <w:spacing w:line="240" w:lineRule="exact"/>
              <w:jc w:val="right"/>
              <w:rPr>
                <w:rFonts w:cs="宋体"/>
                <w:sz w:val="18"/>
                <w:szCs w:val="18"/>
              </w:rPr>
            </w:pPr>
          </w:p>
        </w:tc>
      </w:tr>
      <w:tr w:rsidR="007B3DB2" w:rsidRPr="0063248C" w14:paraId="1EAE7E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1E9CC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2C70CA98"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18F651" w14:textId="77777777" w:rsidR="007B3DB2" w:rsidRPr="0063248C" w:rsidRDefault="007B3DB2">
            <w:pPr>
              <w:spacing w:line="240" w:lineRule="exact"/>
              <w:jc w:val="right"/>
              <w:rPr>
                <w:rFonts w:cs="宋体"/>
                <w:sz w:val="18"/>
                <w:szCs w:val="18"/>
              </w:rPr>
            </w:pPr>
          </w:p>
        </w:tc>
      </w:tr>
      <w:tr w:rsidR="007B3DB2" w:rsidRPr="0063248C" w14:paraId="480C5F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28B53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5FBDC06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8BD238" w14:textId="77777777" w:rsidR="007B3DB2" w:rsidRPr="0063248C" w:rsidRDefault="007B3DB2">
            <w:pPr>
              <w:spacing w:line="240" w:lineRule="exact"/>
              <w:jc w:val="right"/>
              <w:rPr>
                <w:rFonts w:cs="宋体"/>
                <w:sz w:val="18"/>
                <w:szCs w:val="18"/>
              </w:rPr>
            </w:pPr>
          </w:p>
        </w:tc>
      </w:tr>
      <w:tr w:rsidR="007B3DB2" w:rsidRPr="0063248C" w14:paraId="0E14F2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C3EA75"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000639B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E0BF3B" w14:textId="77777777" w:rsidR="007B3DB2" w:rsidRPr="0063248C" w:rsidRDefault="007B3DB2">
            <w:pPr>
              <w:spacing w:line="240" w:lineRule="exact"/>
              <w:jc w:val="right"/>
              <w:rPr>
                <w:rFonts w:cs="宋体"/>
                <w:sz w:val="18"/>
                <w:szCs w:val="18"/>
              </w:rPr>
            </w:pPr>
          </w:p>
        </w:tc>
      </w:tr>
      <w:tr w:rsidR="007B3DB2" w:rsidRPr="0063248C" w14:paraId="07A69E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9BBB99"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7578D203"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1DA744" w14:textId="77777777" w:rsidR="007B3DB2" w:rsidRPr="0063248C" w:rsidRDefault="007B3DB2">
            <w:pPr>
              <w:spacing w:line="240" w:lineRule="exact"/>
              <w:jc w:val="right"/>
              <w:rPr>
                <w:rFonts w:cs="宋体"/>
                <w:sz w:val="18"/>
                <w:szCs w:val="18"/>
              </w:rPr>
            </w:pPr>
          </w:p>
        </w:tc>
      </w:tr>
      <w:tr w:rsidR="007B3DB2" w:rsidRPr="0063248C" w14:paraId="501148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08CFC7"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317D45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439FFA5" w14:textId="77777777" w:rsidR="007B3DB2" w:rsidRPr="0063248C" w:rsidRDefault="007B3DB2">
            <w:pPr>
              <w:spacing w:line="240" w:lineRule="exact"/>
              <w:jc w:val="right"/>
              <w:rPr>
                <w:rFonts w:cs="宋体"/>
                <w:sz w:val="18"/>
                <w:szCs w:val="18"/>
              </w:rPr>
            </w:pPr>
          </w:p>
        </w:tc>
      </w:tr>
      <w:tr w:rsidR="007B3DB2" w:rsidRPr="0063248C" w14:paraId="77715C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100A1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7C5F0251"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E8DCF4" w14:textId="77777777" w:rsidR="007B3DB2" w:rsidRPr="0063248C" w:rsidRDefault="007B3DB2">
            <w:pPr>
              <w:spacing w:line="240" w:lineRule="exact"/>
              <w:jc w:val="right"/>
              <w:rPr>
                <w:rFonts w:cs="宋体"/>
                <w:sz w:val="18"/>
                <w:szCs w:val="18"/>
              </w:rPr>
            </w:pPr>
          </w:p>
        </w:tc>
      </w:tr>
      <w:tr w:rsidR="007B3DB2" w:rsidRPr="0063248C" w14:paraId="415787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F57402"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2D7059DA" w14:textId="77777777" w:rsidR="007B3DB2" w:rsidRPr="0063248C" w:rsidRDefault="00000000">
            <w:pPr>
              <w:spacing w:line="240" w:lineRule="exact"/>
              <w:jc w:val="right"/>
              <w:rPr>
                <w:rFonts w:cs="宋体"/>
                <w:sz w:val="18"/>
                <w:szCs w:val="18"/>
              </w:rPr>
            </w:pPr>
            <w:r w:rsidRPr="0063248C">
              <w:rPr>
                <w:rFonts w:cs="宋体"/>
                <w:sz w:val="18"/>
                <w:szCs w:val="18"/>
              </w:rPr>
              <w:t>1,705,318,171.73</w:t>
            </w:r>
          </w:p>
        </w:tc>
        <w:tc>
          <w:tcPr>
            <w:tcW w:w="3213" w:type="dxa"/>
            <w:tcBorders>
              <w:top w:val="single" w:sz="2" w:space="0" w:color="auto"/>
              <w:left w:val="single" w:sz="2" w:space="0" w:color="auto"/>
              <w:bottom w:val="single" w:sz="2" w:space="0" w:color="auto"/>
              <w:right w:val="single" w:sz="2" w:space="0" w:color="auto"/>
            </w:tcBorders>
            <w:vAlign w:val="center"/>
          </w:tcPr>
          <w:p w14:paraId="4A33D3F7" w14:textId="77777777" w:rsidR="007B3DB2" w:rsidRPr="0063248C" w:rsidRDefault="00000000">
            <w:pPr>
              <w:spacing w:line="240" w:lineRule="exact"/>
              <w:jc w:val="right"/>
              <w:rPr>
                <w:rFonts w:cs="宋体"/>
                <w:sz w:val="18"/>
                <w:szCs w:val="18"/>
              </w:rPr>
            </w:pPr>
            <w:r w:rsidRPr="0063248C">
              <w:rPr>
                <w:rFonts w:cs="宋体"/>
                <w:sz w:val="18"/>
                <w:szCs w:val="18"/>
              </w:rPr>
              <w:t>1,692,939,156.89</w:t>
            </w:r>
          </w:p>
        </w:tc>
      </w:tr>
      <w:tr w:rsidR="007B3DB2" w:rsidRPr="0063248C" w14:paraId="363E3F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F2E1CC"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61CD255A" w14:textId="77777777" w:rsidR="007B3DB2" w:rsidRPr="0063248C" w:rsidRDefault="00000000">
            <w:pPr>
              <w:spacing w:line="240" w:lineRule="exact"/>
              <w:jc w:val="right"/>
              <w:rPr>
                <w:rFonts w:cs="宋体"/>
                <w:sz w:val="18"/>
                <w:szCs w:val="18"/>
              </w:rPr>
            </w:pPr>
            <w:r w:rsidRPr="0063248C">
              <w:rPr>
                <w:rFonts w:cs="宋体"/>
                <w:sz w:val="18"/>
                <w:szCs w:val="18"/>
              </w:rPr>
              <w:t>903,628,173.02</w:t>
            </w:r>
          </w:p>
        </w:tc>
        <w:tc>
          <w:tcPr>
            <w:tcW w:w="3213" w:type="dxa"/>
            <w:tcBorders>
              <w:top w:val="single" w:sz="2" w:space="0" w:color="auto"/>
              <w:left w:val="single" w:sz="2" w:space="0" w:color="auto"/>
              <w:bottom w:val="single" w:sz="2" w:space="0" w:color="auto"/>
              <w:right w:val="single" w:sz="2" w:space="0" w:color="auto"/>
            </w:tcBorders>
            <w:vAlign w:val="center"/>
          </w:tcPr>
          <w:p w14:paraId="161ECA29" w14:textId="77777777" w:rsidR="007B3DB2" w:rsidRPr="0063248C" w:rsidRDefault="00000000">
            <w:pPr>
              <w:spacing w:line="240" w:lineRule="exact"/>
              <w:jc w:val="right"/>
              <w:rPr>
                <w:rFonts w:cs="宋体"/>
                <w:sz w:val="18"/>
                <w:szCs w:val="18"/>
              </w:rPr>
            </w:pPr>
            <w:r w:rsidRPr="0063248C">
              <w:rPr>
                <w:rFonts w:cs="宋体"/>
                <w:sz w:val="18"/>
                <w:szCs w:val="18"/>
              </w:rPr>
              <w:t>919,386,014.19</w:t>
            </w:r>
          </w:p>
        </w:tc>
      </w:tr>
      <w:tr w:rsidR="007B3DB2" w:rsidRPr="0063248C" w14:paraId="407C70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26D69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26042060" w14:textId="77777777" w:rsidR="007B3DB2" w:rsidRPr="0063248C" w:rsidRDefault="00000000">
            <w:pPr>
              <w:spacing w:line="240" w:lineRule="exact"/>
              <w:jc w:val="right"/>
              <w:rPr>
                <w:rFonts w:cs="宋体"/>
                <w:sz w:val="18"/>
                <w:szCs w:val="18"/>
              </w:rPr>
            </w:pPr>
            <w:r w:rsidRPr="0063248C">
              <w:rPr>
                <w:rFonts w:cs="宋体"/>
                <w:sz w:val="18"/>
                <w:szCs w:val="18"/>
              </w:rPr>
              <w:t>17,407,656.04</w:t>
            </w:r>
          </w:p>
        </w:tc>
        <w:tc>
          <w:tcPr>
            <w:tcW w:w="3213" w:type="dxa"/>
            <w:tcBorders>
              <w:top w:val="single" w:sz="2" w:space="0" w:color="auto"/>
              <w:left w:val="single" w:sz="2" w:space="0" w:color="auto"/>
              <w:bottom w:val="single" w:sz="2" w:space="0" w:color="auto"/>
              <w:right w:val="single" w:sz="2" w:space="0" w:color="auto"/>
            </w:tcBorders>
            <w:vAlign w:val="center"/>
          </w:tcPr>
          <w:p w14:paraId="075AC677" w14:textId="77777777" w:rsidR="007B3DB2" w:rsidRPr="0063248C" w:rsidRDefault="00000000">
            <w:pPr>
              <w:spacing w:line="240" w:lineRule="exact"/>
              <w:jc w:val="right"/>
              <w:rPr>
                <w:rFonts w:cs="宋体"/>
                <w:sz w:val="18"/>
                <w:szCs w:val="18"/>
              </w:rPr>
            </w:pPr>
            <w:r w:rsidRPr="0063248C">
              <w:rPr>
                <w:rFonts w:cs="宋体"/>
                <w:sz w:val="18"/>
                <w:szCs w:val="18"/>
              </w:rPr>
              <w:t>4,962,137.64</w:t>
            </w:r>
          </w:p>
        </w:tc>
      </w:tr>
      <w:tr w:rsidR="007B3DB2" w:rsidRPr="0063248C" w14:paraId="634F1AB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F71A09"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22AE76F4"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1A164483" w14:textId="77777777" w:rsidR="007B3DB2" w:rsidRPr="0063248C" w:rsidRDefault="007B3DB2">
            <w:pPr>
              <w:spacing w:line="240" w:lineRule="exact"/>
              <w:jc w:val="right"/>
              <w:rPr>
                <w:rFonts w:cs="宋体"/>
                <w:sz w:val="18"/>
                <w:szCs w:val="18"/>
              </w:rPr>
            </w:pPr>
          </w:p>
        </w:tc>
      </w:tr>
      <w:tr w:rsidR="007B3DB2" w:rsidRPr="0063248C" w14:paraId="24F377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C0946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3309A170" w14:textId="77777777" w:rsidR="007B3DB2" w:rsidRPr="0063248C" w:rsidRDefault="00000000">
            <w:pPr>
              <w:spacing w:line="240" w:lineRule="exact"/>
              <w:jc w:val="right"/>
              <w:rPr>
                <w:rFonts w:cs="宋体"/>
                <w:sz w:val="18"/>
                <w:szCs w:val="18"/>
              </w:rPr>
            </w:pPr>
            <w:r w:rsidRPr="0063248C">
              <w:rPr>
                <w:rFonts w:cs="宋体"/>
                <w:sz w:val="18"/>
                <w:szCs w:val="18"/>
              </w:rPr>
              <w:t>53,206,359.48</w:t>
            </w:r>
          </w:p>
        </w:tc>
        <w:tc>
          <w:tcPr>
            <w:tcW w:w="3213" w:type="dxa"/>
            <w:tcBorders>
              <w:top w:val="single" w:sz="2" w:space="0" w:color="auto"/>
              <w:left w:val="single" w:sz="2" w:space="0" w:color="auto"/>
              <w:bottom w:val="single" w:sz="2" w:space="0" w:color="auto"/>
              <w:right w:val="single" w:sz="2" w:space="0" w:color="auto"/>
            </w:tcBorders>
            <w:vAlign w:val="center"/>
          </w:tcPr>
          <w:p w14:paraId="138308C0" w14:textId="77777777" w:rsidR="007B3DB2" w:rsidRPr="0063248C" w:rsidRDefault="00000000">
            <w:pPr>
              <w:spacing w:line="240" w:lineRule="exact"/>
              <w:jc w:val="right"/>
              <w:rPr>
                <w:rFonts w:cs="宋体"/>
                <w:sz w:val="18"/>
                <w:szCs w:val="18"/>
              </w:rPr>
            </w:pPr>
            <w:r w:rsidRPr="0063248C">
              <w:rPr>
                <w:rFonts w:cs="宋体"/>
                <w:sz w:val="18"/>
                <w:szCs w:val="18"/>
              </w:rPr>
              <w:t>56,681,295.48</w:t>
            </w:r>
          </w:p>
        </w:tc>
      </w:tr>
      <w:tr w:rsidR="007B3DB2" w:rsidRPr="0063248C" w14:paraId="7439D5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2A3A1C"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0E041399" w14:textId="77777777" w:rsidR="007B3DB2" w:rsidRPr="0063248C" w:rsidRDefault="00000000">
            <w:pPr>
              <w:spacing w:line="240" w:lineRule="exact"/>
              <w:jc w:val="right"/>
              <w:rPr>
                <w:rFonts w:cs="宋体"/>
                <w:sz w:val="18"/>
                <w:szCs w:val="18"/>
              </w:rPr>
            </w:pPr>
            <w:r w:rsidRPr="0063248C">
              <w:rPr>
                <w:rFonts w:cs="宋体"/>
                <w:sz w:val="18"/>
                <w:szCs w:val="18"/>
              </w:rPr>
              <w:t>131,969,363.61</w:t>
            </w:r>
          </w:p>
        </w:tc>
        <w:tc>
          <w:tcPr>
            <w:tcW w:w="3213" w:type="dxa"/>
            <w:tcBorders>
              <w:top w:val="single" w:sz="2" w:space="0" w:color="auto"/>
              <w:left w:val="single" w:sz="2" w:space="0" w:color="auto"/>
              <w:bottom w:val="single" w:sz="2" w:space="0" w:color="auto"/>
              <w:right w:val="single" w:sz="2" w:space="0" w:color="auto"/>
            </w:tcBorders>
            <w:vAlign w:val="center"/>
          </w:tcPr>
          <w:p w14:paraId="4D709CBD" w14:textId="77777777" w:rsidR="007B3DB2" w:rsidRPr="0063248C" w:rsidRDefault="00000000">
            <w:pPr>
              <w:spacing w:line="240" w:lineRule="exact"/>
              <w:jc w:val="right"/>
              <w:rPr>
                <w:rFonts w:cs="宋体"/>
                <w:sz w:val="18"/>
                <w:szCs w:val="18"/>
              </w:rPr>
            </w:pPr>
            <w:r w:rsidRPr="0063248C">
              <w:rPr>
                <w:rFonts w:cs="宋体"/>
                <w:sz w:val="18"/>
                <w:szCs w:val="18"/>
              </w:rPr>
              <w:t>134,574,351.14</w:t>
            </w:r>
          </w:p>
        </w:tc>
      </w:tr>
      <w:tr w:rsidR="007B3DB2" w:rsidRPr="0063248C" w14:paraId="782D7A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BD9D79"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2A4F13E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BC7DA9" w14:textId="77777777" w:rsidR="007B3DB2" w:rsidRPr="0063248C" w:rsidRDefault="007B3DB2">
            <w:pPr>
              <w:spacing w:line="240" w:lineRule="exact"/>
              <w:jc w:val="right"/>
              <w:rPr>
                <w:rFonts w:cs="宋体"/>
                <w:sz w:val="18"/>
                <w:szCs w:val="18"/>
              </w:rPr>
            </w:pPr>
          </w:p>
        </w:tc>
      </w:tr>
      <w:tr w:rsidR="007B3DB2" w:rsidRPr="0063248C" w14:paraId="0A58B3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D2FC8C"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502F3DE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67C0B5" w14:textId="77777777" w:rsidR="007B3DB2" w:rsidRPr="0063248C" w:rsidRDefault="007B3DB2">
            <w:pPr>
              <w:spacing w:line="240" w:lineRule="exact"/>
              <w:jc w:val="right"/>
              <w:rPr>
                <w:rFonts w:cs="宋体"/>
                <w:sz w:val="18"/>
                <w:szCs w:val="18"/>
              </w:rPr>
            </w:pPr>
          </w:p>
        </w:tc>
      </w:tr>
      <w:tr w:rsidR="007B3DB2" w:rsidRPr="0063248C" w14:paraId="4A67A2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DD9904"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5B43EA9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8CAA21" w14:textId="77777777" w:rsidR="007B3DB2" w:rsidRPr="0063248C" w:rsidRDefault="007B3DB2">
            <w:pPr>
              <w:spacing w:line="240" w:lineRule="exact"/>
              <w:jc w:val="right"/>
              <w:rPr>
                <w:rFonts w:cs="宋体"/>
                <w:sz w:val="18"/>
                <w:szCs w:val="18"/>
              </w:rPr>
            </w:pPr>
          </w:p>
        </w:tc>
      </w:tr>
      <w:tr w:rsidR="007B3DB2" w:rsidRPr="0063248C" w14:paraId="0B128A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C0ECC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78481ACE" w14:textId="77777777" w:rsidR="007B3DB2" w:rsidRPr="0063248C" w:rsidRDefault="00000000">
            <w:pPr>
              <w:spacing w:line="240" w:lineRule="exact"/>
              <w:jc w:val="right"/>
              <w:rPr>
                <w:rFonts w:cs="宋体"/>
                <w:sz w:val="18"/>
                <w:szCs w:val="18"/>
              </w:rPr>
            </w:pPr>
            <w:r w:rsidRPr="0063248C">
              <w:rPr>
                <w:rFonts w:cs="宋体"/>
                <w:sz w:val="18"/>
                <w:szCs w:val="18"/>
              </w:rPr>
              <w:t>26,871,974.18</w:t>
            </w:r>
          </w:p>
        </w:tc>
        <w:tc>
          <w:tcPr>
            <w:tcW w:w="3213" w:type="dxa"/>
            <w:tcBorders>
              <w:top w:val="single" w:sz="2" w:space="0" w:color="auto"/>
              <w:left w:val="single" w:sz="2" w:space="0" w:color="auto"/>
              <w:bottom w:val="single" w:sz="2" w:space="0" w:color="auto"/>
              <w:right w:val="single" w:sz="2" w:space="0" w:color="auto"/>
            </w:tcBorders>
            <w:vAlign w:val="center"/>
          </w:tcPr>
          <w:p w14:paraId="0139377E" w14:textId="77777777" w:rsidR="007B3DB2" w:rsidRPr="0063248C" w:rsidRDefault="00000000">
            <w:pPr>
              <w:spacing w:line="240" w:lineRule="exact"/>
              <w:jc w:val="right"/>
              <w:rPr>
                <w:rFonts w:cs="宋体"/>
                <w:sz w:val="18"/>
                <w:szCs w:val="18"/>
              </w:rPr>
            </w:pPr>
            <w:r w:rsidRPr="0063248C">
              <w:rPr>
                <w:rFonts w:cs="宋体"/>
                <w:sz w:val="18"/>
                <w:szCs w:val="18"/>
              </w:rPr>
              <w:t>26,871,974.18</w:t>
            </w:r>
          </w:p>
        </w:tc>
      </w:tr>
      <w:tr w:rsidR="007B3DB2" w:rsidRPr="0063248C" w14:paraId="71FFD1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5A42C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5EBFAAEF" w14:textId="77777777" w:rsidR="007B3DB2" w:rsidRPr="0063248C" w:rsidRDefault="00000000">
            <w:pPr>
              <w:spacing w:line="240" w:lineRule="exact"/>
              <w:jc w:val="right"/>
              <w:rPr>
                <w:rFonts w:cs="宋体"/>
                <w:sz w:val="18"/>
                <w:szCs w:val="18"/>
              </w:rPr>
            </w:pPr>
            <w:r w:rsidRPr="0063248C">
              <w:rPr>
                <w:rFonts w:cs="宋体"/>
                <w:sz w:val="18"/>
                <w:szCs w:val="18"/>
              </w:rPr>
              <w:t>5,944,519.52</w:t>
            </w:r>
          </w:p>
        </w:tc>
        <w:tc>
          <w:tcPr>
            <w:tcW w:w="3213" w:type="dxa"/>
            <w:tcBorders>
              <w:top w:val="single" w:sz="2" w:space="0" w:color="auto"/>
              <w:left w:val="single" w:sz="2" w:space="0" w:color="auto"/>
              <w:bottom w:val="single" w:sz="2" w:space="0" w:color="auto"/>
              <w:right w:val="single" w:sz="2" w:space="0" w:color="auto"/>
            </w:tcBorders>
            <w:vAlign w:val="center"/>
          </w:tcPr>
          <w:p w14:paraId="7A0D799F" w14:textId="77777777" w:rsidR="007B3DB2" w:rsidRPr="0063248C" w:rsidRDefault="00000000">
            <w:pPr>
              <w:spacing w:line="240" w:lineRule="exact"/>
              <w:jc w:val="right"/>
              <w:rPr>
                <w:rFonts w:cs="宋体"/>
                <w:sz w:val="18"/>
                <w:szCs w:val="18"/>
              </w:rPr>
            </w:pPr>
            <w:r w:rsidRPr="0063248C">
              <w:rPr>
                <w:rFonts w:cs="宋体"/>
                <w:sz w:val="18"/>
                <w:szCs w:val="18"/>
              </w:rPr>
              <w:t>7,613,709.65</w:t>
            </w:r>
          </w:p>
        </w:tc>
      </w:tr>
      <w:tr w:rsidR="007B3DB2" w:rsidRPr="0063248C" w14:paraId="1BD337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03EF82"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78083DF1" w14:textId="77777777" w:rsidR="007B3DB2" w:rsidRPr="0063248C" w:rsidRDefault="00000000">
            <w:pPr>
              <w:spacing w:line="240" w:lineRule="exact"/>
              <w:jc w:val="right"/>
              <w:rPr>
                <w:rFonts w:cs="宋体"/>
                <w:sz w:val="18"/>
                <w:szCs w:val="18"/>
              </w:rPr>
            </w:pPr>
            <w:r w:rsidRPr="0063248C">
              <w:rPr>
                <w:rFonts w:cs="宋体"/>
                <w:sz w:val="18"/>
                <w:szCs w:val="18"/>
              </w:rPr>
              <w:t>15,603,317.50</w:t>
            </w:r>
          </w:p>
        </w:tc>
        <w:tc>
          <w:tcPr>
            <w:tcW w:w="3213" w:type="dxa"/>
            <w:tcBorders>
              <w:top w:val="single" w:sz="2" w:space="0" w:color="auto"/>
              <w:left w:val="single" w:sz="2" w:space="0" w:color="auto"/>
              <w:bottom w:val="single" w:sz="2" w:space="0" w:color="auto"/>
              <w:right w:val="single" w:sz="2" w:space="0" w:color="auto"/>
            </w:tcBorders>
            <w:vAlign w:val="center"/>
          </w:tcPr>
          <w:p w14:paraId="6F3D4028" w14:textId="77777777" w:rsidR="007B3DB2" w:rsidRPr="0063248C" w:rsidRDefault="00000000">
            <w:pPr>
              <w:spacing w:line="240" w:lineRule="exact"/>
              <w:jc w:val="right"/>
              <w:rPr>
                <w:rFonts w:cs="宋体"/>
                <w:sz w:val="18"/>
                <w:szCs w:val="18"/>
              </w:rPr>
            </w:pPr>
            <w:r w:rsidRPr="0063248C">
              <w:rPr>
                <w:rFonts w:cs="宋体"/>
                <w:sz w:val="18"/>
                <w:szCs w:val="18"/>
              </w:rPr>
              <w:t>9,445,753.58</w:t>
            </w:r>
          </w:p>
        </w:tc>
      </w:tr>
      <w:tr w:rsidR="007B3DB2" w:rsidRPr="0063248C" w14:paraId="180059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FB10F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0AC71D4B" w14:textId="77777777" w:rsidR="007B3DB2" w:rsidRPr="0063248C" w:rsidRDefault="00000000">
            <w:pPr>
              <w:spacing w:line="240" w:lineRule="exact"/>
              <w:jc w:val="right"/>
              <w:rPr>
                <w:rFonts w:cs="宋体"/>
                <w:sz w:val="18"/>
                <w:szCs w:val="18"/>
              </w:rPr>
            </w:pPr>
            <w:r w:rsidRPr="0063248C">
              <w:rPr>
                <w:rFonts w:cs="宋体"/>
                <w:sz w:val="18"/>
                <w:szCs w:val="18"/>
              </w:rPr>
              <w:t>487,755,364.82</w:t>
            </w:r>
          </w:p>
        </w:tc>
        <w:tc>
          <w:tcPr>
            <w:tcW w:w="3213" w:type="dxa"/>
            <w:tcBorders>
              <w:top w:val="single" w:sz="2" w:space="0" w:color="auto"/>
              <w:left w:val="single" w:sz="2" w:space="0" w:color="auto"/>
              <w:bottom w:val="single" w:sz="2" w:space="0" w:color="auto"/>
              <w:right w:val="single" w:sz="2" w:space="0" w:color="auto"/>
            </w:tcBorders>
            <w:vAlign w:val="center"/>
          </w:tcPr>
          <w:p w14:paraId="13BB6AE4" w14:textId="77777777" w:rsidR="007B3DB2" w:rsidRPr="0063248C" w:rsidRDefault="00000000">
            <w:pPr>
              <w:spacing w:line="240" w:lineRule="exact"/>
              <w:jc w:val="right"/>
              <w:rPr>
                <w:rFonts w:cs="宋体"/>
                <w:sz w:val="18"/>
                <w:szCs w:val="18"/>
              </w:rPr>
            </w:pPr>
            <w:r w:rsidRPr="0063248C">
              <w:rPr>
                <w:rFonts w:cs="宋体"/>
                <w:sz w:val="18"/>
                <w:szCs w:val="18"/>
              </w:rPr>
              <w:t>507,445,474.68</w:t>
            </w:r>
          </w:p>
        </w:tc>
      </w:tr>
      <w:tr w:rsidR="007B3DB2" w:rsidRPr="0063248C" w14:paraId="04F5C1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75CDC6" w14:textId="77777777" w:rsidR="007B3DB2" w:rsidRPr="0063248C" w:rsidRDefault="00000000">
            <w:pPr>
              <w:spacing w:before="40" w:after="40" w:line="240" w:lineRule="exact"/>
              <w:rPr>
                <w:rFonts w:cs="宋体"/>
                <w:sz w:val="18"/>
                <w:szCs w:val="18"/>
              </w:rPr>
            </w:pPr>
            <w:r w:rsidRPr="0063248C">
              <w:rPr>
                <w:rFonts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22641C11" w14:textId="77777777" w:rsidR="007B3DB2" w:rsidRPr="0063248C" w:rsidRDefault="00000000">
            <w:pPr>
              <w:spacing w:line="240" w:lineRule="exact"/>
              <w:jc w:val="right"/>
              <w:rPr>
                <w:rFonts w:cs="宋体"/>
                <w:sz w:val="18"/>
                <w:szCs w:val="18"/>
              </w:rPr>
            </w:pPr>
            <w:r w:rsidRPr="0063248C">
              <w:rPr>
                <w:rFonts w:cs="宋体"/>
                <w:sz w:val="18"/>
                <w:szCs w:val="18"/>
              </w:rPr>
              <w:t>3,347,704,899.90</w:t>
            </w:r>
          </w:p>
        </w:tc>
        <w:tc>
          <w:tcPr>
            <w:tcW w:w="3213" w:type="dxa"/>
            <w:tcBorders>
              <w:top w:val="single" w:sz="2" w:space="0" w:color="auto"/>
              <w:left w:val="single" w:sz="2" w:space="0" w:color="auto"/>
              <w:bottom w:val="single" w:sz="2" w:space="0" w:color="auto"/>
              <w:right w:val="single" w:sz="2" w:space="0" w:color="auto"/>
            </w:tcBorders>
            <w:vAlign w:val="center"/>
          </w:tcPr>
          <w:p w14:paraId="75958AAB" w14:textId="77777777" w:rsidR="007B3DB2" w:rsidRPr="0063248C" w:rsidRDefault="00000000">
            <w:pPr>
              <w:spacing w:line="240" w:lineRule="exact"/>
              <w:jc w:val="right"/>
              <w:rPr>
                <w:rFonts w:cs="宋体"/>
                <w:sz w:val="18"/>
                <w:szCs w:val="18"/>
              </w:rPr>
            </w:pPr>
            <w:r w:rsidRPr="0063248C">
              <w:rPr>
                <w:rFonts w:cs="宋体"/>
                <w:sz w:val="18"/>
                <w:szCs w:val="18"/>
              </w:rPr>
              <w:t>3,359,919,867.43</w:t>
            </w:r>
          </w:p>
        </w:tc>
      </w:tr>
      <w:tr w:rsidR="007B3DB2" w:rsidRPr="0063248C" w14:paraId="1BA175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189CBA" w14:textId="77777777" w:rsidR="007B3DB2" w:rsidRPr="0063248C" w:rsidRDefault="00000000">
            <w:pPr>
              <w:spacing w:before="40" w:after="40" w:line="240" w:lineRule="exact"/>
              <w:rPr>
                <w:rFonts w:cs="宋体"/>
                <w:sz w:val="18"/>
                <w:szCs w:val="18"/>
              </w:rPr>
            </w:pPr>
            <w:r w:rsidRPr="0063248C">
              <w:rPr>
                <w:rFonts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424181CF" w14:textId="77777777" w:rsidR="007B3DB2" w:rsidRPr="0063248C" w:rsidRDefault="00000000">
            <w:pPr>
              <w:spacing w:line="240" w:lineRule="exact"/>
              <w:jc w:val="right"/>
              <w:rPr>
                <w:rFonts w:cs="宋体"/>
                <w:sz w:val="18"/>
                <w:szCs w:val="18"/>
              </w:rPr>
            </w:pPr>
            <w:r w:rsidRPr="0063248C">
              <w:rPr>
                <w:rFonts w:cs="宋体"/>
                <w:sz w:val="18"/>
                <w:szCs w:val="18"/>
              </w:rPr>
              <w:t>5,934,505,143.97</w:t>
            </w:r>
          </w:p>
        </w:tc>
        <w:tc>
          <w:tcPr>
            <w:tcW w:w="3213" w:type="dxa"/>
            <w:tcBorders>
              <w:top w:val="single" w:sz="2" w:space="0" w:color="auto"/>
              <w:left w:val="single" w:sz="2" w:space="0" w:color="auto"/>
              <w:bottom w:val="single" w:sz="2" w:space="0" w:color="auto"/>
              <w:right w:val="single" w:sz="2" w:space="0" w:color="auto"/>
            </w:tcBorders>
            <w:vAlign w:val="center"/>
          </w:tcPr>
          <w:p w14:paraId="661DADCD" w14:textId="77777777" w:rsidR="007B3DB2" w:rsidRPr="0063248C" w:rsidRDefault="00000000">
            <w:pPr>
              <w:spacing w:line="240" w:lineRule="exact"/>
              <w:jc w:val="right"/>
              <w:rPr>
                <w:rFonts w:cs="宋体"/>
                <w:sz w:val="18"/>
                <w:szCs w:val="18"/>
              </w:rPr>
            </w:pPr>
            <w:r w:rsidRPr="0063248C">
              <w:rPr>
                <w:rFonts w:cs="宋体"/>
                <w:sz w:val="18"/>
                <w:szCs w:val="18"/>
              </w:rPr>
              <w:t>6,317,538,408.46</w:t>
            </w:r>
          </w:p>
        </w:tc>
      </w:tr>
      <w:tr w:rsidR="007B3DB2" w:rsidRPr="0063248C" w14:paraId="59E0BA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33FB80" w14:textId="77777777" w:rsidR="007B3DB2" w:rsidRPr="0063248C" w:rsidRDefault="00000000">
            <w:pPr>
              <w:spacing w:before="40" w:after="40" w:line="240" w:lineRule="exact"/>
              <w:rPr>
                <w:rFonts w:cs="宋体"/>
                <w:sz w:val="18"/>
                <w:szCs w:val="18"/>
              </w:rPr>
            </w:pPr>
            <w:r w:rsidRPr="0063248C">
              <w:rPr>
                <w:rFonts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443146"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2300C2" w14:textId="77777777" w:rsidR="007B3DB2" w:rsidRPr="0063248C" w:rsidRDefault="007B3DB2"/>
        </w:tc>
      </w:tr>
      <w:tr w:rsidR="007B3DB2" w:rsidRPr="0063248C" w14:paraId="1FE4BE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4DE7E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50C56739" w14:textId="77777777" w:rsidR="007B3DB2" w:rsidRPr="0063248C" w:rsidRDefault="00000000">
            <w:pPr>
              <w:spacing w:line="240" w:lineRule="exact"/>
              <w:jc w:val="right"/>
              <w:rPr>
                <w:rFonts w:cs="宋体"/>
                <w:sz w:val="18"/>
                <w:szCs w:val="18"/>
              </w:rPr>
            </w:pPr>
            <w:r w:rsidRPr="0063248C">
              <w:rPr>
                <w:rFonts w:cs="宋体"/>
                <w:sz w:val="18"/>
                <w:szCs w:val="18"/>
              </w:rPr>
              <w:t>1,636,790,878.96</w:t>
            </w:r>
          </w:p>
        </w:tc>
        <w:tc>
          <w:tcPr>
            <w:tcW w:w="3213" w:type="dxa"/>
            <w:tcBorders>
              <w:top w:val="single" w:sz="2" w:space="0" w:color="auto"/>
              <w:left w:val="single" w:sz="2" w:space="0" w:color="auto"/>
              <w:bottom w:val="single" w:sz="2" w:space="0" w:color="auto"/>
              <w:right w:val="single" w:sz="2" w:space="0" w:color="auto"/>
            </w:tcBorders>
            <w:vAlign w:val="center"/>
          </w:tcPr>
          <w:p w14:paraId="4015D04C" w14:textId="77777777" w:rsidR="007B3DB2" w:rsidRPr="0063248C" w:rsidRDefault="00000000">
            <w:pPr>
              <w:spacing w:line="240" w:lineRule="exact"/>
              <w:jc w:val="right"/>
              <w:rPr>
                <w:rFonts w:cs="宋体"/>
                <w:sz w:val="18"/>
                <w:szCs w:val="18"/>
              </w:rPr>
            </w:pPr>
            <w:r w:rsidRPr="0063248C">
              <w:rPr>
                <w:rFonts w:cs="宋体"/>
                <w:sz w:val="18"/>
                <w:szCs w:val="18"/>
              </w:rPr>
              <w:t>1,854,767,478.71</w:t>
            </w:r>
          </w:p>
        </w:tc>
      </w:tr>
      <w:tr w:rsidR="007B3DB2" w:rsidRPr="0063248C" w14:paraId="271E86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6300B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621ECB5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6C7DAF" w14:textId="77777777" w:rsidR="007B3DB2" w:rsidRPr="0063248C" w:rsidRDefault="007B3DB2">
            <w:pPr>
              <w:spacing w:line="240" w:lineRule="exact"/>
              <w:jc w:val="right"/>
              <w:rPr>
                <w:rFonts w:cs="宋体"/>
                <w:sz w:val="18"/>
                <w:szCs w:val="18"/>
              </w:rPr>
            </w:pPr>
          </w:p>
        </w:tc>
      </w:tr>
      <w:tr w:rsidR="007B3DB2" w:rsidRPr="0063248C" w14:paraId="1299C8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218E7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7763291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2D6573" w14:textId="77777777" w:rsidR="007B3DB2" w:rsidRPr="0063248C" w:rsidRDefault="007B3DB2">
            <w:pPr>
              <w:spacing w:line="240" w:lineRule="exact"/>
              <w:jc w:val="right"/>
              <w:rPr>
                <w:rFonts w:cs="宋体"/>
                <w:sz w:val="18"/>
                <w:szCs w:val="18"/>
              </w:rPr>
            </w:pPr>
          </w:p>
        </w:tc>
      </w:tr>
      <w:tr w:rsidR="007B3DB2" w:rsidRPr="0063248C" w14:paraId="686244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BBA93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2A568DA6"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84F2C5" w14:textId="77777777" w:rsidR="007B3DB2" w:rsidRPr="0063248C" w:rsidRDefault="007B3DB2">
            <w:pPr>
              <w:spacing w:line="240" w:lineRule="exact"/>
              <w:jc w:val="right"/>
              <w:rPr>
                <w:rFonts w:cs="宋体"/>
                <w:sz w:val="18"/>
                <w:szCs w:val="18"/>
              </w:rPr>
            </w:pPr>
          </w:p>
        </w:tc>
      </w:tr>
      <w:tr w:rsidR="007B3DB2" w:rsidRPr="0063248C" w14:paraId="6A26EB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F4B479"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2BC524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AE7E0F" w14:textId="77777777" w:rsidR="007B3DB2" w:rsidRPr="0063248C" w:rsidRDefault="007B3DB2">
            <w:pPr>
              <w:spacing w:line="240" w:lineRule="exact"/>
              <w:jc w:val="right"/>
              <w:rPr>
                <w:rFonts w:cs="宋体"/>
                <w:sz w:val="18"/>
                <w:szCs w:val="18"/>
              </w:rPr>
            </w:pPr>
          </w:p>
        </w:tc>
      </w:tr>
      <w:tr w:rsidR="007B3DB2" w:rsidRPr="0063248C" w14:paraId="45B795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33D5D3"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499EFD9B" w14:textId="77777777" w:rsidR="007B3DB2" w:rsidRPr="0063248C" w:rsidRDefault="00000000">
            <w:pPr>
              <w:spacing w:line="240" w:lineRule="exact"/>
              <w:jc w:val="right"/>
              <w:rPr>
                <w:rFonts w:cs="宋体"/>
                <w:sz w:val="18"/>
                <w:szCs w:val="18"/>
              </w:rPr>
            </w:pPr>
            <w:r w:rsidRPr="0063248C">
              <w:rPr>
                <w:rFonts w:cs="宋体"/>
                <w:sz w:val="18"/>
                <w:szCs w:val="18"/>
              </w:rPr>
              <w:t>255,979,946.47</w:t>
            </w:r>
          </w:p>
        </w:tc>
        <w:tc>
          <w:tcPr>
            <w:tcW w:w="3213" w:type="dxa"/>
            <w:tcBorders>
              <w:top w:val="single" w:sz="2" w:space="0" w:color="auto"/>
              <w:left w:val="single" w:sz="2" w:space="0" w:color="auto"/>
              <w:bottom w:val="single" w:sz="2" w:space="0" w:color="auto"/>
              <w:right w:val="single" w:sz="2" w:space="0" w:color="auto"/>
            </w:tcBorders>
            <w:vAlign w:val="center"/>
          </w:tcPr>
          <w:p w14:paraId="73740A2F" w14:textId="77777777" w:rsidR="007B3DB2" w:rsidRPr="0063248C" w:rsidRDefault="00000000">
            <w:pPr>
              <w:spacing w:line="240" w:lineRule="exact"/>
              <w:jc w:val="right"/>
              <w:rPr>
                <w:rFonts w:cs="宋体"/>
                <w:sz w:val="18"/>
                <w:szCs w:val="18"/>
              </w:rPr>
            </w:pPr>
            <w:r w:rsidRPr="0063248C">
              <w:rPr>
                <w:rFonts w:cs="宋体"/>
                <w:sz w:val="18"/>
                <w:szCs w:val="18"/>
              </w:rPr>
              <w:t>420,625,801.99</w:t>
            </w:r>
          </w:p>
        </w:tc>
      </w:tr>
      <w:tr w:rsidR="007B3DB2" w:rsidRPr="0063248C" w14:paraId="58FAB2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0156B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6167609F" w14:textId="77777777" w:rsidR="007B3DB2" w:rsidRPr="0063248C" w:rsidRDefault="00000000">
            <w:pPr>
              <w:spacing w:line="240" w:lineRule="exact"/>
              <w:jc w:val="right"/>
              <w:rPr>
                <w:rFonts w:cs="宋体"/>
                <w:sz w:val="18"/>
                <w:szCs w:val="18"/>
              </w:rPr>
            </w:pPr>
            <w:r w:rsidRPr="0063248C">
              <w:rPr>
                <w:rFonts w:cs="宋体"/>
                <w:sz w:val="18"/>
                <w:szCs w:val="18"/>
              </w:rPr>
              <w:t>410,087,640.32</w:t>
            </w:r>
          </w:p>
        </w:tc>
        <w:tc>
          <w:tcPr>
            <w:tcW w:w="3213" w:type="dxa"/>
            <w:tcBorders>
              <w:top w:val="single" w:sz="2" w:space="0" w:color="auto"/>
              <w:left w:val="single" w:sz="2" w:space="0" w:color="auto"/>
              <w:bottom w:val="single" w:sz="2" w:space="0" w:color="auto"/>
              <w:right w:val="single" w:sz="2" w:space="0" w:color="auto"/>
            </w:tcBorders>
            <w:vAlign w:val="center"/>
          </w:tcPr>
          <w:p w14:paraId="55F2A6ED" w14:textId="77777777" w:rsidR="007B3DB2" w:rsidRPr="0063248C" w:rsidRDefault="00000000">
            <w:pPr>
              <w:spacing w:line="240" w:lineRule="exact"/>
              <w:jc w:val="right"/>
              <w:rPr>
                <w:rFonts w:cs="宋体"/>
                <w:sz w:val="18"/>
                <w:szCs w:val="18"/>
              </w:rPr>
            </w:pPr>
            <w:r w:rsidRPr="0063248C">
              <w:rPr>
                <w:rFonts w:cs="宋体"/>
                <w:sz w:val="18"/>
                <w:szCs w:val="18"/>
              </w:rPr>
              <w:t>421,839,401.99</w:t>
            </w:r>
          </w:p>
        </w:tc>
      </w:tr>
      <w:tr w:rsidR="007B3DB2" w:rsidRPr="0063248C" w14:paraId="7E967A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AE3BD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4B3A342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EF3A26" w14:textId="77777777" w:rsidR="007B3DB2" w:rsidRPr="0063248C" w:rsidRDefault="007B3DB2">
            <w:pPr>
              <w:spacing w:line="240" w:lineRule="exact"/>
              <w:jc w:val="right"/>
              <w:rPr>
                <w:rFonts w:cs="宋体"/>
                <w:sz w:val="18"/>
                <w:szCs w:val="18"/>
              </w:rPr>
            </w:pPr>
          </w:p>
        </w:tc>
      </w:tr>
      <w:tr w:rsidR="007B3DB2" w:rsidRPr="0063248C" w14:paraId="033C2B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F7B07D"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523AA11F" w14:textId="77777777" w:rsidR="007B3DB2" w:rsidRPr="0063248C" w:rsidRDefault="00000000">
            <w:pPr>
              <w:spacing w:line="240" w:lineRule="exact"/>
              <w:jc w:val="right"/>
              <w:rPr>
                <w:rFonts w:cs="宋体"/>
                <w:sz w:val="18"/>
                <w:szCs w:val="18"/>
              </w:rPr>
            </w:pPr>
            <w:r w:rsidRPr="0063248C">
              <w:rPr>
                <w:rFonts w:cs="宋体"/>
                <w:sz w:val="18"/>
                <w:szCs w:val="18"/>
              </w:rPr>
              <w:t>105,448,913.00</w:t>
            </w:r>
          </w:p>
        </w:tc>
        <w:tc>
          <w:tcPr>
            <w:tcW w:w="3213" w:type="dxa"/>
            <w:tcBorders>
              <w:top w:val="single" w:sz="2" w:space="0" w:color="auto"/>
              <w:left w:val="single" w:sz="2" w:space="0" w:color="auto"/>
              <w:bottom w:val="single" w:sz="2" w:space="0" w:color="auto"/>
              <w:right w:val="single" w:sz="2" w:space="0" w:color="auto"/>
            </w:tcBorders>
            <w:vAlign w:val="center"/>
          </w:tcPr>
          <w:p w14:paraId="2E4409E4" w14:textId="77777777" w:rsidR="007B3DB2" w:rsidRPr="0063248C" w:rsidRDefault="00000000">
            <w:pPr>
              <w:spacing w:line="240" w:lineRule="exact"/>
              <w:jc w:val="right"/>
              <w:rPr>
                <w:rFonts w:cs="宋体"/>
                <w:sz w:val="18"/>
                <w:szCs w:val="18"/>
              </w:rPr>
            </w:pPr>
            <w:r w:rsidRPr="0063248C">
              <w:rPr>
                <w:rFonts w:cs="宋体"/>
                <w:sz w:val="18"/>
                <w:szCs w:val="18"/>
              </w:rPr>
              <w:t>134,486,391.06</w:t>
            </w:r>
          </w:p>
        </w:tc>
      </w:tr>
      <w:tr w:rsidR="007B3DB2" w:rsidRPr="0063248C" w14:paraId="200E00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56CB2C"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3ABD1D6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1E78D4" w14:textId="77777777" w:rsidR="007B3DB2" w:rsidRPr="0063248C" w:rsidRDefault="007B3DB2">
            <w:pPr>
              <w:spacing w:line="240" w:lineRule="exact"/>
              <w:jc w:val="right"/>
              <w:rPr>
                <w:rFonts w:cs="宋体"/>
                <w:sz w:val="18"/>
                <w:szCs w:val="18"/>
              </w:rPr>
            </w:pPr>
          </w:p>
        </w:tc>
      </w:tr>
      <w:tr w:rsidR="007B3DB2" w:rsidRPr="0063248C" w14:paraId="6E3B11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28DFA3"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3F1859A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33B1DC" w14:textId="77777777" w:rsidR="007B3DB2" w:rsidRPr="0063248C" w:rsidRDefault="007B3DB2">
            <w:pPr>
              <w:spacing w:line="240" w:lineRule="exact"/>
              <w:jc w:val="right"/>
              <w:rPr>
                <w:rFonts w:cs="宋体"/>
                <w:sz w:val="18"/>
                <w:szCs w:val="18"/>
              </w:rPr>
            </w:pPr>
          </w:p>
        </w:tc>
      </w:tr>
      <w:tr w:rsidR="007B3DB2" w:rsidRPr="0063248C" w14:paraId="3382A3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0CC80C"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646362E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D52894" w14:textId="77777777" w:rsidR="007B3DB2" w:rsidRPr="0063248C" w:rsidRDefault="007B3DB2">
            <w:pPr>
              <w:spacing w:line="240" w:lineRule="exact"/>
              <w:jc w:val="right"/>
              <w:rPr>
                <w:rFonts w:cs="宋体"/>
                <w:sz w:val="18"/>
                <w:szCs w:val="18"/>
              </w:rPr>
            </w:pPr>
          </w:p>
        </w:tc>
      </w:tr>
      <w:tr w:rsidR="007B3DB2" w:rsidRPr="0063248C" w14:paraId="685388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CB7C7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5A722D61"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43C7C4" w14:textId="77777777" w:rsidR="007B3DB2" w:rsidRPr="0063248C" w:rsidRDefault="007B3DB2">
            <w:pPr>
              <w:spacing w:line="240" w:lineRule="exact"/>
              <w:jc w:val="right"/>
              <w:rPr>
                <w:rFonts w:cs="宋体"/>
                <w:sz w:val="18"/>
                <w:szCs w:val="18"/>
              </w:rPr>
            </w:pPr>
          </w:p>
        </w:tc>
      </w:tr>
      <w:tr w:rsidR="007B3DB2" w:rsidRPr="0063248C" w14:paraId="171888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B28385"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466C679F" w14:textId="77777777" w:rsidR="007B3DB2" w:rsidRPr="0063248C" w:rsidRDefault="00000000">
            <w:pPr>
              <w:spacing w:line="240" w:lineRule="exact"/>
              <w:jc w:val="right"/>
              <w:rPr>
                <w:rFonts w:cs="宋体"/>
                <w:sz w:val="18"/>
                <w:szCs w:val="18"/>
              </w:rPr>
            </w:pPr>
            <w:r w:rsidRPr="0063248C">
              <w:rPr>
                <w:rFonts w:cs="宋体"/>
                <w:sz w:val="18"/>
                <w:szCs w:val="18"/>
              </w:rPr>
              <w:t>31,688,307.89</w:t>
            </w:r>
          </w:p>
        </w:tc>
        <w:tc>
          <w:tcPr>
            <w:tcW w:w="3213" w:type="dxa"/>
            <w:tcBorders>
              <w:top w:val="single" w:sz="2" w:space="0" w:color="auto"/>
              <w:left w:val="single" w:sz="2" w:space="0" w:color="auto"/>
              <w:bottom w:val="single" w:sz="2" w:space="0" w:color="auto"/>
              <w:right w:val="single" w:sz="2" w:space="0" w:color="auto"/>
            </w:tcBorders>
            <w:vAlign w:val="center"/>
          </w:tcPr>
          <w:p w14:paraId="47D02497" w14:textId="77777777" w:rsidR="007B3DB2" w:rsidRPr="0063248C" w:rsidRDefault="00000000">
            <w:pPr>
              <w:spacing w:line="240" w:lineRule="exact"/>
              <w:jc w:val="right"/>
              <w:rPr>
                <w:rFonts w:cs="宋体"/>
                <w:sz w:val="18"/>
                <w:szCs w:val="18"/>
              </w:rPr>
            </w:pPr>
            <w:r w:rsidRPr="0063248C">
              <w:rPr>
                <w:rFonts w:cs="宋体"/>
                <w:sz w:val="18"/>
                <w:szCs w:val="18"/>
              </w:rPr>
              <w:t>43,272,558.33</w:t>
            </w:r>
          </w:p>
        </w:tc>
      </w:tr>
      <w:tr w:rsidR="007B3DB2" w:rsidRPr="0063248C" w14:paraId="3DA9A4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49BE4C"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5F16270D" w14:textId="77777777" w:rsidR="007B3DB2" w:rsidRPr="0063248C" w:rsidRDefault="00000000">
            <w:pPr>
              <w:spacing w:line="240" w:lineRule="exact"/>
              <w:jc w:val="right"/>
              <w:rPr>
                <w:rFonts w:cs="宋体"/>
                <w:sz w:val="18"/>
                <w:szCs w:val="18"/>
              </w:rPr>
            </w:pPr>
            <w:r w:rsidRPr="0063248C">
              <w:rPr>
                <w:rFonts w:cs="宋体"/>
                <w:sz w:val="18"/>
                <w:szCs w:val="18"/>
              </w:rPr>
              <w:t>5,825,772.06</w:t>
            </w:r>
          </w:p>
        </w:tc>
        <w:tc>
          <w:tcPr>
            <w:tcW w:w="3213" w:type="dxa"/>
            <w:tcBorders>
              <w:top w:val="single" w:sz="2" w:space="0" w:color="auto"/>
              <w:left w:val="single" w:sz="2" w:space="0" w:color="auto"/>
              <w:bottom w:val="single" w:sz="2" w:space="0" w:color="auto"/>
              <w:right w:val="single" w:sz="2" w:space="0" w:color="auto"/>
            </w:tcBorders>
            <w:vAlign w:val="center"/>
          </w:tcPr>
          <w:p w14:paraId="6FE4F576" w14:textId="77777777" w:rsidR="007B3DB2" w:rsidRPr="0063248C" w:rsidRDefault="00000000">
            <w:pPr>
              <w:spacing w:line="240" w:lineRule="exact"/>
              <w:jc w:val="right"/>
              <w:rPr>
                <w:rFonts w:cs="宋体"/>
                <w:sz w:val="18"/>
                <w:szCs w:val="18"/>
              </w:rPr>
            </w:pPr>
            <w:r w:rsidRPr="0063248C">
              <w:rPr>
                <w:rFonts w:cs="宋体"/>
                <w:sz w:val="18"/>
                <w:szCs w:val="18"/>
              </w:rPr>
              <w:t>12,947,723.59</w:t>
            </w:r>
          </w:p>
        </w:tc>
      </w:tr>
      <w:tr w:rsidR="007B3DB2" w:rsidRPr="0063248C" w14:paraId="096C34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1CA82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566B8B7A" w14:textId="77777777" w:rsidR="007B3DB2" w:rsidRPr="0063248C" w:rsidRDefault="00000000">
            <w:pPr>
              <w:spacing w:line="240" w:lineRule="exact"/>
              <w:jc w:val="right"/>
              <w:rPr>
                <w:rFonts w:cs="宋体"/>
                <w:sz w:val="18"/>
                <w:szCs w:val="18"/>
              </w:rPr>
            </w:pPr>
            <w:r w:rsidRPr="0063248C">
              <w:rPr>
                <w:rFonts w:cs="宋体"/>
                <w:sz w:val="18"/>
                <w:szCs w:val="18"/>
              </w:rPr>
              <w:t>209,702,682.25</w:t>
            </w:r>
          </w:p>
        </w:tc>
        <w:tc>
          <w:tcPr>
            <w:tcW w:w="3213" w:type="dxa"/>
            <w:tcBorders>
              <w:top w:val="single" w:sz="2" w:space="0" w:color="auto"/>
              <w:left w:val="single" w:sz="2" w:space="0" w:color="auto"/>
              <w:bottom w:val="single" w:sz="2" w:space="0" w:color="auto"/>
              <w:right w:val="single" w:sz="2" w:space="0" w:color="auto"/>
            </w:tcBorders>
            <w:vAlign w:val="center"/>
          </w:tcPr>
          <w:p w14:paraId="76D2A0B5" w14:textId="77777777" w:rsidR="007B3DB2" w:rsidRPr="0063248C" w:rsidRDefault="00000000">
            <w:pPr>
              <w:spacing w:line="240" w:lineRule="exact"/>
              <w:jc w:val="right"/>
              <w:rPr>
                <w:rFonts w:cs="宋体"/>
                <w:sz w:val="18"/>
                <w:szCs w:val="18"/>
              </w:rPr>
            </w:pPr>
            <w:r w:rsidRPr="0063248C">
              <w:rPr>
                <w:rFonts w:cs="宋体"/>
                <w:sz w:val="18"/>
                <w:szCs w:val="18"/>
              </w:rPr>
              <w:t>264,150,919.18</w:t>
            </w:r>
          </w:p>
        </w:tc>
      </w:tr>
      <w:tr w:rsidR="007B3DB2" w:rsidRPr="0063248C" w14:paraId="4D2DB2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20DFB9"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6333882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FC53F5" w14:textId="77777777" w:rsidR="007B3DB2" w:rsidRPr="0063248C" w:rsidRDefault="007B3DB2">
            <w:pPr>
              <w:spacing w:line="240" w:lineRule="exact"/>
              <w:jc w:val="right"/>
              <w:rPr>
                <w:rFonts w:cs="宋体"/>
                <w:sz w:val="18"/>
                <w:szCs w:val="18"/>
              </w:rPr>
            </w:pPr>
          </w:p>
        </w:tc>
      </w:tr>
      <w:tr w:rsidR="007B3DB2" w:rsidRPr="0063248C" w14:paraId="580952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269452" w14:textId="77777777" w:rsidR="007B3DB2" w:rsidRPr="0063248C" w:rsidRDefault="00000000">
            <w:pPr>
              <w:spacing w:before="40" w:after="40" w:line="240" w:lineRule="exact"/>
              <w:ind w:firstLineChars="500" w:firstLine="900"/>
              <w:rPr>
                <w:rFonts w:cs="宋体"/>
                <w:sz w:val="18"/>
                <w:szCs w:val="18"/>
              </w:rPr>
            </w:pPr>
            <w:r w:rsidRPr="0063248C">
              <w:rPr>
                <w:rFonts w:cs="宋体"/>
                <w:sz w:val="18"/>
                <w:szCs w:val="18"/>
              </w:rPr>
              <w:lastRenderedPageBreak/>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7C14FF3A"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905492" w14:textId="77777777" w:rsidR="007B3DB2" w:rsidRPr="0063248C" w:rsidRDefault="007B3DB2">
            <w:pPr>
              <w:spacing w:line="240" w:lineRule="exact"/>
              <w:jc w:val="right"/>
              <w:rPr>
                <w:rFonts w:cs="宋体"/>
                <w:sz w:val="18"/>
                <w:szCs w:val="18"/>
              </w:rPr>
            </w:pPr>
          </w:p>
        </w:tc>
      </w:tr>
      <w:tr w:rsidR="007B3DB2" w:rsidRPr="0063248C" w14:paraId="72AE24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B4ED4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4FFF3BA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A0F39A" w14:textId="77777777" w:rsidR="007B3DB2" w:rsidRPr="0063248C" w:rsidRDefault="007B3DB2">
            <w:pPr>
              <w:spacing w:line="240" w:lineRule="exact"/>
              <w:jc w:val="right"/>
              <w:rPr>
                <w:rFonts w:cs="宋体"/>
                <w:sz w:val="18"/>
                <w:szCs w:val="18"/>
              </w:rPr>
            </w:pPr>
          </w:p>
        </w:tc>
      </w:tr>
      <w:tr w:rsidR="007B3DB2" w:rsidRPr="0063248C" w14:paraId="0A9BCF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C1D08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2F687546"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67CFCD" w14:textId="77777777" w:rsidR="007B3DB2" w:rsidRPr="0063248C" w:rsidRDefault="007B3DB2">
            <w:pPr>
              <w:spacing w:line="240" w:lineRule="exact"/>
              <w:jc w:val="right"/>
              <w:rPr>
                <w:rFonts w:cs="宋体"/>
                <w:sz w:val="18"/>
                <w:szCs w:val="18"/>
              </w:rPr>
            </w:pPr>
          </w:p>
        </w:tc>
      </w:tr>
      <w:tr w:rsidR="007B3DB2" w:rsidRPr="0063248C" w14:paraId="401450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6E8E68"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2A59F609"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409155" w14:textId="77777777" w:rsidR="007B3DB2" w:rsidRPr="0063248C" w:rsidRDefault="007B3DB2">
            <w:pPr>
              <w:spacing w:line="240" w:lineRule="exact"/>
              <w:jc w:val="right"/>
              <w:rPr>
                <w:rFonts w:cs="宋体"/>
                <w:sz w:val="18"/>
                <w:szCs w:val="18"/>
              </w:rPr>
            </w:pPr>
          </w:p>
        </w:tc>
      </w:tr>
      <w:tr w:rsidR="007B3DB2" w:rsidRPr="0063248C" w14:paraId="11EDA4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5F6587"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74C6E1C1" w14:textId="77777777" w:rsidR="007B3DB2" w:rsidRPr="0063248C" w:rsidRDefault="00000000">
            <w:pPr>
              <w:spacing w:line="240" w:lineRule="exact"/>
              <w:jc w:val="right"/>
              <w:rPr>
                <w:rFonts w:cs="宋体"/>
                <w:sz w:val="18"/>
                <w:szCs w:val="18"/>
              </w:rPr>
            </w:pPr>
            <w:r w:rsidRPr="0063248C">
              <w:rPr>
                <w:rFonts w:cs="宋体"/>
                <w:sz w:val="18"/>
                <w:szCs w:val="18"/>
              </w:rPr>
              <w:t>182,744,328.15</w:t>
            </w:r>
          </w:p>
        </w:tc>
        <w:tc>
          <w:tcPr>
            <w:tcW w:w="3213" w:type="dxa"/>
            <w:tcBorders>
              <w:top w:val="single" w:sz="2" w:space="0" w:color="auto"/>
              <w:left w:val="single" w:sz="2" w:space="0" w:color="auto"/>
              <w:bottom w:val="single" w:sz="2" w:space="0" w:color="auto"/>
              <w:right w:val="single" w:sz="2" w:space="0" w:color="auto"/>
            </w:tcBorders>
            <w:vAlign w:val="center"/>
          </w:tcPr>
          <w:p w14:paraId="0CCF90AB" w14:textId="77777777" w:rsidR="007B3DB2" w:rsidRPr="0063248C" w:rsidRDefault="00000000">
            <w:pPr>
              <w:spacing w:line="240" w:lineRule="exact"/>
              <w:jc w:val="right"/>
              <w:rPr>
                <w:rFonts w:cs="宋体"/>
                <w:sz w:val="18"/>
                <w:szCs w:val="18"/>
              </w:rPr>
            </w:pPr>
            <w:r w:rsidRPr="0063248C">
              <w:rPr>
                <w:rFonts w:cs="宋体"/>
                <w:sz w:val="18"/>
                <w:szCs w:val="18"/>
              </w:rPr>
              <w:t>179,429,646.55</w:t>
            </w:r>
          </w:p>
        </w:tc>
      </w:tr>
      <w:tr w:rsidR="007B3DB2" w:rsidRPr="0063248C" w14:paraId="61D6E3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D7F42F"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4BBF9341" w14:textId="77777777" w:rsidR="007B3DB2" w:rsidRPr="0063248C" w:rsidRDefault="00000000">
            <w:pPr>
              <w:spacing w:line="240" w:lineRule="exact"/>
              <w:jc w:val="right"/>
              <w:rPr>
                <w:rFonts w:cs="宋体"/>
                <w:sz w:val="18"/>
                <w:szCs w:val="18"/>
              </w:rPr>
            </w:pPr>
            <w:r w:rsidRPr="0063248C">
              <w:rPr>
                <w:rFonts w:cs="宋体"/>
                <w:sz w:val="18"/>
                <w:szCs w:val="18"/>
              </w:rPr>
              <w:t>9,196,772.47</w:t>
            </w:r>
          </w:p>
        </w:tc>
        <w:tc>
          <w:tcPr>
            <w:tcW w:w="3213" w:type="dxa"/>
            <w:tcBorders>
              <w:top w:val="single" w:sz="2" w:space="0" w:color="auto"/>
              <w:left w:val="single" w:sz="2" w:space="0" w:color="auto"/>
              <w:bottom w:val="single" w:sz="2" w:space="0" w:color="auto"/>
              <w:right w:val="single" w:sz="2" w:space="0" w:color="auto"/>
            </w:tcBorders>
            <w:vAlign w:val="center"/>
          </w:tcPr>
          <w:p w14:paraId="0F80F8D6" w14:textId="77777777" w:rsidR="007B3DB2" w:rsidRPr="0063248C" w:rsidRDefault="00000000">
            <w:pPr>
              <w:spacing w:line="240" w:lineRule="exact"/>
              <w:jc w:val="right"/>
              <w:rPr>
                <w:rFonts w:cs="宋体"/>
                <w:sz w:val="18"/>
                <w:szCs w:val="18"/>
              </w:rPr>
            </w:pPr>
            <w:r w:rsidRPr="0063248C">
              <w:rPr>
                <w:rFonts w:cs="宋体"/>
                <w:sz w:val="18"/>
                <w:szCs w:val="18"/>
              </w:rPr>
              <w:t>11,571,937.30</w:t>
            </w:r>
          </w:p>
        </w:tc>
      </w:tr>
      <w:tr w:rsidR="007B3DB2" w:rsidRPr="0063248C" w14:paraId="23871C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E2F428" w14:textId="77777777" w:rsidR="007B3DB2" w:rsidRPr="0063248C" w:rsidRDefault="00000000">
            <w:pPr>
              <w:spacing w:before="40" w:after="40" w:line="240" w:lineRule="exact"/>
              <w:rPr>
                <w:rFonts w:cs="宋体"/>
                <w:sz w:val="18"/>
                <w:szCs w:val="18"/>
              </w:rPr>
            </w:pPr>
            <w:r w:rsidRPr="0063248C">
              <w:rPr>
                <w:rFonts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1CBD54A9" w14:textId="77777777" w:rsidR="007B3DB2" w:rsidRPr="0063248C" w:rsidRDefault="00000000">
            <w:pPr>
              <w:spacing w:line="240" w:lineRule="exact"/>
              <w:jc w:val="right"/>
              <w:rPr>
                <w:rFonts w:cs="宋体"/>
                <w:sz w:val="18"/>
                <w:szCs w:val="18"/>
              </w:rPr>
            </w:pPr>
            <w:r w:rsidRPr="0063248C">
              <w:rPr>
                <w:rFonts w:cs="宋体"/>
                <w:sz w:val="18"/>
                <w:szCs w:val="18"/>
              </w:rPr>
              <w:t>2,847,465,241.57</w:t>
            </w:r>
          </w:p>
        </w:tc>
        <w:tc>
          <w:tcPr>
            <w:tcW w:w="3213" w:type="dxa"/>
            <w:tcBorders>
              <w:top w:val="single" w:sz="2" w:space="0" w:color="auto"/>
              <w:left w:val="single" w:sz="2" w:space="0" w:color="auto"/>
              <w:bottom w:val="single" w:sz="2" w:space="0" w:color="auto"/>
              <w:right w:val="single" w:sz="2" w:space="0" w:color="auto"/>
            </w:tcBorders>
            <w:vAlign w:val="center"/>
          </w:tcPr>
          <w:p w14:paraId="26659EBA" w14:textId="77777777" w:rsidR="007B3DB2" w:rsidRPr="0063248C" w:rsidRDefault="00000000">
            <w:pPr>
              <w:spacing w:line="240" w:lineRule="exact"/>
              <w:jc w:val="right"/>
              <w:rPr>
                <w:rFonts w:cs="宋体"/>
                <w:sz w:val="18"/>
                <w:szCs w:val="18"/>
              </w:rPr>
            </w:pPr>
            <w:r w:rsidRPr="0063248C">
              <w:rPr>
                <w:rFonts w:cs="宋体"/>
                <w:sz w:val="18"/>
                <w:szCs w:val="18"/>
              </w:rPr>
              <w:t>3,343,091,858.70</w:t>
            </w:r>
          </w:p>
        </w:tc>
      </w:tr>
      <w:tr w:rsidR="007B3DB2" w:rsidRPr="0063248C" w14:paraId="6FC68B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59D5FE" w14:textId="77777777" w:rsidR="007B3DB2" w:rsidRPr="0063248C" w:rsidRDefault="00000000">
            <w:pPr>
              <w:spacing w:before="40" w:after="40" w:line="240" w:lineRule="exact"/>
              <w:rPr>
                <w:rFonts w:cs="宋体"/>
                <w:sz w:val="18"/>
                <w:szCs w:val="18"/>
              </w:rPr>
            </w:pPr>
            <w:r w:rsidRPr="0063248C">
              <w:rPr>
                <w:rFonts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732FB0"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F9588A" w14:textId="77777777" w:rsidR="007B3DB2" w:rsidRPr="0063248C" w:rsidRDefault="007B3DB2"/>
        </w:tc>
      </w:tr>
      <w:tr w:rsidR="007B3DB2" w:rsidRPr="0063248C" w14:paraId="791009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E8B0F5"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2FD96379"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C9E2D6" w14:textId="77777777" w:rsidR="007B3DB2" w:rsidRPr="0063248C" w:rsidRDefault="007B3DB2">
            <w:pPr>
              <w:spacing w:line="240" w:lineRule="exact"/>
              <w:jc w:val="right"/>
              <w:rPr>
                <w:rFonts w:cs="宋体"/>
                <w:sz w:val="18"/>
                <w:szCs w:val="18"/>
              </w:rPr>
            </w:pPr>
          </w:p>
        </w:tc>
      </w:tr>
      <w:tr w:rsidR="007B3DB2" w:rsidRPr="0063248C" w14:paraId="2934C0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42B055"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54739E65" w14:textId="77777777" w:rsidR="007B3DB2" w:rsidRPr="0063248C" w:rsidRDefault="00000000">
            <w:pPr>
              <w:spacing w:line="240" w:lineRule="exact"/>
              <w:jc w:val="right"/>
              <w:rPr>
                <w:rFonts w:cs="宋体"/>
                <w:sz w:val="18"/>
                <w:szCs w:val="18"/>
              </w:rPr>
            </w:pPr>
            <w:r w:rsidRPr="0063248C">
              <w:rPr>
                <w:rFonts w:cs="宋体"/>
                <w:sz w:val="18"/>
                <w:szCs w:val="18"/>
              </w:rPr>
              <w:t>318,244,541.91</w:t>
            </w:r>
          </w:p>
        </w:tc>
        <w:tc>
          <w:tcPr>
            <w:tcW w:w="3213" w:type="dxa"/>
            <w:tcBorders>
              <w:top w:val="single" w:sz="2" w:space="0" w:color="auto"/>
              <w:left w:val="single" w:sz="2" w:space="0" w:color="auto"/>
              <w:bottom w:val="single" w:sz="2" w:space="0" w:color="auto"/>
              <w:right w:val="single" w:sz="2" w:space="0" w:color="auto"/>
            </w:tcBorders>
            <w:vAlign w:val="center"/>
          </w:tcPr>
          <w:p w14:paraId="729069B9" w14:textId="77777777" w:rsidR="007B3DB2" w:rsidRPr="0063248C" w:rsidRDefault="00000000">
            <w:pPr>
              <w:spacing w:line="240" w:lineRule="exact"/>
              <w:jc w:val="right"/>
              <w:rPr>
                <w:rFonts w:cs="宋体"/>
                <w:sz w:val="18"/>
                <w:szCs w:val="18"/>
              </w:rPr>
            </w:pPr>
            <w:r w:rsidRPr="0063248C">
              <w:rPr>
                <w:rFonts w:cs="宋体"/>
                <w:sz w:val="18"/>
                <w:szCs w:val="18"/>
              </w:rPr>
              <w:t>326,202,925.48</w:t>
            </w:r>
          </w:p>
        </w:tc>
      </w:tr>
      <w:tr w:rsidR="007B3DB2" w:rsidRPr="0063248C" w14:paraId="22C4C4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D0074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32B53B77" w14:textId="77777777" w:rsidR="007B3DB2" w:rsidRPr="0063248C" w:rsidRDefault="00000000">
            <w:pPr>
              <w:spacing w:line="240" w:lineRule="exact"/>
              <w:jc w:val="right"/>
              <w:rPr>
                <w:rFonts w:cs="宋体"/>
                <w:sz w:val="18"/>
                <w:szCs w:val="18"/>
              </w:rPr>
            </w:pPr>
            <w:r w:rsidRPr="0063248C">
              <w:rPr>
                <w:rFonts w:cs="宋体"/>
                <w:sz w:val="18"/>
                <w:szCs w:val="18"/>
              </w:rPr>
              <w:t>923,200,240.99</w:t>
            </w:r>
          </w:p>
        </w:tc>
        <w:tc>
          <w:tcPr>
            <w:tcW w:w="3213" w:type="dxa"/>
            <w:tcBorders>
              <w:top w:val="single" w:sz="2" w:space="0" w:color="auto"/>
              <w:left w:val="single" w:sz="2" w:space="0" w:color="auto"/>
              <w:bottom w:val="single" w:sz="2" w:space="0" w:color="auto"/>
              <w:right w:val="single" w:sz="2" w:space="0" w:color="auto"/>
            </w:tcBorders>
            <w:vAlign w:val="center"/>
          </w:tcPr>
          <w:p w14:paraId="6DB70EEE" w14:textId="77777777" w:rsidR="007B3DB2" w:rsidRPr="0063248C" w:rsidRDefault="00000000">
            <w:pPr>
              <w:spacing w:line="240" w:lineRule="exact"/>
              <w:jc w:val="right"/>
              <w:rPr>
                <w:rFonts w:cs="宋体"/>
                <w:sz w:val="18"/>
                <w:szCs w:val="18"/>
              </w:rPr>
            </w:pPr>
            <w:r w:rsidRPr="0063248C">
              <w:rPr>
                <w:rFonts w:cs="宋体"/>
                <w:sz w:val="18"/>
                <w:szCs w:val="18"/>
              </w:rPr>
              <w:t>899,039,265.74</w:t>
            </w:r>
          </w:p>
        </w:tc>
      </w:tr>
      <w:tr w:rsidR="007B3DB2" w:rsidRPr="0063248C" w14:paraId="4B88F8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ACE517"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10DD98F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432902" w14:textId="77777777" w:rsidR="007B3DB2" w:rsidRPr="0063248C" w:rsidRDefault="007B3DB2">
            <w:pPr>
              <w:spacing w:line="240" w:lineRule="exact"/>
              <w:jc w:val="right"/>
              <w:rPr>
                <w:rFonts w:cs="宋体"/>
                <w:sz w:val="18"/>
                <w:szCs w:val="18"/>
              </w:rPr>
            </w:pPr>
          </w:p>
        </w:tc>
      </w:tr>
      <w:tr w:rsidR="007B3DB2" w:rsidRPr="0063248C" w14:paraId="1A05E1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AACC95" w14:textId="77777777" w:rsidR="007B3DB2" w:rsidRPr="0063248C" w:rsidRDefault="00000000">
            <w:pPr>
              <w:spacing w:before="40" w:after="40" w:line="240" w:lineRule="exact"/>
              <w:ind w:firstLineChars="500" w:firstLine="900"/>
              <w:rPr>
                <w:rFonts w:cs="宋体"/>
                <w:sz w:val="18"/>
                <w:szCs w:val="18"/>
              </w:rPr>
            </w:pPr>
            <w:r w:rsidRPr="0063248C">
              <w:rPr>
                <w:rFonts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137760D3"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CA3952" w14:textId="77777777" w:rsidR="007B3DB2" w:rsidRPr="0063248C" w:rsidRDefault="007B3DB2">
            <w:pPr>
              <w:spacing w:line="240" w:lineRule="exact"/>
              <w:jc w:val="right"/>
              <w:rPr>
                <w:rFonts w:cs="宋体"/>
                <w:sz w:val="18"/>
                <w:szCs w:val="18"/>
              </w:rPr>
            </w:pPr>
          </w:p>
        </w:tc>
      </w:tr>
      <w:tr w:rsidR="007B3DB2" w:rsidRPr="0063248C" w14:paraId="3023B0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9EFB49"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641B11B5" w14:textId="77777777" w:rsidR="007B3DB2" w:rsidRPr="0063248C" w:rsidRDefault="00000000">
            <w:pPr>
              <w:spacing w:line="240" w:lineRule="exact"/>
              <w:jc w:val="right"/>
              <w:rPr>
                <w:rFonts w:cs="宋体"/>
                <w:sz w:val="18"/>
                <w:szCs w:val="18"/>
              </w:rPr>
            </w:pPr>
            <w:r w:rsidRPr="0063248C">
              <w:rPr>
                <w:rFonts w:cs="宋体"/>
                <w:sz w:val="18"/>
                <w:szCs w:val="18"/>
              </w:rPr>
              <w:t>42,901,415.61</w:t>
            </w:r>
          </w:p>
        </w:tc>
        <w:tc>
          <w:tcPr>
            <w:tcW w:w="3213" w:type="dxa"/>
            <w:tcBorders>
              <w:top w:val="single" w:sz="2" w:space="0" w:color="auto"/>
              <w:left w:val="single" w:sz="2" w:space="0" w:color="auto"/>
              <w:bottom w:val="single" w:sz="2" w:space="0" w:color="auto"/>
              <w:right w:val="single" w:sz="2" w:space="0" w:color="auto"/>
            </w:tcBorders>
            <w:vAlign w:val="center"/>
          </w:tcPr>
          <w:p w14:paraId="7D83460F" w14:textId="77777777" w:rsidR="007B3DB2" w:rsidRPr="0063248C" w:rsidRDefault="00000000">
            <w:pPr>
              <w:spacing w:line="240" w:lineRule="exact"/>
              <w:jc w:val="right"/>
              <w:rPr>
                <w:rFonts w:cs="宋体"/>
                <w:sz w:val="18"/>
                <w:szCs w:val="18"/>
              </w:rPr>
            </w:pPr>
            <w:r w:rsidRPr="0063248C">
              <w:rPr>
                <w:rFonts w:cs="宋体"/>
                <w:sz w:val="18"/>
                <w:szCs w:val="18"/>
              </w:rPr>
              <w:t>45,196,076.45</w:t>
            </w:r>
          </w:p>
        </w:tc>
      </w:tr>
      <w:tr w:rsidR="007B3DB2" w:rsidRPr="0063248C" w14:paraId="01CCB4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39CC72"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1865117A" w14:textId="77777777" w:rsidR="007B3DB2" w:rsidRPr="0063248C" w:rsidRDefault="00000000">
            <w:pPr>
              <w:spacing w:line="240" w:lineRule="exact"/>
              <w:jc w:val="right"/>
              <w:rPr>
                <w:rFonts w:cs="宋体"/>
                <w:sz w:val="18"/>
                <w:szCs w:val="18"/>
              </w:rPr>
            </w:pPr>
            <w:r w:rsidRPr="0063248C">
              <w:rPr>
                <w:rFonts w:cs="宋体"/>
                <w:sz w:val="18"/>
                <w:szCs w:val="18"/>
              </w:rPr>
              <w:t>41,472,480.32</w:t>
            </w:r>
          </w:p>
        </w:tc>
        <w:tc>
          <w:tcPr>
            <w:tcW w:w="3213" w:type="dxa"/>
            <w:tcBorders>
              <w:top w:val="single" w:sz="2" w:space="0" w:color="auto"/>
              <w:left w:val="single" w:sz="2" w:space="0" w:color="auto"/>
              <w:bottom w:val="single" w:sz="2" w:space="0" w:color="auto"/>
              <w:right w:val="single" w:sz="2" w:space="0" w:color="auto"/>
            </w:tcBorders>
            <w:vAlign w:val="center"/>
          </w:tcPr>
          <w:p w14:paraId="785C238C" w14:textId="77777777" w:rsidR="007B3DB2" w:rsidRPr="0063248C" w:rsidRDefault="00000000">
            <w:pPr>
              <w:spacing w:line="240" w:lineRule="exact"/>
              <w:jc w:val="right"/>
              <w:rPr>
                <w:rFonts w:cs="宋体"/>
                <w:sz w:val="18"/>
                <w:szCs w:val="18"/>
              </w:rPr>
            </w:pPr>
            <w:r w:rsidRPr="0063248C">
              <w:rPr>
                <w:rFonts w:cs="宋体"/>
                <w:sz w:val="18"/>
                <w:szCs w:val="18"/>
              </w:rPr>
              <w:t>5,370,867.01</w:t>
            </w:r>
          </w:p>
        </w:tc>
      </w:tr>
      <w:tr w:rsidR="007B3DB2" w:rsidRPr="0063248C" w14:paraId="36C7B6B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423CB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791F796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80E46B" w14:textId="77777777" w:rsidR="007B3DB2" w:rsidRPr="0063248C" w:rsidRDefault="007B3DB2">
            <w:pPr>
              <w:spacing w:line="240" w:lineRule="exact"/>
              <w:jc w:val="right"/>
              <w:rPr>
                <w:rFonts w:cs="宋体"/>
                <w:sz w:val="18"/>
                <w:szCs w:val="18"/>
              </w:rPr>
            </w:pPr>
          </w:p>
        </w:tc>
      </w:tr>
      <w:tr w:rsidR="007B3DB2" w:rsidRPr="0063248C" w14:paraId="75A3B3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B935CA"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2A515FC6"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ED3FD28" w14:textId="77777777" w:rsidR="007B3DB2" w:rsidRPr="0063248C" w:rsidRDefault="007B3DB2">
            <w:pPr>
              <w:spacing w:line="240" w:lineRule="exact"/>
              <w:jc w:val="right"/>
              <w:rPr>
                <w:rFonts w:cs="宋体"/>
                <w:sz w:val="18"/>
                <w:szCs w:val="18"/>
              </w:rPr>
            </w:pPr>
          </w:p>
        </w:tc>
      </w:tr>
      <w:tr w:rsidR="007B3DB2" w:rsidRPr="0063248C" w14:paraId="4FA110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21C38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3E55C02B" w14:textId="77777777" w:rsidR="007B3DB2" w:rsidRPr="0063248C" w:rsidRDefault="00000000">
            <w:pPr>
              <w:spacing w:line="240" w:lineRule="exact"/>
              <w:jc w:val="right"/>
              <w:rPr>
                <w:rFonts w:cs="宋体"/>
                <w:sz w:val="18"/>
                <w:szCs w:val="18"/>
              </w:rPr>
            </w:pPr>
            <w:r w:rsidRPr="0063248C">
              <w:rPr>
                <w:rFonts w:cs="宋体"/>
                <w:sz w:val="18"/>
                <w:szCs w:val="18"/>
              </w:rPr>
              <w:t>38,624,937.70</w:t>
            </w:r>
          </w:p>
        </w:tc>
        <w:tc>
          <w:tcPr>
            <w:tcW w:w="3213" w:type="dxa"/>
            <w:tcBorders>
              <w:top w:val="single" w:sz="2" w:space="0" w:color="auto"/>
              <w:left w:val="single" w:sz="2" w:space="0" w:color="auto"/>
              <w:bottom w:val="single" w:sz="2" w:space="0" w:color="auto"/>
              <w:right w:val="single" w:sz="2" w:space="0" w:color="auto"/>
            </w:tcBorders>
            <w:vAlign w:val="center"/>
          </w:tcPr>
          <w:p w14:paraId="7ABA1413" w14:textId="77777777" w:rsidR="007B3DB2" w:rsidRPr="0063248C" w:rsidRDefault="00000000">
            <w:pPr>
              <w:spacing w:line="240" w:lineRule="exact"/>
              <w:jc w:val="right"/>
              <w:rPr>
                <w:rFonts w:cs="宋体"/>
                <w:sz w:val="18"/>
                <w:szCs w:val="18"/>
              </w:rPr>
            </w:pPr>
            <w:r w:rsidRPr="0063248C">
              <w:rPr>
                <w:rFonts w:cs="宋体"/>
                <w:sz w:val="18"/>
                <w:szCs w:val="18"/>
              </w:rPr>
              <w:t>39,612,043.24</w:t>
            </w:r>
          </w:p>
        </w:tc>
      </w:tr>
      <w:tr w:rsidR="007B3DB2" w:rsidRPr="0063248C" w14:paraId="657397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093C05"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0A508C19" w14:textId="77777777" w:rsidR="007B3DB2" w:rsidRPr="0063248C" w:rsidRDefault="00000000">
            <w:pPr>
              <w:spacing w:line="240" w:lineRule="exact"/>
              <w:jc w:val="right"/>
              <w:rPr>
                <w:rFonts w:cs="宋体"/>
                <w:sz w:val="18"/>
                <w:szCs w:val="18"/>
              </w:rPr>
            </w:pPr>
            <w:r w:rsidRPr="0063248C">
              <w:rPr>
                <w:rFonts w:cs="宋体"/>
                <w:sz w:val="18"/>
                <w:szCs w:val="18"/>
              </w:rPr>
              <w:t>2,073,871.13</w:t>
            </w:r>
          </w:p>
        </w:tc>
        <w:tc>
          <w:tcPr>
            <w:tcW w:w="3213" w:type="dxa"/>
            <w:tcBorders>
              <w:top w:val="single" w:sz="2" w:space="0" w:color="auto"/>
              <w:left w:val="single" w:sz="2" w:space="0" w:color="auto"/>
              <w:bottom w:val="single" w:sz="2" w:space="0" w:color="auto"/>
              <w:right w:val="single" w:sz="2" w:space="0" w:color="auto"/>
            </w:tcBorders>
            <w:vAlign w:val="center"/>
          </w:tcPr>
          <w:p w14:paraId="4F1B4D5C" w14:textId="77777777" w:rsidR="007B3DB2" w:rsidRPr="0063248C" w:rsidRDefault="00000000">
            <w:pPr>
              <w:spacing w:line="240" w:lineRule="exact"/>
              <w:jc w:val="right"/>
              <w:rPr>
                <w:rFonts w:cs="宋体"/>
                <w:sz w:val="18"/>
                <w:szCs w:val="18"/>
              </w:rPr>
            </w:pPr>
            <w:r w:rsidRPr="0063248C">
              <w:rPr>
                <w:rFonts w:cs="宋体"/>
                <w:sz w:val="18"/>
                <w:szCs w:val="18"/>
              </w:rPr>
              <w:t>2,064,556.40</w:t>
            </w:r>
          </w:p>
        </w:tc>
      </w:tr>
      <w:tr w:rsidR="007B3DB2" w:rsidRPr="0063248C" w14:paraId="552284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8F2FE7"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762D792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8D848A" w14:textId="77777777" w:rsidR="007B3DB2" w:rsidRPr="0063248C" w:rsidRDefault="007B3DB2">
            <w:pPr>
              <w:spacing w:line="240" w:lineRule="exact"/>
              <w:jc w:val="right"/>
              <w:rPr>
                <w:rFonts w:cs="宋体"/>
                <w:sz w:val="18"/>
                <w:szCs w:val="18"/>
              </w:rPr>
            </w:pPr>
          </w:p>
        </w:tc>
      </w:tr>
      <w:tr w:rsidR="007B3DB2" w:rsidRPr="0063248C" w14:paraId="7061A8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53C19D" w14:textId="77777777" w:rsidR="007B3DB2" w:rsidRPr="0063248C" w:rsidRDefault="00000000">
            <w:pPr>
              <w:spacing w:before="40" w:after="40" w:line="240" w:lineRule="exact"/>
              <w:rPr>
                <w:rFonts w:cs="宋体"/>
                <w:sz w:val="18"/>
                <w:szCs w:val="18"/>
              </w:rPr>
            </w:pPr>
            <w:r w:rsidRPr="0063248C">
              <w:rPr>
                <w:rFonts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30375B42" w14:textId="77777777" w:rsidR="007B3DB2" w:rsidRPr="0063248C" w:rsidRDefault="00000000">
            <w:pPr>
              <w:spacing w:line="240" w:lineRule="exact"/>
              <w:jc w:val="right"/>
              <w:rPr>
                <w:rFonts w:cs="宋体"/>
                <w:sz w:val="18"/>
                <w:szCs w:val="18"/>
              </w:rPr>
            </w:pPr>
            <w:r w:rsidRPr="0063248C">
              <w:rPr>
                <w:rFonts w:cs="宋体"/>
                <w:sz w:val="18"/>
                <w:szCs w:val="18"/>
              </w:rPr>
              <w:t>1,366,517,487.66</w:t>
            </w:r>
          </w:p>
        </w:tc>
        <w:tc>
          <w:tcPr>
            <w:tcW w:w="3213" w:type="dxa"/>
            <w:tcBorders>
              <w:top w:val="single" w:sz="2" w:space="0" w:color="auto"/>
              <w:left w:val="single" w:sz="2" w:space="0" w:color="auto"/>
              <w:bottom w:val="single" w:sz="2" w:space="0" w:color="auto"/>
              <w:right w:val="single" w:sz="2" w:space="0" w:color="auto"/>
            </w:tcBorders>
            <w:vAlign w:val="center"/>
          </w:tcPr>
          <w:p w14:paraId="56B4C7CB" w14:textId="77777777" w:rsidR="007B3DB2" w:rsidRPr="0063248C" w:rsidRDefault="00000000">
            <w:pPr>
              <w:spacing w:line="240" w:lineRule="exact"/>
              <w:jc w:val="right"/>
              <w:rPr>
                <w:rFonts w:cs="宋体"/>
                <w:sz w:val="18"/>
                <w:szCs w:val="18"/>
              </w:rPr>
            </w:pPr>
            <w:r w:rsidRPr="0063248C">
              <w:rPr>
                <w:rFonts w:cs="宋体"/>
                <w:sz w:val="18"/>
                <w:szCs w:val="18"/>
              </w:rPr>
              <w:t>1,317,485,734.32</w:t>
            </w:r>
          </w:p>
        </w:tc>
      </w:tr>
      <w:tr w:rsidR="007B3DB2" w:rsidRPr="0063248C" w14:paraId="1A013F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80F34B" w14:textId="77777777" w:rsidR="007B3DB2" w:rsidRPr="0063248C" w:rsidRDefault="00000000">
            <w:pPr>
              <w:spacing w:before="40" w:after="40" w:line="240" w:lineRule="exact"/>
              <w:rPr>
                <w:rFonts w:cs="宋体"/>
                <w:sz w:val="18"/>
                <w:szCs w:val="18"/>
              </w:rPr>
            </w:pPr>
            <w:r w:rsidRPr="0063248C">
              <w:rPr>
                <w:rFonts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07028640" w14:textId="77777777" w:rsidR="007B3DB2" w:rsidRPr="0063248C" w:rsidRDefault="00000000">
            <w:pPr>
              <w:spacing w:line="240" w:lineRule="exact"/>
              <w:jc w:val="right"/>
              <w:rPr>
                <w:rFonts w:cs="宋体"/>
                <w:sz w:val="18"/>
                <w:szCs w:val="18"/>
              </w:rPr>
            </w:pPr>
            <w:r w:rsidRPr="0063248C">
              <w:rPr>
                <w:rFonts w:cs="宋体"/>
                <w:sz w:val="18"/>
                <w:szCs w:val="18"/>
              </w:rPr>
              <w:t>4,213,982,729.23</w:t>
            </w:r>
          </w:p>
        </w:tc>
        <w:tc>
          <w:tcPr>
            <w:tcW w:w="3213" w:type="dxa"/>
            <w:tcBorders>
              <w:top w:val="single" w:sz="2" w:space="0" w:color="auto"/>
              <w:left w:val="single" w:sz="2" w:space="0" w:color="auto"/>
              <w:bottom w:val="single" w:sz="2" w:space="0" w:color="auto"/>
              <w:right w:val="single" w:sz="2" w:space="0" w:color="auto"/>
            </w:tcBorders>
            <w:vAlign w:val="center"/>
          </w:tcPr>
          <w:p w14:paraId="06E4FE6D" w14:textId="77777777" w:rsidR="007B3DB2" w:rsidRPr="0063248C" w:rsidRDefault="00000000">
            <w:pPr>
              <w:spacing w:line="240" w:lineRule="exact"/>
              <w:jc w:val="right"/>
              <w:rPr>
                <w:rFonts w:cs="宋体"/>
                <w:sz w:val="18"/>
                <w:szCs w:val="18"/>
              </w:rPr>
            </w:pPr>
            <w:r w:rsidRPr="0063248C">
              <w:rPr>
                <w:rFonts w:cs="宋体"/>
                <w:sz w:val="18"/>
                <w:szCs w:val="18"/>
              </w:rPr>
              <w:t>4,660,577,593.02</w:t>
            </w:r>
          </w:p>
        </w:tc>
      </w:tr>
      <w:tr w:rsidR="007B3DB2" w:rsidRPr="0063248C" w14:paraId="2CC6AE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EA989B" w14:textId="77777777" w:rsidR="007B3DB2" w:rsidRPr="0063248C" w:rsidRDefault="00000000">
            <w:pPr>
              <w:spacing w:line="240" w:lineRule="exact"/>
              <w:rPr>
                <w:rFonts w:cs="宋体"/>
                <w:sz w:val="18"/>
                <w:szCs w:val="18"/>
              </w:rPr>
            </w:pPr>
            <w:r w:rsidRPr="0063248C">
              <w:rPr>
                <w:rFonts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ED36A6"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562498" w14:textId="77777777" w:rsidR="007B3DB2" w:rsidRPr="0063248C" w:rsidRDefault="007B3DB2"/>
        </w:tc>
      </w:tr>
      <w:tr w:rsidR="007B3DB2" w:rsidRPr="0063248C" w14:paraId="4A58EB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117E26"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032150D3" w14:textId="77777777" w:rsidR="007B3DB2" w:rsidRPr="0063248C" w:rsidRDefault="00000000">
            <w:pPr>
              <w:spacing w:line="240" w:lineRule="exact"/>
              <w:jc w:val="right"/>
              <w:rPr>
                <w:rFonts w:cs="宋体"/>
                <w:sz w:val="18"/>
                <w:szCs w:val="18"/>
              </w:rPr>
            </w:pPr>
            <w:r w:rsidRPr="0063248C">
              <w:rPr>
                <w:rFonts w:cs="宋体"/>
                <w:sz w:val="18"/>
                <w:szCs w:val="18"/>
              </w:rPr>
              <w:t>1,079,159,939.00</w:t>
            </w:r>
          </w:p>
        </w:tc>
        <w:tc>
          <w:tcPr>
            <w:tcW w:w="3213" w:type="dxa"/>
            <w:tcBorders>
              <w:top w:val="single" w:sz="2" w:space="0" w:color="auto"/>
              <w:left w:val="single" w:sz="2" w:space="0" w:color="auto"/>
              <w:bottom w:val="single" w:sz="2" w:space="0" w:color="auto"/>
              <w:right w:val="single" w:sz="2" w:space="0" w:color="auto"/>
            </w:tcBorders>
            <w:vAlign w:val="center"/>
          </w:tcPr>
          <w:p w14:paraId="30265A0A" w14:textId="77777777" w:rsidR="007B3DB2" w:rsidRPr="0063248C" w:rsidRDefault="00000000">
            <w:pPr>
              <w:spacing w:line="240" w:lineRule="exact"/>
              <w:jc w:val="right"/>
              <w:rPr>
                <w:rFonts w:cs="宋体"/>
                <w:sz w:val="18"/>
                <w:szCs w:val="18"/>
              </w:rPr>
            </w:pPr>
            <w:r w:rsidRPr="0063248C">
              <w:rPr>
                <w:rFonts w:cs="宋体"/>
                <w:sz w:val="18"/>
                <w:szCs w:val="18"/>
              </w:rPr>
              <w:t>1,079,159,832.00</w:t>
            </w:r>
          </w:p>
        </w:tc>
      </w:tr>
      <w:tr w:rsidR="007B3DB2" w:rsidRPr="0063248C" w14:paraId="1DC2FD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546098"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500A90A4" w14:textId="77777777" w:rsidR="007B3DB2" w:rsidRPr="0063248C" w:rsidRDefault="00000000">
            <w:pPr>
              <w:spacing w:line="240" w:lineRule="exact"/>
              <w:jc w:val="right"/>
              <w:rPr>
                <w:rFonts w:cs="宋体"/>
                <w:sz w:val="18"/>
                <w:szCs w:val="18"/>
              </w:rPr>
            </w:pPr>
            <w:r w:rsidRPr="0063248C">
              <w:rPr>
                <w:rFonts w:cs="宋体"/>
                <w:sz w:val="18"/>
                <w:szCs w:val="18"/>
              </w:rPr>
              <w:t>171,570,700.63</w:t>
            </w:r>
          </w:p>
        </w:tc>
        <w:tc>
          <w:tcPr>
            <w:tcW w:w="3213" w:type="dxa"/>
            <w:tcBorders>
              <w:top w:val="single" w:sz="2" w:space="0" w:color="auto"/>
              <w:left w:val="single" w:sz="2" w:space="0" w:color="auto"/>
              <w:bottom w:val="single" w:sz="2" w:space="0" w:color="auto"/>
              <w:right w:val="single" w:sz="2" w:space="0" w:color="auto"/>
            </w:tcBorders>
            <w:vAlign w:val="center"/>
          </w:tcPr>
          <w:p w14:paraId="405BD339" w14:textId="77777777" w:rsidR="007B3DB2" w:rsidRPr="0063248C" w:rsidRDefault="00000000">
            <w:pPr>
              <w:spacing w:line="240" w:lineRule="exact"/>
              <w:jc w:val="right"/>
              <w:rPr>
                <w:rFonts w:cs="宋体"/>
                <w:sz w:val="18"/>
                <w:szCs w:val="18"/>
              </w:rPr>
            </w:pPr>
            <w:r w:rsidRPr="0063248C">
              <w:rPr>
                <w:rFonts w:cs="宋体"/>
                <w:sz w:val="18"/>
                <w:szCs w:val="18"/>
              </w:rPr>
              <w:t>171,570,881.98</w:t>
            </w:r>
          </w:p>
        </w:tc>
      </w:tr>
      <w:tr w:rsidR="007B3DB2" w:rsidRPr="0063248C" w14:paraId="075CF2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93A311" w14:textId="77777777" w:rsidR="007B3DB2" w:rsidRPr="0063248C" w:rsidRDefault="00000000">
            <w:pPr>
              <w:spacing w:line="240" w:lineRule="exact"/>
              <w:ind w:firstLineChars="200" w:firstLine="360"/>
              <w:rPr>
                <w:rFonts w:cs="宋体"/>
                <w:sz w:val="18"/>
                <w:szCs w:val="18"/>
              </w:rPr>
            </w:pPr>
            <w:r w:rsidRPr="0063248C">
              <w:rPr>
                <w:rFonts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26E3B1B2"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24D06F" w14:textId="77777777" w:rsidR="007B3DB2" w:rsidRPr="0063248C" w:rsidRDefault="007B3DB2">
            <w:pPr>
              <w:spacing w:line="240" w:lineRule="exact"/>
              <w:jc w:val="right"/>
              <w:rPr>
                <w:rFonts w:cs="宋体"/>
                <w:sz w:val="18"/>
                <w:szCs w:val="18"/>
              </w:rPr>
            </w:pPr>
          </w:p>
        </w:tc>
      </w:tr>
      <w:tr w:rsidR="007B3DB2" w:rsidRPr="0063248C" w14:paraId="5D13C8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DCE4A5" w14:textId="77777777" w:rsidR="007B3DB2" w:rsidRPr="0063248C" w:rsidRDefault="00000000">
            <w:pPr>
              <w:spacing w:line="240" w:lineRule="exact"/>
              <w:ind w:firstLineChars="500" w:firstLine="900"/>
              <w:rPr>
                <w:rFonts w:cs="宋体"/>
                <w:sz w:val="18"/>
                <w:szCs w:val="18"/>
              </w:rPr>
            </w:pPr>
            <w:r w:rsidRPr="0063248C">
              <w:rPr>
                <w:rFonts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1C3C4CC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5B63E2" w14:textId="77777777" w:rsidR="007B3DB2" w:rsidRPr="0063248C" w:rsidRDefault="007B3DB2">
            <w:pPr>
              <w:spacing w:line="240" w:lineRule="exact"/>
              <w:jc w:val="right"/>
              <w:rPr>
                <w:rFonts w:cs="宋体"/>
                <w:sz w:val="18"/>
                <w:szCs w:val="18"/>
              </w:rPr>
            </w:pPr>
          </w:p>
        </w:tc>
      </w:tr>
      <w:tr w:rsidR="007B3DB2" w:rsidRPr="0063248C" w14:paraId="37C573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F6B982"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4637A424" w14:textId="77777777" w:rsidR="007B3DB2" w:rsidRPr="0063248C" w:rsidRDefault="00000000">
            <w:pPr>
              <w:spacing w:line="240" w:lineRule="exact"/>
              <w:jc w:val="right"/>
              <w:rPr>
                <w:rFonts w:cs="宋体"/>
                <w:sz w:val="18"/>
                <w:szCs w:val="18"/>
              </w:rPr>
            </w:pPr>
            <w:r w:rsidRPr="0063248C">
              <w:rPr>
                <w:rFonts w:cs="宋体"/>
                <w:sz w:val="18"/>
                <w:szCs w:val="18"/>
              </w:rPr>
              <w:t>824,958,540.69</w:t>
            </w:r>
          </w:p>
        </w:tc>
        <w:tc>
          <w:tcPr>
            <w:tcW w:w="3213" w:type="dxa"/>
            <w:tcBorders>
              <w:top w:val="single" w:sz="2" w:space="0" w:color="auto"/>
              <w:left w:val="single" w:sz="2" w:space="0" w:color="auto"/>
              <w:bottom w:val="single" w:sz="2" w:space="0" w:color="auto"/>
              <w:right w:val="single" w:sz="2" w:space="0" w:color="auto"/>
            </w:tcBorders>
            <w:vAlign w:val="center"/>
          </w:tcPr>
          <w:p w14:paraId="5FA0D2D7" w14:textId="77777777" w:rsidR="007B3DB2" w:rsidRPr="0063248C" w:rsidRDefault="00000000">
            <w:pPr>
              <w:spacing w:line="240" w:lineRule="exact"/>
              <w:jc w:val="right"/>
              <w:rPr>
                <w:rFonts w:cs="宋体"/>
                <w:sz w:val="18"/>
                <w:szCs w:val="18"/>
              </w:rPr>
            </w:pPr>
            <w:r w:rsidRPr="0063248C">
              <w:rPr>
                <w:rFonts w:cs="宋体"/>
                <w:sz w:val="18"/>
                <w:szCs w:val="18"/>
              </w:rPr>
              <w:t>824,957,421.64</w:t>
            </w:r>
          </w:p>
        </w:tc>
      </w:tr>
      <w:tr w:rsidR="007B3DB2" w:rsidRPr="0063248C" w14:paraId="3E7789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E03C7F"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317DA1FD"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c>
          <w:tcPr>
            <w:tcW w:w="3213" w:type="dxa"/>
            <w:tcBorders>
              <w:top w:val="single" w:sz="2" w:space="0" w:color="auto"/>
              <w:left w:val="single" w:sz="2" w:space="0" w:color="auto"/>
              <w:bottom w:val="single" w:sz="2" w:space="0" w:color="auto"/>
              <w:right w:val="single" w:sz="2" w:space="0" w:color="auto"/>
            </w:tcBorders>
            <w:vAlign w:val="center"/>
          </w:tcPr>
          <w:p w14:paraId="3BBC362F"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r>
      <w:tr w:rsidR="007B3DB2" w:rsidRPr="0063248C" w14:paraId="4C5E0C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E8D10B"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0A852C3"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c>
          <w:tcPr>
            <w:tcW w:w="3213" w:type="dxa"/>
            <w:tcBorders>
              <w:top w:val="single" w:sz="2" w:space="0" w:color="auto"/>
              <w:left w:val="single" w:sz="2" w:space="0" w:color="auto"/>
              <w:bottom w:val="single" w:sz="2" w:space="0" w:color="auto"/>
              <w:right w:val="single" w:sz="2" w:space="0" w:color="auto"/>
            </w:tcBorders>
            <w:vAlign w:val="center"/>
          </w:tcPr>
          <w:p w14:paraId="747BCC6B"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r>
      <w:tr w:rsidR="007B3DB2" w:rsidRPr="0063248C" w14:paraId="7AF8A3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23854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20BD5ED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ED5593" w14:textId="77777777" w:rsidR="007B3DB2" w:rsidRPr="0063248C" w:rsidRDefault="007B3DB2">
            <w:pPr>
              <w:spacing w:line="240" w:lineRule="exact"/>
              <w:jc w:val="right"/>
              <w:rPr>
                <w:rFonts w:cs="宋体"/>
                <w:sz w:val="18"/>
                <w:szCs w:val="18"/>
              </w:rPr>
            </w:pPr>
          </w:p>
        </w:tc>
      </w:tr>
      <w:tr w:rsidR="007B3DB2" w:rsidRPr="0063248C" w14:paraId="29A029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A8EB17"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7E4FA858"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50FA33C0"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r>
      <w:tr w:rsidR="007B3DB2" w:rsidRPr="0063248C" w14:paraId="4098E8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5CBBE0"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00A0388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DA43BDA" w14:textId="77777777" w:rsidR="007B3DB2" w:rsidRPr="0063248C" w:rsidRDefault="007B3DB2">
            <w:pPr>
              <w:spacing w:line="240" w:lineRule="exact"/>
              <w:jc w:val="right"/>
              <w:rPr>
                <w:rFonts w:cs="宋体"/>
                <w:sz w:val="18"/>
                <w:szCs w:val="18"/>
              </w:rPr>
            </w:pPr>
          </w:p>
        </w:tc>
      </w:tr>
      <w:tr w:rsidR="007B3DB2" w:rsidRPr="0063248C" w14:paraId="165272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21641F"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2D0AC7DD" w14:textId="77777777" w:rsidR="007B3DB2" w:rsidRPr="0063248C" w:rsidRDefault="00000000">
            <w:pPr>
              <w:spacing w:line="240" w:lineRule="exact"/>
              <w:jc w:val="right"/>
              <w:rPr>
                <w:rFonts w:cs="宋体"/>
                <w:sz w:val="18"/>
                <w:szCs w:val="18"/>
              </w:rPr>
            </w:pPr>
            <w:r w:rsidRPr="0063248C">
              <w:rPr>
                <w:rFonts w:cs="宋体"/>
                <w:sz w:val="18"/>
                <w:szCs w:val="18"/>
              </w:rPr>
              <w:t>-457,146,752.15</w:t>
            </w:r>
          </w:p>
        </w:tc>
        <w:tc>
          <w:tcPr>
            <w:tcW w:w="3213" w:type="dxa"/>
            <w:tcBorders>
              <w:top w:val="single" w:sz="2" w:space="0" w:color="auto"/>
              <w:left w:val="single" w:sz="2" w:space="0" w:color="auto"/>
              <w:bottom w:val="single" w:sz="2" w:space="0" w:color="auto"/>
              <w:right w:val="single" w:sz="2" w:space="0" w:color="auto"/>
            </w:tcBorders>
            <w:vAlign w:val="center"/>
          </w:tcPr>
          <w:p w14:paraId="11A23185" w14:textId="77777777" w:rsidR="007B3DB2" w:rsidRPr="0063248C" w:rsidRDefault="00000000">
            <w:pPr>
              <w:spacing w:line="240" w:lineRule="exact"/>
              <w:jc w:val="right"/>
              <w:rPr>
                <w:rFonts w:cs="宋体"/>
                <w:sz w:val="18"/>
                <w:szCs w:val="18"/>
              </w:rPr>
            </w:pPr>
            <w:r w:rsidRPr="0063248C">
              <w:rPr>
                <w:rFonts w:cs="宋体"/>
                <w:sz w:val="18"/>
                <w:szCs w:val="18"/>
              </w:rPr>
              <w:t>-515,299,374.16</w:t>
            </w:r>
          </w:p>
        </w:tc>
      </w:tr>
      <w:tr w:rsidR="007B3DB2" w:rsidRPr="0063248C" w14:paraId="23C30E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06ACB1" w14:textId="77777777" w:rsidR="007B3DB2" w:rsidRPr="0063248C" w:rsidRDefault="00000000">
            <w:pPr>
              <w:spacing w:line="240" w:lineRule="exact"/>
              <w:rPr>
                <w:rFonts w:cs="宋体"/>
                <w:sz w:val="18"/>
                <w:szCs w:val="18"/>
              </w:rPr>
            </w:pPr>
            <w:r w:rsidRPr="0063248C">
              <w:rPr>
                <w:rFonts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3F1BEB93" w14:textId="77777777" w:rsidR="007B3DB2" w:rsidRPr="0063248C" w:rsidRDefault="00000000">
            <w:pPr>
              <w:spacing w:line="240" w:lineRule="exact"/>
              <w:jc w:val="right"/>
              <w:rPr>
                <w:rFonts w:cs="宋体"/>
                <w:sz w:val="18"/>
                <w:szCs w:val="18"/>
              </w:rPr>
            </w:pPr>
            <w:r w:rsidRPr="0063248C">
              <w:rPr>
                <w:rFonts w:cs="宋体"/>
                <w:sz w:val="18"/>
                <w:szCs w:val="18"/>
              </w:rPr>
              <w:t>1,540,135,274.04</w:t>
            </w:r>
          </w:p>
        </w:tc>
        <w:tc>
          <w:tcPr>
            <w:tcW w:w="3213" w:type="dxa"/>
            <w:tcBorders>
              <w:top w:val="single" w:sz="2" w:space="0" w:color="auto"/>
              <w:left w:val="single" w:sz="2" w:space="0" w:color="auto"/>
              <w:bottom w:val="single" w:sz="2" w:space="0" w:color="auto"/>
              <w:right w:val="single" w:sz="2" w:space="0" w:color="auto"/>
            </w:tcBorders>
            <w:vAlign w:val="center"/>
          </w:tcPr>
          <w:p w14:paraId="2D29482F" w14:textId="77777777" w:rsidR="007B3DB2" w:rsidRPr="0063248C" w:rsidRDefault="00000000">
            <w:pPr>
              <w:spacing w:line="240" w:lineRule="exact"/>
              <w:jc w:val="right"/>
              <w:rPr>
                <w:rFonts w:cs="宋体"/>
                <w:sz w:val="18"/>
                <w:szCs w:val="18"/>
              </w:rPr>
            </w:pPr>
            <w:r w:rsidRPr="0063248C">
              <w:rPr>
                <w:rFonts w:cs="宋体"/>
                <w:sz w:val="18"/>
                <w:szCs w:val="18"/>
              </w:rPr>
              <w:t>1,481,981,607.33</w:t>
            </w:r>
          </w:p>
        </w:tc>
      </w:tr>
      <w:tr w:rsidR="007B3DB2" w:rsidRPr="0063248C" w14:paraId="5A35AA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0F9BF8"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2ADF224E" w14:textId="77777777" w:rsidR="007B3DB2" w:rsidRPr="0063248C" w:rsidRDefault="00000000">
            <w:pPr>
              <w:spacing w:line="240" w:lineRule="exact"/>
              <w:jc w:val="right"/>
              <w:rPr>
                <w:rFonts w:cs="宋体"/>
                <w:sz w:val="18"/>
                <w:szCs w:val="18"/>
              </w:rPr>
            </w:pPr>
            <w:r w:rsidRPr="0063248C">
              <w:rPr>
                <w:rFonts w:cs="宋体"/>
                <w:sz w:val="18"/>
                <w:szCs w:val="18"/>
              </w:rPr>
              <w:t>180,387,140.70</w:t>
            </w:r>
          </w:p>
        </w:tc>
        <w:tc>
          <w:tcPr>
            <w:tcW w:w="3213" w:type="dxa"/>
            <w:tcBorders>
              <w:top w:val="single" w:sz="2" w:space="0" w:color="auto"/>
              <w:left w:val="single" w:sz="2" w:space="0" w:color="auto"/>
              <w:bottom w:val="single" w:sz="2" w:space="0" w:color="auto"/>
              <w:right w:val="single" w:sz="2" w:space="0" w:color="auto"/>
            </w:tcBorders>
            <w:vAlign w:val="center"/>
          </w:tcPr>
          <w:p w14:paraId="4D33E06E" w14:textId="77777777" w:rsidR="007B3DB2" w:rsidRPr="0063248C" w:rsidRDefault="00000000">
            <w:pPr>
              <w:spacing w:line="240" w:lineRule="exact"/>
              <w:jc w:val="right"/>
              <w:rPr>
                <w:rFonts w:cs="宋体"/>
                <w:sz w:val="18"/>
                <w:szCs w:val="18"/>
              </w:rPr>
            </w:pPr>
            <w:r w:rsidRPr="0063248C">
              <w:rPr>
                <w:rFonts w:cs="宋体"/>
                <w:sz w:val="18"/>
                <w:szCs w:val="18"/>
              </w:rPr>
              <w:t>174,979,208.11</w:t>
            </w:r>
          </w:p>
        </w:tc>
      </w:tr>
      <w:tr w:rsidR="007B3DB2" w:rsidRPr="0063248C" w14:paraId="51942D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DA3EAC" w14:textId="77777777" w:rsidR="007B3DB2" w:rsidRPr="0063248C" w:rsidRDefault="00000000">
            <w:pPr>
              <w:spacing w:line="240" w:lineRule="exact"/>
              <w:rPr>
                <w:rFonts w:cs="宋体"/>
                <w:sz w:val="18"/>
                <w:szCs w:val="18"/>
              </w:rPr>
            </w:pPr>
            <w:r w:rsidRPr="0063248C">
              <w:rPr>
                <w:rFonts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6AA32E57" w14:textId="77777777" w:rsidR="007B3DB2" w:rsidRPr="0063248C" w:rsidRDefault="00000000">
            <w:pPr>
              <w:spacing w:line="240" w:lineRule="exact"/>
              <w:jc w:val="right"/>
              <w:rPr>
                <w:rFonts w:cs="宋体"/>
                <w:sz w:val="18"/>
                <w:szCs w:val="18"/>
              </w:rPr>
            </w:pPr>
            <w:r w:rsidRPr="0063248C">
              <w:rPr>
                <w:rFonts w:cs="宋体"/>
                <w:sz w:val="18"/>
                <w:szCs w:val="18"/>
              </w:rPr>
              <w:t>1,720,522,414.74</w:t>
            </w:r>
          </w:p>
        </w:tc>
        <w:tc>
          <w:tcPr>
            <w:tcW w:w="3213" w:type="dxa"/>
            <w:tcBorders>
              <w:top w:val="single" w:sz="2" w:space="0" w:color="auto"/>
              <w:left w:val="single" w:sz="2" w:space="0" w:color="auto"/>
              <w:bottom w:val="single" w:sz="2" w:space="0" w:color="auto"/>
              <w:right w:val="single" w:sz="2" w:space="0" w:color="auto"/>
            </w:tcBorders>
            <w:vAlign w:val="center"/>
          </w:tcPr>
          <w:p w14:paraId="1135A1FD" w14:textId="77777777" w:rsidR="007B3DB2" w:rsidRPr="0063248C" w:rsidRDefault="00000000">
            <w:pPr>
              <w:spacing w:line="240" w:lineRule="exact"/>
              <w:jc w:val="right"/>
              <w:rPr>
                <w:rFonts w:cs="宋体"/>
                <w:sz w:val="18"/>
                <w:szCs w:val="18"/>
              </w:rPr>
            </w:pPr>
            <w:r w:rsidRPr="0063248C">
              <w:rPr>
                <w:rFonts w:cs="宋体"/>
                <w:sz w:val="18"/>
                <w:szCs w:val="18"/>
              </w:rPr>
              <w:t>1,656,960,815.44</w:t>
            </w:r>
          </w:p>
        </w:tc>
      </w:tr>
      <w:tr w:rsidR="007B3DB2" w:rsidRPr="0063248C" w14:paraId="23B086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9C58EB" w14:textId="77777777" w:rsidR="007B3DB2" w:rsidRPr="0063248C" w:rsidRDefault="00000000">
            <w:pPr>
              <w:spacing w:line="240" w:lineRule="exact"/>
              <w:rPr>
                <w:rFonts w:cs="宋体"/>
                <w:sz w:val="18"/>
                <w:szCs w:val="18"/>
              </w:rPr>
            </w:pPr>
            <w:r w:rsidRPr="0063248C">
              <w:rPr>
                <w:rFonts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550C01F1" w14:textId="77777777" w:rsidR="007B3DB2" w:rsidRPr="0063248C" w:rsidRDefault="00000000">
            <w:pPr>
              <w:spacing w:line="240" w:lineRule="exact"/>
              <w:jc w:val="right"/>
              <w:rPr>
                <w:rFonts w:cs="宋体"/>
                <w:sz w:val="18"/>
                <w:szCs w:val="18"/>
              </w:rPr>
            </w:pPr>
            <w:r w:rsidRPr="0063248C">
              <w:rPr>
                <w:rFonts w:cs="宋体"/>
                <w:sz w:val="18"/>
                <w:szCs w:val="18"/>
              </w:rPr>
              <w:t>5,934,505,143.97</w:t>
            </w:r>
          </w:p>
        </w:tc>
        <w:tc>
          <w:tcPr>
            <w:tcW w:w="3213" w:type="dxa"/>
            <w:tcBorders>
              <w:top w:val="single" w:sz="2" w:space="0" w:color="auto"/>
              <w:left w:val="single" w:sz="2" w:space="0" w:color="auto"/>
              <w:bottom w:val="single" w:sz="2" w:space="0" w:color="auto"/>
              <w:right w:val="single" w:sz="2" w:space="0" w:color="auto"/>
            </w:tcBorders>
            <w:vAlign w:val="center"/>
          </w:tcPr>
          <w:p w14:paraId="48B35AD5" w14:textId="77777777" w:rsidR="007B3DB2" w:rsidRPr="0063248C" w:rsidRDefault="00000000">
            <w:pPr>
              <w:spacing w:line="240" w:lineRule="exact"/>
              <w:jc w:val="right"/>
              <w:rPr>
                <w:rFonts w:cs="宋体"/>
                <w:sz w:val="18"/>
                <w:szCs w:val="18"/>
              </w:rPr>
            </w:pPr>
            <w:r w:rsidRPr="0063248C">
              <w:rPr>
                <w:rFonts w:cs="宋体"/>
                <w:sz w:val="18"/>
                <w:szCs w:val="18"/>
              </w:rPr>
              <w:t>6,317,538,408.46</w:t>
            </w:r>
          </w:p>
        </w:tc>
      </w:tr>
    </w:tbl>
    <w:p w14:paraId="463335FD" w14:textId="77777777" w:rsidR="007B3DB2" w:rsidRPr="0063248C" w:rsidRDefault="00000000">
      <w:pPr>
        <w:spacing w:before="100" w:after="100" w:line="240" w:lineRule="exact"/>
        <w:rPr>
          <w:rFonts w:cs="宋体"/>
          <w:sz w:val="18"/>
          <w:szCs w:val="18"/>
        </w:rPr>
      </w:pPr>
      <w:r w:rsidRPr="0063248C">
        <w:rPr>
          <w:rFonts w:cs="宋体"/>
          <w:sz w:val="18"/>
          <w:szCs w:val="18"/>
        </w:rPr>
        <w:t>法定代表人：杨晓初</w:t>
      </w:r>
      <w:r w:rsidRPr="0063248C">
        <w:rPr>
          <w:rFonts w:cs="宋体"/>
          <w:sz w:val="18"/>
          <w:szCs w:val="18"/>
        </w:rPr>
        <w:t xml:space="preserve">    </w:t>
      </w:r>
      <w:r w:rsidRPr="0063248C">
        <w:rPr>
          <w:rFonts w:cs="宋体"/>
          <w:sz w:val="18"/>
          <w:szCs w:val="18"/>
        </w:rPr>
        <w:t>主管会计工作负责人：</w:t>
      </w:r>
      <w:proofErr w:type="gramStart"/>
      <w:r w:rsidRPr="0063248C">
        <w:rPr>
          <w:rFonts w:cs="宋体"/>
          <w:sz w:val="18"/>
          <w:szCs w:val="18"/>
        </w:rPr>
        <w:t>张凌</w:t>
      </w:r>
      <w:proofErr w:type="gramEnd"/>
      <w:r w:rsidRPr="0063248C">
        <w:rPr>
          <w:rFonts w:cs="宋体"/>
          <w:sz w:val="18"/>
          <w:szCs w:val="18"/>
        </w:rPr>
        <w:t xml:space="preserve">      </w:t>
      </w:r>
      <w:r w:rsidRPr="0063248C">
        <w:rPr>
          <w:rFonts w:cs="宋体"/>
          <w:sz w:val="18"/>
          <w:szCs w:val="18"/>
        </w:rPr>
        <w:t>会计机构负责人：刘璐希</w:t>
      </w:r>
    </w:p>
    <w:p w14:paraId="35AAF2FE" w14:textId="77777777" w:rsidR="007B3DB2" w:rsidRPr="0063248C" w:rsidRDefault="00000000">
      <w:pPr>
        <w:pStyle w:val="3"/>
        <w:spacing w:line="320" w:lineRule="exact"/>
        <w:jc w:val="left"/>
        <w:rPr>
          <w:rFonts w:cs="宋体"/>
          <w:b/>
          <w:bCs/>
          <w:sz w:val="24"/>
          <w:szCs w:val="24"/>
        </w:rPr>
      </w:pPr>
      <w:bookmarkStart w:id="105" w:name="_Toc988994"/>
      <w:r w:rsidRPr="0063248C">
        <w:rPr>
          <w:rFonts w:cs="宋体"/>
          <w:b/>
          <w:bCs/>
          <w:sz w:val="24"/>
          <w:szCs w:val="24"/>
        </w:rPr>
        <w:t>2</w:t>
      </w:r>
      <w:r w:rsidRPr="0063248C">
        <w:rPr>
          <w:rFonts w:cs="宋体"/>
          <w:b/>
          <w:bCs/>
          <w:sz w:val="24"/>
          <w:szCs w:val="24"/>
        </w:rPr>
        <w:t>、母公司资产负债表</w:t>
      </w:r>
      <w:bookmarkEnd w:id="105"/>
    </w:p>
    <w:p w14:paraId="7A38CA12"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180349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ACFF8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D4134B"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F50D1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079B9C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330447" w14:textId="77777777" w:rsidR="007B3DB2" w:rsidRPr="0063248C" w:rsidRDefault="00000000">
            <w:pPr>
              <w:spacing w:before="40" w:after="40" w:line="240" w:lineRule="exact"/>
              <w:rPr>
                <w:rFonts w:cs="宋体"/>
                <w:sz w:val="18"/>
                <w:szCs w:val="18"/>
              </w:rPr>
            </w:pPr>
            <w:r w:rsidRPr="0063248C">
              <w:rPr>
                <w:rFonts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380A96"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FADA75" w14:textId="77777777" w:rsidR="007B3DB2" w:rsidRPr="0063248C" w:rsidRDefault="007B3DB2"/>
        </w:tc>
      </w:tr>
      <w:tr w:rsidR="007B3DB2" w:rsidRPr="0063248C" w14:paraId="45C534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D5D748"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61B0E7D4" w14:textId="77777777" w:rsidR="007B3DB2" w:rsidRPr="0063248C" w:rsidRDefault="00000000">
            <w:pPr>
              <w:spacing w:line="240" w:lineRule="exact"/>
              <w:jc w:val="right"/>
              <w:rPr>
                <w:rFonts w:cs="宋体"/>
                <w:sz w:val="18"/>
                <w:szCs w:val="18"/>
              </w:rPr>
            </w:pPr>
            <w:r w:rsidRPr="0063248C">
              <w:rPr>
                <w:rFonts w:cs="宋体"/>
                <w:sz w:val="18"/>
                <w:szCs w:val="18"/>
              </w:rPr>
              <w:t>691,321,314.14</w:t>
            </w:r>
          </w:p>
        </w:tc>
        <w:tc>
          <w:tcPr>
            <w:tcW w:w="3213" w:type="dxa"/>
            <w:tcBorders>
              <w:top w:val="single" w:sz="2" w:space="0" w:color="auto"/>
              <w:left w:val="single" w:sz="2" w:space="0" w:color="auto"/>
              <w:bottom w:val="single" w:sz="2" w:space="0" w:color="auto"/>
              <w:right w:val="single" w:sz="2" w:space="0" w:color="auto"/>
            </w:tcBorders>
            <w:vAlign w:val="center"/>
          </w:tcPr>
          <w:p w14:paraId="5ABAA7D3" w14:textId="77777777" w:rsidR="007B3DB2" w:rsidRPr="0063248C" w:rsidRDefault="00000000">
            <w:pPr>
              <w:spacing w:line="240" w:lineRule="exact"/>
              <w:jc w:val="right"/>
              <w:rPr>
                <w:rFonts w:cs="宋体"/>
                <w:sz w:val="18"/>
                <w:szCs w:val="18"/>
              </w:rPr>
            </w:pPr>
            <w:r w:rsidRPr="0063248C">
              <w:rPr>
                <w:rFonts w:cs="宋体"/>
                <w:sz w:val="18"/>
                <w:szCs w:val="18"/>
              </w:rPr>
              <w:t>769,507,974.83</w:t>
            </w:r>
          </w:p>
        </w:tc>
      </w:tr>
      <w:tr w:rsidR="007B3DB2" w:rsidRPr="0063248C" w14:paraId="46ECF3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7BED17"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lastRenderedPageBreak/>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624355F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467B17" w14:textId="77777777" w:rsidR="007B3DB2" w:rsidRPr="0063248C" w:rsidRDefault="007B3DB2">
            <w:pPr>
              <w:spacing w:line="240" w:lineRule="exact"/>
              <w:jc w:val="right"/>
              <w:rPr>
                <w:rFonts w:cs="宋体"/>
                <w:sz w:val="18"/>
                <w:szCs w:val="18"/>
              </w:rPr>
            </w:pPr>
          </w:p>
        </w:tc>
      </w:tr>
      <w:tr w:rsidR="007B3DB2" w:rsidRPr="0063248C" w14:paraId="58262A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3FAC6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4C6429D"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F64E49" w14:textId="77777777" w:rsidR="007B3DB2" w:rsidRPr="0063248C" w:rsidRDefault="007B3DB2">
            <w:pPr>
              <w:spacing w:line="240" w:lineRule="exact"/>
              <w:jc w:val="right"/>
              <w:rPr>
                <w:rFonts w:cs="宋体"/>
                <w:sz w:val="18"/>
                <w:szCs w:val="18"/>
              </w:rPr>
            </w:pPr>
          </w:p>
        </w:tc>
      </w:tr>
      <w:tr w:rsidR="007B3DB2" w:rsidRPr="0063248C" w14:paraId="614EAE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43C91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02875FEA" w14:textId="77777777" w:rsidR="007B3DB2" w:rsidRPr="0063248C" w:rsidRDefault="00000000">
            <w:pPr>
              <w:spacing w:line="240" w:lineRule="exact"/>
              <w:jc w:val="right"/>
              <w:rPr>
                <w:rFonts w:cs="宋体"/>
                <w:sz w:val="18"/>
                <w:szCs w:val="18"/>
              </w:rPr>
            </w:pPr>
            <w:r w:rsidRPr="0063248C">
              <w:rPr>
                <w:rFonts w:cs="宋体"/>
                <w:sz w:val="18"/>
                <w:szCs w:val="18"/>
              </w:rPr>
              <w:t>935,836.78</w:t>
            </w:r>
          </w:p>
        </w:tc>
        <w:tc>
          <w:tcPr>
            <w:tcW w:w="3213" w:type="dxa"/>
            <w:tcBorders>
              <w:top w:val="single" w:sz="2" w:space="0" w:color="auto"/>
              <w:left w:val="single" w:sz="2" w:space="0" w:color="auto"/>
              <w:bottom w:val="single" w:sz="2" w:space="0" w:color="auto"/>
              <w:right w:val="single" w:sz="2" w:space="0" w:color="auto"/>
            </w:tcBorders>
            <w:vAlign w:val="center"/>
          </w:tcPr>
          <w:p w14:paraId="1E774995" w14:textId="77777777" w:rsidR="007B3DB2" w:rsidRPr="0063248C" w:rsidRDefault="00000000">
            <w:pPr>
              <w:spacing w:line="240" w:lineRule="exact"/>
              <w:jc w:val="right"/>
              <w:rPr>
                <w:rFonts w:cs="宋体"/>
                <w:sz w:val="18"/>
                <w:szCs w:val="18"/>
              </w:rPr>
            </w:pPr>
            <w:r w:rsidRPr="0063248C">
              <w:rPr>
                <w:rFonts w:cs="宋体"/>
                <w:sz w:val="18"/>
                <w:szCs w:val="18"/>
              </w:rPr>
              <w:t>162,341,021.98</w:t>
            </w:r>
          </w:p>
        </w:tc>
      </w:tr>
      <w:tr w:rsidR="007B3DB2" w:rsidRPr="0063248C" w14:paraId="1C43B2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79E52D"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3959BEFF" w14:textId="77777777" w:rsidR="007B3DB2" w:rsidRPr="0063248C" w:rsidRDefault="00000000">
            <w:pPr>
              <w:spacing w:line="240" w:lineRule="exact"/>
              <w:jc w:val="right"/>
              <w:rPr>
                <w:rFonts w:cs="宋体"/>
                <w:sz w:val="18"/>
                <w:szCs w:val="18"/>
              </w:rPr>
            </w:pPr>
            <w:r w:rsidRPr="0063248C">
              <w:rPr>
                <w:rFonts w:cs="宋体"/>
                <w:sz w:val="18"/>
                <w:szCs w:val="18"/>
              </w:rPr>
              <w:t>338,585,474.16</w:t>
            </w:r>
          </w:p>
        </w:tc>
        <w:tc>
          <w:tcPr>
            <w:tcW w:w="3213" w:type="dxa"/>
            <w:tcBorders>
              <w:top w:val="single" w:sz="2" w:space="0" w:color="auto"/>
              <w:left w:val="single" w:sz="2" w:space="0" w:color="auto"/>
              <w:bottom w:val="single" w:sz="2" w:space="0" w:color="auto"/>
              <w:right w:val="single" w:sz="2" w:space="0" w:color="auto"/>
            </w:tcBorders>
            <w:vAlign w:val="center"/>
          </w:tcPr>
          <w:p w14:paraId="430119B3" w14:textId="77777777" w:rsidR="007B3DB2" w:rsidRPr="0063248C" w:rsidRDefault="00000000">
            <w:pPr>
              <w:spacing w:line="240" w:lineRule="exact"/>
              <w:jc w:val="right"/>
              <w:rPr>
                <w:rFonts w:cs="宋体"/>
                <w:sz w:val="18"/>
                <w:szCs w:val="18"/>
              </w:rPr>
            </w:pPr>
            <w:r w:rsidRPr="0063248C">
              <w:rPr>
                <w:rFonts w:cs="宋体"/>
                <w:sz w:val="18"/>
                <w:szCs w:val="18"/>
              </w:rPr>
              <w:t>418,158,933.85</w:t>
            </w:r>
          </w:p>
        </w:tc>
      </w:tr>
      <w:tr w:rsidR="007B3DB2" w:rsidRPr="0063248C" w14:paraId="1BFB78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210DF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4B2174B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86EB3D" w14:textId="77777777" w:rsidR="007B3DB2" w:rsidRPr="0063248C" w:rsidRDefault="007B3DB2">
            <w:pPr>
              <w:spacing w:line="240" w:lineRule="exact"/>
              <w:jc w:val="right"/>
              <w:rPr>
                <w:rFonts w:cs="宋体"/>
                <w:sz w:val="18"/>
                <w:szCs w:val="18"/>
              </w:rPr>
            </w:pPr>
          </w:p>
        </w:tc>
      </w:tr>
      <w:tr w:rsidR="007B3DB2" w:rsidRPr="0063248C" w14:paraId="560E59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560AB2"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14E50750" w14:textId="77777777" w:rsidR="007B3DB2" w:rsidRPr="0063248C" w:rsidRDefault="00000000">
            <w:pPr>
              <w:spacing w:line="240" w:lineRule="exact"/>
              <w:jc w:val="right"/>
              <w:rPr>
                <w:rFonts w:cs="宋体"/>
                <w:sz w:val="18"/>
                <w:szCs w:val="18"/>
              </w:rPr>
            </w:pPr>
            <w:r w:rsidRPr="0063248C">
              <w:rPr>
                <w:rFonts w:cs="宋体"/>
                <w:sz w:val="18"/>
                <w:szCs w:val="18"/>
              </w:rPr>
              <w:t>108,623,629.77</w:t>
            </w:r>
          </w:p>
        </w:tc>
        <w:tc>
          <w:tcPr>
            <w:tcW w:w="3213" w:type="dxa"/>
            <w:tcBorders>
              <w:top w:val="single" w:sz="2" w:space="0" w:color="auto"/>
              <w:left w:val="single" w:sz="2" w:space="0" w:color="auto"/>
              <w:bottom w:val="single" w:sz="2" w:space="0" w:color="auto"/>
              <w:right w:val="single" w:sz="2" w:space="0" w:color="auto"/>
            </w:tcBorders>
            <w:vAlign w:val="center"/>
          </w:tcPr>
          <w:p w14:paraId="315647D4" w14:textId="77777777" w:rsidR="007B3DB2" w:rsidRPr="0063248C" w:rsidRDefault="00000000">
            <w:pPr>
              <w:spacing w:line="240" w:lineRule="exact"/>
              <w:jc w:val="right"/>
              <w:rPr>
                <w:rFonts w:cs="宋体"/>
                <w:sz w:val="18"/>
                <w:szCs w:val="18"/>
              </w:rPr>
            </w:pPr>
            <w:r w:rsidRPr="0063248C">
              <w:rPr>
                <w:rFonts w:cs="宋体"/>
                <w:sz w:val="18"/>
                <w:szCs w:val="18"/>
              </w:rPr>
              <w:t>143,706,489.30</w:t>
            </w:r>
          </w:p>
        </w:tc>
      </w:tr>
      <w:tr w:rsidR="007B3DB2" w:rsidRPr="0063248C" w14:paraId="413948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90044A"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5301968C" w14:textId="77777777" w:rsidR="007B3DB2" w:rsidRPr="0063248C" w:rsidRDefault="00000000">
            <w:pPr>
              <w:spacing w:line="240" w:lineRule="exact"/>
              <w:jc w:val="right"/>
              <w:rPr>
                <w:rFonts w:cs="宋体"/>
                <w:sz w:val="18"/>
                <w:szCs w:val="18"/>
              </w:rPr>
            </w:pPr>
            <w:r w:rsidRPr="0063248C">
              <w:rPr>
                <w:rFonts w:cs="宋体"/>
                <w:sz w:val="18"/>
                <w:szCs w:val="18"/>
              </w:rPr>
              <w:t>470,390,109.95</w:t>
            </w:r>
          </w:p>
        </w:tc>
        <w:tc>
          <w:tcPr>
            <w:tcW w:w="3213" w:type="dxa"/>
            <w:tcBorders>
              <w:top w:val="single" w:sz="2" w:space="0" w:color="auto"/>
              <w:left w:val="single" w:sz="2" w:space="0" w:color="auto"/>
              <w:bottom w:val="single" w:sz="2" w:space="0" w:color="auto"/>
              <w:right w:val="single" w:sz="2" w:space="0" w:color="auto"/>
            </w:tcBorders>
            <w:vAlign w:val="center"/>
          </w:tcPr>
          <w:p w14:paraId="7EF968E0" w14:textId="77777777" w:rsidR="007B3DB2" w:rsidRPr="0063248C" w:rsidRDefault="00000000">
            <w:pPr>
              <w:spacing w:line="240" w:lineRule="exact"/>
              <w:jc w:val="right"/>
              <w:rPr>
                <w:rFonts w:cs="宋体"/>
                <w:sz w:val="18"/>
                <w:szCs w:val="18"/>
              </w:rPr>
            </w:pPr>
            <w:r w:rsidRPr="0063248C">
              <w:rPr>
                <w:rFonts w:cs="宋体"/>
                <w:sz w:val="18"/>
                <w:szCs w:val="18"/>
              </w:rPr>
              <w:t>517,607,684.10</w:t>
            </w:r>
          </w:p>
        </w:tc>
      </w:tr>
      <w:tr w:rsidR="007B3DB2" w:rsidRPr="0063248C" w14:paraId="6868F5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9C1234"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77732CDA"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8CB0D7" w14:textId="77777777" w:rsidR="007B3DB2" w:rsidRPr="0063248C" w:rsidRDefault="007B3DB2">
            <w:pPr>
              <w:spacing w:line="240" w:lineRule="exact"/>
              <w:jc w:val="right"/>
              <w:rPr>
                <w:rFonts w:cs="宋体"/>
                <w:sz w:val="18"/>
                <w:szCs w:val="18"/>
              </w:rPr>
            </w:pPr>
          </w:p>
        </w:tc>
      </w:tr>
      <w:tr w:rsidR="007B3DB2" w:rsidRPr="0063248C" w14:paraId="38CB9C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9F480E" w14:textId="77777777" w:rsidR="007B3DB2" w:rsidRPr="0063248C" w:rsidRDefault="00000000">
            <w:pPr>
              <w:spacing w:before="40" w:after="40" w:line="240" w:lineRule="exact"/>
              <w:ind w:firstLineChars="500" w:firstLine="900"/>
              <w:rPr>
                <w:rFonts w:cs="宋体"/>
                <w:sz w:val="18"/>
                <w:szCs w:val="18"/>
              </w:rPr>
            </w:pPr>
            <w:r w:rsidRPr="0063248C">
              <w:rPr>
                <w:rFonts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029C1409" w14:textId="77777777" w:rsidR="007B3DB2" w:rsidRPr="0063248C" w:rsidRDefault="00000000">
            <w:pPr>
              <w:spacing w:line="240" w:lineRule="exact"/>
              <w:jc w:val="right"/>
              <w:rPr>
                <w:rFonts w:cs="宋体"/>
                <w:sz w:val="18"/>
                <w:szCs w:val="18"/>
              </w:rPr>
            </w:pPr>
            <w:r w:rsidRPr="0063248C">
              <w:rPr>
                <w:rFonts w:cs="宋体"/>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38B953AB" w14:textId="77777777" w:rsidR="007B3DB2" w:rsidRPr="0063248C" w:rsidRDefault="00000000">
            <w:pPr>
              <w:spacing w:line="240" w:lineRule="exact"/>
              <w:jc w:val="right"/>
              <w:rPr>
                <w:rFonts w:cs="宋体"/>
                <w:sz w:val="18"/>
                <w:szCs w:val="18"/>
              </w:rPr>
            </w:pPr>
            <w:r w:rsidRPr="0063248C">
              <w:rPr>
                <w:rFonts w:cs="宋体"/>
                <w:sz w:val="18"/>
                <w:szCs w:val="18"/>
              </w:rPr>
              <w:t>2,240,000.00</w:t>
            </w:r>
          </w:p>
        </w:tc>
      </w:tr>
      <w:tr w:rsidR="007B3DB2" w:rsidRPr="0063248C" w14:paraId="552819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2D2E93"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3E60B789" w14:textId="77777777" w:rsidR="007B3DB2" w:rsidRPr="0063248C" w:rsidRDefault="00000000">
            <w:pPr>
              <w:spacing w:line="240" w:lineRule="exact"/>
              <w:jc w:val="right"/>
              <w:rPr>
                <w:rFonts w:cs="宋体"/>
                <w:sz w:val="18"/>
                <w:szCs w:val="18"/>
              </w:rPr>
            </w:pPr>
            <w:r w:rsidRPr="0063248C">
              <w:rPr>
                <w:rFonts w:cs="宋体"/>
                <w:sz w:val="18"/>
                <w:szCs w:val="18"/>
              </w:rPr>
              <w:t>361,869,497.73</w:t>
            </w:r>
          </w:p>
        </w:tc>
        <w:tc>
          <w:tcPr>
            <w:tcW w:w="3213" w:type="dxa"/>
            <w:tcBorders>
              <w:top w:val="single" w:sz="2" w:space="0" w:color="auto"/>
              <w:left w:val="single" w:sz="2" w:space="0" w:color="auto"/>
              <w:bottom w:val="single" w:sz="2" w:space="0" w:color="auto"/>
              <w:right w:val="single" w:sz="2" w:space="0" w:color="auto"/>
            </w:tcBorders>
            <w:vAlign w:val="center"/>
          </w:tcPr>
          <w:p w14:paraId="1F6DDF9C" w14:textId="77777777" w:rsidR="007B3DB2" w:rsidRPr="0063248C" w:rsidRDefault="00000000">
            <w:pPr>
              <w:spacing w:line="240" w:lineRule="exact"/>
              <w:jc w:val="right"/>
              <w:rPr>
                <w:rFonts w:cs="宋体"/>
                <w:sz w:val="18"/>
                <w:szCs w:val="18"/>
              </w:rPr>
            </w:pPr>
            <w:r w:rsidRPr="0063248C">
              <w:rPr>
                <w:rFonts w:cs="宋体"/>
                <w:sz w:val="18"/>
                <w:szCs w:val="18"/>
              </w:rPr>
              <w:t>452,821,059.75</w:t>
            </w:r>
          </w:p>
        </w:tc>
      </w:tr>
      <w:tr w:rsidR="007B3DB2" w:rsidRPr="0063248C" w14:paraId="021635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5A7AFB"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702CF2C1"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69D4D2" w14:textId="77777777" w:rsidR="007B3DB2" w:rsidRPr="0063248C" w:rsidRDefault="007B3DB2">
            <w:pPr>
              <w:spacing w:line="240" w:lineRule="exact"/>
              <w:jc w:val="right"/>
              <w:rPr>
                <w:rFonts w:cs="宋体"/>
                <w:sz w:val="18"/>
                <w:szCs w:val="18"/>
              </w:rPr>
            </w:pPr>
          </w:p>
        </w:tc>
      </w:tr>
      <w:tr w:rsidR="007B3DB2" w:rsidRPr="0063248C" w14:paraId="11DEEF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193988"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47C0D90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5271A7" w14:textId="77777777" w:rsidR="007B3DB2" w:rsidRPr="0063248C" w:rsidRDefault="007B3DB2">
            <w:pPr>
              <w:spacing w:line="240" w:lineRule="exact"/>
              <w:jc w:val="right"/>
              <w:rPr>
                <w:rFonts w:cs="宋体"/>
                <w:sz w:val="18"/>
                <w:szCs w:val="18"/>
              </w:rPr>
            </w:pPr>
          </w:p>
        </w:tc>
      </w:tr>
      <w:tr w:rsidR="007B3DB2" w:rsidRPr="0063248C" w14:paraId="3D1A3A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980268"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52A12CF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47E49E" w14:textId="77777777" w:rsidR="007B3DB2" w:rsidRPr="0063248C" w:rsidRDefault="007B3DB2">
            <w:pPr>
              <w:spacing w:line="240" w:lineRule="exact"/>
              <w:jc w:val="right"/>
              <w:rPr>
                <w:rFonts w:cs="宋体"/>
                <w:sz w:val="18"/>
                <w:szCs w:val="18"/>
              </w:rPr>
            </w:pPr>
          </w:p>
        </w:tc>
      </w:tr>
      <w:tr w:rsidR="007B3DB2" w:rsidRPr="0063248C" w14:paraId="25A20F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4E5CD5"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034C1E1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2C03FF" w14:textId="77777777" w:rsidR="007B3DB2" w:rsidRPr="0063248C" w:rsidRDefault="007B3DB2">
            <w:pPr>
              <w:spacing w:line="240" w:lineRule="exact"/>
              <w:jc w:val="right"/>
              <w:rPr>
                <w:rFonts w:cs="宋体"/>
                <w:sz w:val="18"/>
                <w:szCs w:val="18"/>
              </w:rPr>
            </w:pPr>
          </w:p>
        </w:tc>
      </w:tr>
      <w:tr w:rsidR="007B3DB2" w:rsidRPr="0063248C" w14:paraId="73321D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4224F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6591F69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AEFD24" w14:textId="77777777" w:rsidR="007B3DB2" w:rsidRPr="0063248C" w:rsidRDefault="007B3DB2">
            <w:pPr>
              <w:spacing w:line="240" w:lineRule="exact"/>
              <w:jc w:val="right"/>
              <w:rPr>
                <w:rFonts w:cs="宋体"/>
                <w:sz w:val="18"/>
                <w:szCs w:val="18"/>
              </w:rPr>
            </w:pPr>
          </w:p>
        </w:tc>
      </w:tr>
      <w:tr w:rsidR="007B3DB2" w:rsidRPr="0063248C" w14:paraId="428259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A585E3" w14:textId="77777777" w:rsidR="007B3DB2" w:rsidRPr="0063248C" w:rsidRDefault="00000000">
            <w:pPr>
              <w:spacing w:before="40" w:after="40" w:line="240" w:lineRule="exact"/>
              <w:rPr>
                <w:rFonts w:cs="宋体"/>
                <w:sz w:val="18"/>
                <w:szCs w:val="18"/>
              </w:rPr>
            </w:pPr>
            <w:r w:rsidRPr="0063248C">
              <w:rPr>
                <w:rFonts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3D0E4E79" w14:textId="77777777" w:rsidR="007B3DB2" w:rsidRPr="0063248C" w:rsidRDefault="00000000">
            <w:pPr>
              <w:spacing w:line="240" w:lineRule="exact"/>
              <w:jc w:val="right"/>
              <w:rPr>
                <w:rFonts w:cs="宋体"/>
                <w:sz w:val="18"/>
                <w:szCs w:val="18"/>
              </w:rPr>
            </w:pPr>
            <w:r w:rsidRPr="0063248C">
              <w:rPr>
                <w:rFonts w:cs="宋体"/>
                <w:sz w:val="18"/>
                <w:szCs w:val="18"/>
              </w:rPr>
              <w:t>1,971,725,862.53</w:t>
            </w:r>
          </w:p>
        </w:tc>
        <w:tc>
          <w:tcPr>
            <w:tcW w:w="3213" w:type="dxa"/>
            <w:tcBorders>
              <w:top w:val="single" w:sz="2" w:space="0" w:color="auto"/>
              <w:left w:val="single" w:sz="2" w:space="0" w:color="auto"/>
              <w:bottom w:val="single" w:sz="2" w:space="0" w:color="auto"/>
              <w:right w:val="single" w:sz="2" w:space="0" w:color="auto"/>
            </w:tcBorders>
            <w:vAlign w:val="center"/>
          </w:tcPr>
          <w:p w14:paraId="68E55F35" w14:textId="77777777" w:rsidR="007B3DB2" w:rsidRPr="0063248C" w:rsidRDefault="00000000">
            <w:pPr>
              <w:spacing w:line="240" w:lineRule="exact"/>
              <w:jc w:val="right"/>
              <w:rPr>
                <w:rFonts w:cs="宋体"/>
                <w:sz w:val="18"/>
                <w:szCs w:val="18"/>
              </w:rPr>
            </w:pPr>
            <w:r w:rsidRPr="0063248C">
              <w:rPr>
                <w:rFonts w:cs="宋体"/>
                <w:sz w:val="18"/>
                <w:szCs w:val="18"/>
              </w:rPr>
              <w:t>2,464,143,163.81</w:t>
            </w:r>
          </w:p>
        </w:tc>
      </w:tr>
      <w:tr w:rsidR="007B3DB2" w:rsidRPr="0063248C" w14:paraId="65E347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B56C7A" w14:textId="77777777" w:rsidR="007B3DB2" w:rsidRPr="0063248C" w:rsidRDefault="00000000">
            <w:pPr>
              <w:spacing w:before="40" w:after="40" w:line="240" w:lineRule="exact"/>
              <w:rPr>
                <w:rFonts w:cs="宋体"/>
                <w:sz w:val="18"/>
                <w:szCs w:val="18"/>
              </w:rPr>
            </w:pPr>
            <w:r w:rsidRPr="0063248C">
              <w:rPr>
                <w:rFonts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0F48E1"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6BC14B" w14:textId="77777777" w:rsidR="007B3DB2" w:rsidRPr="0063248C" w:rsidRDefault="007B3DB2"/>
        </w:tc>
      </w:tr>
      <w:tr w:rsidR="007B3DB2" w:rsidRPr="0063248C" w14:paraId="6A1C5E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2C20D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46F3C06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280389" w14:textId="77777777" w:rsidR="007B3DB2" w:rsidRPr="0063248C" w:rsidRDefault="007B3DB2">
            <w:pPr>
              <w:spacing w:line="240" w:lineRule="exact"/>
              <w:jc w:val="right"/>
              <w:rPr>
                <w:rFonts w:cs="宋体"/>
                <w:sz w:val="18"/>
                <w:szCs w:val="18"/>
              </w:rPr>
            </w:pPr>
          </w:p>
        </w:tc>
      </w:tr>
      <w:tr w:rsidR="007B3DB2" w:rsidRPr="0063248C" w14:paraId="27B317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5DB79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6F59A5A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33CFAD" w14:textId="77777777" w:rsidR="007B3DB2" w:rsidRPr="0063248C" w:rsidRDefault="007B3DB2">
            <w:pPr>
              <w:spacing w:line="240" w:lineRule="exact"/>
              <w:jc w:val="right"/>
              <w:rPr>
                <w:rFonts w:cs="宋体"/>
                <w:sz w:val="18"/>
                <w:szCs w:val="18"/>
              </w:rPr>
            </w:pPr>
          </w:p>
        </w:tc>
      </w:tr>
      <w:tr w:rsidR="007B3DB2" w:rsidRPr="0063248C" w14:paraId="4031C0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8873E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39D3AD3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A86B87" w14:textId="77777777" w:rsidR="007B3DB2" w:rsidRPr="0063248C" w:rsidRDefault="007B3DB2">
            <w:pPr>
              <w:spacing w:line="240" w:lineRule="exact"/>
              <w:jc w:val="right"/>
              <w:rPr>
                <w:rFonts w:cs="宋体"/>
                <w:sz w:val="18"/>
                <w:szCs w:val="18"/>
              </w:rPr>
            </w:pPr>
          </w:p>
        </w:tc>
      </w:tr>
      <w:tr w:rsidR="007B3DB2" w:rsidRPr="0063248C" w14:paraId="54B62C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A0D04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6762A6FA" w14:textId="77777777" w:rsidR="007B3DB2" w:rsidRPr="0063248C" w:rsidRDefault="00000000">
            <w:pPr>
              <w:spacing w:line="240" w:lineRule="exact"/>
              <w:jc w:val="right"/>
              <w:rPr>
                <w:rFonts w:cs="宋体"/>
                <w:sz w:val="18"/>
                <w:szCs w:val="18"/>
              </w:rPr>
            </w:pPr>
            <w:r w:rsidRPr="0063248C">
              <w:rPr>
                <w:rFonts w:cs="宋体"/>
                <w:sz w:val="18"/>
                <w:szCs w:val="18"/>
              </w:rPr>
              <w:t>2,574,081,822.87</w:t>
            </w:r>
          </w:p>
        </w:tc>
        <w:tc>
          <w:tcPr>
            <w:tcW w:w="3213" w:type="dxa"/>
            <w:tcBorders>
              <w:top w:val="single" w:sz="2" w:space="0" w:color="auto"/>
              <w:left w:val="single" w:sz="2" w:space="0" w:color="auto"/>
              <w:bottom w:val="single" w:sz="2" w:space="0" w:color="auto"/>
              <w:right w:val="single" w:sz="2" w:space="0" w:color="auto"/>
            </w:tcBorders>
            <w:vAlign w:val="center"/>
          </w:tcPr>
          <w:p w14:paraId="4EACC2B3" w14:textId="77777777" w:rsidR="007B3DB2" w:rsidRPr="0063248C" w:rsidRDefault="00000000">
            <w:pPr>
              <w:spacing w:line="240" w:lineRule="exact"/>
              <w:jc w:val="right"/>
              <w:rPr>
                <w:rFonts w:cs="宋体"/>
                <w:sz w:val="18"/>
                <w:szCs w:val="18"/>
              </w:rPr>
            </w:pPr>
            <w:r w:rsidRPr="0063248C">
              <w:rPr>
                <w:rFonts w:cs="宋体"/>
                <w:sz w:val="18"/>
                <w:szCs w:val="18"/>
              </w:rPr>
              <w:t>2,574,081,822.87</w:t>
            </w:r>
          </w:p>
        </w:tc>
      </w:tr>
      <w:tr w:rsidR="007B3DB2" w:rsidRPr="0063248C" w14:paraId="3FB389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E3D9F9"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1F2E0E6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EC7E3B" w14:textId="77777777" w:rsidR="007B3DB2" w:rsidRPr="0063248C" w:rsidRDefault="007B3DB2">
            <w:pPr>
              <w:spacing w:line="240" w:lineRule="exact"/>
              <w:jc w:val="right"/>
              <w:rPr>
                <w:rFonts w:cs="宋体"/>
                <w:sz w:val="18"/>
                <w:szCs w:val="18"/>
              </w:rPr>
            </w:pPr>
          </w:p>
        </w:tc>
      </w:tr>
      <w:tr w:rsidR="007B3DB2" w:rsidRPr="0063248C" w14:paraId="300098C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A84AEF"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044F907D"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66C0D5" w14:textId="77777777" w:rsidR="007B3DB2" w:rsidRPr="0063248C" w:rsidRDefault="007B3DB2">
            <w:pPr>
              <w:spacing w:line="240" w:lineRule="exact"/>
              <w:jc w:val="right"/>
              <w:rPr>
                <w:rFonts w:cs="宋体"/>
                <w:sz w:val="18"/>
                <w:szCs w:val="18"/>
              </w:rPr>
            </w:pPr>
          </w:p>
        </w:tc>
      </w:tr>
      <w:tr w:rsidR="007B3DB2" w:rsidRPr="0063248C" w14:paraId="4B562C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F1C54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5329734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395A9D" w14:textId="77777777" w:rsidR="007B3DB2" w:rsidRPr="0063248C" w:rsidRDefault="007B3DB2">
            <w:pPr>
              <w:spacing w:line="240" w:lineRule="exact"/>
              <w:jc w:val="right"/>
              <w:rPr>
                <w:rFonts w:cs="宋体"/>
                <w:sz w:val="18"/>
                <w:szCs w:val="18"/>
              </w:rPr>
            </w:pPr>
          </w:p>
        </w:tc>
      </w:tr>
      <w:tr w:rsidR="007B3DB2" w:rsidRPr="0063248C" w14:paraId="7DF415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FEA06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1A5D7308" w14:textId="77777777" w:rsidR="007B3DB2" w:rsidRPr="0063248C" w:rsidRDefault="00000000">
            <w:pPr>
              <w:spacing w:line="240" w:lineRule="exact"/>
              <w:jc w:val="right"/>
              <w:rPr>
                <w:rFonts w:cs="宋体"/>
                <w:sz w:val="18"/>
                <w:szCs w:val="18"/>
              </w:rPr>
            </w:pPr>
            <w:r w:rsidRPr="0063248C">
              <w:rPr>
                <w:rFonts w:cs="宋体"/>
                <w:sz w:val="18"/>
                <w:szCs w:val="18"/>
              </w:rPr>
              <w:t>524,631,137.09</w:t>
            </w:r>
          </w:p>
        </w:tc>
        <w:tc>
          <w:tcPr>
            <w:tcW w:w="3213" w:type="dxa"/>
            <w:tcBorders>
              <w:top w:val="single" w:sz="2" w:space="0" w:color="auto"/>
              <w:left w:val="single" w:sz="2" w:space="0" w:color="auto"/>
              <w:bottom w:val="single" w:sz="2" w:space="0" w:color="auto"/>
              <w:right w:val="single" w:sz="2" w:space="0" w:color="auto"/>
            </w:tcBorders>
            <w:vAlign w:val="center"/>
          </w:tcPr>
          <w:p w14:paraId="0E12AFEF" w14:textId="77777777" w:rsidR="007B3DB2" w:rsidRPr="0063248C" w:rsidRDefault="00000000">
            <w:pPr>
              <w:spacing w:line="240" w:lineRule="exact"/>
              <w:jc w:val="right"/>
              <w:rPr>
                <w:rFonts w:cs="宋体"/>
                <w:sz w:val="18"/>
                <w:szCs w:val="18"/>
              </w:rPr>
            </w:pPr>
            <w:r w:rsidRPr="0063248C">
              <w:rPr>
                <w:rFonts w:cs="宋体"/>
                <w:sz w:val="18"/>
                <w:szCs w:val="18"/>
              </w:rPr>
              <w:t>547,221,858.09</w:t>
            </w:r>
          </w:p>
        </w:tc>
      </w:tr>
      <w:tr w:rsidR="007B3DB2" w:rsidRPr="0063248C" w14:paraId="6271BD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F8191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23E7D57C" w14:textId="77777777" w:rsidR="007B3DB2" w:rsidRPr="0063248C" w:rsidRDefault="00000000">
            <w:pPr>
              <w:spacing w:line="240" w:lineRule="exact"/>
              <w:jc w:val="right"/>
              <w:rPr>
                <w:rFonts w:cs="宋体"/>
                <w:sz w:val="18"/>
                <w:szCs w:val="18"/>
              </w:rPr>
            </w:pPr>
            <w:r w:rsidRPr="0063248C">
              <w:rPr>
                <w:rFonts w:cs="宋体"/>
                <w:sz w:val="18"/>
                <w:szCs w:val="18"/>
              </w:rPr>
              <w:t>5,784,778.38</w:t>
            </w:r>
          </w:p>
        </w:tc>
        <w:tc>
          <w:tcPr>
            <w:tcW w:w="3213" w:type="dxa"/>
            <w:tcBorders>
              <w:top w:val="single" w:sz="2" w:space="0" w:color="auto"/>
              <w:left w:val="single" w:sz="2" w:space="0" w:color="auto"/>
              <w:bottom w:val="single" w:sz="2" w:space="0" w:color="auto"/>
              <w:right w:val="single" w:sz="2" w:space="0" w:color="auto"/>
            </w:tcBorders>
            <w:vAlign w:val="center"/>
          </w:tcPr>
          <w:p w14:paraId="0FF5C420" w14:textId="77777777" w:rsidR="007B3DB2" w:rsidRPr="0063248C" w:rsidRDefault="00000000">
            <w:pPr>
              <w:spacing w:line="240" w:lineRule="exact"/>
              <w:jc w:val="right"/>
              <w:rPr>
                <w:rFonts w:cs="宋体"/>
                <w:sz w:val="18"/>
                <w:szCs w:val="18"/>
              </w:rPr>
            </w:pPr>
            <w:r w:rsidRPr="0063248C">
              <w:rPr>
                <w:rFonts w:cs="宋体"/>
                <w:sz w:val="18"/>
                <w:szCs w:val="18"/>
              </w:rPr>
              <w:t>2,935,021.92</w:t>
            </w:r>
          </w:p>
        </w:tc>
      </w:tr>
      <w:tr w:rsidR="007B3DB2" w:rsidRPr="0063248C" w14:paraId="312B15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7D6C45"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26AF7334"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33E34717"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52C837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F1ED2A"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48243B19"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30FC1BEE"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1D9062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1471FA"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39656959" w14:textId="77777777" w:rsidR="007B3DB2" w:rsidRPr="0063248C" w:rsidRDefault="00000000">
            <w:pPr>
              <w:spacing w:line="240" w:lineRule="exact"/>
              <w:jc w:val="right"/>
              <w:rPr>
                <w:rFonts w:cs="宋体"/>
                <w:sz w:val="18"/>
                <w:szCs w:val="18"/>
              </w:rPr>
            </w:pPr>
            <w:r w:rsidRPr="0063248C">
              <w:rPr>
                <w:rFonts w:cs="宋体"/>
                <w:sz w:val="18"/>
                <w:szCs w:val="18"/>
              </w:rPr>
              <w:t>2,098,254.28</w:t>
            </w:r>
          </w:p>
        </w:tc>
        <w:tc>
          <w:tcPr>
            <w:tcW w:w="3213" w:type="dxa"/>
            <w:tcBorders>
              <w:top w:val="single" w:sz="2" w:space="0" w:color="auto"/>
              <w:left w:val="single" w:sz="2" w:space="0" w:color="auto"/>
              <w:bottom w:val="single" w:sz="2" w:space="0" w:color="auto"/>
              <w:right w:val="single" w:sz="2" w:space="0" w:color="auto"/>
            </w:tcBorders>
            <w:vAlign w:val="center"/>
          </w:tcPr>
          <w:p w14:paraId="028759E5" w14:textId="77777777" w:rsidR="007B3DB2" w:rsidRPr="0063248C" w:rsidRDefault="00000000">
            <w:pPr>
              <w:spacing w:line="240" w:lineRule="exact"/>
              <w:jc w:val="right"/>
              <w:rPr>
                <w:rFonts w:cs="宋体"/>
                <w:sz w:val="18"/>
                <w:szCs w:val="18"/>
              </w:rPr>
            </w:pPr>
            <w:r w:rsidRPr="0063248C">
              <w:rPr>
                <w:rFonts w:cs="宋体"/>
                <w:sz w:val="18"/>
                <w:szCs w:val="18"/>
              </w:rPr>
              <w:t>3,797,655.88</w:t>
            </w:r>
          </w:p>
        </w:tc>
      </w:tr>
      <w:tr w:rsidR="007B3DB2" w:rsidRPr="0063248C" w14:paraId="36B592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1FF789"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3068193D" w14:textId="77777777" w:rsidR="007B3DB2" w:rsidRPr="0063248C" w:rsidRDefault="00000000">
            <w:pPr>
              <w:spacing w:line="240" w:lineRule="exact"/>
              <w:jc w:val="right"/>
              <w:rPr>
                <w:rFonts w:cs="宋体"/>
                <w:sz w:val="18"/>
                <w:szCs w:val="18"/>
              </w:rPr>
            </w:pPr>
            <w:r w:rsidRPr="0063248C">
              <w:rPr>
                <w:rFonts w:cs="宋体"/>
                <w:sz w:val="18"/>
                <w:szCs w:val="18"/>
              </w:rPr>
              <w:t>14,323,830.32</w:t>
            </w:r>
          </w:p>
        </w:tc>
        <w:tc>
          <w:tcPr>
            <w:tcW w:w="3213" w:type="dxa"/>
            <w:tcBorders>
              <w:top w:val="single" w:sz="2" w:space="0" w:color="auto"/>
              <w:left w:val="single" w:sz="2" w:space="0" w:color="auto"/>
              <w:bottom w:val="single" w:sz="2" w:space="0" w:color="auto"/>
              <w:right w:val="single" w:sz="2" w:space="0" w:color="auto"/>
            </w:tcBorders>
            <w:vAlign w:val="center"/>
          </w:tcPr>
          <w:p w14:paraId="249D042A" w14:textId="77777777" w:rsidR="007B3DB2" w:rsidRPr="0063248C" w:rsidRDefault="00000000">
            <w:pPr>
              <w:spacing w:line="240" w:lineRule="exact"/>
              <w:jc w:val="right"/>
              <w:rPr>
                <w:rFonts w:cs="宋体"/>
                <w:sz w:val="18"/>
                <w:szCs w:val="18"/>
              </w:rPr>
            </w:pPr>
            <w:r w:rsidRPr="0063248C">
              <w:rPr>
                <w:rFonts w:cs="宋体"/>
                <w:sz w:val="18"/>
                <w:szCs w:val="18"/>
              </w:rPr>
              <w:t>15,199,544.90</w:t>
            </w:r>
          </w:p>
        </w:tc>
      </w:tr>
      <w:tr w:rsidR="007B3DB2" w:rsidRPr="0063248C" w14:paraId="07A88C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B99185"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60109273"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CF3EC9" w14:textId="77777777" w:rsidR="007B3DB2" w:rsidRPr="0063248C" w:rsidRDefault="007B3DB2">
            <w:pPr>
              <w:spacing w:line="240" w:lineRule="exact"/>
              <w:jc w:val="right"/>
              <w:rPr>
                <w:rFonts w:cs="宋体"/>
                <w:sz w:val="18"/>
                <w:szCs w:val="18"/>
              </w:rPr>
            </w:pPr>
          </w:p>
        </w:tc>
      </w:tr>
      <w:tr w:rsidR="007B3DB2" w:rsidRPr="0063248C" w14:paraId="3E7D9B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1A1898"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4C2E5DC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D07DFA" w14:textId="77777777" w:rsidR="007B3DB2" w:rsidRPr="0063248C" w:rsidRDefault="007B3DB2">
            <w:pPr>
              <w:spacing w:line="240" w:lineRule="exact"/>
              <w:jc w:val="right"/>
              <w:rPr>
                <w:rFonts w:cs="宋体"/>
                <w:sz w:val="18"/>
                <w:szCs w:val="18"/>
              </w:rPr>
            </w:pPr>
          </w:p>
        </w:tc>
      </w:tr>
      <w:tr w:rsidR="007B3DB2" w:rsidRPr="0063248C" w14:paraId="47A1F4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CD6DAA"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2AF50D31"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07E326" w14:textId="77777777" w:rsidR="007B3DB2" w:rsidRPr="0063248C" w:rsidRDefault="007B3DB2">
            <w:pPr>
              <w:spacing w:line="240" w:lineRule="exact"/>
              <w:jc w:val="right"/>
              <w:rPr>
                <w:rFonts w:cs="宋体"/>
                <w:sz w:val="18"/>
                <w:szCs w:val="18"/>
              </w:rPr>
            </w:pPr>
          </w:p>
        </w:tc>
      </w:tr>
      <w:tr w:rsidR="007B3DB2" w:rsidRPr="0063248C" w14:paraId="6A867C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217E93"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3F019C8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DEB9B1" w14:textId="77777777" w:rsidR="007B3DB2" w:rsidRPr="0063248C" w:rsidRDefault="007B3DB2">
            <w:pPr>
              <w:spacing w:line="240" w:lineRule="exact"/>
              <w:jc w:val="right"/>
              <w:rPr>
                <w:rFonts w:cs="宋体"/>
                <w:sz w:val="18"/>
                <w:szCs w:val="18"/>
              </w:rPr>
            </w:pPr>
          </w:p>
        </w:tc>
      </w:tr>
      <w:tr w:rsidR="007B3DB2" w:rsidRPr="0063248C" w14:paraId="357D67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5722D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5DDF7C8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B9F1C8" w14:textId="77777777" w:rsidR="007B3DB2" w:rsidRPr="0063248C" w:rsidRDefault="007B3DB2">
            <w:pPr>
              <w:spacing w:line="240" w:lineRule="exact"/>
              <w:jc w:val="right"/>
              <w:rPr>
                <w:rFonts w:cs="宋体"/>
                <w:sz w:val="18"/>
                <w:szCs w:val="18"/>
              </w:rPr>
            </w:pPr>
          </w:p>
        </w:tc>
      </w:tr>
      <w:tr w:rsidR="007B3DB2" w:rsidRPr="0063248C" w14:paraId="7F3205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ED6F7D"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7DDAE553" w14:textId="77777777" w:rsidR="007B3DB2" w:rsidRPr="0063248C" w:rsidRDefault="00000000">
            <w:pPr>
              <w:spacing w:line="240" w:lineRule="exact"/>
              <w:jc w:val="right"/>
              <w:rPr>
                <w:rFonts w:cs="宋体"/>
                <w:sz w:val="18"/>
                <w:szCs w:val="18"/>
              </w:rPr>
            </w:pPr>
            <w:r w:rsidRPr="0063248C">
              <w:rPr>
                <w:rFonts w:cs="宋体"/>
                <w:sz w:val="18"/>
                <w:szCs w:val="18"/>
              </w:rPr>
              <w:t>2,701,712.16</w:t>
            </w:r>
          </w:p>
        </w:tc>
        <w:tc>
          <w:tcPr>
            <w:tcW w:w="3213" w:type="dxa"/>
            <w:tcBorders>
              <w:top w:val="single" w:sz="2" w:space="0" w:color="auto"/>
              <w:left w:val="single" w:sz="2" w:space="0" w:color="auto"/>
              <w:bottom w:val="single" w:sz="2" w:space="0" w:color="auto"/>
              <w:right w:val="single" w:sz="2" w:space="0" w:color="auto"/>
            </w:tcBorders>
            <w:vAlign w:val="center"/>
          </w:tcPr>
          <w:p w14:paraId="519C95F7" w14:textId="77777777" w:rsidR="007B3DB2" w:rsidRPr="0063248C" w:rsidRDefault="00000000">
            <w:pPr>
              <w:spacing w:line="240" w:lineRule="exact"/>
              <w:jc w:val="right"/>
              <w:rPr>
                <w:rFonts w:cs="宋体"/>
                <w:sz w:val="18"/>
                <w:szCs w:val="18"/>
              </w:rPr>
            </w:pPr>
            <w:r w:rsidRPr="0063248C">
              <w:rPr>
                <w:rFonts w:cs="宋体"/>
                <w:sz w:val="18"/>
                <w:szCs w:val="18"/>
              </w:rPr>
              <w:t>6,523,841.86</w:t>
            </w:r>
          </w:p>
        </w:tc>
      </w:tr>
      <w:tr w:rsidR="007B3DB2" w:rsidRPr="0063248C" w14:paraId="1F2C1B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086CD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0743459A" w14:textId="77777777" w:rsidR="007B3DB2" w:rsidRPr="0063248C" w:rsidRDefault="00000000">
            <w:pPr>
              <w:spacing w:line="240" w:lineRule="exact"/>
              <w:jc w:val="right"/>
              <w:rPr>
                <w:rFonts w:cs="宋体"/>
                <w:sz w:val="18"/>
                <w:szCs w:val="18"/>
              </w:rPr>
            </w:pPr>
            <w:r w:rsidRPr="0063248C">
              <w:rPr>
                <w:rFonts w:cs="宋体"/>
                <w:sz w:val="18"/>
                <w:szCs w:val="18"/>
              </w:rPr>
              <w:t>20,879,661.13</w:t>
            </w:r>
          </w:p>
        </w:tc>
        <w:tc>
          <w:tcPr>
            <w:tcW w:w="3213" w:type="dxa"/>
            <w:tcBorders>
              <w:top w:val="single" w:sz="2" w:space="0" w:color="auto"/>
              <w:left w:val="single" w:sz="2" w:space="0" w:color="auto"/>
              <w:bottom w:val="single" w:sz="2" w:space="0" w:color="auto"/>
              <w:right w:val="single" w:sz="2" w:space="0" w:color="auto"/>
            </w:tcBorders>
            <w:vAlign w:val="center"/>
          </w:tcPr>
          <w:p w14:paraId="3AD1D6D9" w14:textId="77777777" w:rsidR="007B3DB2" w:rsidRPr="0063248C" w:rsidRDefault="00000000">
            <w:pPr>
              <w:spacing w:line="240" w:lineRule="exact"/>
              <w:jc w:val="right"/>
              <w:rPr>
                <w:rFonts w:cs="宋体"/>
                <w:sz w:val="18"/>
                <w:szCs w:val="18"/>
              </w:rPr>
            </w:pPr>
            <w:r w:rsidRPr="0063248C">
              <w:rPr>
                <w:rFonts w:cs="宋体"/>
                <w:sz w:val="18"/>
                <w:szCs w:val="18"/>
              </w:rPr>
              <w:t>53,788,522.42</w:t>
            </w:r>
          </w:p>
        </w:tc>
      </w:tr>
      <w:tr w:rsidR="007B3DB2" w:rsidRPr="0063248C" w14:paraId="019803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2C85F7" w14:textId="77777777" w:rsidR="007B3DB2" w:rsidRPr="0063248C" w:rsidRDefault="00000000">
            <w:pPr>
              <w:spacing w:before="40" w:after="40" w:line="240" w:lineRule="exact"/>
              <w:rPr>
                <w:rFonts w:cs="宋体"/>
                <w:sz w:val="18"/>
                <w:szCs w:val="18"/>
              </w:rPr>
            </w:pPr>
            <w:r w:rsidRPr="0063248C">
              <w:rPr>
                <w:rFonts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191C4174" w14:textId="77777777" w:rsidR="007B3DB2" w:rsidRPr="0063248C" w:rsidRDefault="00000000">
            <w:pPr>
              <w:spacing w:line="240" w:lineRule="exact"/>
              <w:jc w:val="right"/>
              <w:rPr>
                <w:rFonts w:cs="宋体"/>
                <w:sz w:val="18"/>
                <w:szCs w:val="18"/>
              </w:rPr>
            </w:pPr>
            <w:r w:rsidRPr="0063248C">
              <w:rPr>
                <w:rFonts w:cs="宋体"/>
                <w:sz w:val="18"/>
                <w:szCs w:val="18"/>
              </w:rPr>
              <w:t>3,144,501,196.23</w:t>
            </w:r>
          </w:p>
        </w:tc>
        <w:tc>
          <w:tcPr>
            <w:tcW w:w="3213" w:type="dxa"/>
            <w:tcBorders>
              <w:top w:val="single" w:sz="2" w:space="0" w:color="auto"/>
              <w:left w:val="single" w:sz="2" w:space="0" w:color="auto"/>
              <w:bottom w:val="single" w:sz="2" w:space="0" w:color="auto"/>
              <w:right w:val="single" w:sz="2" w:space="0" w:color="auto"/>
            </w:tcBorders>
            <w:vAlign w:val="center"/>
          </w:tcPr>
          <w:p w14:paraId="6C07C831" w14:textId="77777777" w:rsidR="007B3DB2" w:rsidRPr="0063248C" w:rsidRDefault="00000000">
            <w:pPr>
              <w:spacing w:line="240" w:lineRule="exact"/>
              <w:jc w:val="right"/>
              <w:rPr>
                <w:rFonts w:cs="宋体"/>
                <w:sz w:val="18"/>
                <w:szCs w:val="18"/>
              </w:rPr>
            </w:pPr>
            <w:r w:rsidRPr="0063248C">
              <w:rPr>
                <w:rFonts w:cs="宋体"/>
                <w:sz w:val="18"/>
                <w:szCs w:val="18"/>
              </w:rPr>
              <w:t>3,203,548,267.94</w:t>
            </w:r>
          </w:p>
        </w:tc>
      </w:tr>
      <w:tr w:rsidR="007B3DB2" w:rsidRPr="0063248C" w14:paraId="08680A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D79197" w14:textId="77777777" w:rsidR="007B3DB2" w:rsidRPr="0063248C" w:rsidRDefault="00000000">
            <w:pPr>
              <w:spacing w:before="40" w:after="40" w:line="240" w:lineRule="exact"/>
              <w:rPr>
                <w:rFonts w:cs="宋体"/>
                <w:sz w:val="18"/>
                <w:szCs w:val="18"/>
              </w:rPr>
            </w:pPr>
            <w:r w:rsidRPr="0063248C">
              <w:rPr>
                <w:rFonts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4BF922D3" w14:textId="77777777" w:rsidR="007B3DB2" w:rsidRPr="0063248C" w:rsidRDefault="00000000">
            <w:pPr>
              <w:spacing w:line="240" w:lineRule="exact"/>
              <w:jc w:val="right"/>
              <w:rPr>
                <w:rFonts w:cs="宋体"/>
                <w:sz w:val="18"/>
                <w:szCs w:val="18"/>
              </w:rPr>
            </w:pPr>
            <w:r w:rsidRPr="0063248C">
              <w:rPr>
                <w:rFonts w:cs="宋体"/>
                <w:sz w:val="18"/>
                <w:szCs w:val="18"/>
              </w:rPr>
              <w:t>5,116,227,058.76</w:t>
            </w:r>
          </w:p>
        </w:tc>
        <w:tc>
          <w:tcPr>
            <w:tcW w:w="3213" w:type="dxa"/>
            <w:tcBorders>
              <w:top w:val="single" w:sz="2" w:space="0" w:color="auto"/>
              <w:left w:val="single" w:sz="2" w:space="0" w:color="auto"/>
              <w:bottom w:val="single" w:sz="2" w:space="0" w:color="auto"/>
              <w:right w:val="single" w:sz="2" w:space="0" w:color="auto"/>
            </w:tcBorders>
            <w:vAlign w:val="center"/>
          </w:tcPr>
          <w:p w14:paraId="2FB9DD35" w14:textId="77777777" w:rsidR="007B3DB2" w:rsidRPr="0063248C" w:rsidRDefault="00000000">
            <w:pPr>
              <w:spacing w:line="240" w:lineRule="exact"/>
              <w:jc w:val="right"/>
              <w:rPr>
                <w:rFonts w:cs="宋体"/>
                <w:sz w:val="18"/>
                <w:szCs w:val="18"/>
              </w:rPr>
            </w:pPr>
            <w:r w:rsidRPr="0063248C">
              <w:rPr>
                <w:rFonts w:cs="宋体"/>
                <w:sz w:val="18"/>
                <w:szCs w:val="18"/>
              </w:rPr>
              <w:t>5,667,691,431.75</w:t>
            </w:r>
          </w:p>
        </w:tc>
      </w:tr>
      <w:tr w:rsidR="007B3DB2" w:rsidRPr="0063248C" w14:paraId="03BBBB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78FE2C" w14:textId="77777777" w:rsidR="007B3DB2" w:rsidRPr="0063248C" w:rsidRDefault="00000000">
            <w:pPr>
              <w:spacing w:before="40" w:after="40" w:line="240" w:lineRule="exact"/>
              <w:rPr>
                <w:rFonts w:cs="宋体"/>
                <w:sz w:val="18"/>
                <w:szCs w:val="18"/>
              </w:rPr>
            </w:pPr>
            <w:r w:rsidRPr="0063248C">
              <w:rPr>
                <w:rFonts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BB950F"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522754" w14:textId="77777777" w:rsidR="007B3DB2" w:rsidRPr="0063248C" w:rsidRDefault="007B3DB2"/>
        </w:tc>
      </w:tr>
      <w:tr w:rsidR="007B3DB2" w:rsidRPr="0063248C" w14:paraId="53D274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0C4CB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76E7CB9D" w14:textId="77777777" w:rsidR="007B3DB2" w:rsidRPr="0063248C" w:rsidRDefault="00000000">
            <w:pPr>
              <w:spacing w:line="240" w:lineRule="exact"/>
              <w:jc w:val="right"/>
              <w:rPr>
                <w:rFonts w:cs="宋体"/>
                <w:sz w:val="18"/>
                <w:szCs w:val="18"/>
              </w:rPr>
            </w:pPr>
            <w:r w:rsidRPr="0063248C">
              <w:rPr>
                <w:rFonts w:cs="宋体"/>
                <w:sz w:val="18"/>
                <w:szCs w:val="18"/>
              </w:rPr>
              <w:t>303,730,068.89</w:t>
            </w:r>
          </w:p>
        </w:tc>
        <w:tc>
          <w:tcPr>
            <w:tcW w:w="3213" w:type="dxa"/>
            <w:tcBorders>
              <w:top w:val="single" w:sz="2" w:space="0" w:color="auto"/>
              <w:left w:val="single" w:sz="2" w:space="0" w:color="auto"/>
              <w:bottom w:val="single" w:sz="2" w:space="0" w:color="auto"/>
              <w:right w:val="single" w:sz="2" w:space="0" w:color="auto"/>
            </w:tcBorders>
            <w:vAlign w:val="center"/>
          </w:tcPr>
          <w:p w14:paraId="357B3CA6" w14:textId="77777777" w:rsidR="007B3DB2" w:rsidRPr="0063248C" w:rsidRDefault="00000000">
            <w:pPr>
              <w:spacing w:line="240" w:lineRule="exact"/>
              <w:jc w:val="right"/>
              <w:rPr>
                <w:rFonts w:cs="宋体"/>
                <w:sz w:val="18"/>
                <w:szCs w:val="18"/>
              </w:rPr>
            </w:pPr>
            <w:r w:rsidRPr="0063248C">
              <w:rPr>
                <w:rFonts w:cs="宋体"/>
                <w:sz w:val="18"/>
                <w:szCs w:val="18"/>
              </w:rPr>
              <w:t>732,087,132.24</w:t>
            </w:r>
          </w:p>
        </w:tc>
      </w:tr>
      <w:tr w:rsidR="007B3DB2" w:rsidRPr="0063248C" w14:paraId="76062A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CAA9A2"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38DA92B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3BD279" w14:textId="77777777" w:rsidR="007B3DB2" w:rsidRPr="0063248C" w:rsidRDefault="007B3DB2">
            <w:pPr>
              <w:spacing w:line="240" w:lineRule="exact"/>
              <w:jc w:val="right"/>
              <w:rPr>
                <w:rFonts w:cs="宋体"/>
                <w:sz w:val="18"/>
                <w:szCs w:val="18"/>
              </w:rPr>
            </w:pPr>
          </w:p>
        </w:tc>
      </w:tr>
      <w:tr w:rsidR="007B3DB2" w:rsidRPr="0063248C" w14:paraId="4B6655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A5A35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lastRenderedPageBreak/>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1E780D8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ACEF54" w14:textId="77777777" w:rsidR="007B3DB2" w:rsidRPr="0063248C" w:rsidRDefault="007B3DB2">
            <w:pPr>
              <w:spacing w:line="240" w:lineRule="exact"/>
              <w:jc w:val="right"/>
              <w:rPr>
                <w:rFonts w:cs="宋体"/>
                <w:sz w:val="18"/>
                <w:szCs w:val="18"/>
              </w:rPr>
            </w:pPr>
          </w:p>
        </w:tc>
      </w:tr>
      <w:tr w:rsidR="007B3DB2" w:rsidRPr="0063248C" w14:paraId="219F73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DEED07"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1637F02D" w14:textId="77777777" w:rsidR="007B3DB2" w:rsidRPr="0063248C" w:rsidRDefault="00000000">
            <w:pPr>
              <w:spacing w:line="240" w:lineRule="exact"/>
              <w:jc w:val="right"/>
              <w:rPr>
                <w:rFonts w:cs="宋体"/>
                <w:sz w:val="18"/>
                <w:szCs w:val="18"/>
              </w:rPr>
            </w:pPr>
            <w:r w:rsidRPr="0063248C">
              <w:rPr>
                <w:rFonts w:cs="宋体"/>
                <w:sz w:val="18"/>
                <w:szCs w:val="18"/>
              </w:rPr>
              <w:t>339,484,094.58</w:t>
            </w:r>
          </w:p>
        </w:tc>
        <w:tc>
          <w:tcPr>
            <w:tcW w:w="3213" w:type="dxa"/>
            <w:tcBorders>
              <w:top w:val="single" w:sz="2" w:space="0" w:color="auto"/>
              <w:left w:val="single" w:sz="2" w:space="0" w:color="auto"/>
              <w:bottom w:val="single" w:sz="2" w:space="0" w:color="auto"/>
              <w:right w:val="single" w:sz="2" w:space="0" w:color="auto"/>
            </w:tcBorders>
            <w:vAlign w:val="center"/>
          </w:tcPr>
          <w:p w14:paraId="7B059E86" w14:textId="77777777" w:rsidR="007B3DB2" w:rsidRPr="0063248C" w:rsidRDefault="00000000">
            <w:pPr>
              <w:spacing w:line="240" w:lineRule="exact"/>
              <w:jc w:val="right"/>
              <w:rPr>
                <w:rFonts w:cs="宋体"/>
                <w:sz w:val="18"/>
                <w:szCs w:val="18"/>
              </w:rPr>
            </w:pPr>
            <w:r w:rsidRPr="0063248C">
              <w:rPr>
                <w:rFonts w:cs="宋体"/>
                <w:sz w:val="18"/>
                <w:szCs w:val="18"/>
              </w:rPr>
              <w:t>260,500,000.00</w:t>
            </w:r>
          </w:p>
        </w:tc>
      </w:tr>
      <w:tr w:rsidR="007B3DB2" w:rsidRPr="0063248C" w14:paraId="09DE99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0C2F8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5787338A" w14:textId="77777777" w:rsidR="007B3DB2" w:rsidRPr="0063248C" w:rsidRDefault="00000000">
            <w:pPr>
              <w:spacing w:line="240" w:lineRule="exact"/>
              <w:jc w:val="right"/>
              <w:rPr>
                <w:rFonts w:cs="宋体"/>
                <w:sz w:val="18"/>
                <w:szCs w:val="18"/>
              </w:rPr>
            </w:pPr>
            <w:r w:rsidRPr="0063248C">
              <w:rPr>
                <w:rFonts w:cs="宋体"/>
                <w:sz w:val="18"/>
                <w:szCs w:val="18"/>
              </w:rPr>
              <w:t>620,579,725.78</w:t>
            </w:r>
          </w:p>
        </w:tc>
        <w:tc>
          <w:tcPr>
            <w:tcW w:w="3213" w:type="dxa"/>
            <w:tcBorders>
              <w:top w:val="single" w:sz="2" w:space="0" w:color="auto"/>
              <w:left w:val="single" w:sz="2" w:space="0" w:color="auto"/>
              <w:bottom w:val="single" w:sz="2" w:space="0" w:color="auto"/>
              <w:right w:val="single" w:sz="2" w:space="0" w:color="auto"/>
            </w:tcBorders>
            <w:vAlign w:val="center"/>
          </w:tcPr>
          <w:p w14:paraId="78D120A7" w14:textId="77777777" w:rsidR="007B3DB2" w:rsidRPr="0063248C" w:rsidRDefault="00000000">
            <w:pPr>
              <w:spacing w:line="240" w:lineRule="exact"/>
              <w:jc w:val="right"/>
              <w:rPr>
                <w:rFonts w:cs="宋体"/>
                <w:sz w:val="18"/>
                <w:szCs w:val="18"/>
              </w:rPr>
            </w:pPr>
            <w:r w:rsidRPr="0063248C">
              <w:rPr>
                <w:rFonts w:cs="宋体"/>
                <w:sz w:val="18"/>
                <w:szCs w:val="18"/>
              </w:rPr>
              <w:t>604,546,537.30</w:t>
            </w:r>
          </w:p>
        </w:tc>
      </w:tr>
      <w:tr w:rsidR="007B3DB2" w:rsidRPr="0063248C" w14:paraId="6901FB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B7C1BA"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138FBE1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7B15DA" w14:textId="77777777" w:rsidR="007B3DB2" w:rsidRPr="0063248C" w:rsidRDefault="007B3DB2">
            <w:pPr>
              <w:spacing w:line="240" w:lineRule="exact"/>
              <w:jc w:val="right"/>
              <w:rPr>
                <w:rFonts w:cs="宋体"/>
                <w:sz w:val="18"/>
                <w:szCs w:val="18"/>
              </w:rPr>
            </w:pPr>
          </w:p>
        </w:tc>
      </w:tr>
      <w:tr w:rsidR="007B3DB2" w:rsidRPr="0063248C" w14:paraId="424956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27A1C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67752E7F" w14:textId="77777777" w:rsidR="007B3DB2" w:rsidRPr="0063248C" w:rsidRDefault="00000000">
            <w:pPr>
              <w:spacing w:line="240" w:lineRule="exact"/>
              <w:jc w:val="right"/>
              <w:rPr>
                <w:rFonts w:cs="宋体"/>
                <w:sz w:val="18"/>
                <w:szCs w:val="18"/>
              </w:rPr>
            </w:pPr>
            <w:r w:rsidRPr="0063248C">
              <w:rPr>
                <w:rFonts w:cs="宋体"/>
                <w:sz w:val="18"/>
                <w:szCs w:val="18"/>
              </w:rPr>
              <w:t>282,057,735.74</w:t>
            </w:r>
          </w:p>
        </w:tc>
        <w:tc>
          <w:tcPr>
            <w:tcW w:w="3213" w:type="dxa"/>
            <w:tcBorders>
              <w:top w:val="single" w:sz="2" w:space="0" w:color="auto"/>
              <w:left w:val="single" w:sz="2" w:space="0" w:color="auto"/>
              <w:bottom w:val="single" w:sz="2" w:space="0" w:color="auto"/>
              <w:right w:val="single" w:sz="2" w:space="0" w:color="auto"/>
            </w:tcBorders>
            <w:vAlign w:val="center"/>
          </w:tcPr>
          <w:p w14:paraId="15859F9F" w14:textId="77777777" w:rsidR="007B3DB2" w:rsidRPr="0063248C" w:rsidRDefault="00000000">
            <w:pPr>
              <w:spacing w:line="240" w:lineRule="exact"/>
              <w:jc w:val="right"/>
              <w:rPr>
                <w:rFonts w:cs="宋体"/>
                <w:sz w:val="18"/>
                <w:szCs w:val="18"/>
              </w:rPr>
            </w:pPr>
            <w:r w:rsidRPr="0063248C">
              <w:rPr>
                <w:rFonts w:cs="宋体"/>
                <w:sz w:val="18"/>
                <w:szCs w:val="18"/>
              </w:rPr>
              <w:t>362,846,722.58</w:t>
            </w:r>
          </w:p>
        </w:tc>
      </w:tr>
      <w:tr w:rsidR="007B3DB2" w:rsidRPr="0063248C" w14:paraId="044FE7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80A303"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6BFA782A" w14:textId="77777777" w:rsidR="007B3DB2" w:rsidRPr="0063248C" w:rsidRDefault="00000000">
            <w:pPr>
              <w:spacing w:line="240" w:lineRule="exact"/>
              <w:jc w:val="right"/>
              <w:rPr>
                <w:rFonts w:cs="宋体"/>
                <w:sz w:val="18"/>
                <w:szCs w:val="18"/>
              </w:rPr>
            </w:pPr>
            <w:r w:rsidRPr="0063248C">
              <w:rPr>
                <w:rFonts w:cs="宋体"/>
                <w:sz w:val="18"/>
                <w:szCs w:val="18"/>
              </w:rPr>
              <w:t>14,687,671.55</w:t>
            </w:r>
          </w:p>
        </w:tc>
        <w:tc>
          <w:tcPr>
            <w:tcW w:w="3213" w:type="dxa"/>
            <w:tcBorders>
              <w:top w:val="single" w:sz="2" w:space="0" w:color="auto"/>
              <w:left w:val="single" w:sz="2" w:space="0" w:color="auto"/>
              <w:bottom w:val="single" w:sz="2" w:space="0" w:color="auto"/>
              <w:right w:val="single" w:sz="2" w:space="0" w:color="auto"/>
            </w:tcBorders>
            <w:vAlign w:val="center"/>
          </w:tcPr>
          <w:p w14:paraId="02E0C771" w14:textId="77777777" w:rsidR="007B3DB2" w:rsidRPr="0063248C" w:rsidRDefault="00000000">
            <w:pPr>
              <w:spacing w:line="240" w:lineRule="exact"/>
              <w:jc w:val="right"/>
              <w:rPr>
                <w:rFonts w:cs="宋体"/>
                <w:sz w:val="18"/>
                <w:szCs w:val="18"/>
              </w:rPr>
            </w:pPr>
            <w:r w:rsidRPr="0063248C">
              <w:rPr>
                <w:rFonts w:cs="宋体"/>
                <w:sz w:val="18"/>
                <w:szCs w:val="18"/>
              </w:rPr>
              <w:t>18,301,412.45</w:t>
            </w:r>
          </w:p>
        </w:tc>
      </w:tr>
      <w:tr w:rsidR="007B3DB2" w:rsidRPr="0063248C" w14:paraId="30B078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836F4A"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355131F5" w14:textId="77777777" w:rsidR="007B3DB2" w:rsidRPr="0063248C" w:rsidRDefault="00000000">
            <w:pPr>
              <w:spacing w:line="240" w:lineRule="exact"/>
              <w:jc w:val="right"/>
              <w:rPr>
                <w:rFonts w:cs="宋体"/>
                <w:sz w:val="18"/>
                <w:szCs w:val="18"/>
              </w:rPr>
            </w:pPr>
            <w:r w:rsidRPr="0063248C">
              <w:rPr>
                <w:rFonts w:cs="宋体"/>
                <w:sz w:val="18"/>
                <w:szCs w:val="18"/>
              </w:rPr>
              <w:t>1,759,822.82</w:t>
            </w:r>
          </w:p>
        </w:tc>
        <w:tc>
          <w:tcPr>
            <w:tcW w:w="3213" w:type="dxa"/>
            <w:tcBorders>
              <w:top w:val="single" w:sz="2" w:space="0" w:color="auto"/>
              <w:left w:val="single" w:sz="2" w:space="0" w:color="auto"/>
              <w:bottom w:val="single" w:sz="2" w:space="0" w:color="auto"/>
              <w:right w:val="single" w:sz="2" w:space="0" w:color="auto"/>
            </w:tcBorders>
            <w:vAlign w:val="center"/>
          </w:tcPr>
          <w:p w14:paraId="06F6448D" w14:textId="77777777" w:rsidR="007B3DB2" w:rsidRPr="0063248C" w:rsidRDefault="00000000">
            <w:pPr>
              <w:spacing w:line="240" w:lineRule="exact"/>
              <w:jc w:val="right"/>
              <w:rPr>
                <w:rFonts w:cs="宋体"/>
                <w:sz w:val="18"/>
                <w:szCs w:val="18"/>
              </w:rPr>
            </w:pPr>
            <w:r w:rsidRPr="0063248C">
              <w:rPr>
                <w:rFonts w:cs="宋体"/>
                <w:sz w:val="18"/>
                <w:szCs w:val="18"/>
              </w:rPr>
              <w:t>2,188,976.63</w:t>
            </w:r>
          </w:p>
        </w:tc>
      </w:tr>
      <w:tr w:rsidR="007B3DB2" w:rsidRPr="0063248C" w14:paraId="222473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17A81D"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0F995799" w14:textId="77777777" w:rsidR="007B3DB2" w:rsidRPr="0063248C" w:rsidRDefault="00000000">
            <w:pPr>
              <w:spacing w:line="240" w:lineRule="exact"/>
              <w:jc w:val="right"/>
              <w:rPr>
                <w:rFonts w:cs="宋体"/>
                <w:sz w:val="18"/>
                <w:szCs w:val="18"/>
              </w:rPr>
            </w:pPr>
            <w:r w:rsidRPr="0063248C">
              <w:rPr>
                <w:rFonts w:cs="宋体"/>
                <w:sz w:val="18"/>
                <w:szCs w:val="18"/>
              </w:rPr>
              <w:t>948,286,856.62</w:t>
            </w:r>
          </w:p>
        </w:tc>
        <w:tc>
          <w:tcPr>
            <w:tcW w:w="3213" w:type="dxa"/>
            <w:tcBorders>
              <w:top w:val="single" w:sz="2" w:space="0" w:color="auto"/>
              <w:left w:val="single" w:sz="2" w:space="0" w:color="auto"/>
              <w:bottom w:val="single" w:sz="2" w:space="0" w:color="auto"/>
              <w:right w:val="single" w:sz="2" w:space="0" w:color="auto"/>
            </w:tcBorders>
            <w:vAlign w:val="center"/>
          </w:tcPr>
          <w:p w14:paraId="08C25430" w14:textId="77777777" w:rsidR="007B3DB2" w:rsidRPr="0063248C" w:rsidRDefault="00000000">
            <w:pPr>
              <w:spacing w:line="240" w:lineRule="exact"/>
              <w:jc w:val="right"/>
              <w:rPr>
                <w:rFonts w:cs="宋体"/>
                <w:sz w:val="18"/>
                <w:szCs w:val="18"/>
              </w:rPr>
            </w:pPr>
            <w:r w:rsidRPr="0063248C">
              <w:rPr>
                <w:rFonts w:cs="宋体"/>
                <w:sz w:val="18"/>
                <w:szCs w:val="18"/>
              </w:rPr>
              <w:t>1,041,844,490.88</w:t>
            </w:r>
          </w:p>
        </w:tc>
      </w:tr>
      <w:tr w:rsidR="007B3DB2" w:rsidRPr="0063248C" w14:paraId="4F207A8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6EF871"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1B3E013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C044E9" w14:textId="77777777" w:rsidR="007B3DB2" w:rsidRPr="0063248C" w:rsidRDefault="007B3DB2">
            <w:pPr>
              <w:spacing w:line="240" w:lineRule="exact"/>
              <w:jc w:val="right"/>
              <w:rPr>
                <w:rFonts w:cs="宋体"/>
                <w:sz w:val="18"/>
                <w:szCs w:val="18"/>
              </w:rPr>
            </w:pPr>
          </w:p>
        </w:tc>
      </w:tr>
      <w:tr w:rsidR="007B3DB2" w:rsidRPr="0063248C" w14:paraId="6AC746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089B3A" w14:textId="77777777" w:rsidR="007B3DB2" w:rsidRPr="0063248C" w:rsidRDefault="00000000">
            <w:pPr>
              <w:spacing w:before="40" w:after="40" w:line="240" w:lineRule="exact"/>
              <w:ind w:firstLineChars="500" w:firstLine="900"/>
              <w:rPr>
                <w:rFonts w:cs="宋体"/>
                <w:sz w:val="18"/>
                <w:szCs w:val="18"/>
              </w:rPr>
            </w:pPr>
            <w:r w:rsidRPr="0063248C">
              <w:rPr>
                <w:rFonts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6137DD48"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30EB7F" w14:textId="77777777" w:rsidR="007B3DB2" w:rsidRPr="0063248C" w:rsidRDefault="007B3DB2">
            <w:pPr>
              <w:spacing w:line="240" w:lineRule="exact"/>
              <w:jc w:val="right"/>
              <w:rPr>
                <w:rFonts w:cs="宋体"/>
                <w:sz w:val="18"/>
                <w:szCs w:val="18"/>
              </w:rPr>
            </w:pPr>
          </w:p>
        </w:tc>
      </w:tr>
      <w:tr w:rsidR="007B3DB2" w:rsidRPr="0063248C" w14:paraId="7E50B0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F79E4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2B7FD09A"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727072" w14:textId="77777777" w:rsidR="007B3DB2" w:rsidRPr="0063248C" w:rsidRDefault="007B3DB2">
            <w:pPr>
              <w:spacing w:line="240" w:lineRule="exact"/>
              <w:jc w:val="right"/>
              <w:rPr>
                <w:rFonts w:cs="宋体"/>
                <w:sz w:val="18"/>
                <w:szCs w:val="18"/>
              </w:rPr>
            </w:pPr>
          </w:p>
        </w:tc>
      </w:tr>
      <w:tr w:rsidR="007B3DB2" w:rsidRPr="0063248C" w14:paraId="4786C8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98142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7D49F481" w14:textId="77777777" w:rsidR="007B3DB2" w:rsidRPr="0063248C" w:rsidRDefault="00000000">
            <w:pPr>
              <w:spacing w:line="240" w:lineRule="exact"/>
              <w:jc w:val="right"/>
              <w:rPr>
                <w:rFonts w:cs="宋体"/>
                <w:sz w:val="18"/>
                <w:szCs w:val="18"/>
              </w:rPr>
            </w:pPr>
            <w:r w:rsidRPr="0063248C">
              <w:rPr>
                <w:rFonts w:cs="宋体"/>
                <w:sz w:val="18"/>
                <w:szCs w:val="18"/>
              </w:rPr>
              <w:t>153,730,722.05</w:t>
            </w:r>
          </w:p>
        </w:tc>
        <w:tc>
          <w:tcPr>
            <w:tcW w:w="3213" w:type="dxa"/>
            <w:tcBorders>
              <w:top w:val="single" w:sz="2" w:space="0" w:color="auto"/>
              <w:left w:val="single" w:sz="2" w:space="0" w:color="auto"/>
              <w:bottom w:val="single" w:sz="2" w:space="0" w:color="auto"/>
              <w:right w:val="single" w:sz="2" w:space="0" w:color="auto"/>
            </w:tcBorders>
            <w:vAlign w:val="center"/>
          </w:tcPr>
          <w:p w14:paraId="1935FF10" w14:textId="77777777" w:rsidR="007B3DB2" w:rsidRPr="0063248C" w:rsidRDefault="00000000">
            <w:pPr>
              <w:spacing w:line="240" w:lineRule="exact"/>
              <w:jc w:val="right"/>
              <w:rPr>
                <w:rFonts w:cs="宋体"/>
                <w:sz w:val="18"/>
                <w:szCs w:val="18"/>
              </w:rPr>
            </w:pPr>
            <w:r w:rsidRPr="0063248C">
              <w:rPr>
                <w:rFonts w:cs="宋体"/>
                <w:sz w:val="18"/>
                <w:szCs w:val="18"/>
              </w:rPr>
              <w:t>171,319,293.96</w:t>
            </w:r>
          </w:p>
        </w:tc>
      </w:tr>
      <w:tr w:rsidR="007B3DB2" w:rsidRPr="0063248C" w14:paraId="185FC5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C99F59"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9F2DB0C" w14:textId="77777777" w:rsidR="007B3DB2" w:rsidRPr="0063248C" w:rsidRDefault="00000000">
            <w:pPr>
              <w:spacing w:line="240" w:lineRule="exact"/>
              <w:jc w:val="right"/>
              <w:rPr>
                <w:rFonts w:cs="宋体"/>
                <w:sz w:val="18"/>
                <w:szCs w:val="18"/>
              </w:rPr>
            </w:pPr>
            <w:r w:rsidRPr="0063248C">
              <w:rPr>
                <w:rFonts w:cs="宋体"/>
                <w:sz w:val="18"/>
                <w:szCs w:val="18"/>
              </w:rPr>
              <w:t>25,385,196.22</w:t>
            </w:r>
          </w:p>
        </w:tc>
        <w:tc>
          <w:tcPr>
            <w:tcW w:w="3213" w:type="dxa"/>
            <w:tcBorders>
              <w:top w:val="single" w:sz="2" w:space="0" w:color="auto"/>
              <w:left w:val="single" w:sz="2" w:space="0" w:color="auto"/>
              <w:bottom w:val="single" w:sz="2" w:space="0" w:color="auto"/>
              <w:right w:val="single" w:sz="2" w:space="0" w:color="auto"/>
            </w:tcBorders>
            <w:vAlign w:val="center"/>
          </w:tcPr>
          <w:p w14:paraId="44CA1A4D" w14:textId="77777777" w:rsidR="007B3DB2" w:rsidRPr="0063248C" w:rsidRDefault="00000000">
            <w:pPr>
              <w:spacing w:line="240" w:lineRule="exact"/>
              <w:jc w:val="right"/>
              <w:rPr>
                <w:rFonts w:cs="宋体"/>
                <w:sz w:val="18"/>
                <w:szCs w:val="18"/>
              </w:rPr>
            </w:pPr>
            <w:r w:rsidRPr="0063248C">
              <w:rPr>
                <w:rFonts w:cs="宋体"/>
                <w:sz w:val="18"/>
                <w:szCs w:val="18"/>
              </w:rPr>
              <w:t>32,656,205.03</w:t>
            </w:r>
          </w:p>
        </w:tc>
      </w:tr>
      <w:tr w:rsidR="007B3DB2" w:rsidRPr="0063248C" w14:paraId="1FE2D5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2D7A2C" w14:textId="77777777" w:rsidR="007B3DB2" w:rsidRPr="0063248C" w:rsidRDefault="00000000">
            <w:pPr>
              <w:spacing w:before="40" w:after="40" w:line="240" w:lineRule="exact"/>
              <w:rPr>
                <w:rFonts w:cs="宋体"/>
                <w:sz w:val="18"/>
                <w:szCs w:val="18"/>
              </w:rPr>
            </w:pPr>
            <w:r w:rsidRPr="0063248C">
              <w:rPr>
                <w:rFonts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44B4A4CE" w14:textId="77777777" w:rsidR="007B3DB2" w:rsidRPr="0063248C" w:rsidRDefault="00000000">
            <w:pPr>
              <w:spacing w:line="240" w:lineRule="exact"/>
              <w:jc w:val="right"/>
              <w:rPr>
                <w:rFonts w:cs="宋体"/>
                <w:sz w:val="18"/>
                <w:szCs w:val="18"/>
              </w:rPr>
            </w:pPr>
            <w:r w:rsidRPr="0063248C">
              <w:rPr>
                <w:rFonts w:cs="宋体"/>
                <w:sz w:val="18"/>
                <w:szCs w:val="18"/>
              </w:rPr>
              <w:t>2,689,701,894.25</w:t>
            </w:r>
          </w:p>
        </w:tc>
        <w:tc>
          <w:tcPr>
            <w:tcW w:w="3213" w:type="dxa"/>
            <w:tcBorders>
              <w:top w:val="single" w:sz="2" w:space="0" w:color="auto"/>
              <w:left w:val="single" w:sz="2" w:space="0" w:color="auto"/>
              <w:bottom w:val="single" w:sz="2" w:space="0" w:color="auto"/>
              <w:right w:val="single" w:sz="2" w:space="0" w:color="auto"/>
            </w:tcBorders>
            <w:vAlign w:val="center"/>
          </w:tcPr>
          <w:p w14:paraId="61233CDD" w14:textId="77777777" w:rsidR="007B3DB2" w:rsidRPr="0063248C" w:rsidRDefault="00000000">
            <w:pPr>
              <w:spacing w:line="240" w:lineRule="exact"/>
              <w:jc w:val="right"/>
              <w:rPr>
                <w:rFonts w:cs="宋体"/>
                <w:sz w:val="18"/>
                <w:szCs w:val="18"/>
              </w:rPr>
            </w:pPr>
            <w:r w:rsidRPr="0063248C">
              <w:rPr>
                <w:rFonts w:cs="宋体"/>
                <w:sz w:val="18"/>
                <w:szCs w:val="18"/>
              </w:rPr>
              <w:t>3,226,290,771.07</w:t>
            </w:r>
          </w:p>
        </w:tc>
      </w:tr>
      <w:tr w:rsidR="007B3DB2" w:rsidRPr="0063248C" w14:paraId="15A5D7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3132C6" w14:textId="77777777" w:rsidR="007B3DB2" w:rsidRPr="0063248C" w:rsidRDefault="00000000">
            <w:pPr>
              <w:spacing w:before="40" w:after="40" w:line="240" w:lineRule="exact"/>
              <w:rPr>
                <w:rFonts w:cs="宋体"/>
                <w:sz w:val="18"/>
                <w:szCs w:val="18"/>
              </w:rPr>
            </w:pPr>
            <w:r w:rsidRPr="0063248C">
              <w:rPr>
                <w:rFonts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75C831"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8E0014" w14:textId="77777777" w:rsidR="007B3DB2" w:rsidRPr="0063248C" w:rsidRDefault="007B3DB2"/>
        </w:tc>
      </w:tr>
      <w:tr w:rsidR="007B3DB2" w:rsidRPr="0063248C" w14:paraId="55E6F4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58B48D"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641353D2" w14:textId="77777777" w:rsidR="007B3DB2" w:rsidRPr="0063248C" w:rsidRDefault="00000000">
            <w:pPr>
              <w:spacing w:line="240" w:lineRule="exact"/>
              <w:jc w:val="right"/>
              <w:rPr>
                <w:rFonts w:cs="宋体"/>
                <w:sz w:val="18"/>
                <w:szCs w:val="18"/>
              </w:rPr>
            </w:pPr>
            <w:r w:rsidRPr="0063248C">
              <w:rPr>
                <w:rFonts w:cs="宋体"/>
                <w:sz w:val="18"/>
                <w:szCs w:val="18"/>
              </w:rPr>
              <w:t>63,000,000.00</w:t>
            </w:r>
          </w:p>
        </w:tc>
        <w:tc>
          <w:tcPr>
            <w:tcW w:w="3213" w:type="dxa"/>
            <w:tcBorders>
              <w:top w:val="single" w:sz="2" w:space="0" w:color="auto"/>
              <w:left w:val="single" w:sz="2" w:space="0" w:color="auto"/>
              <w:bottom w:val="single" w:sz="2" w:space="0" w:color="auto"/>
              <w:right w:val="single" w:sz="2" w:space="0" w:color="auto"/>
            </w:tcBorders>
            <w:vAlign w:val="center"/>
          </w:tcPr>
          <w:p w14:paraId="54838DE2" w14:textId="77777777" w:rsidR="007B3DB2" w:rsidRPr="0063248C" w:rsidRDefault="00000000">
            <w:pPr>
              <w:spacing w:line="240" w:lineRule="exact"/>
              <w:jc w:val="right"/>
              <w:rPr>
                <w:rFonts w:cs="宋体"/>
                <w:sz w:val="18"/>
                <w:szCs w:val="18"/>
              </w:rPr>
            </w:pPr>
            <w:r w:rsidRPr="0063248C">
              <w:rPr>
                <w:rFonts w:cs="宋体"/>
                <w:sz w:val="18"/>
                <w:szCs w:val="18"/>
              </w:rPr>
              <w:t>94,500,000.00</w:t>
            </w:r>
          </w:p>
        </w:tc>
      </w:tr>
      <w:tr w:rsidR="007B3DB2" w:rsidRPr="0063248C" w14:paraId="341BB9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4B988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2726296A" w14:textId="77777777" w:rsidR="007B3DB2" w:rsidRPr="0063248C" w:rsidRDefault="00000000">
            <w:pPr>
              <w:spacing w:line="240" w:lineRule="exact"/>
              <w:jc w:val="right"/>
              <w:rPr>
                <w:rFonts w:cs="宋体"/>
                <w:sz w:val="18"/>
                <w:szCs w:val="18"/>
              </w:rPr>
            </w:pPr>
            <w:r w:rsidRPr="0063248C">
              <w:rPr>
                <w:rFonts w:cs="宋体"/>
                <w:sz w:val="18"/>
                <w:szCs w:val="18"/>
              </w:rPr>
              <w:t>923,200,240.99</w:t>
            </w:r>
          </w:p>
        </w:tc>
        <w:tc>
          <w:tcPr>
            <w:tcW w:w="3213" w:type="dxa"/>
            <w:tcBorders>
              <w:top w:val="single" w:sz="2" w:space="0" w:color="auto"/>
              <w:left w:val="single" w:sz="2" w:space="0" w:color="auto"/>
              <w:bottom w:val="single" w:sz="2" w:space="0" w:color="auto"/>
              <w:right w:val="single" w:sz="2" w:space="0" w:color="auto"/>
            </w:tcBorders>
            <w:vAlign w:val="center"/>
          </w:tcPr>
          <w:p w14:paraId="7E0F82D9" w14:textId="77777777" w:rsidR="007B3DB2" w:rsidRPr="0063248C" w:rsidRDefault="00000000">
            <w:pPr>
              <w:spacing w:line="240" w:lineRule="exact"/>
              <w:jc w:val="right"/>
              <w:rPr>
                <w:rFonts w:cs="宋体"/>
                <w:sz w:val="18"/>
                <w:szCs w:val="18"/>
              </w:rPr>
            </w:pPr>
            <w:r w:rsidRPr="0063248C">
              <w:rPr>
                <w:rFonts w:cs="宋体"/>
                <w:sz w:val="18"/>
                <w:szCs w:val="18"/>
              </w:rPr>
              <w:t>899,039,265.74</w:t>
            </w:r>
          </w:p>
        </w:tc>
      </w:tr>
      <w:tr w:rsidR="007B3DB2" w:rsidRPr="0063248C" w14:paraId="3887A1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AD9754"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6C9347A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31DA11" w14:textId="77777777" w:rsidR="007B3DB2" w:rsidRPr="0063248C" w:rsidRDefault="007B3DB2">
            <w:pPr>
              <w:spacing w:line="240" w:lineRule="exact"/>
              <w:jc w:val="right"/>
              <w:rPr>
                <w:rFonts w:cs="宋体"/>
                <w:sz w:val="18"/>
                <w:szCs w:val="18"/>
              </w:rPr>
            </w:pPr>
          </w:p>
        </w:tc>
      </w:tr>
      <w:tr w:rsidR="007B3DB2" w:rsidRPr="0063248C" w14:paraId="155E63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555250" w14:textId="77777777" w:rsidR="007B3DB2" w:rsidRPr="0063248C" w:rsidRDefault="00000000">
            <w:pPr>
              <w:spacing w:before="40" w:after="40" w:line="240" w:lineRule="exact"/>
              <w:ind w:firstLineChars="500" w:firstLine="900"/>
              <w:rPr>
                <w:rFonts w:cs="宋体"/>
                <w:sz w:val="18"/>
                <w:szCs w:val="18"/>
              </w:rPr>
            </w:pPr>
            <w:r w:rsidRPr="0063248C">
              <w:rPr>
                <w:rFonts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5243A1CD"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A30E0B" w14:textId="77777777" w:rsidR="007B3DB2" w:rsidRPr="0063248C" w:rsidRDefault="007B3DB2">
            <w:pPr>
              <w:spacing w:line="240" w:lineRule="exact"/>
              <w:jc w:val="right"/>
              <w:rPr>
                <w:rFonts w:cs="宋体"/>
                <w:sz w:val="18"/>
                <w:szCs w:val="18"/>
              </w:rPr>
            </w:pPr>
          </w:p>
        </w:tc>
      </w:tr>
      <w:tr w:rsidR="007B3DB2" w:rsidRPr="0063248C" w14:paraId="182570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2C9A8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0731B4B8" w14:textId="77777777" w:rsidR="007B3DB2" w:rsidRPr="0063248C" w:rsidRDefault="00000000">
            <w:pPr>
              <w:spacing w:line="240" w:lineRule="exact"/>
              <w:jc w:val="right"/>
              <w:rPr>
                <w:rFonts w:cs="宋体"/>
                <w:sz w:val="18"/>
                <w:szCs w:val="18"/>
              </w:rPr>
            </w:pPr>
            <w:r w:rsidRPr="0063248C">
              <w:rPr>
                <w:rFonts w:cs="宋体"/>
                <w:sz w:val="18"/>
                <w:szCs w:val="18"/>
              </w:rPr>
              <w:t>284,690.71</w:t>
            </w:r>
          </w:p>
        </w:tc>
        <w:tc>
          <w:tcPr>
            <w:tcW w:w="3213" w:type="dxa"/>
            <w:tcBorders>
              <w:top w:val="single" w:sz="2" w:space="0" w:color="auto"/>
              <w:left w:val="single" w:sz="2" w:space="0" w:color="auto"/>
              <w:bottom w:val="single" w:sz="2" w:space="0" w:color="auto"/>
              <w:right w:val="single" w:sz="2" w:space="0" w:color="auto"/>
            </w:tcBorders>
            <w:vAlign w:val="center"/>
          </w:tcPr>
          <w:p w14:paraId="18EEB1BD" w14:textId="77777777" w:rsidR="007B3DB2" w:rsidRPr="0063248C" w:rsidRDefault="00000000">
            <w:pPr>
              <w:spacing w:line="240" w:lineRule="exact"/>
              <w:jc w:val="right"/>
              <w:rPr>
                <w:rFonts w:cs="宋体"/>
                <w:sz w:val="18"/>
                <w:szCs w:val="18"/>
              </w:rPr>
            </w:pPr>
            <w:r w:rsidRPr="0063248C">
              <w:rPr>
                <w:rFonts w:cs="宋体"/>
                <w:sz w:val="18"/>
                <w:szCs w:val="18"/>
              </w:rPr>
              <w:t>278,799.21</w:t>
            </w:r>
          </w:p>
        </w:tc>
      </w:tr>
      <w:tr w:rsidR="007B3DB2" w:rsidRPr="0063248C" w14:paraId="4CAE9A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5FC46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47FFA347" w14:textId="77777777" w:rsidR="007B3DB2" w:rsidRPr="0063248C" w:rsidRDefault="00000000">
            <w:pPr>
              <w:spacing w:line="240" w:lineRule="exact"/>
              <w:jc w:val="right"/>
              <w:rPr>
                <w:rFonts w:cs="宋体"/>
                <w:sz w:val="18"/>
                <w:szCs w:val="18"/>
              </w:rPr>
            </w:pPr>
            <w:r w:rsidRPr="0063248C">
              <w:rPr>
                <w:rFonts w:cs="宋体"/>
                <w:sz w:val="18"/>
                <w:szCs w:val="18"/>
              </w:rPr>
              <w:t>218,600,000.00</w:t>
            </w:r>
          </w:p>
        </w:tc>
        <w:tc>
          <w:tcPr>
            <w:tcW w:w="3213" w:type="dxa"/>
            <w:tcBorders>
              <w:top w:val="single" w:sz="2" w:space="0" w:color="auto"/>
              <w:left w:val="single" w:sz="2" w:space="0" w:color="auto"/>
              <w:bottom w:val="single" w:sz="2" w:space="0" w:color="auto"/>
              <w:right w:val="single" w:sz="2" w:space="0" w:color="auto"/>
            </w:tcBorders>
            <w:vAlign w:val="center"/>
          </w:tcPr>
          <w:p w14:paraId="3527A340" w14:textId="77777777" w:rsidR="007B3DB2" w:rsidRPr="0063248C" w:rsidRDefault="00000000">
            <w:pPr>
              <w:spacing w:line="240" w:lineRule="exact"/>
              <w:jc w:val="right"/>
              <w:rPr>
                <w:rFonts w:cs="宋体"/>
                <w:sz w:val="18"/>
                <w:szCs w:val="18"/>
              </w:rPr>
            </w:pPr>
            <w:r w:rsidRPr="0063248C">
              <w:rPr>
                <w:rFonts w:cs="宋体"/>
                <w:sz w:val="18"/>
                <w:szCs w:val="18"/>
              </w:rPr>
              <w:t>239,970,867.01</w:t>
            </w:r>
          </w:p>
        </w:tc>
      </w:tr>
      <w:tr w:rsidR="007B3DB2" w:rsidRPr="0063248C" w14:paraId="073484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6B036F"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616FA3B8"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E8C75A" w14:textId="77777777" w:rsidR="007B3DB2" w:rsidRPr="0063248C" w:rsidRDefault="007B3DB2">
            <w:pPr>
              <w:spacing w:line="240" w:lineRule="exact"/>
              <w:jc w:val="right"/>
              <w:rPr>
                <w:rFonts w:cs="宋体"/>
                <w:sz w:val="18"/>
                <w:szCs w:val="18"/>
              </w:rPr>
            </w:pPr>
          </w:p>
        </w:tc>
      </w:tr>
      <w:tr w:rsidR="007B3DB2" w:rsidRPr="0063248C" w14:paraId="050669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D3283C"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33BB4689"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8DCD36" w14:textId="77777777" w:rsidR="007B3DB2" w:rsidRPr="0063248C" w:rsidRDefault="007B3DB2">
            <w:pPr>
              <w:spacing w:line="240" w:lineRule="exact"/>
              <w:jc w:val="right"/>
              <w:rPr>
                <w:rFonts w:cs="宋体"/>
                <w:sz w:val="18"/>
                <w:szCs w:val="18"/>
              </w:rPr>
            </w:pPr>
          </w:p>
        </w:tc>
      </w:tr>
      <w:tr w:rsidR="007B3DB2" w:rsidRPr="0063248C" w14:paraId="7A5B5B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097DD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212E2329" w14:textId="77777777" w:rsidR="007B3DB2" w:rsidRPr="0063248C" w:rsidRDefault="00000000">
            <w:pPr>
              <w:spacing w:line="240" w:lineRule="exact"/>
              <w:jc w:val="right"/>
              <w:rPr>
                <w:rFonts w:cs="宋体"/>
                <w:sz w:val="18"/>
                <w:szCs w:val="18"/>
              </w:rPr>
            </w:pPr>
            <w:r w:rsidRPr="0063248C">
              <w:rPr>
                <w:rFonts w:cs="宋体"/>
                <w:sz w:val="18"/>
                <w:szCs w:val="18"/>
              </w:rPr>
              <w:t>14,888,965.91</w:t>
            </w:r>
          </w:p>
        </w:tc>
        <w:tc>
          <w:tcPr>
            <w:tcW w:w="3213" w:type="dxa"/>
            <w:tcBorders>
              <w:top w:val="single" w:sz="2" w:space="0" w:color="auto"/>
              <w:left w:val="single" w:sz="2" w:space="0" w:color="auto"/>
              <w:bottom w:val="single" w:sz="2" w:space="0" w:color="auto"/>
              <w:right w:val="single" w:sz="2" w:space="0" w:color="auto"/>
            </w:tcBorders>
            <w:vAlign w:val="center"/>
          </w:tcPr>
          <w:p w14:paraId="0207A541" w14:textId="77777777" w:rsidR="007B3DB2" w:rsidRPr="0063248C" w:rsidRDefault="00000000">
            <w:pPr>
              <w:spacing w:line="240" w:lineRule="exact"/>
              <w:jc w:val="right"/>
              <w:rPr>
                <w:rFonts w:cs="宋体"/>
                <w:sz w:val="18"/>
                <w:szCs w:val="18"/>
              </w:rPr>
            </w:pPr>
            <w:r w:rsidRPr="0063248C">
              <w:rPr>
                <w:rFonts w:cs="宋体"/>
                <w:sz w:val="18"/>
                <w:szCs w:val="18"/>
              </w:rPr>
              <w:t>15,695,965.89</w:t>
            </w:r>
          </w:p>
        </w:tc>
      </w:tr>
      <w:tr w:rsidR="007B3DB2" w:rsidRPr="0063248C" w14:paraId="304CC11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CF098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2AADD2A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77B44C" w14:textId="77777777" w:rsidR="007B3DB2" w:rsidRPr="0063248C" w:rsidRDefault="007B3DB2">
            <w:pPr>
              <w:spacing w:line="240" w:lineRule="exact"/>
              <w:jc w:val="right"/>
              <w:rPr>
                <w:rFonts w:cs="宋体"/>
                <w:sz w:val="18"/>
                <w:szCs w:val="18"/>
              </w:rPr>
            </w:pPr>
          </w:p>
        </w:tc>
      </w:tr>
      <w:tr w:rsidR="007B3DB2" w:rsidRPr="0063248C" w14:paraId="00DC68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9793E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5110C50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63706B" w14:textId="77777777" w:rsidR="007B3DB2" w:rsidRPr="0063248C" w:rsidRDefault="007B3DB2">
            <w:pPr>
              <w:spacing w:line="240" w:lineRule="exact"/>
              <w:jc w:val="right"/>
              <w:rPr>
                <w:rFonts w:cs="宋体"/>
                <w:sz w:val="18"/>
                <w:szCs w:val="18"/>
              </w:rPr>
            </w:pPr>
          </w:p>
        </w:tc>
      </w:tr>
      <w:tr w:rsidR="007B3DB2" w:rsidRPr="0063248C" w14:paraId="2F4C60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9A2AFD" w14:textId="77777777" w:rsidR="007B3DB2" w:rsidRPr="0063248C" w:rsidRDefault="00000000">
            <w:pPr>
              <w:spacing w:before="40" w:after="40" w:line="240" w:lineRule="exact"/>
              <w:rPr>
                <w:rFonts w:cs="宋体"/>
                <w:sz w:val="18"/>
                <w:szCs w:val="18"/>
              </w:rPr>
            </w:pPr>
            <w:r w:rsidRPr="0063248C">
              <w:rPr>
                <w:rFonts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0F6FFDA9" w14:textId="77777777" w:rsidR="007B3DB2" w:rsidRPr="0063248C" w:rsidRDefault="00000000">
            <w:pPr>
              <w:spacing w:line="240" w:lineRule="exact"/>
              <w:jc w:val="right"/>
              <w:rPr>
                <w:rFonts w:cs="宋体"/>
                <w:sz w:val="18"/>
                <w:szCs w:val="18"/>
              </w:rPr>
            </w:pPr>
            <w:r w:rsidRPr="0063248C">
              <w:rPr>
                <w:rFonts w:cs="宋体"/>
                <w:sz w:val="18"/>
                <w:szCs w:val="18"/>
              </w:rPr>
              <w:t>1,219,973,897.61</w:t>
            </w:r>
          </w:p>
        </w:tc>
        <w:tc>
          <w:tcPr>
            <w:tcW w:w="3213" w:type="dxa"/>
            <w:tcBorders>
              <w:top w:val="single" w:sz="2" w:space="0" w:color="auto"/>
              <w:left w:val="single" w:sz="2" w:space="0" w:color="auto"/>
              <w:bottom w:val="single" w:sz="2" w:space="0" w:color="auto"/>
              <w:right w:val="single" w:sz="2" w:space="0" w:color="auto"/>
            </w:tcBorders>
            <w:vAlign w:val="center"/>
          </w:tcPr>
          <w:p w14:paraId="566301E4" w14:textId="77777777" w:rsidR="007B3DB2" w:rsidRPr="0063248C" w:rsidRDefault="00000000">
            <w:pPr>
              <w:spacing w:line="240" w:lineRule="exact"/>
              <w:jc w:val="right"/>
              <w:rPr>
                <w:rFonts w:cs="宋体"/>
                <w:sz w:val="18"/>
                <w:szCs w:val="18"/>
              </w:rPr>
            </w:pPr>
            <w:r w:rsidRPr="0063248C">
              <w:rPr>
                <w:rFonts w:cs="宋体"/>
                <w:sz w:val="18"/>
                <w:szCs w:val="18"/>
              </w:rPr>
              <w:t>1,249,484,897.85</w:t>
            </w:r>
          </w:p>
        </w:tc>
      </w:tr>
      <w:tr w:rsidR="007B3DB2" w:rsidRPr="0063248C" w14:paraId="6D65CD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2200B5" w14:textId="77777777" w:rsidR="007B3DB2" w:rsidRPr="0063248C" w:rsidRDefault="00000000">
            <w:pPr>
              <w:spacing w:before="40" w:after="40" w:line="240" w:lineRule="exact"/>
              <w:rPr>
                <w:rFonts w:cs="宋体"/>
                <w:sz w:val="18"/>
                <w:szCs w:val="18"/>
              </w:rPr>
            </w:pPr>
            <w:r w:rsidRPr="0063248C">
              <w:rPr>
                <w:rFonts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5381EBA8" w14:textId="77777777" w:rsidR="007B3DB2" w:rsidRPr="0063248C" w:rsidRDefault="00000000">
            <w:pPr>
              <w:spacing w:line="240" w:lineRule="exact"/>
              <w:jc w:val="right"/>
              <w:rPr>
                <w:rFonts w:cs="宋体"/>
                <w:sz w:val="18"/>
                <w:szCs w:val="18"/>
              </w:rPr>
            </w:pPr>
            <w:r w:rsidRPr="0063248C">
              <w:rPr>
                <w:rFonts w:cs="宋体"/>
                <w:sz w:val="18"/>
                <w:szCs w:val="18"/>
              </w:rPr>
              <w:t>3,909,675,791.86</w:t>
            </w:r>
          </w:p>
        </w:tc>
        <w:tc>
          <w:tcPr>
            <w:tcW w:w="3213" w:type="dxa"/>
            <w:tcBorders>
              <w:top w:val="single" w:sz="2" w:space="0" w:color="auto"/>
              <w:left w:val="single" w:sz="2" w:space="0" w:color="auto"/>
              <w:bottom w:val="single" w:sz="2" w:space="0" w:color="auto"/>
              <w:right w:val="single" w:sz="2" w:space="0" w:color="auto"/>
            </w:tcBorders>
            <w:vAlign w:val="center"/>
          </w:tcPr>
          <w:p w14:paraId="3A3A65F2" w14:textId="77777777" w:rsidR="007B3DB2" w:rsidRPr="0063248C" w:rsidRDefault="00000000">
            <w:pPr>
              <w:spacing w:line="240" w:lineRule="exact"/>
              <w:jc w:val="right"/>
              <w:rPr>
                <w:rFonts w:cs="宋体"/>
                <w:sz w:val="18"/>
                <w:szCs w:val="18"/>
              </w:rPr>
            </w:pPr>
            <w:r w:rsidRPr="0063248C">
              <w:rPr>
                <w:rFonts w:cs="宋体"/>
                <w:sz w:val="18"/>
                <w:szCs w:val="18"/>
              </w:rPr>
              <w:t>4,475,775,668.92</w:t>
            </w:r>
          </w:p>
        </w:tc>
      </w:tr>
      <w:tr w:rsidR="007B3DB2" w:rsidRPr="0063248C" w14:paraId="29C3FF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8B95DA" w14:textId="77777777" w:rsidR="007B3DB2" w:rsidRPr="0063248C" w:rsidRDefault="00000000">
            <w:pPr>
              <w:spacing w:line="240" w:lineRule="exact"/>
              <w:rPr>
                <w:rFonts w:cs="宋体"/>
                <w:sz w:val="18"/>
                <w:szCs w:val="18"/>
              </w:rPr>
            </w:pPr>
            <w:r w:rsidRPr="0063248C">
              <w:rPr>
                <w:rFonts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00C150"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04C9F1" w14:textId="77777777" w:rsidR="007B3DB2" w:rsidRPr="0063248C" w:rsidRDefault="007B3DB2"/>
        </w:tc>
      </w:tr>
      <w:tr w:rsidR="007B3DB2" w:rsidRPr="0063248C" w14:paraId="1A5F0A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1AF579"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28480590" w14:textId="77777777" w:rsidR="007B3DB2" w:rsidRPr="0063248C" w:rsidRDefault="00000000">
            <w:pPr>
              <w:spacing w:line="240" w:lineRule="exact"/>
              <w:jc w:val="right"/>
              <w:rPr>
                <w:rFonts w:cs="宋体"/>
                <w:sz w:val="18"/>
                <w:szCs w:val="18"/>
              </w:rPr>
            </w:pPr>
            <w:r w:rsidRPr="0063248C">
              <w:rPr>
                <w:rFonts w:cs="宋体"/>
                <w:sz w:val="18"/>
                <w:szCs w:val="18"/>
              </w:rPr>
              <w:t>1,079,159,939.00</w:t>
            </w:r>
          </w:p>
        </w:tc>
        <w:tc>
          <w:tcPr>
            <w:tcW w:w="3213" w:type="dxa"/>
            <w:tcBorders>
              <w:top w:val="single" w:sz="2" w:space="0" w:color="auto"/>
              <w:left w:val="single" w:sz="2" w:space="0" w:color="auto"/>
              <w:bottom w:val="single" w:sz="2" w:space="0" w:color="auto"/>
              <w:right w:val="single" w:sz="2" w:space="0" w:color="auto"/>
            </w:tcBorders>
            <w:vAlign w:val="center"/>
          </w:tcPr>
          <w:p w14:paraId="6E0A40A6" w14:textId="77777777" w:rsidR="007B3DB2" w:rsidRPr="0063248C" w:rsidRDefault="00000000">
            <w:pPr>
              <w:spacing w:line="240" w:lineRule="exact"/>
              <w:jc w:val="right"/>
              <w:rPr>
                <w:rFonts w:cs="宋体"/>
                <w:sz w:val="18"/>
                <w:szCs w:val="18"/>
              </w:rPr>
            </w:pPr>
            <w:r w:rsidRPr="0063248C">
              <w:rPr>
                <w:rFonts w:cs="宋体"/>
                <w:sz w:val="18"/>
                <w:szCs w:val="18"/>
              </w:rPr>
              <w:t>1,079,159,832.00</w:t>
            </w:r>
          </w:p>
        </w:tc>
      </w:tr>
      <w:tr w:rsidR="007B3DB2" w:rsidRPr="0063248C" w14:paraId="4550EA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193375"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20D7F329" w14:textId="77777777" w:rsidR="007B3DB2" w:rsidRPr="0063248C" w:rsidRDefault="00000000">
            <w:pPr>
              <w:spacing w:line="240" w:lineRule="exact"/>
              <w:jc w:val="right"/>
              <w:rPr>
                <w:rFonts w:cs="宋体"/>
                <w:sz w:val="18"/>
                <w:szCs w:val="18"/>
              </w:rPr>
            </w:pPr>
            <w:r w:rsidRPr="0063248C">
              <w:rPr>
                <w:rFonts w:cs="宋体"/>
                <w:sz w:val="18"/>
                <w:szCs w:val="18"/>
              </w:rPr>
              <w:t>171,570,700.63</w:t>
            </w:r>
          </w:p>
        </w:tc>
        <w:tc>
          <w:tcPr>
            <w:tcW w:w="3213" w:type="dxa"/>
            <w:tcBorders>
              <w:top w:val="single" w:sz="2" w:space="0" w:color="auto"/>
              <w:left w:val="single" w:sz="2" w:space="0" w:color="auto"/>
              <w:bottom w:val="single" w:sz="2" w:space="0" w:color="auto"/>
              <w:right w:val="single" w:sz="2" w:space="0" w:color="auto"/>
            </w:tcBorders>
            <w:vAlign w:val="center"/>
          </w:tcPr>
          <w:p w14:paraId="179835B4" w14:textId="77777777" w:rsidR="007B3DB2" w:rsidRPr="0063248C" w:rsidRDefault="00000000">
            <w:pPr>
              <w:spacing w:line="240" w:lineRule="exact"/>
              <w:jc w:val="right"/>
              <w:rPr>
                <w:rFonts w:cs="宋体"/>
                <w:sz w:val="18"/>
                <w:szCs w:val="18"/>
              </w:rPr>
            </w:pPr>
            <w:r w:rsidRPr="0063248C">
              <w:rPr>
                <w:rFonts w:cs="宋体"/>
                <w:sz w:val="18"/>
                <w:szCs w:val="18"/>
              </w:rPr>
              <w:t>171,570,881.98</w:t>
            </w:r>
          </w:p>
        </w:tc>
      </w:tr>
      <w:tr w:rsidR="007B3DB2" w:rsidRPr="0063248C" w14:paraId="24D6A6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4694E2" w14:textId="77777777" w:rsidR="007B3DB2" w:rsidRPr="0063248C" w:rsidRDefault="00000000">
            <w:pPr>
              <w:spacing w:line="240" w:lineRule="exact"/>
              <w:ind w:firstLineChars="200" w:firstLine="360"/>
              <w:rPr>
                <w:rFonts w:cs="宋体"/>
                <w:sz w:val="18"/>
                <w:szCs w:val="18"/>
              </w:rPr>
            </w:pPr>
            <w:r w:rsidRPr="0063248C">
              <w:rPr>
                <w:rFonts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4ACA6CE1"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52BFD837"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4B3713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ADF68D" w14:textId="77777777" w:rsidR="007B3DB2" w:rsidRPr="0063248C" w:rsidRDefault="00000000">
            <w:pPr>
              <w:spacing w:line="240" w:lineRule="exact"/>
              <w:ind w:firstLineChars="500" w:firstLine="900"/>
              <w:rPr>
                <w:rFonts w:cs="宋体"/>
                <w:sz w:val="18"/>
                <w:szCs w:val="18"/>
              </w:rPr>
            </w:pPr>
            <w:r w:rsidRPr="0063248C">
              <w:rPr>
                <w:rFonts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01D85C4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645926EC"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48A12F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FD08A3"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784119EC" w14:textId="77777777" w:rsidR="007B3DB2" w:rsidRPr="0063248C" w:rsidRDefault="00000000">
            <w:pPr>
              <w:spacing w:line="240" w:lineRule="exact"/>
              <w:jc w:val="right"/>
              <w:rPr>
                <w:rFonts w:cs="宋体"/>
                <w:sz w:val="18"/>
                <w:szCs w:val="18"/>
              </w:rPr>
            </w:pPr>
            <w:r w:rsidRPr="0063248C">
              <w:rPr>
                <w:rFonts w:cs="宋体"/>
                <w:sz w:val="18"/>
                <w:szCs w:val="18"/>
              </w:rPr>
              <w:t>830,436,630.97</w:t>
            </w:r>
          </w:p>
        </w:tc>
        <w:tc>
          <w:tcPr>
            <w:tcW w:w="3213" w:type="dxa"/>
            <w:tcBorders>
              <w:top w:val="single" w:sz="2" w:space="0" w:color="auto"/>
              <w:left w:val="single" w:sz="2" w:space="0" w:color="auto"/>
              <w:bottom w:val="single" w:sz="2" w:space="0" w:color="auto"/>
              <w:right w:val="single" w:sz="2" w:space="0" w:color="auto"/>
            </w:tcBorders>
            <w:vAlign w:val="center"/>
          </w:tcPr>
          <w:p w14:paraId="748C623A" w14:textId="77777777" w:rsidR="007B3DB2" w:rsidRPr="0063248C" w:rsidRDefault="00000000">
            <w:pPr>
              <w:spacing w:line="240" w:lineRule="exact"/>
              <w:jc w:val="right"/>
              <w:rPr>
                <w:rFonts w:cs="宋体"/>
                <w:sz w:val="18"/>
                <w:szCs w:val="18"/>
              </w:rPr>
            </w:pPr>
            <w:r w:rsidRPr="0063248C">
              <w:rPr>
                <w:rFonts w:cs="宋体"/>
                <w:sz w:val="18"/>
                <w:szCs w:val="18"/>
              </w:rPr>
              <w:t>830,435,511.92</w:t>
            </w:r>
          </w:p>
        </w:tc>
      </w:tr>
      <w:tr w:rsidR="007B3DB2" w:rsidRPr="0063248C" w14:paraId="6922A5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AFBDC4"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730FFCF0"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c>
          <w:tcPr>
            <w:tcW w:w="3213" w:type="dxa"/>
            <w:tcBorders>
              <w:top w:val="single" w:sz="2" w:space="0" w:color="auto"/>
              <w:left w:val="single" w:sz="2" w:space="0" w:color="auto"/>
              <w:bottom w:val="single" w:sz="2" w:space="0" w:color="auto"/>
              <w:right w:val="single" w:sz="2" w:space="0" w:color="auto"/>
            </w:tcBorders>
            <w:vAlign w:val="center"/>
          </w:tcPr>
          <w:p w14:paraId="4767833D"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r>
      <w:tr w:rsidR="007B3DB2" w:rsidRPr="0063248C" w14:paraId="247D3A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2D967A"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CF2B609"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c>
          <w:tcPr>
            <w:tcW w:w="3213" w:type="dxa"/>
            <w:tcBorders>
              <w:top w:val="single" w:sz="2" w:space="0" w:color="auto"/>
              <w:left w:val="single" w:sz="2" w:space="0" w:color="auto"/>
              <w:bottom w:val="single" w:sz="2" w:space="0" w:color="auto"/>
              <w:right w:val="single" w:sz="2" w:space="0" w:color="auto"/>
            </w:tcBorders>
            <w:vAlign w:val="center"/>
          </w:tcPr>
          <w:p w14:paraId="063E70E2"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r>
      <w:tr w:rsidR="007B3DB2" w:rsidRPr="0063248C" w14:paraId="15A823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2A295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3381F10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1B07CF4B"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0CBC21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66A244"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726BF074"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31F485C2"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r>
      <w:tr w:rsidR="007B3DB2" w:rsidRPr="0063248C" w14:paraId="0B94FF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5BCE35"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65029F25" w14:textId="77777777" w:rsidR="007B3DB2" w:rsidRPr="0063248C" w:rsidRDefault="00000000">
            <w:pPr>
              <w:spacing w:line="240" w:lineRule="exact"/>
              <w:jc w:val="right"/>
              <w:rPr>
                <w:rFonts w:cs="宋体"/>
                <w:sz w:val="18"/>
                <w:szCs w:val="18"/>
              </w:rPr>
            </w:pPr>
            <w:r w:rsidRPr="0063248C">
              <w:rPr>
                <w:rFonts w:cs="宋体"/>
                <w:sz w:val="18"/>
                <w:szCs w:val="18"/>
              </w:rPr>
              <w:t>-796,208,849.57</w:t>
            </w:r>
          </w:p>
        </w:tc>
        <w:tc>
          <w:tcPr>
            <w:tcW w:w="3213" w:type="dxa"/>
            <w:tcBorders>
              <w:top w:val="single" w:sz="2" w:space="0" w:color="auto"/>
              <w:left w:val="single" w:sz="2" w:space="0" w:color="auto"/>
              <w:bottom w:val="single" w:sz="2" w:space="0" w:color="auto"/>
              <w:right w:val="single" w:sz="2" w:space="0" w:color="auto"/>
            </w:tcBorders>
            <w:vAlign w:val="center"/>
          </w:tcPr>
          <w:p w14:paraId="30A02AC1" w14:textId="77777777" w:rsidR="007B3DB2" w:rsidRPr="0063248C" w:rsidRDefault="00000000">
            <w:pPr>
              <w:spacing w:line="240" w:lineRule="exact"/>
              <w:jc w:val="right"/>
              <w:rPr>
                <w:rFonts w:cs="宋体"/>
                <w:sz w:val="18"/>
                <w:szCs w:val="18"/>
              </w:rPr>
            </w:pPr>
            <w:r w:rsidRPr="0063248C">
              <w:rPr>
                <w:rFonts w:cs="宋体"/>
                <w:sz w:val="18"/>
                <w:szCs w:val="18"/>
              </w:rPr>
              <w:t>-810,843,308.94</w:t>
            </w:r>
          </w:p>
        </w:tc>
      </w:tr>
      <w:tr w:rsidR="007B3DB2" w:rsidRPr="0063248C" w14:paraId="7D579F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1CFBCB" w14:textId="77777777" w:rsidR="007B3DB2" w:rsidRPr="0063248C" w:rsidRDefault="00000000">
            <w:pPr>
              <w:spacing w:line="240" w:lineRule="exact"/>
              <w:rPr>
                <w:rFonts w:cs="宋体"/>
                <w:sz w:val="18"/>
                <w:szCs w:val="18"/>
              </w:rPr>
            </w:pPr>
            <w:r w:rsidRPr="0063248C">
              <w:rPr>
                <w:rFonts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68F49BB2" w14:textId="77777777" w:rsidR="007B3DB2" w:rsidRPr="0063248C" w:rsidRDefault="00000000">
            <w:pPr>
              <w:spacing w:line="240" w:lineRule="exact"/>
              <w:jc w:val="right"/>
              <w:rPr>
                <w:rFonts w:cs="宋体"/>
                <w:sz w:val="18"/>
                <w:szCs w:val="18"/>
              </w:rPr>
            </w:pPr>
            <w:r w:rsidRPr="0063248C">
              <w:rPr>
                <w:rFonts w:cs="宋体"/>
                <w:sz w:val="18"/>
                <w:szCs w:val="18"/>
              </w:rPr>
              <w:t>1,206,551,266.90</w:t>
            </w:r>
          </w:p>
        </w:tc>
        <w:tc>
          <w:tcPr>
            <w:tcW w:w="3213" w:type="dxa"/>
            <w:tcBorders>
              <w:top w:val="single" w:sz="2" w:space="0" w:color="auto"/>
              <w:left w:val="single" w:sz="2" w:space="0" w:color="auto"/>
              <w:bottom w:val="single" w:sz="2" w:space="0" w:color="auto"/>
              <w:right w:val="single" w:sz="2" w:space="0" w:color="auto"/>
            </w:tcBorders>
            <w:vAlign w:val="center"/>
          </w:tcPr>
          <w:p w14:paraId="0B05ECBC" w14:textId="77777777" w:rsidR="007B3DB2" w:rsidRPr="0063248C" w:rsidRDefault="00000000">
            <w:pPr>
              <w:spacing w:line="240" w:lineRule="exact"/>
              <w:jc w:val="right"/>
              <w:rPr>
                <w:rFonts w:cs="宋体"/>
                <w:sz w:val="18"/>
                <w:szCs w:val="18"/>
              </w:rPr>
            </w:pPr>
            <w:r w:rsidRPr="0063248C">
              <w:rPr>
                <w:rFonts w:cs="宋体"/>
                <w:sz w:val="18"/>
                <w:szCs w:val="18"/>
              </w:rPr>
              <w:t>1,191,915,762.83</w:t>
            </w:r>
          </w:p>
        </w:tc>
      </w:tr>
      <w:tr w:rsidR="007B3DB2" w:rsidRPr="0063248C" w14:paraId="5356C8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8CA644" w14:textId="77777777" w:rsidR="007B3DB2" w:rsidRPr="0063248C" w:rsidRDefault="00000000">
            <w:pPr>
              <w:spacing w:line="240" w:lineRule="exact"/>
              <w:rPr>
                <w:rFonts w:cs="宋体"/>
                <w:sz w:val="18"/>
                <w:szCs w:val="18"/>
              </w:rPr>
            </w:pPr>
            <w:r w:rsidRPr="0063248C">
              <w:rPr>
                <w:rFonts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1FD34E0E" w14:textId="77777777" w:rsidR="007B3DB2" w:rsidRPr="0063248C" w:rsidRDefault="00000000">
            <w:pPr>
              <w:spacing w:line="240" w:lineRule="exact"/>
              <w:jc w:val="right"/>
              <w:rPr>
                <w:rFonts w:cs="宋体"/>
                <w:sz w:val="18"/>
                <w:szCs w:val="18"/>
              </w:rPr>
            </w:pPr>
            <w:r w:rsidRPr="0063248C">
              <w:rPr>
                <w:rFonts w:cs="宋体"/>
                <w:sz w:val="18"/>
                <w:szCs w:val="18"/>
              </w:rPr>
              <w:t>5,116,227,058.76</w:t>
            </w:r>
          </w:p>
        </w:tc>
        <w:tc>
          <w:tcPr>
            <w:tcW w:w="3213" w:type="dxa"/>
            <w:tcBorders>
              <w:top w:val="single" w:sz="2" w:space="0" w:color="auto"/>
              <w:left w:val="single" w:sz="2" w:space="0" w:color="auto"/>
              <w:bottom w:val="single" w:sz="2" w:space="0" w:color="auto"/>
              <w:right w:val="single" w:sz="2" w:space="0" w:color="auto"/>
            </w:tcBorders>
            <w:vAlign w:val="center"/>
          </w:tcPr>
          <w:p w14:paraId="08663047" w14:textId="77777777" w:rsidR="007B3DB2" w:rsidRPr="0063248C" w:rsidRDefault="00000000">
            <w:pPr>
              <w:spacing w:line="240" w:lineRule="exact"/>
              <w:jc w:val="right"/>
              <w:rPr>
                <w:rFonts w:cs="宋体"/>
                <w:sz w:val="18"/>
                <w:szCs w:val="18"/>
              </w:rPr>
            </w:pPr>
            <w:r w:rsidRPr="0063248C">
              <w:rPr>
                <w:rFonts w:cs="宋体"/>
                <w:sz w:val="18"/>
                <w:szCs w:val="18"/>
              </w:rPr>
              <w:t>5,667,691,431.75</w:t>
            </w:r>
          </w:p>
        </w:tc>
      </w:tr>
    </w:tbl>
    <w:p w14:paraId="434FB1EE" w14:textId="77777777" w:rsidR="007B3DB2" w:rsidRPr="0063248C" w:rsidRDefault="00000000">
      <w:pPr>
        <w:pStyle w:val="3"/>
        <w:spacing w:line="280" w:lineRule="exact"/>
        <w:jc w:val="left"/>
        <w:rPr>
          <w:rFonts w:cs="宋体"/>
          <w:b/>
          <w:bCs/>
        </w:rPr>
      </w:pPr>
      <w:bookmarkStart w:id="106" w:name="_Toc988995"/>
      <w:r w:rsidRPr="0063248C">
        <w:rPr>
          <w:rFonts w:cs="宋体"/>
          <w:b/>
          <w:bCs/>
        </w:rPr>
        <w:t>3</w:t>
      </w:r>
      <w:r w:rsidRPr="0063248C">
        <w:rPr>
          <w:rFonts w:cs="宋体"/>
          <w:b/>
          <w:bCs/>
        </w:rPr>
        <w:t>、合并利润表</w:t>
      </w:r>
      <w:bookmarkEnd w:id="106"/>
    </w:p>
    <w:p w14:paraId="6369BD84"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0F3010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986AC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458831" w14:textId="77777777" w:rsidR="007B3DB2" w:rsidRPr="0063248C" w:rsidRDefault="00000000">
            <w:pPr>
              <w:spacing w:before="40" w:after="40" w:line="240" w:lineRule="exact"/>
              <w:jc w:val="center"/>
              <w:rPr>
                <w:rFonts w:cs="宋体"/>
                <w:sz w:val="18"/>
                <w:szCs w:val="18"/>
              </w:rPr>
            </w:pPr>
            <w:r w:rsidRPr="0063248C">
              <w:rPr>
                <w:rFonts w:cs="宋体"/>
                <w:sz w:val="18"/>
                <w:szCs w:val="18"/>
              </w:rPr>
              <w:t>2024</w:t>
            </w:r>
            <w:r w:rsidRPr="0063248C">
              <w:rPr>
                <w:rFonts w:cs="宋体"/>
                <w:sz w:val="18"/>
                <w:szCs w:val="18"/>
              </w:rPr>
              <w:t>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86C493" w14:textId="77777777" w:rsidR="007B3DB2" w:rsidRPr="0063248C" w:rsidRDefault="00000000">
            <w:pPr>
              <w:spacing w:before="40" w:after="40" w:line="240" w:lineRule="exact"/>
              <w:jc w:val="center"/>
              <w:rPr>
                <w:rFonts w:cs="宋体"/>
                <w:sz w:val="18"/>
                <w:szCs w:val="18"/>
              </w:rPr>
            </w:pPr>
            <w:r w:rsidRPr="0063248C">
              <w:rPr>
                <w:rFonts w:cs="宋体"/>
                <w:sz w:val="18"/>
                <w:szCs w:val="18"/>
              </w:rPr>
              <w:t>2023</w:t>
            </w:r>
            <w:r w:rsidRPr="0063248C">
              <w:rPr>
                <w:rFonts w:cs="宋体"/>
                <w:sz w:val="18"/>
                <w:szCs w:val="18"/>
              </w:rPr>
              <w:t>年半年度</w:t>
            </w:r>
          </w:p>
        </w:tc>
      </w:tr>
      <w:tr w:rsidR="007B3DB2" w:rsidRPr="0063248C" w14:paraId="332863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E845FD"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06D1DFFE" w14:textId="77777777" w:rsidR="007B3DB2" w:rsidRPr="0063248C" w:rsidRDefault="00000000">
            <w:pPr>
              <w:spacing w:line="240" w:lineRule="exact"/>
              <w:jc w:val="right"/>
              <w:rPr>
                <w:rFonts w:cs="宋体"/>
                <w:sz w:val="18"/>
                <w:szCs w:val="18"/>
              </w:rPr>
            </w:pPr>
            <w:r w:rsidRPr="0063248C">
              <w:rPr>
                <w:rFonts w:cs="宋体"/>
                <w:sz w:val="18"/>
                <w:szCs w:val="18"/>
              </w:rPr>
              <w:t>5,044,132,021.30</w:t>
            </w:r>
          </w:p>
        </w:tc>
        <w:tc>
          <w:tcPr>
            <w:tcW w:w="3213" w:type="dxa"/>
            <w:tcBorders>
              <w:top w:val="single" w:sz="2" w:space="0" w:color="auto"/>
              <w:left w:val="single" w:sz="2" w:space="0" w:color="auto"/>
              <w:bottom w:val="single" w:sz="2" w:space="0" w:color="auto"/>
              <w:right w:val="single" w:sz="2" w:space="0" w:color="auto"/>
            </w:tcBorders>
            <w:vAlign w:val="center"/>
          </w:tcPr>
          <w:p w14:paraId="3C8AC806" w14:textId="77777777" w:rsidR="007B3DB2" w:rsidRPr="0063248C" w:rsidRDefault="00000000">
            <w:pPr>
              <w:spacing w:line="240" w:lineRule="exact"/>
              <w:jc w:val="right"/>
              <w:rPr>
                <w:rFonts w:cs="宋体"/>
                <w:sz w:val="18"/>
                <w:szCs w:val="18"/>
              </w:rPr>
            </w:pPr>
            <w:r w:rsidRPr="0063248C">
              <w:rPr>
                <w:rFonts w:cs="宋体"/>
                <w:sz w:val="18"/>
                <w:szCs w:val="18"/>
              </w:rPr>
              <w:t>6,726,422,093.49</w:t>
            </w:r>
          </w:p>
        </w:tc>
      </w:tr>
      <w:tr w:rsidR="007B3DB2" w:rsidRPr="0063248C" w14:paraId="791566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7361C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787A70CB" w14:textId="77777777" w:rsidR="007B3DB2" w:rsidRPr="0063248C" w:rsidRDefault="00000000">
            <w:pPr>
              <w:spacing w:line="240" w:lineRule="exact"/>
              <w:jc w:val="right"/>
              <w:rPr>
                <w:rFonts w:cs="宋体"/>
                <w:sz w:val="18"/>
                <w:szCs w:val="18"/>
              </w:rPr>
            </w:pPr>
            <w:r w:rsidRPr="0063248C">
              <w:rPr>
                <w:rFonts w:cs="宋体"/>
                <w:sz w:val="18"/>
                <w:szCs w:val="18"/>
              </w:rPr>
              <w:t>5,044,132,021.30</w:t>
            </w:r>
          </w:p>
        </w:tc>
        <w:tc>
          <w:tcPr>
            <w:tcW w:w="3213" w:type="dxa"/>
            <w:tcBorders>
              <w:top w:val="single" w:sz="2" w:space="0" w:color="auto"/>
              <w:left w:val="single" w:sz="2" w:space="0" w:color="auto"/>
              <w:bottom w:val="single" w:sz="2" w:space="0" w:color="auto"/>
              <w:right w:val="single" w:sz="2" w:space="0" w:color="auto"/>
            </w:tcBorders>
            <w:vAlign w:val="center"/>
          </w:tcPr>
          <w:p w14:paraId="0C461EB9" w14:textId="77777777" w:rsidR="007B3DB2" w:rsidRPr="0063248C" w:rsidRDefault="00000000">
            <w:pPr>
              <w:spacing w:line="240" w:lineRule="exact"/>
              <w:jc w:val="right"/>
              <w:rPr>
                <w:rFonts w:cs="宋体"/>
                <w:sz w:val="18"/>
                <w:szCs w:val="18"/>
              </w:rPr>
            </w:pPr>
            <w:r w:rsidRPr="0063248C">
              <w:rPr>
                <w:rFonts w:cs="宋体"/>
                <w:sz w:val="18"/>
                <w:szCs w:val="18"/>
              </w:rPr>
              <w:t>6,726,422,093.49</w:t>
            </w:r>
          </w:p>
        </w:tc>
      </w:tr>
      <w:tr w:rsidR="007B3DB2" w:rsidRPr="0063248C" w14:paraId="3C48C8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FD339F"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40B2370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F4C57B" w14:textId="77777777" w:rsidR="007B3DB2" w:rsidRPr="0063248C" w:rsidRDefault="007B3DB2">
            <w:pPr>
              <w:spacing w:line="240" w:lineRule="exact"/>
              <w:jc w:val="right"/>
              <w:rPr>
                <w:rFonts w:cs="宋体"/>
                <w:sz w:val="18"/>
                <w:szCs w:val="18"/>
              </w:rPr>
            </w:pPr>
          </w:p>
        </w:tc>
      </w:tr>
      <w:tr w:rsidR="007B3DB2" w:rsidRPr="0063248C" w14:paraId="369150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389919"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4956223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6C1C96" w14:textId="77777777" w:rsidR="007B3DB2" w:rsidRPr="0063248C" w:rsidRDefault="007B3DB2">
            <w:pPr>
              <w:spacing w:line="240" w:lineRule="exact"/>
              <w:jc w:val="right"/>
              <w:rPr>
                <w:rFonts w:cs="宋体"/>
                <w:sz w:val="18"/>
                <w:szCs w:val="18"/>
              </w:rPr>
            </w:pPr>
          </w:p>
        </w:tc>
      </w:tr>
      <w:tr w:rsidR="007B3DB2" w:rsidRPr="0063248C" w14:paraId="45870C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BFA193"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75A682C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F5032A" w14:textId="77777777" w:rsidR="007B3DB2" w:rsidRPr="0063248C" w:rsidRDefault="007B3DB2">
            <w:pPr>
              <w:spacing w:line="240" w:lineRule="exact"/>
              <w:jc w:val="right"/>
              <w:rPr>
                <w:rFonts w:cs="宋体"/>
                <w:sz w:val="18"/>
                <w:szCs w:val="18"/>
              </w:rPr>
            </w:pPr>
          </w:p>
        </w:tc>
      </w:tr>
      <w:tr w:rsidR="007B3DB2" w:rsidRPr="0063248C" w14:paraId="227001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E9AF85" w14:textId="77777777" w:rsidR="007B3DB2" w:rsidRPr="0063248C" w:rsidRDefault="00000000">
            <w:pPr>
              <w:spacing w:before="40" w:after="40" w:line="240" w:lineRule="exact"/>
              <w:rPr>
                <w:rFonts w:cs="宋体"/>
                <w:sz w:val="18"/>
                <w:szCs w:val="18"/>
              </w:rPr>
            </w:pPr>
            <w:r w:rsidRPr="0063248C">
              <w:rPr>
                <w:rFonts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67FF777A" w14:textId="77777777" w:rsidR="007B3DB2" w:rsidRPr="0063248C" w:rsidRDefault="00000000">
            <w:pPr>
              <w:spacing w:line="240" w:lineRule="exact"/>
              <w:jc w:val="right"/>
              <w:rPr>
                <w:rFonts w:cs="宋体"/>
                <w:sz w:val="18"/>
                <w:szCs w:val="18"/>
              </w:rPr>
            </w:pPr>
            <w:r w:rsidRPr="0063248C">
              <w:rPr>
                <w:rFonts w:cs="宋体"/>
                <w:sz w:val="18"/>
                <w:szCs w:val="18"/>
              </w:rPr>
              <w:t>5,017,964,929.91</w:t>
            </w:r>
          </w:p>
        </w:tc>
        <w:tc>
          <w:tcPr>
            <w:tcW w:w="3213" w:type="dxa"/>
            <w:tcBorders>
              <w:top w:val="single" w:sz="2" w:space="0" w:color="auto"/>
              <w:left w:val="single" w:sz="2" w:space="0" w:color="auto"/>
              <w:bottom w:val="single" w:sz="2" w:space="0" w:color="auto"/>
              <w:right w:val="single" w:sz="2" w:space="0" w:color="auto"/>
            </w:tcBorders>
            <w:vAlign w:val="center"/>
          </w:tcPr>
          <w:p w14:paraId="4E976E51" w14:textId="77777777" w:rsidR="007B3DB2" w:rsidRPr="0063248C" w:rsidRDefault="00000000">
            <w:pPr>
              <w:spacing w:line="240" w:lineRule="exact"/>
              <w:jc w:val="right"/>
              <w:rPr>
                <w:rFonts w:cs="宋体"/>
                <w:sz w:val="18"/>
                <w:szCs w:val="18"/>
              </w:rPr>
            </w:pPr>
            <w:r w:rsidRPr="0063248C">
              <w:rPr>
                <w:rFonts w:cs="宋体"/>
                <w:sz w:val="18"/>
                <w:szCs w:val="18"/>
              </w:rPr>
              <w:t>7,050,931,529.25</w:t>
            </w:r>
          </w:p>
        </w:tc>
      </w:tr>
      <w:tr w:rsidR="007B3DB2" w:rsidRPr="0063248C" w14:paraId="463F29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07B007"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47F8D3D6" w14:textId="77777777" w:rsidR="007B3DB2" w:rsidRPr="0063248C" w:rsidRDefault="00000000">
            <w:pPr>
              <w:spacing w:line="240" w:lineRule="exact"/>
              <w:jc w:val="right"/>
              <w:rPr>
                <w:rFonts w:cs="宋体"/>
                <w:sz w:val="18"/>
                <w:szCs w:val="18"/>
              </w:rPr>
            </w:pPr>
            <w:r w:rsidRPr="0063248C">
              <w:rPr>
                <w:rFonts w:cs="宋体"/>
                <w:sz w:val="18"/>
                <w:szCs w:val="18"/>
              </w:rPr>
              <w:t>4,792,939,807.15</w:t>
            </w:r>
          </w:p>
        </w:tc>
        <w:tc>
          <w:tcPr>
            <w:tcW w:w="3213" w:type="dxa"/>
            <w:tcBorders>
              <w:top w:val="single" w:sz="2" w:space="0" w:color="auto"/>
              <w:left w:val="single" w:sz="2" w:space="0" w:color="auto"/>
              <w:bottom w:val="single" w:sz="2" w:space="0" w:color="auto"/>
              <w:right w:val="single" w:sz="2" w:space="0" w:color="auto"/>
            </w:tcBorders>
            <w:vAlign w:val="center"/>
          </w:tcPr>
          <w:p w14:paraId="2FE383AC" w14:textId="77777777" w:rsidR="007B3DB2" w:rsidRPr="0063248C" w:rsidRDefault="00000000">
            <w:pPr>
              <w:spacing w:line="240" w:lineRule="exact"/>
              <w:jc w:val="right"/>
              <w:rPr>
                <w:rFonts w:cs="宋体"/>
                <w:sz w:val="18"/>
                <w:szCs w:val="18"/>
              </w:rPr>
            </w:pPr>
            <w:r w:rsidRPr="0063248C">
              <w:rPr>
                <w:rFonts w:cs="宋体"/>
                <w:sz w:val="18"/>
                <w:szCs w:val="18"/>
              </w:rPr>
              <w:t>6,791,252,996.63</w:t>
            </w:r>
          </w:p>
        </w:tc>
      </w:tr>
      <w:tr w:rsidR="007B3DB2" w:rsidRPr="0063248C" w14:paraId="017820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2954A0"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4CA02829"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3182EA" w14:textId="77777777" w:rsidR="007B3DB2" w:rsidRPr="0063248C" w:rsidRDefault="007B3DB2">
            <w:pPr>
              <w:spacing w:line="240" w:lineRule="exact"/>
              <w:jc w:val="right"/>
              <w:rPr>
                <w:rFonts w:cs="宋体"/>
                <w:sz w:val="18"/>
                <w:szCs w:val="18"/>
              </w:rPr>
            </w:pPr>
          </w:p>
        </w:tc>
      </w:tr>
      <w:tr w:rsidR="007B3DB2" w:rsidRPr="0063248C" w14:paraId="32EF7F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94F13A"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04F72DF2"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AA3CE9" w14:textId="77777777" w:rsidR="007B3DB2" w:rsidRPr="0063248C" w:rsidRDefault="007B3DB2">
            <w:pPr>
              <w:spacing w:line="240" w:lineRule="exact"/>
              <w:jc w:val="right"/>
              <w:rPr>
                <w:rFonts w:cs="宋体"/>
                <w:sz w:val="18"/>
                <w:szCs w:val="18"/>
              </w:rPr>
            </w:pPr>
          </w:p>
        </w:tc>
      </w:tr>
      <w:tr w:rsidR="007B3DB2" w:rsidRPr="0063248C" w14:paraId="332DDD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FFF3D2"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7E3978D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DD7065" w14:textId="77777777" w:rsidR="007B3DB2" w:rsidRPr="0063248C" w:rsidRDefault="007B3DB2">
            <w:pPr>
              <w:spacing w:line="240" w:lineRule="exact"/>
              <w:jc w:val="right"/>
              <w:rPr>
                <w:rFonts w:cs="宋体"/>
                <w:sz w:val="18"/>
                <w:szCs w:val="18"/>
              </w:rPr>
            </w:pPr>
          </w:p>
        </w:tc>
      </w:tr>
      <w:tr w:rsidR="007B3DB2" w:rsidRPr="0063248C" w14:paraId="78007D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A9D9CD"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6C154B5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F909FA" w14:textId="77777777" w:rsidR="007B3DB2" w:rsidRPr="0063248C" w:rsidRDefault="007B3DB2">
            <w:pPr>
              <w:spacing w:line="240" w:lineRule="exact"/>
              <w:jc w:val="right"/>
              <w:rPr>
                <w:rFonts w:cs="宋体"/>
                <w:sz w:val="18"/>
                <w:szCs w:val="18"/>
              </w:rPr>
            </w:pPr>
          </w:p>
        </w:tc>
      </w:tr>
      <w:tr w:rsidR="007B3DB2" w:rsidRPr="0063248C" w14:paraId="151E5F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CB707C"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28A7279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A62D23" w14:textId="77777777" w:rsidR="007B3DB2" w:rsidRPr="0063248C" w:rsidRDefault="007B3DB2">
            <w:pPr>
              <w:spacing w:line="240" w:lineRule="exact"/>
              <w:jc w:val="right"/>
              <w:rPr>
                <w:rFonts w:cs="宋体"/>
                <w:sz w:val="18"/>
                <w:szCs w:val="18"/>
              </w:rPr>
            </w:pPr>
          </w:p>
        </w:tc>
      </w:tr>
      <w:tr w:rsidR="007B3DB2" w:rsidRPr="0063248C" w14:paraId="22938E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3F858E"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24F371D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62924E" w14:textId="77777777" w:rsidR="007B3DB2" w:rsidRPr="0063248C" w:rsidRDefault="007B3DB2">
            <w:pPr>
              <w:spacing w:line="240" w:lineRule="exact"/>
              <w:jc w:val="right"/>
              <w:rPr>
                <w:rFonts w:cs="宋体"/>
                <w:sz w:val="18"/>
                <w:szCs w:val="18"/>
              </w:rPr>
            </w:pPr>
          </w:p>
        </w:tc>
      </w:tr>
      <w:tr w:rsidR="007B3DB2" w:rsidRPr="0063248C" w14:paraId="0A8CC3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C81E1C"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4537D9B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A8D8AB" w14:textId="77777777" w:rsidR="007B3DB2" w:rsidRPr="0063248C" w:rsidRDefault="007B3DB2">
            <w:pPr>
              <w:spacing w:line="240" w:lineRule="exact"/>
              <w:jc w:val="right"/>
              <w:rPr>
                <w:rFonts w:cs="宋体"/>
                <w:sz w:val="18"/>
                <w:szCs w:val="18"/>
              </w:rPr>
            </w:pPr>
          </w:p>
        </w:tc>
      </w:tr>
      <w:tr w:rsidR="007B3DB2" w:rsidRPr="0063248C" w14:paraId="3C37E8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3ACBF6"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4BAF8498" w14:textId="77777777" w:rsidR="007B3DB2" w:rsidRPr="0063248C" w:rsidRDefault="00000000">
            <w:pPr>
              <w:spacing w:line="240" w:lineRule="exact"/>
              <w:jc w:val="right"/>
              <w:rPr>
                <w:rFonts w:cs="宋体"/>
                <w:sz w:val="18"/>
                <w:szCs w:val="18"/>
              </w:rPr>
            </w:pPr>
            <w:r w:rsidRPr="0063248C">
              <w:rPr>
                <w:rFonts w:cs="宋体"/>
                <w:sz w:val="18"/>
                <w:szCs w:val="18"/>
              </w:rPr>
              <w:t>9,162,288.48</w:t>
            </w:r>
          </w:p>
        </w:tc>
        <w:tc>
          <w:tcPr>
            <w:tcW w:w="3213" w:type="dxa"/>
            <w:tcBorders>
              <w:top w:val="single" w:sz="2" w:space="0" w:color="auto"/>
              <w:left w:val="single" w:sz="2" w:space="0" w:color="auto"/>
              <w:bottom w:val="single" w:sz="2" w:space="0" w:color="auto"/>
              <w:right w:val="single" w:sz="2" w:space="0" w:color="auto"/>
            </w:tcBorders>
            <w:vAlign w:val="center"/>
          </w:tcPr>
          <w:p w14:paraId="277E8819" w14:textId="77777777" w:rsidR="007B3DB2" w:rsidRPr="0063248C" w:rsidRDefault="00000000">
            <w:pPr>
              <w:spacing w:line="240" w:lineRule="exact"/>
              <w:jc w:val="right"/>
              <w:rPr>
                <w:rFonts w:cs="宋体"/>
                <w:sz w:val="18"/>
                <w:szCs w:val="18"/>
              </w:rPr>
            </w:pPr>
            <w:r w:rsidRPr="0063248C">
              <w:rPr>
                <w:rFonts w:cs="宋体"/>
                <w:sz w:val="18"/>
                <w:szCs w:val="18"/>
              </w:rPr>
              <w:t>11,054,848.47</w:t>
            </w:r>
          </w:p>
        </w:tc>
      </w:tr>
      <w:tr w:rsidR="007B3DB2" w:rsidRPr="0063248C" w14:paraId="1519C1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DF1991"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54E4A9D0" w14:textId="77777777" w:rsidR="007B3DB2" w:rsidRPr="0063248C" w:rsidRDefault="00000000">
            <w:pPr>
              <w:spacing w:line="240" w:lineRule="exact"/>
              <w:jc w:val="right"/>
              <w:rPr>
                <w:rFonts w:cs="宋体"/>
                <w:sz w:val="18"/>
                <w:szCs w:val="18"/>
              </w:rPr>
            </w:pPr>
            <w:r w:rsidRPr="0063248C">
              <w:rPr>
                <w:rFonts w:cs="宋体"/>
                <w:sz w:val="18"/>
                <w:szCs w:val="18"/>
              </w:rPr>
              <w:t>57,280,512.12</w:t>
            </w:r>
          </w:p>
        </w:tc>
        <w:tc>
          <w:tcPr>
            <w:tcW w:w="3213" w:type="dxa"/>
            <w:tcBorders>
              <w:top w:val="single" w:sz="2" w:space="0" w:color="auto"/>
              <w:left w:val="single" w:sz="2" w:space="0" w:color="auto"/>
              <w:bottom w:val="single" w:sz="2" w:space="0" w:color="auto"/>
              <w:right w:val="single" w:sz="2" w:space="0" w:color="auto"/>
            </w:tcBorders>
            <w:vAlign w:val="center"/>
          </w:tcPr>
          <w:p w14:paraId="63537E1B" w14:textId="77777777" w:rsidR="007B3DB2" w:rsidRPr="0063248C" w:rsidRDefault="00000000">
            <w:pPr>
              <w:spacing w:line="240" w:lineRule="exact"/>
              <w:jc w:val="right"/>
              <w:rPr>
                <w:rFonts w:cs="宋体"/>
                <w:sz w:val="18"/>
                <w:szCs w:val="18"/>
              </w:rPr>
            </w:pPr>
            <w:r w:rsidRPr="0063248C">
              <w:rPr>
                <w:rFonts w:cs="宋体"/>
                <w:sz w:val="18"/>
                <w:szCs w:val="18"/>
              </w:rPr>
              <w:t>79,532,772.76</w:t>
            </w:r>
          </w:p>
        </w:tc>
      </w:tr>
      <w:tr w:rsidR="007B3DB2" w:rsidRPr="0063248C" w14:paraId="6DC9D6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10EBFE"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5C3A2CF0" w14:textId="77777777" w:rsidR="007B3DB2" w:rsidRPr="0063248C" w:rsidRDefault="00000000">
            <w:pPr>
              <w:spacing w:line="240" w:lineRule="exact"/>
              <w:jc w:val="right"/>
              <w:rPr>
                <w:rFonts w:cs="宋体"/>
                <w:sz w:val="18"/>
                <w:szCs w:val="18"/>
              </w:rPr>
            </w:pPr>
            <w:r w:rsidRPr="0063248C">
              <w:rPr>
                <w:rFonts w:cs="宋体"/>
                <w:sz w:val="18"/>
                <w:szCs w:val="18"/>
              </w:rPr>
              <w:t>113,862,139.49</w:t>
            </w:r>
          </w:p>
        </w:tc>
        <w:tc>
          <w:tcPr>
            <w:tcW w:w="3213" w:type="dxa"/>
            <w:tcBorders>
              <w:top w:val="single" w:sz="2" w:space="0" w:color="auto"/>
              <w:left w:val="single" w:sz="2" w:space="0" w:color="auto"/>
              <w:bottom w:val="single" w:sz="2" w:space="0" w:color="auto"/>
              <w:right w:val="single" w:sz="2" w:space="0" w:color="auto"/>
            </w:tcBorders>
            <w:vAlign w:val="center"/>
          </w:tcPr>
          <w:p w14:paraId="3EDADFD5" w14:textId="77777777" w:rsidR="007B3DB2" w:rsidRPr="0063248C" w:rsidRDefault="00000000">
            <w:pPr>
              <w:spacing w:line="240" w:lineRule="exact"/>
              <w:jc w:val="right"/>
              <w:rPr>
                <w:rFonts w:cs="宋体"/>
                <w:sz w:val="18"/>
                <w:szCs w:val="18"/>
              </w:rPr>
            </w:pPr>
            <w:r w:rsidRPr="0063248C">
              <w:rPr>
                <w:rFonts w:cs="宋体"/>
                <w:sz w:val="18"/>
                <w:szCs w:val="18"/>
              </w:rPr>
              <w:t>133,840,139.68</w:t>
            </w:r>
          </w:p>
        </w:tc>
      </w:tr>
      <w:tr w:rsidR="007B3DB2" w:rsidRPr="0063248C" w14:paraId="5A8561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4084EC"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0D3857A2" w14:textId="77777777" w:rsidR="007B3DB2" w:rsidRPr="0063248C" w:rsidRDefault="00000000">
            <w:pPr>
              <w:spacing w:line="240" w:lineRule="exact"/>
              <w:jc w:val="right"/>
              <w:rPr>
                <w:rFonts w:cs="宋体"/>
                <w:sz w:val="18"/>
                <w:szCs w:val="18"/>
              </w:rPr>
            </w:pPr>
            <w:r w:rsidRPr="0063248C">
              <w:rPr>
                <w:rFonts w:cs="宋体"/>
                <w:sz w:val="18"/>
                <w:szCs w:val="18"/>
              </w:rPr>
              <w:t>3,137,108.09</w:t>
            </w:r>
          </w:p>
        </w:tc>
        <w:tc>
          <w:tcPr>
            <w:tcW w:w="3213" w:type="dxa"/>
            <w:tcBorders>
              <w:top w:val="single" w:sz="2" w:space="0" w:color="auto"/>
              <w:left w:val="single" w:sz="2" w:space="0" w:color="auto"/>
              <w:bottom w:val="single" w:sz="2" w:space="0" w:color="auto"/>
              <w:right w:val="single" w:sz="2" w:space="0" w:color="auto"/>
            </w:tcBorders>
            <w:vAlign w:val="center"/>
          </w:tcPr>
          <w:p w14:paraId="4586AC1B" w14:textId="77777777" w:rsidR="007B3DB2" w:rsidRPr="0063248C" w:rsidRDefault="00000000">
            <w:pPr>
              <w:spacing w:line="240" w:lineRule="exact"/>
              <w:jc w:val="right"/>
              <w:rPr>
                <w:rFonts w:cs="宋体"/>
                <w:sz w:val="18"/>
                <w:szCs w:val="18"/>
              </w:rPr>
            </w:pPr>
            <w:r w:rsidRPr="0063248C">
              <w:rPr>
                <w:rFonts w:cs="宋体"/>
                <w:sz w:val="18"/>
                <w:szCs w:val="18"/>
              </w:rPr>
              <w:t>5,047,399.43</w:t>
            </w:r>
          </w:p>
        </w:tc>
      </w:tr>
      <w:tr w:rsidR="007B3DB2" w:rsidRPr="0063248C" w14:paraId="5D2557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088E97"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455303E2" w14:textId="77777777" w:rsidR="007B3DB2" w:rsidRPr="0063248C" w:rsidRDefault="00000000">
            <w:pPr>
              <w:spacing w:line="240" w:lineRule="exact"/>
              <w:jc w:val="right"/>
              <w:rPr>
                <w:rFonts w:cs="宋体"/>
                <w:sz w:val="18"/>
                <w:szCs w:val="18"/>
              </w:rPr>
            </w:pPr>
            <w:r w:rsidRPr="0063248C">
              <w:rPr>
                <w:rFonts w:cs="宋体"/>
                <w:sz w:val="18"/>
                <w:szCs w:val="18"/>
              </w:rPr>
              <w:t>41,583,074.58</w:t>
            </w:r>
          </w:p>
        </w:tc>
        <w:tc>
          <w:tcPr>
            <w:tcW w:w="3213" w:type="dxa"/>
            <w:tcBorders>
              <w:top w:val="single" w:sz="2" w:space="0" w:color="auto"/>
              <w:left w:val="single" w:sz="2" w:space="0" w:color="auto"/>
              <w:bottom w:val="single" w:sz="2" w:space="0" w:color="auto"/>
              <w:right w:val="single" w:sz="2" w:space="0" w:color="auto"/>
            </w:tcBorders>
            <w:vAlign w:val="center"/>
          </w:tcPr>
          <w:p w14:paraId="1CC8C474" w14:textId="77777777" w:rsidR="007B3DB2" w:rsidRPr="0063248C" w:rsidRDefault="00000000">
            <w:pPr>
              <w:spacing w:line="240" w:lineRule="exact"/>
              <w:jc w:val="right"/>
              <w:rPr>
                <w:rFonts w:cs="宋体"/>
                <w:sz w:val="18"/>
                <w:szCs w:val="18"/>
              </w:rPr>
            </w:pPr>
            <w:r w:rsidRPr="0063248C">
              <w:rPr>
                <w:rFonts w:cs="宋体"/>
                <w:sz w:val="18"/>
                <w:szCs w:val="18"/>
              </w:rPr>
              <w:t>30,203,372.28</w:t>
            </w:r>
          </w:p>
        </w:tc>
      </w:tr>
      <w:tr w:rsidR="007B3DB2" w:rsidRPr="0063248C" w14:paraId="3C1DEF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940C66" w14:textId="77777777" w:rsidR="007B3DB2" w:rsidRPr="0063248C" w:rsidRDefault="00000000">
            <w:pPr>
              <w:spacing w:before="40" w:after="40" w:line="240" w:lineRule="exact"/>
              <w:ind w:firstLineChars="500" w:firstLine="900"/>
              <w:rPr>
                <w:rFonts w:cs="宋体"/>
                <w:sz w:val="18"/>
                <w:szCs w:val="18"/>
              </w:rPr>
            </w:pPr>
            <w:r w:rsidRPr="0063248C">
              <w:rPr>
                <w:rFonts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56ACB1EB" w14:textId="77777777" w:rsidR="007B3DB2" w:rsidRPr="0063248C" w:rsidRDefault="00000000">
            <w:pPr>
              <w:spacing w:line="240" w:lineRule="exact"/>
              <w:jc w:val="right"/>
              <w:rPr>
                <w:rFonts w:cs="宋体"/>
                <w:sz w:val="18"/>
                <w:szCs w:val="18"/>
              </w:rPr>
            </w:pPr>
            <w:r w:rsidRPr="0063248C">
              <w:rPr>
                <w:rFonts w:cs="宋体"/>
                <w:sz w:val="18"/>
                <w:szCs w:val="18"/>
              </w:rPr>
              <w:t>54,880,293.96</w:t>
            </w:r>
          </w:p>
        </w:tc>
        <w:tc>
          <w:tcPr>
            <w:tcW w:w="3213" w:type="dxa"/>
            <w:tcBorders>
              <w:top w:val="single" w:sz="2" w:space="0" w:color="auto"/>
              <w:left w:val="single" w:sz="2" w:space="0" w:color="auto"/>
              <w:bottom w:val="single" w:sz="2" w:space="0" w:color="auto"/>
              <w:right w:val="single" w:sz="2" w:space="0" w:color="auto"/>
            </w:tcBorders>
            <w:vAlign w:val="center"/>
          </w:tcPr>
          <w:p w14:paraId="3A3270CB" w14:textId="77777777" w:rsidR="007B3DB2" w:rsidRPr="0063248C" w:rsidRDefault="00000000">
            <w:pPr>
              <w:spacing w:line="240" w:lineRule="exact"/>
              <w:jc w:val="right"/>
              <w:rPr>
                <w:rFonts w:cs="宋体"/>
                <w:sz w:val="18"/>
                <w:szCs w:val="18"/>
              </w:rPr>
            </w:pPr>
            <w:r w:rsidRPr="0063248C">
              <w:rPr>
                <w:rFonts w:cs="宋体"/>
                <w:sz w:val="18"/>
                <w:szCs w:val="18"/>
              </w:rPr>
              <w:t>48,892,795.35</w:t>
            </w:r>
          </w:p>
        </w:tc>
      </w:tr>
      <w:tr w:rsidR="007B3DB2" w:rsidRPr="0063248C" w14:paraId="1CF1A5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6EF828" w14:textId="77777777" w:rsidR="007B3DB2" w:rsidRPr="0063248C" w:rsidRDefault="00000000">
            <w:pPr>
              <w:spacing w:before="40" w:after="40" w:line="240" w:lineRule="exact"/>
              <w:ind w:firstLineChars="800" w:firstLine="1440"/>
              <w:rPr>
                <w:rFonts w:cs="宋体"/>
                <w:sz w:val="18"/>
                <w:szCs w:val="18"/>
              </w:rPr>
            </w:pPr>
            <w:r w:rsidRPr="0063248C">
              <w:rPr>
                <w:rFonts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3332F4F1" w14:textId="77777777" w:rsidR="007B3DB2" w:rsidRPr="0063248C" w:rsidRDefault="00000000">
            <w:pPr>
              <w:spacing w:line="240" w:lineRule="exact"/>
              <w:jc w:val="right"/>
              <w:rPr>
                <w:rFonts w:cs="宋体"/>
                <w:sz w:val="18"/>
                <w:szCs w:val="18"/>
              </w:rPr>
            </w:pPr>
            <w:r w:rsidRPr="0063248C">
              <w:rPr>
                <w:rFonts w:cs="宋体"/>
                <w:sz w:val="18"/>
                <w:szCs w:val="18"/>
              </w:rPr>
              <w:t>14,682,370.19</w:t>
            </w:r>
          </w:p>
        </w:tc>
        <w:tc>
          <w:tcPr>
            <w:tcW w:w="3213" w:type="dxa"/>
            <w:tcBorders>
              <w:top w:val="single" w:sz="2" w:space="0" w:color="auto"/>
              <w:left w:val="single" w:sz="2" w:space="0" w:color="auto"/>
              <w:bottom w:val="single" w:sz="2" w:space="0" w:color="auto"/>
              <w:right w:val="single" w:sz="2" w:space="0" w:color="auto"/>
            </w:tcBorders>
            <w:vAlign w:val="center"/>
          </w:tcPr>
          <w:p w14:paraId="44EB964B" w14:textId="77777777" w:rsidR="007B3DB2" w:rsidRPr="0063248C" w:rsidRDefault="00000000">
            <w:pPr>
              <w:spacing w:line="240" w:lineRule="exact"/>
              <w:jc w:val="right"/>
              <w:rPr>
                <w:rFonts w:cs="宋体"/>
                <w:sz w:val="18"/>
                <w:szCs w:val="18"/>
              </w:rPr>
            </w:pPr>
            <w:r w:rsidRPr="0063248C">
              <w:rPr>
                <w:rFonts w:cs="宋体"/>
                <w:sz w:val="18"/>
                <w:szCs w:val="18"/>
              </w:rPr>
              <w:t>19,739,406.54</w:t>
            </w:r>
          </w:p>
        </w:tc>
      </w:tr>
      <w:tr w:rsidR="007B3DB2" w:rsidRPr="0063248C" w14:paraId="78667A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7241D2"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235416C4" w14:textId="77777777" w:rsidR="007B3DB2" w:rsidRPr="0063248C" w:rsidRDefault="00000000">
            <w:pPr>
              <w:spacing w:line="240" w:lineRule="exact"/>
              <w:jc w:val="right"/>
              <w:rPr>
                <w:rFonts w:cs="宋体"/>
                <w:sz w:val="18"/>
                <w:szCs w:val="18"/>
              </w:rPr>
            </w:pPr>
            <w:r w:rsidRPr="0063248C">
              <w:rPr>
                <w:rFonts w:cs="宋体"/>
                <w:sz w:val="18"/>
                <w:szCs w:val="18"/>
              </w:rPr>
              <w:t>7,133,934.44</w:t>
            </w:r>
          </w:p>
        </w:tc>
        <w:tc>
          <w:tcPr>
            <w:tcW w:w="3213" w:type="dxa"/>
            <w:tcBorders>
              <w:top w:val="single" w:sz="2" w:space="0" w:color="auto"/>
              <w:left w:val="single" w:sz="2" w:space="0" w:color="auto"/>
              <w:bottom w:val="single" w:sz="2" w:space="0" w:color="auto"/>
              <w:right w:val="single" w:sz="2" w:space="0" w:color="auto"/>
            </w:tcBorders>
            <w:vAlign w:val="center"/>
          </w:tcPr>
          <w:p w14:paraId="6BFA323F" w14:textId="77777777" w:rsidR="007B3DB2" w:rsidRPr="0063248C" w:rsidRDefault="00000000">
            <w:pPr>
              <w:spacing w:line="240" w:lineRule="exact"/>
              <w:jc w:val="right"/>
              <w:rPr>
                <w:rFonts w:cs="宋体"/>
                <w:sz w:val="18"/>
                <w:szCs w:val="18"/>
              </w:rPr>
            </w:pPr>
            <w:r w:rsidRPr="0063248C">
              <w:rPr>
                <w:rFonts w:cs="宋体"/>
                <w:sz w:val="18"/>
                <w:szCs w:val="18"/>
              </w:rPr>
              <w:t>6,313,221.02</w:t>
            </w:r>
          </w:p>
        </w:tc>
      </w:tr>
      <w:tr w:rsidR="007B3DB2" w:rsidRPr="0063248C" w14:paraId="24354E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876AA9"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投资收益（损失以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C1399A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FA87B8" w14:textId="77777777" w:rsidR="007B3DB2" w:rsidRPr="0063248C" w:rsidRDefault="007B3DB2">
            <w:pPr>
              <w:spacing w:line="240" w:lineRule="exact"/>
              <w:jc w:val="right"/>
              <w:rPr>
                <w:rFonts w:cs="宋体"/>
                <w:sz w:val="18"/>
                <w:szCs w:val="18"/>
              </w:rPr>
            </w:pPr>
          </w:p>
        </w:tc>
      </w:tr>
      <w:tr w:rsidR="007B3DB2" w:rsidRPr="0063248C" w14:paraId="383567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160D1E" w14:textId="77777777" w:rsidR="007B3DB2" w:rsidRPr="0063248C" w:rsidRDefault="00000000">
            <w:pPr>
              <w:spacing w:before="40" w:after="40" w:line="240" w:lineRule="exact"/>
              <w:ind w:firstLineChars="500" w:firstLine="900"/>
              <w:rPr>
                <w:rFonts w:cs="宋体"/>
                <w:sz w:val="18"/>
                <w:szCs w:val="18"/>
              </w:rPr>
            </w:pPr>
            <w:r w:rsidRPr="0063248C">
              <w:rPr>
                <w:rFonts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65020C31"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A9A9AE8" w14:textId="77777777" w:rsidR="007B3DB2" w:rsidRPr="0063248C" w:rsidRDefault="007B3DB2">
            <w:pPr>
              <w:spacing w:line="240" w:lineRule="exact"/>
              <w:jc w:val="right"/>
              <w:rPr>
                <w:rFonts w:cs="宋体"/>
                <w:sz w:val="18"/>
                <w:szCs w:val="18"/>
              </w:rPr>
            </w:pPr>
          </w:p>
        </w:tc>
      </w:tr>
      <w:tr w:rsidR="007B3DB2" w:rsidRPr="0063248C" w14:paraId="76A4A8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CB0D49" w14:textId="77777777" w:rsidR="007B3DB2" w:rsidRPr="0063248C" w:rsidRDefault="00000000">
            <w:pPr>
              <w:spacing w:before="40" w:after="40" w:line="240" w:lineRule="exact"/>
              <w:ind w:firstLineChars="800" w:firstLine="1440"/>
              <w:rPr>
                <w:rFonts w:cs="宋体"/>
                <w:sz w:val="18"/>
                <w:szCs w:val="18"/>
              </w:rPr>
            </w:pPr>
            <w:r w:rsidRPr="0063248C">
              <w:rPr>
                <w:rFonts w:cs="宋体"/>
                <w:sz w:val="18"/>
                <w:szCs w:val="18"/>
              </w:rPr>
              <w:t>以摊</w:t>
            </w:r>
            <w:proofErr w:type="gramStart"/>
            <w:r w:rsidRPr="0063248C">
              <w:rPr>
                <w:rFonts w:cs="宋体"/>
                <w:sz w:val="18"/>
                <w:szCs w:val="18"/>
              </w:rPr>
              <w:t>余成本</w:t>
            </w:r>
            <w:proofErr w:type="gramEnd"/>
            <w:r w:rsidRPr="0063248C">
              <w:rPr>
                <w:rFonts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4FC993B1"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33D5FB" w14:textId="77777777" w:rsidR="007B3DB2" w:rsidRPr="0063248C" w:rsidRDefault="007B3DB2">
            <w:pPr>
              <w:spacing w:line="240" w:lineRule="exact"/>
              <w:jc w:val="right"/>
              <w:rPr>
                <w:rFonts w:cs="宋体"/>
                <w:sz w:val="18"/>
                <w:szCs w:val="18"/>
              </w:rPr>
            </w:pPr>
          </w:p>
        </w:tc>
      </w:tr>
      <w:tr w:rsidR="007B3DB2" w:rsidRPr="0063248C" w14:paraId="168A7D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D3627F"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汇兑收益（损失以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9765E7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126A73" w14:textId="77777777" w:rsidR="007B3DB2" w:rsidRPr="0063248C" w:rsidRDefault="007B3DB2">
            <w:pPr>
              <w:spacing w:line="240" w:lineRule="exact"/>
              <w:jc w:val="right"/>
              <w:rPr>
                <w:rFonts w:cs="宋体"/>
                <w:sz w:val="18"/>
                <w:szCs w:val="18"/>
              </w:rPr>
            </w:pPr>
          </w:p>
        </w:tc>
      </w:tr>
      <w:tr w:rsidR="007B3DB2" w:rsidRPr="0063248C" w14:paraId="401286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F38797"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净敞口套期收益（损失以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EA5A46A"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A15A4F" w14:textId="77777777" w:rsidR="007B3DB2" w:rsidRPr="0063248C" w:rsidRDefault="007B3DB2">
            <w:pPr>
              <w:spacing w:line="240" w:lineRule="exact"/>
              <w:jc w:val="right"/>
              <w:rPr>
                <w:rFonts w:cs="宋体"/>
                <w:sz w:val="18"/>
                <w:szCs w:val="18"/>
              </w:rPr>
            </w:pPr>
          </w:p>
        </w:tc>
      </w:tr>
      <w:tr w:rsidR="007B3DB2" w:rsidRPr="0063248C" w14:paraId="635375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CA5B37"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公允价值变动收益（损失以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B1A004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8A9A6F" w14:textId="77777777" w:rsidR="007B3DB2" w:rsidRPr="0063248C" w:rsidRDefault="007B3DB2">
            <w:pPr>
              <w:spacing w:line="240" w:lineRule="exact"/>
              <w:jc w:val="right"/>
              <w:rPr>
                <w:rFonts w:cs="宋体"/>
                <w:sz w:val="18"/>
                <w:szCs w:val="18"/>
              </w:rPr>
            </w:pPr>
          </w:p>
        </w:tc>
      </w:tr>
      <w:tr w:rsidR="007B3DB2" w:rsidRPr="0063248C" w14:paraId="445BA3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E1057C"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信用减值损失（损失以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A9C127B" w14:textId="77777777" w:rsidR="007B3DB2" w:rsidRPr="0063248C" w:rsidRDefault="00000000">
            <w:pPr>
              <w:spacing w:line="240" w:lineRule="exact"/>
              <w:jc w:val="right"/>
              <w:rPr>
                <w:rFonts w:cs="宋体"/>
                <w:sz w:val="18"/>
                <w:szCs w:val="18"/>
              </w:rPr>
            </w:pPr>
            <w:r w:rsidRPr="0063248C">
              <w:rPr>
                <w:rFonts w:cs="宋体"/>
                <w:sz w:val="18"/>
                <w:szCs w:val="18"/>
              </w:rPr>
              <w:t>-1,293,497.69</w:t>
            </w:r>
          </w:p>
        </w:tc>
        <w:tc>
          <w:tcPr>
            <w:tcW w:w="3213" w:type="dxa"/>
            <w:tcBorders>
              <w:top w:val="single" w:sz="2" w:space="0" w:color="auto"/>
              <w:left w:val="single" w:sz="2" w:space="0" w:color="auto"/>
              <w:bottom w:val="single" w:sz="2" w:space="0" w:color="auto"/>
              <w:right w:val="single" w:sz="2" w:space="0" w:color="auto"/>
            </w:tcBorders>
            <w:vAlign w:val="center"/>
          </w:tcPr>
          <w:p w14:paraId="107DC783" w14:textId="77777777" w:rsidR="007B3DB2" w:rsidRPr="0063248C" w:rsidRDefault="00000000">
            <w:pPr>
              <w:spacing w:line="240" w:lineRule="exact"/>
              <w:jc w:val="right"/>
              <w:rPr>
                <w:rFonts w:cs="宋体"/>
                <w:sz w:val="18"/>
                <w:szCs w:val="18"/>
              </w:rPr>
            </w:pPr>
            <w:r w:rsidRPr="0063248C">
              <w:rPr>
                <w:rFonts w:cs="宋体"/>
                <w:sz w:val="18"/>
                <w:szCs w:val="18"/>
              </w:rPr>
              <w:t>2,402,683.87</w:t>
            </w:r>
          </w:p>
        </w:tc>
      </w:tr>
      <w:tr w:rsidR="007B3DB2" w:rsidRPr="0063248C" w14:paraId="12CDD7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96F829"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资产减值损失（损失以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CBAFA69" w14:textId="77777777" w:rsidR="007B3DB2" w:rsidRPr="0063248C" w:rsidRDefault="00000000">
            <w:pPr>
              <w:spacing w:line="240" w:lineRule="exact"/>
              <w:jc w:val="right"/>
              <w:rPr>
                <w:rFonts w:cs="宋体"/>
                <w:sz w:val="18"/>
                <w:szCs w:val="18"/>
              </w:rPr>
            </w:pPr>
            <w:r w:rsidRPr="0063248C">
              <w:rPr>
                <w:rFonts w:cs="宋体"/>
                <w:sz w:val="18"/>
                <w:szCs w:val="18"/>
              </w:rPr>
              <w:t>29,704,269.59</w:t>
            </w:r>
          </w:p>
        </w:tc>
        <w:tc>
          <w:tcPr>
            <w:tcW w:w="3213" w:type="dxa"/>
            <w:tcBorders>
              <w:top w:val="single" w:sz="2" w:space="0" w:color="auto"/>
              <w:left w:val="single" w:sz="2" w:space="0" w:color="auto"/>
              <w:bottom w:val="single" w:sz="2" w:space="0" w:color="auto"/>
              <w:right w:val="single" w:sz="2" w:space="0" w:color="auto"/>
            </w:tcBorders>
            <w:vAlign w:val="center"/>
          </w:tcPr>
          <w:p w14:paraId="0C256CDB" w14:textId="77777777" w:rsidR="007B3DB2" w:rsidRPr="0063248C" w:rsidRDefault="00000000">
            <w:pPr>
              <w:spacing w:line="240" w:lineRule="exact"/>
              <w:jc w:val="right"/>
              <w:rPr>
                <w:rFonts w:cs="宋体"/>
                <w:sz w:val="18"/>
                <w:szCs w:val="18"/>
              </w:rPr>
            </w:pPr>
            <w:r w:rsidRPr="0063248C">
              <w:rPr>
                <w:rFonts w:cs="宋体"/>
                <w:sz w:val="18"/>
                <w:szCs w:val="18"/>
              </w:rPr>
              <w:t>-187,857,128.38</w:t>
            </w:r>
          </w:p>
        </w:tc>
      </w:tr>
      <w:tr w:rsidR="007B3DB2" w:rsidRPr="0063248C" w14:paraId="1F9C26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DD209F"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资产处置收益（损失以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73980B4" w14:textId="77777777" w:rsidR="007B3DB2" w:rsidRPr="0063248C" w:rsidRDefault="00000000">
            <w:pPr>
              <w:spacing w:line="240" w:lineRule="exact"/>
              <w:jc w:val="right"/>
              <w:rPr>
                <w:rFonts w:cs="宋体"/>
                <w:sz w:val="18"/>
                <w:szCs w:val="18"/>
              </w:rPr>
            </w:pPr>
            <w:r w:rsidRPr="0063248C">
              <w:rPr>
                <w:rFonts w:cs="宋体"/>
                <w:sz w:val="18"/>
                <w:szCs w:val="18"/>
              </w:rPr>
              <w:t>-577,407.87</w:t>
            </w:r>
          </w:p>
        </w:tc>
        <w:tc>
          <w:tcPr>
            <w:tcW w:w="3213" w:type="dxa"/>
            <w:tcBorders>
              <w:top w:val="single" w:sz="2" w:space="0" w:color="auto"/>
              <w:left w:val="single" w:sz="2" w:space="0" w:color="auto"/>
              <w:bottom w:val="single" w:sz="2" w:space="0" w:color="auto"/>
              <w:right w:val="single" w:sz="2" w:space="0" w:color="auto"/>
            </w:tcBorders>
            <w:vAlign w:val="center"/>
          </w:tcPr>
          <w:p w14:paraId="640B467D" w14:textId="77777777" w:rsidR="007B3DB2" w:rsidRPr="0063248C" w:rsidRDefault="00000000">
            <w:pPr>
              <w:spacing w:line="240" w:lineRule="exact"/>
              <w:jc w:val="right"/>
              <w:rPr>
                <w:rFonts w:cs="宋体"/>
                <w:sz w:val="18"/>
                <w:szCs w:val="18"/>
              </w:rPr>
            </w:pPr>
            <w:r w:rsidRPr="0063248C">
              <w:rPr>
                <w:rFonts w:cs="宋体"/>
                <w:sz w:val="18"/>
                <w:szCs w:val="18"/>
              </w:rPr>
              <w:t>-169,167,507.67</w:t>
            </w:r>
          </w:p>
        </w:tc>
      </w:tr>
      <w:tr w:rsidR="007B3DB2" w:rsidRPr="0063248C" w14:paraId="4628E8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6E23C9" w14:textId="77777777" w:rsidR="007B3DB2" w:rsidRPr="0063248C" w:rsidRDefault="00000000">
            <w:pPr>
              <w:spacing w:before="40" w:after="40" w:line="240" w:lineRule="exact"/>
              <w:rPr>
                <w:rFonts w:cs="宋体"/>
                <w:sz w:val="18"/>
                <w:szCs w:val="18"/>
              </w:rPr>
            </w:pPr>
            <w:r w:rsidRPr="0063248C">
              <w:rPr>
                <w:rFonts w:cs="宋体"/>
                <w:sz w:val="18"/>
                <w:szCs w:val="18"/>
              </w:rPr>
              <w:t>三、营业利润（亏损以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05FB148" w14:textId="77777777" w:rsidR="007B3DB2" w:rsidRPr="0063248C" w:rsidRDefault="00000000">
            <w:pPr>
              <w:spacing w:line="240" w:lineRule="exact"/>
              <w:jc w:val="right"/>
              <w:rPr>
                <w:rFonts w:cs="宋体"/>
                <w:sz w:val="18"/>
                <w:szCs w:val="18"/>
              </w:rPr>
            </w:pPr>
            <w:r w:rsidRPr="0063248C">
              <w:rPr>
                <w:rFonts w:cs="宋体"/>
                <w:sz w:val="18"/>
                <w:szCs w:val="18"/>
              </w:rPr>
              <w:t>61,134,389.86</w:t>
            </w:r>
          </w:p>
        </w:tc>
        <w:tc>
          <w:tcPr>
            <w:tcW w:w="3213" w:type="dxa"/>
            <w:tcBorders>
              <w:top w:val="single" w:sz="2" w:space="0" w:color="auto"/>
              <w:left w:val="single" w:sz="2" w:space="0" w:color="auto"/>
              <w:bottom w:val="single" w:sz="2" w:space="0" w:color="auto"/>
              <w:right w:val="single" w:sz="2" w:space="0" w:color="auto"/>
            </w:tcBorders>
            <w:vAlign w:val="center"/>
          </w:tcPr>
          <w:p w14:paraId="0220FA24" w14:textId="77777777" w:rsidR="007B3DB2" w:rsidRPr="0063248C" w:rsidRDefault="00000000">
            <w:pPr>
              <w:spacing w:line="240" w:lineRule="exact"/>
              <w:jc w:val="right"/>
              <w:rPr>
                <w:rFonts w:cs="宋体"/>
                <w:sz w:val="18"/>
                <w:szCs w:val="18"/>
              </w:rPr>
            </w:pPr>
            <w:r w:rsidRPr="0063248C">
              <w:rPr>
                <w:rFonts w:cs="宋体"/>
                <w:sz w:val="18"/>
                <w:szCs w:val="18"/>
              </w:rPr>
              <w:t>-672,818,166.92</w:t>
            </w:r>
          </w:p>
        </w:tc>
      </w:tr>
      <w:tr w:rsidR="007B3DB2" w:rsidRPr="0063248C" w14:paraId="525534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6D7EC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45A47852" w14:textId="77777777" w:rsidR="007B3DB2" w:rsidRPr="0063248C" w:rsidRDefault="00000000">
            <w:pPr>
              <w:spacing w:line="240" w:lineRule="exact"/>
              <w:jc w:val="right"/>
              <w:rPr>
                <w:rFonts w:cs="宋体"/>
                <w:sz w:val="18"/>
                <w:szCs w:val="18"/>
              </w:rPr>
            </w:pPr>
            <w:r w:rsidRPr="0063248C">
              <w:rPr>
                <w:rFonts w:cs="宋体"/>
                <w:sz w:val="18"/>
                <w:szCs w:val="18"/>
              </w:rPr>
              <w:t>1,742,973.97</w:t>
            </w:r>
          </w:p>
        </w:tc>
        <w:tc>
          <w:tcPr>
            <w:tcW w:w="3213" w:type="dxa"/>
            <w:tcBorders>
              <w:top w:val="single" w:sz="2" w:space="0" w:color="auto"/>
              <w:left w:val="single" w:sz="2" w:space="0" w:color="auto"/>
              <w:bottom w:val="single" w:sz="2" w:space="0" w:color="auto"/>
              <w:right w:val="single" w:sz="2" w:space="0" w:color="auto"/>
            </w:tcBorders>
            <w:vAlign w:val="center"/>
          </w:tcPr>
          <w:p w14:paraId="51A8C332" w14:textId="77777777" w:rsidR="007B3DB2" w:rsidRPr="0063248C" w:rsidRDefault="00000000">
            <w:pPr>
              <w:spacing w:line="240" w:lineRule="exact"/>
              <w:jc w:val="right"/>
              <w:rPr>
                <w:rFonts w:cs="宋体"/>
                <w:sz w:val="18"/>
                <w:szCs w:val="18"/>
              </w:rPr>
            </w:pPr>
            <w:r w:rsidRPr="0063248C">
              <w:rPr>
                <w:rFonts w:cs="宋体"/>
                <w:sz w:val="18"/>
                <w:szCs w:val="18"/>
              </w:rPr>
              <w:t>5,084,589.62</w:t>
            </w:r>
          </w:p>
        </w:tc>
      </w:tr>
      <w:tr w:rsidR="007B3DB2" w:rsidRPr="0063248C" w14:paraId="59224A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BC823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3FDD5239" w14:textId="77777777" w:rsidR="007B3DB2" w:rsidRPr="0063248C" w:rsidRDefault="00000000">
            <w:pPr>
              <w:spacing w:line="240" w:lineRule="exact"/>
              <w:jc w:val="right"/>
              <w:rPr>
                <w:rFonts w:cs="宋体"/>
                <w:sz w:val="18"/>
                <w:szCs w:val="18"/>
              </w:rPr>
            </w:pPr>
            <w:r w:rsidRPr="0063248C">
              <w:rPr>
                <w:rFonts w:cs="宋体"/>
                <w:sz w:val="18"/>
                <w:szCs w:val="18"/>
              </w:rPr>
              <w:t>5,462,464.39</w:t>
            </w:r>
          </w:p>
        </w:tc>
        <w:tc>
          <w:tcPr>
            <w:tcW w:w="3213" w:type="dxa"/>
            <w:tcBorders>
              <w:top w:val="single" w:sz="2" w:space="0" w:color="auto"/>
              <w:left w:val="single" w:sz="2" w:space="0" w:color="auto"/>
              <w:bottom w:val="single" w:sz="2" w:space="0" w:color="auto"/>
              <w:right w:val="single" w:sz="2" w:space="0" w:color="auto"/>
            </w:tcBorders>
            <w:vAlign w:val="center"/>
          </w:tcPr>
          <w:p w14:paraId="28A83C69" w14:textId="77777777" w:rsidR="007B3DB2" w:rsidRPr="0063248C" w:rsidRDefault="00000000">
            <w:pPr>
              <w:spacing w:line="240" w:lineRule="exact"/>
              <w:jc w:val="right"/>
              <w:rPr>
                <w:rFonts w:cs="宋体"/>
                <w:sz w:val="18"/>
                <w:szCs w:val="18"/>
              </w:rPr>
            </w:pPr>
            <w:r w:rsidRPr="0063248C">
              <w:rPr>
                <w:rFonts w:cs="宋体"/>
                <w:sz w:val="18"/>
                <w:szCs w:val="18"/>
              </w:rPr>
              <w:t>2,055,841.34</w:t>
            </w:r>
          </w:p>
        </w:tc>
      </w:tr>
      <w:tr w:rsidR="007B3DB2" w:rsidRPr="0063248C" w14:paraId="044C36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94FA92" w14:textId="77777777" w:rsidR="007B3DB2" w:rsidRPr="0063248C" w:rsidRDefault="00000000">
            <w:pPr>
              <w:spacing w:before="40" w:after="40" w:line="240" w:lineRule="exact"/>
              <w:rPr>
                <w:rFonts w:cs="宋体"/>
                <w:sz w:val="18"/>
                <w:szCs w:val="18"/>
              </w:rPr>
            </w:pPr>
            <w:r w:rsidRPr="0063248C">
              <w:rPr>
                <w:rFonts w:cs="宋体"/>
                <w:sz w:val="18"/>
                <w:szCs w:val="18"/>
              </w:rPr>
              <w:t>四、利润总额（亏损总额以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55D79D8" w14:textId="77777777" w:rsidR="007B3DB2" w:rsidRPr="0063248C" w:rsidRDefault="00000000">
            <w:pPr>
              <w:spacing w:line="240" w:lineRule="exact"/>
              <w:jc w:val="right"/>
              <w:rPr>
                <w:rFonts w:cs="宋体"/>
                <w:sz w:val="18"/>
                <w:szCs w:val="18"/>
              </w:rPr>
            </w:pPr>
            <w:r w:rsidRPr="0063248C">
              <w:rPr>
                <w:rFonts w:cs="宋体"/>
                <w:sz w:val="18"/>
                <w:szCs w:val="18"/>
              </w:rPr>
              <w:t>57,414,899.44</w:t>
            </w:r>
          </w:p>
        </w:tc>
        <w:tc>
          <w:tcPr>
            <w:tcW w:w="3213" w:type="dxa"/>
            <w:tcBorders>
              <w:top w:val="single" w:sz="2" w:space="0" w:color="auto"/>
              <w:left w:val="single" w:sz="2" w:space="0" w:color="auto"/>
              <w:bottom w:val="single" w:sz="2" w:space="0" w:color="auto"/>
              <w:right w:val="single" w:sz="2" w:space="0" w:color="auto"/>
            </w:tcBorders>
            <w:vAlign w:val="center"/>
          </w:tcPr>
          <w:p w14:paraId="7E184641" w14:textId="77777777" w:rsidR="007B3DB2" w:rsidRPr="0063248C" w:rsidRDefault="00000000">
            <w:pPr>
              <w:spacing w:line="240" w:lineRule="exact"/>
              <w:jc w:val="right"/>
              <w:rPr>
                <w:rFonts w:cs="宋体"/>
                <w:sz w:val="18"/>
                <w:szCs w:val="18"/>
              </w:rPr>
            </w:pPr>
            <w:r w:rsidRPr="0063248C">
              <w:rPr>
                <w:rFonts w:cs="宋体"/>
                <w:sz w:val="18"/>
                <w:szCs w:val="18"/>
              </w:rPr>
              <w:t>-669,789,418.64</w:t>
            </w:r>
          </w:p>
        </w:tc>
      </w:tr>
      <w:tr w:rsidR="007B3DB2" w:rsidRPr="0063248C" w14:paraId="660D02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CC309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lastRenderedPageBreak/>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0670098A" w14:textId="77777777" w:rsidR="007B3DB2" w:rsidRPr="0063248C" w:rsidRDefault="00000000">
            <w:pPr>
              <w:spacing w:line="240" w:lineRule="exact"/>
              <w:jc w:val="right"/>
              <w:rPr>
                <w:rFonts w:cs="宋体"/>
                <w:sz w:val="18"/>
                <w:szCs w:val="18"/>
              </w:rPr>
            </w:pPr>
            <w:r w:rsidRPr="0063248C">
              <w:rPr>
                <w:rFonts w:cs="宋体"/>
                <w:sz w:val="18"/>
                <w:szCs w:val="18"/>
              </w:rPr>
              <w:t>-6,145,655.16</w:t>
            </w:r>
          </w:p>
        </w:tc>
        <w:tc>
          <w:tcPr>
            <w:tcW w:w="3213" w:type="dxa"/>
            <w:tcBorders>
              <w:top w:val="single" w:sz="2" w:space="0" w:color="auto"/>
              <w:left w:val="single" w:sz="2" w:space="0" w:color="auto"/>
              <w:bottom w:val="single" w:sz="2" w:space="0" w:color="auto"/>
              <w:right w:val="single" w:sz="2" w:space="0" w:color="auto"/>
            </w:tcBorders>
            <w:vAlign w:val="center"/>
          </w:tcPr>
          <w:p w14:paraId="132AA51D" w14:textId="77777777" w:rsidR="007B3DB2" w:rsidRPr="0063248C" w:rsidRDefault="00000000">
            <w:pPr>
              <w:spacing w:line="240" w:lineRule="exact"/>
              <w:jc w:val="right"/>
              <w:rPr>
                <w:rFonts w:cs="宋体"/>
                <w:sz w:val="18"/>
                <w:szCs w:val="18"/>
              </w:rPr>
            </w:pPr>
            <w:r w:rsidRPr="0063248C">
              <w:rPr>
                <w:rFonts w:cs="宋体"/>
                <w:sz w:val="18"/>
                <w:szCs w:val="18"/>
              </w:rPr>
              <w:t>-1,912,670.67</w:t>
            </w:r>
          </w:p>
        </w:tc>
      </w:tr>
      <w:tr w:rsidR="007B3DB2" w:rsidRPr="0063248C" w14:paraId="203D89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36438C" w14:textId="77777777" w:rsidR="007B3DB2" w:rsidRPr="0063248C" w:rsidRDefault="00000000">
            <w:pPr>
              <w:spacing w:line="240" w:lineRule="exact"/>
              <w:rPr>
                <w:rFonts w:cs="宋体"/>
                <w:sz w:val="18"/>
                <w:szCs w:val="18"/>
              </w:rPr>
            </w:pPr>
            <w:r w:rsidRPr="0063248C">
              <w:rPr>
                <w:rFonts w:cs="宋体"/>
                <w:sz w:val="18"/>
                <w:szCs w:val="18"/>
              </w:rPr>
              <w:t>五、净利润（净亏损以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8CA1897" w14:textId="77777777" w:rsidR="007B3DB2" w:rsidRPr="0063248C" w:rsidRDefault="00000000">
            <w:pPr>
              <w:spacing w:line="240" w:lineRule="exact"/>
              <w:jc w:val="right"/>
              <w:rPr>
                <w:rFonts w:cs="宋体"/>
                <w:sz w:val="18"/>
                <w:szCs w:val="18"/>
              </w:rPr>
            </w:pPr>
            <w:r w:rsidRPr="0063248C">
              <w:rPr>
                <w:rFonts w:cs="宋体"/>
                <w:sz w:val="18"/>
                <w:szCs w:val="18"/>
              </w:rPr>
              <w:t>63,560,554.60</w:t>
            </w:r>
          </w:p>
        </w:tc>
        <w:tc>
          <w:tcPr>
            <w:tcW w:w="3213" w:type="dxa"/>
            <w:tcBorders>
              <w:top w:val="single" w:sz="2" w:space="0" w:color="auto"/>
              <w:left w:val="single" w:sz="2" w:space="0" w:color="auto"/>
              <w:bottom w:val="single" w:sz="2" w:space="0" w:color="auto"/>
              <w:right w:val="single" w:sz="2" w:space="0" w:color="auto"/>
            </w:tcBorders>
            <w:vAlign w:val="center"/>
          </w:tcPr>
          <w:p w14:paraId="2C1E44AE" w14:textId="77777777" w:rsidR="007B3DB2" w:rsidRPr="0063248C" w:rsidRDefault="00000000">
            <w:pPr>
              <w:spacing w:line="240" w:lineRule="exact"/>
              <w:jc w:val="right"/>
              <w:rPr>
                <w:rFonts w:cs="宋体"/>
                <w:sz w:val="18"/>
                <w:szCs w:val="18"/>
              </w:rPr>
            </w:pPr>
            <w:r w:rsidRPr="0063248C">
              <w:rPr>
                <w:rFonts w:cs="宋体"/>
                <w:sz w:val="18"/>
                <w:szCs w:val="18"/>
              </w:rPr>
              <w:t>-667,876,747.97</w:t>
            </w:r>
          </w:p>
        </w:tc>
      </w:tr>
      <w:tr w:rsidR="007B3DB2" w:rsidRPr="0063248C" w14:paraId="696655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C90A63"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A079BF"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6B3893" w14:textId="77777777" w:rsidR="007B3DB2" w:rsidRPr="0063248C" w:rsidRDefault="007B3DB2"/>
        </w:tc>
      </w:tr>
      <w:tr w:rsidR="007B3DB2" w:rsidRPr="0063248C" w14:paraId="0EB0A5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E4D7B4" w14:textId="77777777" w:rsidR="007B3DB2" w:rsidRPr="0063248C" w:rsidRDefault="00000000">
            <w:pPr>
              <w:spacing w:line="240" w:lineRule="exact"/>
              <w:ind w:firstLineChars="200" w:firstLine="360"/>
              <w:rPr>
                <w:rFonts w:cs="宋体"/>
                <w:sz w:val="18"/>
                <w:szCs w:val="18"/>
              </w:rPr>
            </w:pPr>
            <w:r w:rsidRPr="0063248C">
              <w:rPr>
                <w:rFonts w:cs="宋体"/>
                <w:sz w:val="18"/>
                <w:szCs w:val="18"/>
              </w:rPr>
              <w:t>1.</w:t>
            </w:r>
            <w:r w:rsidRPr="0063248C">
              <w:rPr>
                <w:rFonts w:cs="宋体"/>
                <w:sz w:val="18"/>
                <w:szCs w:val="18"/>
              </w:rPr>
              <w:t>持续经营净利润（净亏损以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733D9DA" w14:textId="77777777" w:rsidR="007B3DB2" w:rsidRPr="0063248C" w:rsidRDefault="00000000">
            <w:pPr>
              <w:spacing w:line="240" w:lineRule="exact"/>
              <w:jc w:val="right"/>
              <w:rPr>
                <w:rFonts w:cs="宋体"/>
                <w:sz w:val="18"/>
                <w:szCs w:val="18"/>
              </w:rPr>
            </w:pPr>
            <w:r w:rsidRPr="0063248C">
              <w:rPr>
                <w:rFonts w:cs="宋体"/>
                <w:sz w:val="18"/>
                <w:szCs w:val="18"/>
              </w:rPr>
              <w:t>63,560,554.60</w:t>
            </w:r>
          </w:p>
        </w:tc>
        <w:tc>
          <w:tcPr>
            <w:tcW w:w="3213" w:type="dxa"/>
            <w:tcBorders>
              <w:top w:val="single" w:sz="2" w:space="0" w:color="auto"/>
              <w:left w:val="single" w:sz="2" w:space="0" w:color="auto"/>
              <w:bottom w:val="single" w:sz="2" w:space="0" w:color="auto"/>
              <w:right w:val="single" w:sz="2" w:space="0" w:color="auto"/>
            </w:tcBorders>
            <w:vAlign w:val="center"/>
          </w:tcPr>
          <w:p w14:paraId="6B394248" w14:textId="77777777" w:rsidR="007B3DB2" w:rsidRPr="0063248C" w:rsidRDefault="00000000">
            <w:pPr>
              <w:spacing w:line="240" w:lineRule="exact"/>
              <w:jc w:val="right"/>
              <w:rPr>
                <w:rFonts w:cs="宋体"/>
                <w:sz w:val="18"/>
                <w:szCs w:val="18"/>
              </w:rPr>
            </w:pPr>
            <w:r w:rsidRPr="0063248C">
              <w:rPr>
                <w:rFonts w:cs="宋体"/>
                <w:sz w:val="18"/>
                <w:szCs w:val="18"/>
              </w:rPr>
              <w:t>-667,876,747.97</w:t>
            </w:r>
          </w:p>
        </w:tc>
      </w:tr>
      <w:tr w:rsidR="007B3DB2" w:rsidRPr="0063248C" w14:paraId="175C62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DAC3AD" w14:textId="77777777" w:rsidR="007B3DB2" w:rsidRPr="0063248C" w:rsidRDefault="00000000">
            <w:pPr>
              <w:spacing w:line="240" w:lineRule="exact"/>
              <w:ind w:firstLineChars="200" w:firstLine="360"/>
              <w:rPr>
                <w:rFonts w:cs="宋体"/>
                <w:sz w:val="18"/>
                <w:szCs w:val="18"/>
              </w:rPr>
            </w:pPr>
            <w:r w:rsidRPr="0063248C">
              <w:rPr>
                <w:rFonts w:cs="宋体"/>
                <w:sz w:val="18"/>
                <w:szCs w:val="18"/>
              </w:rPr>
              <w:t>2.</w:t>
            </w:r>
            <w:r w:rsidRPr="0063248C">
              <w:rPr>
                <w:rFonts w:cs="宋体"/>
                <w:sz w:val="18"/>
                <w:szCs w:val="18"/>
              </w:rPr>
              <w:t>终止经营净利润（净亏损以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891955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1C28F8" w14:textId="77777777" w:rsidR="007B3DB2" w:rsidRPr="0063248C" w:rsidRDefault="007B3DB2">
            <w:pPr>
              <w:spacing w:line="240" w:lineRule="exact"/>
              <w:jc w:val="right"/>
              <w:rPr>
                <w:rFonts w:cs="宋体"/>
                <w:sz w:val="18"/>
                <w:szCs w:val="18"/>
              </w:rPr>
            </w:pPr>
          </w:p>
        </w:tc>
      </w:tr>
      <w:tr w:rsidR="007B3DB2" w:rsidRPr="0063248C" w14:paraId="609B1D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300988"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EA796E"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412E53" w14:textId="77777777" w:rsidR="007B3DB2" w:rsidRPr="0063248C" w:rsidRDefault="007B3DB2"/>
        </w:tc>
      </w:tr>
      <w:tr w:rsidR="007B3DB2" w:rsidRPr="0063248C" w14:paraId="50E010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BF7288" w14:textId="77777777" w:rsidR="007B3DB2" w:rsidRPr="0063248C" w:rsidRDefault="00000000">
            <w:pPr>
              <w:spacing w:line="240" w:lineRule="exact"/>
              <w:ind w:firstLineChars="200" w:firstLine="360"/>
              <w:rPr>
                <w:rFonts w:cs="宋体"/>
                <w:sz w:val="18"/>
                <w:szCs w:val="18"/>
              </w:rPr>
            </w:pPr>
            <w:r w:rsidRPr="0063248C">
              <w:rPr>
                <w:rFonts w:cs="宋体"/>
                <w:sz w:val="18"/>
                <w:szCs w:val="18"/>
              </w:rPr>
              <w:t>1.</w:t>
            </w:r>
            <w:r w:rsidRPr="0063248C">
              <w:rPr>
                <w:rFonts w:cs="宋体"/>
                <w:sz w:val="18"/>
                <w:szCs w:val="18"/>
              </w:rPr>
              <w:t>归属于母公司股东的净利润（净亏损以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0998C4C" w14:textId="77777777" w:rsidR="007B3DB2" w:rsidRPr="0063248C" w:rsidRDefault="00000000">
            <w:pPr>
              <w:spacing w:line="240" w:lineRule="exact"/>
              <w:jc w:val="right"/>
              <w:rPr>
                <w:rFonts w:cs="宋体"/>
                <w:sz w:val="18"/>
                <w:szCs w:val="18"/>
              </w:rPr>
            </w:pPr>
            <w:r w:rsidRPr="0063248C">
              <w:rPr>
                <w:rFonts w:cs="宋体"/>
                <w:sz w:val="18"/>
                <w:szCs w:val="18"/>
              </w:rPr>
              <w:t>58,152,622.01</w:t>
            </w:r>
          </w:p>
        </w:tc>
        <w:tc>
          <w:tcPr>
            <w:tcW w:w="3213" w:type="dxa"/>
            <w:tcBorders>
              <w:top w:val="single" w:sz="2" w:space="0" w:color="auto"/>
              <w:left w:val="single" w:sz="2" w:space="0" w:color="auto"/>
              <w:bottom w:val="single" w:sz="2" w:space="0" w:color="auto"/>
              <w:right w:val="single" w:sz="2" w:space="0" w:color="auto"/>
            </w:tcBorders>
            <w:vAlign w:val="center"/>
          </w:tcPr>
          <w:p w14:paraId="1DA7FEA0" w14:textId="77777777" w:rsidR="007B3DB2" w:rsidRPr="0063248C" w:rsidRDefault="00000000">
            <w:pPr>
              <w:spacing w:line="240" w:lineRule="exact"/>
              <w:jc w:val="right"/>
              <w:rPr>
                <w:rFonts w:cs="宋体"/>
                <w:sz w:val="18"/>
                <w:szCs w:val="18"/>
              </w:rPr>
            </w:pPr>
            <w:r w:rsidRPr="0063248C">
              <w:rPr>
                <w:rFonts w:cs="宋体"/>
                <w:sz w:val="18"/>
                <w:szCs w:val="18"/>
              </w:rPr>
              <w:t>-624,337,418.82</w:t>
            </w:r>
          </w:p>
        </w:tc>
      </w:tr>
      <w:tr w:rsidR="007B3DB2" w:rsidRPr="0063248C" w14:paraId="7639B4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EF65D0" w14:textId="77777777" w:rsidR="007B3DB2" w:rsidRPr="0063248C" w:rsidRDefault="00000000">
            <w:pPr>
              <w:spacing w:line="240" w:lineRule="exact"/>
              <w:ind w:firstLineChars="200" w:firstLine="360"/>
              <w:rPr>
                <w:rFonts w:cs="宋体"/>
                <w:sz w:val="18"/>
                <w:szCs w:val="18"/>
              </w:rPr>
            </w:pPr>
            <w:r w:rsidRPr="0063248C">
              <w:rPr>
                <w:rFonts w:cs="宋体"/>
                <w:sz w:val="18"/>
                <w:szCs w:val="18"/>
              </w:rPr>
              <w:t>2.</w:t>
            </w:r>
            <w:r w:rsidRPr="0063248C">
              <w:rPr>
                <w:rFonts w:cs="宋体"/>
                <w:sz w:val="18"/>
                <w:szCs w:val="18"/>
              </w:rPr>
              <w:t>少数股东损益（净亏损以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121A672" w14:textId="77777777" w:rsidR="007B3DB2" w:rsidRPr="0063248C" w:rsidRDefault="00000000">
            <w:pPr>
              <w:spacing w:line="240" w:lineRule="exact"/>
              <w:jc w:val="right"/>
              <w:rPr>
                <w:rFonts w:cs="宋体"/>
                <w:sz w:val="18"/>
                <w:szCs w:val="18"/>
              </w:rPr>
            </w:pPr>
            <w:r w:rsidRPr="0063248C">
              <w:rPr>
                <w:rFonts w:cs="宋体"/>
                <w:sz w:val="18"/>
                <w:szCs w:val="18"/>
              </w:rPr>
              <w:t>5,407,932.59</w:t>
            </w:r>
          </w:p>
        </w:tc>
        <w:tc>
          <w:tcPr>
            <w:tcW w:w="3213" w:type="dxa"/>
            <w:tcBorders>
              <w:top w:val="single" w:sz="2" w:space="0" w:color="auto"/>
              <w:left w:val="single" w:sz="2" w:space="0" w:color="auto"/>
              <w:bottom w:val="single" w:sz="2" w:space="0" w:color="auto"/>
              <w:right w:val="single" w:sz="2" w:space="0" w:color="auto"/>
            </w:tcBorders>
            <w:vAlign w:val="center"/>
          </w:tcPr>
          <w:p w14:paraId="02FB1AA4" w14:textId="77777777" w:rsidR="007B3DB2" w:rsidRPr="0063248C" w:rsidRDefault="00000000">
            <w:pPr>
              <w:spacing w:line="240" w:lineRule="exact"/>
              <w:jc w:val="right"/>
              <w:rPr>
                <w:rFonts w:cs="宋体"/>
                <w:sz w:val="18"/>
                <w:szCs w:val="18"/>
              </w:rPr>
            </w:pPr>
            <w:r w:rsidRPr="0063248C">
              <w:rPr>
                <w:rFonts w:cs="宋体"/>
                <w:sz w:val="18"/>
                <w:szCs w:val="18"/>
              </w:rPr>
              <w:t>-43,539,329.15</w:t>
            </w:r>
          </w:p>
        </w:tc>
      </w:tr>
      <w:tr w:rsidR="007B3DB2" w:rsidRPr="0063248C" w14:paraId="4E84F7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BC93ED" w14:textId="77777777" w:rsidR="007B3DB2" w:rsidRPr="0063248C" w:rsidRDefault="00000000">
            <w:pPr>
              <w:spacing w:line="240" w:lineRule="exact"/>
              <w:rPr>
                <w:rFonts w:cs="宋体"/>
                <w:sz w:val="18"/>
                <w:szCs w:val="18"/>
              </w:rPr>
            </w:pPr>
            <w:r w:rsidRPr="0063248C">
              <w:rPr>
                <w:rFonts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43839D6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394125" w14:textId="77777777" w:rsidR="007B3DB2" w:rsidRPr="0063248C" w:rsidRDefault="007B3DB2">
            <w:pPr>
              <w:spacing w:line="240" w:lineRule="exact"/>
              <w:jc w:val="right"/>
              <w:rPr>
                <w:rFonts w:cs="宋体"/>
                <w:sz w:val="18"/>
                <w:szCs w:val="18"/>
              </w:rPr>
            </w:pPr>
          </w:p>
        </w:tc>
      </w:tr>
      <w:tr w:rsidR="007B3DB2" w:rsidRPr="0063248C" w14:paraId="0997F2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06293A"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2D6873C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2F8898" w14:textId="77777777" w:rsidR="007B3DB2" w:rsidRPr="0063248C" w:rsidRDefault="007B3DB2">
            <w:pPr>
              <w:spacing w:line="240" w:lineRule="exact"/>
              <w:jc w:val="right"/>
              <w:rPr>
                <w:rFonts w:cs="宋体"/>
                <w:sz w:val="18"/>
                <w:szCs w:val="18"/>
              </w:rPr>
            </w:pPr>
          </w:p>
        </w:tc>
      </w:tr>
      <w:tr w:rsidR="007B3DB2" w:rsidRPr="0063248C" w14:paraId="46374E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30BDB2" w14:textId="77777777" w:rsidR="007B3DB2" w:rsidRPr="0063248C" w:rsidRDefault="00000000">
            <w:pPr>
              <w:spacing w:line="240" w:lineRule="exact"/>
              <w:ind w:firstLineChars="200" w:firstLine="360"/>
              <w:rPr>
                <w:rFonts w:cs="宋体"/>
                <w:sz w:val="18"/>
                <w:szCs w:val="18"/>
              </w:rPr>
            </w:pPr>
            <w:r w:rsidRPr="0063248C">
              <w:rPr>
                <w:rFonts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9EA2A1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5E42DA" w14:textId="77777777" w:rsidR="007B3DB2" w:rsidRPr="0063248C" w:rsidRDefault="007B3DB2">
            <w:pPr>
              <w:spacing w:line="240" w:lineRule="exact"/>
              <w:jc w:val="right"/>
              <w:rPr>
                <w:rFonts w:cs="宋体"/>
                <w:sz w:val="18"/>
                <w:szCs w:val="18"/>
              </w:rPr>
            </w:pPr>
          </w:p>
        </w:tc>
      </w:tr>
      <w:tr w:rsidR="007B3DB2" w:rsidRPr="0063248C" w14:paraId="167970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B96285"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1.</w:t>
            </w:r>
            <w:r w:rsidRPr="0063248C">
              <w:rPr>
                <w:rFonts w:cs="宋体"/>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2D056B73"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F7DA2B" w14:textId="77777777" w:rsidR="007B3DB2" w:rsidRPr="0063248C" w:rsidRDefault="007B3DB2">
            <w:pPr>
              <w:spacing w:line="240" w:lineRule="exact"/>
              <w:jc w:val="right"/>
              <w:rPr>
                <w:rFonts w:cs="宋体"/>
                <w:sz w:val="18"/>
                <w:szCs w:val="18"/>
              </w:rPr>
            </w:pPr>
          </w:p>
        </w:tc>
      </w:tr>
      <w:tr w:rsidR="007B3DB2" w:rsidRPr="0063248C" w14:paraId="6DEF31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E63F86"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2.</w:t>
            </w:r>
            <w:r w:rsidRPr="0063248C">
              <w:rPr>
                <w:rFonts w:cs="宋体"/>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B1FDB1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259C6F" w14:textId="77777777" w:rsidR="007B3DB2" w:rsidRPr="0063248C" w:rsidRDefault="007B3DB2">
            <w:pPr>
              <w:spacing w:line="240" w:lineRule="exact"/>
              <w:jc w:val="right"/>
              <w:rPr>
                <w:rFonts w:cs="宋体"/>
                <w:sz w:val="18"/>
                <w:szCs w:val="18"/>
              </w:rPr>
            </w:pPr>
          </w:p>
        </w:tc>
      </w:tr>
      <w:tr w:rsidR="007B3DB2" w:rsidRPr="0063248C" w14:paraId="3E365C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43553B"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3.</w:t>
            </w:r>
            <w:r w:rsidRPr="0063248C">
              <w:rPr>
                <w:rFonts w:cs="宋体"/>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0E296E76"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7F56EB" w14:textId="77777777" w:rsidR="007B3DB2" w:rsidRPr="0063248C" w:rsidRDefault="007B3DB2">
            <w:pPr>
              <w:spacing w:line="240" w:lineRule="exact"/>
              <w:jc w:val="right"/>
              <w:rPr>
                <w:rFonts w:cs="宋体"/>
                <w:sz w:val="18"/>
                <w:szCs w:val="18"/>
              </w:rPr>
            </w:pPr>
          </w:p>
        </w:tc>
      </w:tr>
      <w:tr w:rsidR="007B3DB2" w:rsidRPr="0063248C" w14:paraId="4A5A67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78060B"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4.</w:t>
            </w:r>
            <w:r w:rsidRPr="0063248C">
              <w:rPr>
                <w:rFonts w:cs="宋体"/>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058CC178"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E6DA89" w14:textId="77777777" w:rsidR="007B3DB2" w:rsidRPr="0063248C" w:rsidRDefault="007B3DB2">
            <w:pPr>
              <w:spacing w:line="240" w:lineRule="exact"/>
              <w:jc w:val="right"/>
              <w:rPr>
                <w:rFonts w:cs="宋体"/>
                <w:sz w:val="18"/>
                <w:szCs w:val="18"/>
              </w:rPr>
            </w:pPr>
          </w:p>
        </w:tc>
      </w:tr>
      <w:tr w:rsidR="007B3DB2" w:rsidRPr="0063248C" w14:paraId="53388A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37E5E9"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5.</w:t>
            </w:r>
            <w:r w:rsidRPr="0063248C">
              <w:rPr>
                <w:rFonts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407BBF16"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5E859B" w14:textId="77777777" w:rsidR="007B3DB2" w:rsidRPr="0063248C" w:rsidRDefault="007B3DB2">
            <w:pPr>
              <w:spacing w:line="240" w:lineRule="exact"/>
              <w:jc w:val="right"/>
              <w:rPr>
                <w:rFonts w:cs="宋体"/>
                <w:sz w:val="18"/>
                <w:szCs w:val="18"/>
              </w:rPr>
            </w:pPr>
          </w:p>
        </w:tc>
      </w:tr>
      <w:tr w:rsidR="007B3DB2" w:rsidRPr="0063248C" w14:paraId="7BF5D1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2A73D0" w14:textId="77777777" w:rsidR="007B3DB2" w:rsidRPr="0063248C" w:rsidRDefault="00000000">
            <w:pPr>
              <w:spacing w:line="240" w:lineRule="exact"/>
              <w:ind w:firstLineChars="200" w:firstLine="360"/>
              <w:rPr>
                <w:rFonts w:cs="宋体"/>
                <w:sz w:val="18"/>
                <w:szCs w:val="18"/>
              </w:rPr>
            </w:pPr>
            <w:r w:rsidRPr="0063248C">
              <w:rPr>
                <w:rFonts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6A9D70A"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AB8ABA" w14:textId="77777777" w:rsidR="007B3DB2" w:rsidRPr="0063248C" w:rsidRDefault="007B3DB2">
            <w:pPr>
              <w:spacing w:line="240" w:lineRule="exact"/>
              <w:jc w:val="right"/>
              <w:rPr>
                <w:rFonts w:cs="宋体"/>
                <w:sz w:val="18"/>
                <w:szCs w:val="18"/>
              </w:rPr>
            </w:pPr>
          </w:p>
        </w:tc>
      </w:tr>
      <w:tr w:rsidR="007B3DB2" w:rsidRPr="0063248C" w14:paraId="100E18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682E68"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1.</w:t>
            </w:r>
            <w:r w:rsidRPr="0063248C">
              <w:rPr>
                <w:rFonts w:cs="宋体"/>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7C9165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6AB0D1" w14:textId="77777777" w:rsidR="007B3DB2" w:rsidRPr="0063248C" w:rsidRDefault="007B3DB2">
            <w:pPr>
              <w:spacing w:line="240" w:lineRule="exact"/>
              <w:jc w:val="right"/>
              <w:rPr>
                <w:rFonts w:cs="宋体"/>
                <w:sz w:val="18"/>
                <w:szCs w:val="18"/>
              </w:rPr>
            </w:pPr>
          </w:p>
        </w:tc>
      </w:tr>
      <w:tr w:rsidR="007B3DB2" w:rsidRPr="0063248C" w14:paraId="581AC5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BC4658"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2.</w:t>
            </w:r>
            <w:r w:rsidRPr="0063248C">
              <w:rPr>
                <w:rFonts w:cs="宋体"/>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5CE35F3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C93C4B" w14:textId="77777777" w:rsidR="007B3DB2" w:rsidRPr="0063248C" w:rsidRDefault="007B3DB2">
            <w:pPr>
              <w:spacing w:line="240" w:lineRule="exact"/>
              <w:jc w:val="right"/>
              <w:rPr>
                <w:rFonts w:cs="宋体"/>
                <w:sz w:val="18"/>
                <w:szCs w:val="18"/>
              </w:rPr>
            </w:pPr>
          </w:p>
        </w:tc>
      </w:tr>
      <w:tr w:rsidR="007B3DB2" w:rsidRPr="0063248C" w14:paraId="0F56B8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0E8823"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3.</w:t>
            </w:r>
            <w:r w:rsidRPr="0063248C">
              <w:rPr>
                <w:rFonts w:cs="宋体"/>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468976AA"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9A2A55" w14:textId="77777777" w:rsidR="007B3DB2" w:rsidRPr="0063248C" w:rsidRDefault="007B3DB2">
            <w:pPr>
              <w:spacing w:line="240" w:lineRule="exact"/>
              <w:jc w:val="right"/>
              <w:rPr>
                <w:rFonts w:cs="宋体"/>
                <w:sz w:val="18"/>
                <w:szCs w:val="18"/>
              </w:rPr>
            </w:pPr>
          </w:p>
        </w:tc>
      </w:tr>
      <w:tr w:rsidR="007B3DB2" w:rsidRPr="0063248C" w14:paraId="42C6E1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FC539D"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4.</w:t>
            </w:r>
            <w:r w:rsidRPr="0063248C">
              <w:rPr>
                <w:rFonts w:cs="宋体"/>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472057E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D9C0D1" w14:textId="77777777" w:rsidR="007B3DB2" w:rsidRPr="0063248C" w:rsidRDefault="007B3DB2">
            <w:pPr>
              <w:spacing w:line="240" w:lineRule="exact"/>
              <w:jc w:val="right"/>
              <w:rPr>
                <w:rFonts w:cs="宋体"/>
                <w:sz w:val="18"/>
                <w:szCs w:val="18"/>
              </w:rPr>
            </w:pPr>
          </w:p>
        </w:tc>
      </w:tr>
      <w:tr w:rsidR="007B3DB2" w:rsidRPr="0063248C" w14:paraId="6FE5EA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CE6134"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5.</w:t>
            </w:r>
            <w:r w:rsidRPr="0063248C">
              <w:rPr>
                <w:rFonts w:cs="宋体"/>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2273F06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4DAFB42" w14:textId="77777777" w:rsidR="007B3DB2" w:rsidRPr="0063248C" w:rsidRDefault="007B3DB2">
            <w:pPr>
              <w:spacing w:line="240" w:lineRule="exact"/>
              <w:jc w:val="right"/>
              <w:rPr>
                <w:rFonts w:cs="宋体"/>
                <w:sz w:val="18"/>
                <w:szCs w:val="18"/>
              </w:rPr>
            </w:pPr>
          </w:p>
        </w:tc>
      </w:tr>
      <w:tr w:rsidR="007B3DB2" w:rsidRPr="0063248C" w14:paraId="369621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5923FE"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6.</w:t>
            </w:r>
            <w:r w:rsidRPr="0063248C">
              <w:rPr>
                <w:rFonts w:cs="宋体"/>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10C6B9B1"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CE7CCA" w14:textId="77777777" w:rsidR="007B3DB2" w:rsidRPr="0063248C" w:rsidRDefault="007B3DB2">
            <w:pPr>
              <w:spacing w:line="240" w:lineRule="exact"/>
              <w:jc w:val="right"/>
              <w:rPr>
                <w:rFonts w:cs="宋体"/>
                <w:sz w:val="18"/>
                <w:szCs w:val="18"/>
              </w:rPr>
            </w:pPr>
          </w:p>
        </w:tc>
      </w:tr>
      <w:tr w:rsidR="007B3DB2" w:rsidRPr="0063248C" w14:paraId="34C786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9ACBAD"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7.</w:t>
            </w:r>
            <w:r w:rsidRPr="0063248C">
              <w:rPr>
                <w:rFonts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25847368"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4C222A" w14:textId="77777777" w:rsidR="007B3DB2" w:rsidRPr="0063248C" w:rsidRDefault="007B3DB2">
            <w:pPr>
              <w:spacing w:line="240" w:lineRule="exact"/>
              <w:jc w:val="right"/>
              <w:rPr>
                <w:rFonts w:cs="宋体"/>
                <w:sz w:val="18"/>
                <w:szCs w:val="18"/>
              </w:rPr>
            </w:pPr>
          </w:p>
        </w:tc>
      </w:tr>
      <w:tr w:rsidR="007B3DB2" w:rsidRPr="0063248C" w14:paraId="670BF0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88E690"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5001FD5A"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6133C4" w14:textId="77777777" w:rsidR="007B3DB2" w:rsidRPr="0063248C" w:rsidRDefault="007B3DB2">
            <w:pPr>
              <w:spacing w:line="240" w:lineRule="exact"/>
              <w:jc w:val="right"/>
              <w:rPr>
                <w:rFonts w:cs="宋体"/>
                <w:sz w:val="18"/>
                <w:szCs w:val="18"/>
              </w:rPr>
            </w:pPr>
          </w:p>
        </w:tc>
      </w:tr>
      <w:tr w:rsidR="007B3DB2" w:rsidRPr="0063248C" w14:paraId="61BFAA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1FA3AE" w14:textId="77777777" w:rsidR="007B3DB2" w:rsidRPr="0063248C" w:rsidRDefault="00000000">
            <w:pPr>
              <w:spacing w:line="240" w:lineRule="exact"/>
              <w:rPr>
                <w:rFonts w:cs="宋体"/>
                <w:sz w:val="18"/>
                <w:szCs w:val="18"/>
              </w:rPr>
            </w:pPr>
            <w:r w:rsidRPr="0063248C">
              <w:rPr>
                <w:rFonts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68D7314F" w14:textId="77777777" w:rsidR="007B3DB2" w:rsidRPr="0063248C" w:rsidRDefault="00000000">
            <w:pPr>
              <w:spacing w:line="240" w:lineRule="exact"/>
              <w:jc w:val="right"/>
              <w:rPr>
                <w:rFonts w:cs="宋体"/>
                <w:sz w:val="18"/>
                <w:szCs w:val="18"/>
              </w:rPr>
            </w:pPr>
            <w:r w:rsidRPr="0063248C">
              <w:rPr>
                <w:rFonts w:cs="宋体"/>
                <w:sz w:val="18"/>
                <w:szCs w:val="18"/>
              </w:rPr>
              <w:t>63,560,554.60</w:t>
            </w:r>
          </w:p>
        </w:tc>
        <w:tc>
          <w:tcPr>
            <w:tcW w:w="3213" w:type="dxa"/>
            <w:tcBorders>
              <w:top w:val="single" w:sz="2" w:space="0" w:color="auto"/>
              <w:left w:val="single" w:sz="2" w:space="0" w:color="auto"/>
              <w:bottom w:val="single" w:sz="2" w:space="0" w:color="auto"/>
              <w:right w:val="single" w:sz="2" w:space="0" w:color="auto"/>
            </w:tcBorders>
            <w:vAlign w:val="center"/>
          </w:tcPr>
          <w:p w14:paraId="228BA182" w14:textId="77777777" w:rsidR="007B3DB2" w:rsidRPr="0063248C" w:rsidRDefault="00000000">
            <w:pPr>
              <w:spacing w:line="240" w:lineRule="exact"/>
              <w:jc w:val="right"/>
              <w:rPr>
                <w:rFonts w:cs="宋体"/>
                <w:sz w:val="18"/>
                <w:szCs w:val="18"/>
              </w:rPr>
            </w:pPr>
            <w:r w:rsidRPr="0063248C">
              <w:rPr>
                <w:rFonts w:cs="宋体"/>
                <w:sz w:val="18"/>
                <w:szCs w:val="18"/>
              </w:rPr>
              <w:t>-667,876,747.97</w:t>
            </w:r>
          </w:p>
        </w:tc>
      </w:tr>
      <w:tr w:rsidR="007B3DB2" w:rsidRPr="0063248C" w14:paraId="6639F8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058BBF"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1CCEE0A0" w14:textId="77777777" w:rsidR="007B3DB2" w:rsidRPr="0063248C" w:rsidRDefault="00000000">
            <w:pPr>
              <w:spacing w:line="240" w:lineRule="exact"/>
              <w:jc w:val="right"/>
              <w:rPr>
                <w:rFonts w:cs="宋体"/>
                <w:sz w:val="18"/>
                <w:szCs w:val="18"/>
              </w:rPr>
            </w:pPr>
            <w:r w:rsidRPr="0063248C">
              <w:rPr>
                <w:rFonts w:cs="宋体"/>
                <w:sz w:val="18"/>
                <w:szCs w:val="18"/>
              </w:rPr>
              <w:t>58,152,622.01</w:t>
            </w:r>
          </w:p>
        </w:tc>
        <w:tc>
          <w:tcPr>
            <w:tcW w:w="3213" w:type="dxa"/>
            <w:tcBorders>
              <w:top w:val="single" w:sz="2" w:space="0" w:color="auto"/>
              <w:left w:val="single" w:sz="2" w:space="0" w:color="auto"/>
              <w:bottom w:val="single" w:sz="2" w:space="0" w:color="auto"/>
              <w:right w:val="single" w:sz="2" w:space="0" w:color="auto"/>
            </w:tcBorders>
            <w:vAlign w:val="center"/>
          </w:tcPr>
          <w:p w14:paraId="478C237B" w14:textId="77777777" w:rsidR="007B3DB2" w:rsidRPr="0063248C" w:rsidRDefault="00000000">
            <w:pPr>
              <w:spacing w:line="240" w:lineRule="exact"/>
              <w:jc w:val="right"/>
              <w:rPr>
                <w:rFonts w:cs="宋体"/>
                <w:sz w:val="18"/>
                <w:szCs w:val="18"/>
              </w:rPr>
            </w:pPr>
            <w:r w:rsidRPr="0063248C">
              <w:rPr>
                <w:rFonts w:cs="宋体"/>
                <w:sz w:val="18"/>
                <w:szCs w:val="18"/>
              </w:rPr>
              <w:t>-624,337,418.82</w:t>
            </w:r>
          </w:p>
        </w:tc>
      </w:tr>
      <w:tr w:rsidR="007B3DB2" w:rsidRPr="0063248C" w14:paraId="6151F5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0CB4DC"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57834AD1" w14:textId="77777777" w:rsidR="007B3DB2" w:rsidRPr="0063248C" w:rsidRDefault="00000000">
            <w:pPr>
              <w:spacing w:line="240" w:lineRule="exact"/>
              <w:jc w:val="right"/>
              <w:rPr>
                <w:rFonts w:cs="宋体"/>
                <w:sz w:val="18"/>
                <w:szCs w:val="18"/>
              </w:rPr>
            </w:pPr>
            <w:r w:rsidRPr="0063248C">
              <w:rPr>
                <w:rFonts w:cs="宋体"/>
                <w:sz w:val="18"/>
                <w:szCs w:val="18"/>
              </w:rPr>
              <w:t>5,407,932.59</w:t>
            </w:r>
          </w:p>
        </w:tc>
        <w:tc>
          <w:tcPr>
            <w:tcW w:w="3213" w:type="dxa"/>
            <w:tcBorders>
              <w:top w:val="single" w:sz="2" w:space="0" w:color="auto"/>
              <w:left w:val="single" w:sz="2" w:space="0" w:color="auto"/>
              <w:bottom w:val="single" w:sz="2" w:space="0" w:color="auto"/>
              <w:right w:val="single" w:sz="2" w:space="0" w:color="auto"/>
            </w:tcBorders>
            <w:vAlign w:val="center"/>
          </w:tcPr>
          <w:p w14:paraId="62DA072B" w14:textId="77777777" w:rsidR="007B3DB2" w:rsidRPr="0063248C" w:rsidRDefault="00000000">
            <w:pPr>
              <w:spacing w:line="240" w:lineRule="exact"/>
              <w:jc w:val="right"/>
              <w:rPr>
                <w:rFonts w:cs="宋体"/>
                <w:sz w:val="18"/>
                <w:szCs w:val="18"/>
              </w:rPr>
            </w:pPr>
            <w:r w:rsidRPr="0063248C">
              <w:rPr>
                <w:rFonts w:cs="宋体"/>
                <w:sz w:val="18"/>
                <w:szCs w:val="18"/>
              </w:rPr>
              <w:t>-43,539,329.15</w:t>
            </w:r>
          </w:p>
        </w:tc>
      </w:tr>
      <w:tr w:rsidR="007B3DB2" w:rsidRPr="0063248C" w14:paraId="3F67A3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3AA963" w14:textId="77777777" w:rsidR="007B3DB2" w:rsidRPr="0063248C" w:rsidRDefault="00000000">
            <w:pPr>
              <w:spacing w:line="240" w:lineRule="exact"/>
              <w:rPr>
                <w:rFonts w:cs="宋体"/>
                <w:sz w:val="18"/>
                <w:szCs w:val="18"/>
              </w:rPr>
            </w:pPr>
            <w:r w:rsidRPr="0063248C">
              <w:rPr>
                <w:rFonts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810E97"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195F3E" w14:textId="77777777" w:rsidR="007B3DB2" w:rsidRPr="0063248C" w:rsidRDefault="007B3DB2"/>
        </w:tc>
      </w:tr>
      <w:tr w:rsidR="007B3DB2" w:rsidRPr="0063248C" w14:paraId="25A123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FF92CC"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38AF5940" w14:textId="77777777" w:rsidR="007B3DB2" w:rsidRPr="0063248C" w:rsidRDefault="00000000">
            <w:pPr>
              <w:spacing w:line="240" w:lineRule="exact"/>
              <w:jc w:val="right"/>
              <w:rPr>
                <w:rFonts w:cs="宋体"/>
                <w:sz w:val="18"/>
                <w:szCs w:val="18"/>
              </w:rPr>
            </w:pPr>
            <w:r w:rsidRPr="0063248C">
              <w:rPr>
                <w:rFonts w:cs="宋体"/>
                <w:sz w:val="18"/>
                <w:szCs w:val="18"/>
              </w:rPr>
              <w:t>0.05</w:t>
            </w:r>
          </w:p>
        </w:tc>
        <w:tc>
          <w:tcPr>
            <w:tcW w:w="3213" w:type="dxa"/>
            <w:tcBorders>
              <w:top w:val="single" w:sz="2" w:space="0" w:color="auto"/>
              <w:left w:val="single" w:sz="2" w:space="0" w:color="auto"/>
              <w:bottom w:val="single" w:sz="2" w:space="0" w:color="auto"/>
              <w:right w:val="single" w:sz="2" w:space="0" w:color="auto"/>
            </w:tcBorders>
            <w:vAlign w:val="center"/>
          </w:tcPr>
          <w:p w14:paraId="39FFCE7B" w14:textId="77777777" w:rsidR="007B3DB2" w:rsidRPr="0063248C" w:rsidRDefault="00000000">
            <w:pPr>
              <w:spacing w:line="240" w:lineRule="exact"/>
              <w:jc w:val="right"/>
              <w:rPr>
                <w:rFonts w:cs="宋体"/>
                <w:sz w:val="18"/>
                <w:szCs w:val="18"/>
              </w:rPr>
            </w:pPr>
            <w:r w:rsidRPr="0063248C">
              <w:rPr>
                <w:rFonts w:cs="宋体"/>
                <w:sz w:val="18"/>
                <w:szCs w:val="18"/>
              </w:rPr>
              <w:t>-0.58</w:t>
            </w:r>
          </w:p>
        </w:tc>
      </w:tr>
      <w:tr w:rsidR="007B3DB2" w:rsidRPr="0063248C" w14:paraId="0BFE81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DD63B0"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154628C3" w14:textId="77777777" w:rsidR="007B3DB2" w:rsidRPr="0063248C" w:rsidRDefault="00000000">
            <w:pPr>
              <w:spacing w:line="240" w:lineRule="exact"/>
              <w:jc w:val="right"/>
              <w:rPr>
                <w:rFonts w:cs="宋体"/>
                <w:sz w:val="18"/>
                <w:szCs w:val="18"/>
              </w:rPr>
            </w:pPr>
            <w:r w:rsidRPr="0063248C">
              <w:rPr>
                <w:rFonts w:cs="宋体"/>
                <w:sz w:val="18"/>
                <w:szCs w:val="18"/>
              </w:rPr>
              <w:t>0.07</w:t>
            </w:r>
          </w:p>
        </w:tc>
        <w:tc>
          <w:tcPr>
            <w:tcW w:w="3213" w:type="dxa"/>
            <w:tcBorders>
              <w:top w:val="single" w:sz="2" w:space="0" w:color="auto"/>
              <w:left w:val="single" w:sz="2" w:space="0" w:color="auto"/>
              <w:bottom w:val="single" w:sz="2" w:space="0" w:color="auto"/>
              <w:right w:val="single" w:sz="2" w:space="0" w:color="auto"/>
            </w:tcBorders>
            <w:vAlign w:val="center"/>
          </w:tcPr>
          <w:p w14:paraId="3F9681CE" w14:textId="77777777" w:rsidR="007B3DB2" w:rsidRPr="0063248C" w:rsidRDefault="00000000">
            <w:pPr>
              <w:spacing w:line="240" w:lineRule="exact"/>
              <w:jc w:val="right"/>
              <w:rPr>
                <w:rFonts w:cs="宋体"/>
                <w:sz w:val="18"/>
                <w:szCs w:val="18"/>
              </w:rPr>
            </w:pPr>
            <w:r w:rsidRPr="0063248C">
              <w:rPr>
                <w:rFonts w:cs="宋体"/>
                <w:sz w:val="18"/>
                <w:szCs w:val="18"/>
              </w:rPr>
              <w:t>-0.53</w:t>
            </w:r>
          </w:p>
        </w:tc>
      </w:tr>
    </w:tbl>
    <w:p w14:paraId="3DC721CB" w14:textId="46BAE240" w:rsidR="007B3DB2" w:rsidRPr="0063248C" w:rsidRDefault="00000000">
      <w:pPr>
        <w:spacing w:before="100" w:after="100" w:line="240" w:lineRule="exact"/>
        <w:rPr>
          <w:rFonts w:cs="宋体"/>
          <w:sz w:val="18"/>
          <w:szCs w:val="18"/>
        </w:rPr>
      </w:pPr>
      <w:r w:rsidRPr="0063248C">
        <w:rPr>
          <w:rFonts w:cs="宋体"/>
          <w:sz w:val="18"/>
          <w:szCs w:val="18"/>
        </w:rPr>
        <w:t>本期发生同</w:t>
      </w:r>
      <w:proofErr w:type="gramStart"/>
      <w:r w:rsidRPr="0063248C">
        <w:rPr>
          <w:rFonts w:cs="宋体"/>
          <w:sz w:val="18"/>
          <w:szCs w:val="18"/>
        </w:rPr>
        <w:t>一控制</w:t>
      </w:r>
      <w:proofErr w:type="gramEnd"/>
      <w:r w:rsidRPr="0063248C">
        <w:rPr>
          <w:rFonts w:cs="宋体"/>
          <w:sz w:val="18"/>
          <w:szCs w:val="18"/>
        </w:rPr>
        <w:t>下企业合并的，被合并方在合并前实现的净利润为：</w:t>
      </w:r>
      <w:r w:rsidR="00C117DA">
        <w:rPr>
          <w:rFonts w:cs="宋体" w:hint="eastAsia"/>
          <w:sz w:val="18"/>
          <w:szCs w:val="18"/>
        </w:rPr>
        <w:t>0</w:t>
      </w:r>
      <w:r w:rsidRPr="0063248C">
        <w:rPr>
          <w:rFonts w:cs="宋体"/>
          <w:sz w:val="18"/>
          <w:szCs w:val="18"/>
        </w:rPr>
        <w:t>元，上期被合并方实现的净利润为：</w:t>
      </w:r>
      <w:r w:rsidR="00C117DA">
        <w:rPr>
          <w:rFonts w:cs="宋体" w:hint="eastAsia"/>
          <w:sz w:val="18"/>
          <w:szCs w:val="18"/>
        </w:rPr>
        <w:t>0</w:t>
      </w:r>
      <w:r w:rsidRPr="0063248C">
        <w:rPr>
          <w:rFonts w:cs="宋体"/>
          <w:sz w:val="18"/>
          <w:szCs w:val="18"/>
        </w:rPr>
        <w:t>元。</w:t>
      </w:r>
    </w:p>
    <w:p w14:paraId="1B682DAF" w14:textId="77777777" w:rsidR="007B3DB2" w:rsidRPr="0063248C" w:rsidRDefault="00000000" w:rsidP="00D77137">
      <w:pPr>
        <w:spacing w:before="100" w:after="100" w:line="240" w:lineRule="exact"/>
        <w:rPr>
          <w:rFonts w:cs="宋体"/>
          <w:sz w:val="18"/>
          <w:szCs w:val="18"/>
        </w:rPr>
      </w:pPr>
      <w:r w:rsidRPr="0063248C">
        <w:rPr>
          <w:rFonts w:cs="宋体"/>
          <w:sz w:val="18"/>
          <w:szCs w:val="18"/>
        </w:rPr>
        <w:t>法定代表人：杨晓初</w:t>
      </w:r>
      <w:r w:rsidRPr="0063248C">
        <w:rPr>
          <w:rFonts w:cs="宋体"/>
          <w:sz w:val="18"/>
          <w:szCs w:val="18"/>
        </w:rPr>
        <w:t xml:space="preserve">    </w:t>
      </w:r>
      <w:r w:rsidRPr="0063248C">
        <w:rPr>
          <w:rFonts w:cs="宋体"/>
          <w:sz w:val="18"/>
          <w:szCs w:val="18"/>
        </w:rPr>
        <w:t>主管会计工作负责人：</w:t>
      </w:r>
      <w:proofErr w:type="gramStart"/>
      <w:r w:rsidRPr="0063248C">
        <w:rPr>
          <w:rFonts w:cs="宋体"/>
          <w:sz w:val="18"/>
          <w:szCs w:val="18"/>
        </w:rPr>
        <w:t>张凌</w:t>
      </w:r>
      <w:proofErr w:type="gramEnd"/>
      <w:r w:rsidRPr="0063248C">
        <w:rPr>
          <w:rFonts w:cs="宋体"/>
          <w:sz w:val="18"/>
          <w:szCs w:val="18"/>
        </w:rPr>
        <w:t xml:space="preserve">    </w:t>
      </w:r>
      <w:r w:rsidRPr="0063248C">
        <w:rPr>
          <w:rFonts w:cs="宋体"/>
          <w:sz w:val="18"/>
          <w:szCs w:val="18"/>
        </w:rPr>
        <w:t>会计机构负责人：刘璐希</w:t>
      </w:r>
    </w:p>
    <w:p w14:paraId="06AD4A40" w14:textId="77777777" w:rsidR="007B3DB2" w:rsidRPr="0063248C" w:rsidRDefault="00000000">
      <w:pPr>
        <w:pStyle w:val="3"/>
        <w:spacing w:line="280" w:lineRule="exact"/>
        <w:jc w:val="left"/>
        <w:rPr>
          <w:rFonts w:cs="宋体"/>
          <w:b/>
          <w:bCs/>
        </w:rPr>
      </w:pPr>
      <w:bookmarkStart w:id="107" w:name="_Toc988996"/>
      <w:r w:rsidRPr="0063248C">
        <w:rPr>
          <w:rFonts w:cs="宋体"/>
          <w:b/>
          <w:bCs/>
        </w:rPr>
        <w:t>4</w:t>
      </w:r>
      <w:r w:rsidRPr="0063248C">
        <w:rPr>
          <w:rFonts w:cs="宋体"/>
          <w:b/>
          <w:bCs/>
        </w:rPr>
        <w:t>、母公司利润表</w:t>
      </w:r>
      <w:bookmarkEnd w:id="107"/>
    </w:p>
    <w:p w14:paraId="41062B27"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0B6BFD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B24FF6"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B24D35" w14:textId="77777777" w:rsidR="007B3DB2" w:rsidRPr="0063248C" w:rsidRDefault="00000000">
            <w:pPr>
              <w:spacing w:before="40" w:after="40" w:line="240" w:lineRule="exact"/>
              <w:jc w:val="center"/>
              <w:rPr>
                <w:rFonts w:cs="宋体"/>
                <w:sz w:val="18"/>
                <w:szCs w:val="18"/>
              </w:rPr>
            </w:pPr>
            <w:r w:rsidRPr="0063248C">
              <w:rPr>
                <w:rFonts w:cs="宋体"/>
                <w:sz w:val="18"/>
                <w:szCs w:val="18"/>
              </w:rPr>
              <w:t>2024</w:t>
            </w:r>
            <w:r w:rsidRPr="0063248C">
              <w:rPr>
                <w:rFonts w:cs="宋体"/>
                <w:sz w:val="18"/>
                <w:szCs w:val="18"/>
              </w:rPr>
              <w:t>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48D6FA" w14:textId="77777777" w:rsidR="007B3DB2" w:rsidRPr="0063248C" w:rsidRDefault="00000000">
            <w:pPr>
              <w:spacing w:before="40" w:after="40" w:line="240" w:lineRule="exact"/>
              <w:jc w:val="center"/>
              <w:rPr>
                <w:rFonts w:cs="宋体"/>
                <w:sz w:val="18"/>
                <w:szCs w:val="18"/>
              </w:rPr>
            </w:pPr>
            <w:r w:rsidRPr="0063248C">
              <w:rPr>
                <w:rFonts w:cs="宋体"/>
                <w:sz w:val="18"/>
                <w:szCs w:val="18"/>
              </w:rPr>
              <w:t>2023</w:t>
            </w:r>
            <w:r w:rsidRPr="0063248C">
              <w:rPr>
                <w:rFonts w:cs="宋体"/>
                <w:sz w:val="18"/>
                <w:szCs w:val="18"/>
              </w:rPr>
              <w:t>年半年度</w:t>
            </w:r>
          </w:p>
        </w:tc>
      </w:tr>
      <w:tr w:rsidR="007B3DB2" w:rsidRPr="0063248C" w14:paraId="1BB4FB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F4782A" w14:textId="77777777" w:rsidR="007B3DB2" w:rsidRPr="0063248C" w:rsidRDefault="00000000">
            <w:pPr>
              <w:spacing w:before="40" w:after="40" w:line="240" w:lineRule="exact"/>
              <w:rPr>
                <w:rFonts w:cs="宋体"/>
                <w:sz w:val="18"/>
                <w:szCs w:val="18"/>
              </w:rPr>
            </w:pPr>
            <w:r w:rsidRPr="0063248C">
              <w:rPr>
                <w:rFonts w:cs="宋体"/>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65B2C32A" w14:textId="77777777" w:rsidR="007B3DB2" w:rsidRPr="0063248C" w:rsidRDefault="00000000">
            <w:pPr>
              <w:spacing w:line="240" w:lineRule="exact"/>
              <w:jc w:val="right"/>
              <w:rPr>
                <w:rFonts w:cs="宋体"/>
                <w:sz w:val="18"/>
                <w:szCs w:val="18"/>
              </w:rPr>
            </w:pPr>
            <w:r w:rsidRPr="0063248C">
              <w:rPr>
                <w:rFonts w:cs="宋体"/>
                <w:sz w:val="18"/>
                <w:szCs w:val="18"/>
              </w:rPr>
              <w:t>1,953,373,586.74</w:t>
            </w:r>
          </w:p>
        </w:tc>
        <w:tc>
          <w:tcPr>
            <w:tcW w:w="3213" w:type="dxa"/>
            <w:tcBorders>
              <w:top w:val="single" w:sz="2" w:space="0" w:color="auto"/>
              <w:left w:val="single" w:sz="2" w:space="0" w:color="auto"/>
              <w:bottom w:val="single" w:sz="2" w:space="0" w:color="auto"/>
              <w:right w:val="single" w:sz="2" w:space="0" w:color="auto"/>
            </w:tcBorders>
            <w:vAlign w:val="center"/>
          </w:tcPr>
          <w:p w14:paraId="15F60F48" w14:textId="77777777" w:rsidR="007B3DB2" w:rsidRPr="0063248C" w:rsidRDefault="00000000">
            <w:pPr>
              <w:spacing w:line="240" w:lineRule="exact"/>
              <w:jc w:val="right"/>
              <w:rPr>
                <w:rFonts w:cs="宋体"/>
                <w:sz w:val="18"/>
                <w:szCs w:val="18"/>
              </w:rPr>
            </w:pPr>
            <w:r w:rsidRPr="0063248C">
              <w:rPr>
                <w:rFonts w:cs="宋体"/>
                <w:sz w:val="18"/>
                <w:szCs w:val="18"/>
              </w:rPr>
              <w:t>2,250,987,549.85</w:t>
            </w:r>
          </w:p>
        </w:tc>
      </w:tr>
      <w:tr w:rsidR="007B3DB2" w:rsidRPr="0063248C" w14:paraId="6F799C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26D58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lastRenderedPageBreak/>
              <w:t>减：营业成本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31D9E3FF" w14:textId="77777777" w:rsidR="007B3DB2" w:rsidRPr="0063248C" w:rsidRDefault="00000000">
            <w:pPr>
              <w:spacing w:line="240" w:lineRule="exact"/>
              <w:jc w:val="right"/>
              <w:rPr>
                <w:rFonts w:cs="宋体"/>
                <w:sz w:val="18"/>
                <w:szCs w:val="18"/>
              </w:rPr>
            </w:pPr>
            <w:r w:rsidRPr="0063248C">
              <w:rPr>
                <w:rFonts w:cs="宋体"/>
                <w:sz w:val="18"/>
                <w:szCs w:val="18"/>
              </w:rPr>
              <w:t>1,822,496,763.56</w:t>
            </w:r>
          </w:p>
        </w:tc>
        <w:tc>
          <w:tcPr>
            <w:tcW w:w="3213" w:type="dxa"/>
            <w:tcBorders>
              <w:top w:val="single" w:sz="2" w:space="0" w:color="auto"/>
              <w:left w:val="single" w:sz="2" w:space="0" w:color="auto"/>
              <w:bottom w:val="single" w:sz="2" w:space="0" w:color="auto"/>
              <w:right w:val="single" w:sz="2" w:space="0" w:color="auto"/>
            </w:tcBorders>
            <w:vAlign w:val="center"/>
          </w:tcPr>
          <w:p w14:paraId="0F0C8C93" w14:textId="77777777" w:rsidR="007B3DB2" w:rsidRPr="0063248C" w:rsidRDefault="00000000">
            <w:pPr>
              <w:spacing w:line="240" w:lineRule="exact"/>
              <w:jc w:val="right"/>
              <w:rPr>
                <w:rFonts w:cs="宋体"/>
                <w:sz w:val="18"/>
                <w:szCs w:val="18"/>
              </w:rPr>
            </w:pPr>
            <w:r w:rsidRPr="0063248C">
              <w:rPr>
                <w:rFonts w:cs="宋体"/>
                <w:sz w:val="18"/>
                <w:szCs w:val="18"/>
              </w:rPr>
              <w:t>2,105,088,450.66</w:t>
            </w:r>
          </w:p>
        </w:tc>
      </w:tr>
      <w:tr w:rsidR="007B3DB2" w:rsidRPr="0063248C" w14:paraId="37CF28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6A1E3B"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2D167ED9" w14:textId="77777777" w:rsidR="007B3DB2" w:rsidRPr="0063248C" w:rsidRDefault="00000000">
            <w:pPr>
              <w:spacing w:line="240" w:lineRule="exact"/>
              <w:jc w:val="right"/>
              <w:rPr>
                <w:rFonts w:cs="宋体"/>
                <w:sz w:val="18"/>
                <w:szCs w:val="18"/>
              </w:rPr>
            </w:pPr>
            <w:r w:rsidRPr="0063248C">
              <w:rPr>
                <w:rFonts w:cs="宋体"/>
                <w:sz w:val="18"/>
                <w:szCs w:val="18"/>
              </w:rPr>
              <w:t>3,388,325.68</w:t>
            </w:r>
          </w:p>
        </w:tc>
        <w:tc>
          <w:tcPr>
            <w:tcW w:w="3213" w:type="dxa"/>
            <w:tcBorders>
              <w:top w:val="single" w:sz="2" w:space="0" w:color="auto"/>
              <w:left w:val="single" w:sz="2" w:space="0" w:color="auto"/>
              <w:bottom w:val="single" w:sz="2" w:space="0" w:color="auto"/>
              <w:right w:val="single" w:sz="2" w:space="0" w:color="auto"/>
            </w:tcBorders>
            <w:vAlign w:val="center"/>
          </w:tcPr>
          <w:p w14:paraId="530D1443" w14:textId="77777777" w:rsidR="007B3DB2" w:rsidRPr="0063248C" w:rsidRDefault="00000000">
            <w:pPr>
              <w:spacing w:line="240" w:lineRule="exact"/>
              <w:jc w:val="right"/>
              <w:rPr>
                <w:rFonts w:cs="宋体"/>
                <w:sz w:val="18"/>
                <w:szCs w:val="18"/>
              </w:rPr>
            </w:pPr>
            <w:r w:rsidRPr="0063248C">
              <w:rPr>
                <w:rFonts w:cs="宋体"/>
                <w:sz w:val="18"/>
                <w:szCs w:val="18"/>
              </w:rPr>
              <w:t>3,557,007.86</w:t>
            </w:r>
          </w:p>
        </w:tc>
      </w:tr>
      <w:tr w:rsidR="007B3DB2" w:rsidRPr="0063248C" w14:paraId="10E1FB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50BDDE"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3190B68E" w14:textId="77777777" w:rsidR="007B3DB2" w:rsidRPr="0063248C" w:rsidRDefault="00000000">
            <w:pPr>
              <w:spacing w:line="240" w:lineRule="exact"/>
              <w:jc w:val="right"/>
              <w:rPr>
                <w:rFonts w:cs="宋体"/>
                <w:sz w:val="18"/>
                <w:szCs w:val="18"/>
              </w:rPr>
            </w:pPr>
            <w:r w:rsidRPr="0063248C">
              <w:rPr>
                <w:rFonts w:cs="宋体"/>
                <w:sz w:val="18"/>
                <w:szCs w:val="18"/>
              </w:rPr>
              <w:t>69,356,596.93</w:t>
            </w:r>
          </w:p>
        </w:tc>
        <w:tc>
          <w:tcPr>
            <w:tcW w:w="3213" w:type="dxa"/>
            <w:tcBorders>
              <w:top w:val="single" w:sz="2" w:space="0" w:color="auto"/>
              <w:left w:val="single" w:sz="2" w:space="0" w:color="auto"/>
              <w:bottom w:val="single" w:sz="2" w:space="0" w:color="auto"/>
              <w:right w:val="single" w:sz="2" w:space="0" w:color="auto"/>
            </w:tcBorders>
            <w:vAlign w:val="center"/>
          </w:tcPr>
          <w:p w14:paraId="17B83550" w14:textId="77777777" w:rsidR="007B3DB2" w:rsidRPr="0063248C" w:rsidRDefault="00000000">
            <w:pPr>
              <w:spacing w:line="240" w:lineRule="exact"/>
              <w:jc w:val="right"/>
              <w:rPr>
                <w:rFonts w:cs="宋体"/>
                <w:sz w:val="18"/>
                <w:szCs w:val="18"/>
              </w:rPr>
            </w:pPr>
            <w:r w:rsidRPr="0063248C">
              <w:rPr>
                <w:rFonts w:cs="宋体"/>
                <w:sz w:val="18"/>
                <w:szCs w:val="18"/>
              </w:rPr>
              <w:t>87,804,909.44</w:t>
            </w:r>
          </w:p>
        </w:tc>
      </w:tr>
      <w:tr w:rsidR="007B3DB2" w:rsidRPr="0063248C" w14:paraId="3CAB70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82FB37"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63EC555B" w14:textId="77777777" w:rsidR="007B3DB2" w:rsidRPr="0063248C" w:rsidRDefault="00000000">
            <w:pPr>
              <w:spacing w:line="240" w:lineRule="exact"/>
              <w:jc w:val="right"/>
              <w:rPr>
                <w:rFonts w:cs="宋体"/>
                <w:sz w:val="18"/>
                <w:szCs w:val="18"/>
              </w:rPr>
            </w:pPr>
            <w:r w:rsidRPr="0063248C">
              <w:rPr>
                <w:rFonts w:cs="宋体"/>
                <w:sz w:val="18"/>
                <w:szCs w:val="18"/>
              </w:rPr>
              <w:t>48,818,085.93</w:t>
            </w:r>
          </w:p>
        </w:tc>
        <w:tc>
          <w:tcPr>
            <w:tcW w:w="3213" w:type="dxa"/>
            <w:tcBorders>
              <w:top w:val="single" w:sz="2" w:space="0" w:color="auto"/>
              <w:left w:val="single" w:sz="2" w:space="0" w:color="auto"/>
              <w:bottom w:val="single" w:sz="2" w:space="0" w:color="auto"/>
              <w:right w:val="single" w:sz="2" w:space="0" w:color="auto"/>
            </w:tcBorders>
            <w:vAlign w:val="center"/>
          </w:tcPr>
          <w:p w14:paraId="7C935EDE" w14:textId="77777777" w:rsidR="007B3DB2" w:rsidRPr="0063248C" w:rsidRDefault="00000000">
            <w:pPr>
              <w:spacing w:line="240" w:lineRule="exact"/>
              <w:jc w:val="right"/>
              <w:rPr>
                <w:rFonts w:cs="宋体"/>
                <w:sz w:val="18"/>
                <w:szCs w:val="18"/>
              </w:rPr>
            </w:pPr>
            <w:r w:rsidRPr="0063248C">
              <w:rPr>
                <w:rFonts w:cs="宋体"/>
                <w:sz w:val="18"/>
                <w:szCs w:val="18"/>
              </w:rPr>
              <w:t>63,176,473.84</w:t>
            </w:r>
          </w:p>
        </w:tc>
      </w:tr>
      <w:tr w:rsidR="007B3DB2" w:rsidRPr="0063248C" w14:paraId="539080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09751E"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3DDEB399" w14:textId="77777777" w:rsidR="007B3DB2" w:rsidRPr="0063248C" w:rsidRDefault="00000000">
            <w:pPr>
              <w:spacing w:line="240" w:lineRule="exact"/>
              <w:jc w:val="right"/>
              <w:rPr>
                <w:rFonts w:cs="宋体"/>
                <w:sz w:val="18"/>
                <w:szCs w:val="18"/>
              </w:rPr>
            </w:pPr>
            <w:r w:rsidRPr="0063248C">
              <w:rPr>
                <w:rFonts w:cs="宋体"/>
                <w:sz w:val="18"/>
                <w:szCs w:val="18"/>
              </w:rPr>
              <w:t>134,338.18</w:t>
            </w:r>
          </w:p>
        </w:tc>
        <w:tc>
          <w:tcPr>
            <w:tcW w:w="3213" w:type="dxa"/>
            <w:tcBorders>
              <w:top w:val="single" w:sz="2" w:space="0" w:color="auto"/>
              <w:left w:val="single" w:sz="2" w:space="0" w:color="auto"/>
              <w:bottom w:val="single" w:sz="2" w:space="0" w:color="auto"/>
              <w:right w:val="single" w:sz="2" w:space="0" w:color="auto"/>
            </w:tcBorders>
            <w:vAlign w:val="center"/>
          </w:tcPr>
          <w:p w14:paraId="239CDB29" w14:textId="77777777" w:rsidR="007B3DB2" w:rsidRPr="0063248C" w:rsidRDefault="00000000">
            <w:pPr>
              <w:spacing w:line="240" w:lineRule="exact"/>
              <w:jc w:val="right"/>
              <w:rPr>
                <w:rFonts w:cs="宋体"/>
                <w:sz w:val="18"/>
                <w:szCs w:val="18"/>
              </w:rPr>
            </w:pPr>
            <w:r w:rsidRPr="0063248C">
              <w:rPr>
                <w:rFonts w:cs="宋体"/>
                <w:sz w:val="18"/>
                <w:szCs w:val="18"/>
              </w:rPr>
              <w:t>282,415.64</w:t>
            </w:r>
          </w:p>
        </w:tc>
      </w:tr>
      <w:tr w:rsidR="007B3DB2" w:rsidRPr="0063248C" w14:paraId="4A6ECD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AEAD15"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6D32E62D" w14:textId="77777777" w:rsidR="007B3DB2" w:rsidRPr="0063248C" w:rsidRDefault="00000000">
            <w:pPr>
              <w:spacing w:line="240" w:lineRule="exact"/>
              <w:jc w:val="right"/>
              <w:rPr>
                <w:rFonts w:cs="宋体"/>
                <w:sz w:val="18"/>
                <w:szCs w:val="18"/>
              </w:rPr>
            </w:pPr>
            <w:r w:rsidRPr="0063248C">
              <w:rPr>
                <w:rFonts w:cs="宋体"/>
                <w:sz w:val="18"/>
                <w:szCs w:val="18"/>
              </w:rPr>
              <w:t>29,693,343.81</w:t>
            </w:r>
          </w:p>
        </w:tc>
        <w:tc>
          <w:tcPr>
            <w:tcW w:w="3213" w:type="dxa"/>
            <w:tcBorders>
              <w:top w:val="single" w:sz="2" w:space="0" w:color="auto"/>
              <w:left w:val="single" w:sz="2" w:space="0" w:color="auto"/>
              <w:bottom w:val="single" w:sz="2" w:space="0" w:color="auto"/>
              <w:right w:val="single" w:sz="2" w:space="0" w:color="auto"/>
            </w:tcBorders>
            <w:vAlign w:val="center"/>
          </w:tcPr>
          <w:p w14:paraId="54B54D99" w14:textId="77777777" w:rsidR="007B3DB2" w:rsidRPr="0063248C" w:rsidRDefault="00000000">
            <w:pPr>
              <w:spacing w:line="240" w:lineRule="exact"/>
              <w:jc w:val="right"/>
              <w:rPr>
                <w:rFonts w:cs="宋体"/>
                <w:sz w:val="18"/>
                <w:szCs w:val="18"/>
              </w:rPr>
            </w:pPr>
            <w:r w:rsidRPr="0063248C">
              <w:rPr>
                <w:rFonts w:cs="宋体"/>
                <w:sz w:val="18"/>
                <w:szCs w:val="18"/>
              </w:rPr>
              <w:t>37,477,848.68</w:t>
            </w:r>
          </w:p>
        </w:tc>
      </w:tr>
      <w:tr w:rsidR="007B3DB2" w:rsidRPr="0063248C" w14:paraId="3E79DF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C16AEC"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722FAF15" w14:textId="77777777" w:rsidR="007B3DB2" w:rsidRPr="0063248C" w:rsidRDefault="00000000">
            <w:pPr>
              <w:spacing w:line="240" w:lineRule="exact"/>
              <w:jc w:val="right"/>
              <w:rPr>
                <w:rFonts w:cs="宋体"/>
                <w:sz w:val="18"/>
                <w:szCs w:val="18"/>
              </w:rPr>
            </w:pPr>
            <w:r w:rsidRPr="0063248C">
              <w:rPr>
                <w:rFonts w:cs="宋体"/>
                <w:sz w:val="18"/>
                <w:szCs w:val="18"/>
              </w:rPr>
              <w:t>40,307,274.52</w:t>
            </w:r>
          </w:p>
        </w:tc>
        <w:tc>
          <w:tcPr>
            <w:tcW w:w="3213" w:type="dxa"/>
            <w:tcBorders>
              <w:top w:val="single" w:sz="2" w:space="0" w:color="auto"/>
              <w:left w:val="single" w:sz="2" w:space="0" w:color="auto"/>
              <w:bottom w:val="single" w:sz="2" w:space="0" w:color="auto"/>
              <w:right w:val="single" w:sz="2" w:space="0" w:color="auto"/>
            </w:tcBorders>
            <w:vAlign w:val="center"/>
          </w:tcPr>
          <w:p w14:paraId="2A5CA02E" w14:textId="77777777" w:rsidR="007B3DB2" w:rsidRPr="0063248C" w:rsidRDefault="00000000">
            <w:pPr>
              <w:spacing w:line="240" w:lineRule="exact"/>
              <w:jc w:val="right"/>
              <w:rPr>
                <w:rFonts w:cs="宋体"/>
                <w:sz w:val="18"/>
                <w:szCs w:val="18"/>
              </w:rPr>
            </w:pPr>
            <w:r w:rsidRPr="0063248C">
              <w:rPr>
                <w:rFonts w:cs="宋体"/>
                <w:sz w:val="18"/>
                <w:szCs w:val="18"/>
              </w:rPr>
              <w:t>40,029,330.02</w:t>
            </w:r>
          </w:p>
        </w:tc>
      </w:tr>
      <w:tr w:rsidR="007B3DB2" w:rsidRPr="0063248C" w14:paraId="648B30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8996D3" w14:textId="77777777" w:rsidR="007B3DB2" w:rsidRPr="0063248C" w:rsidRDefault="00000000">
            <w:pPr>
              <w:spacing w:before="40" w:after="40" w:line="240" w:lineRule="exact"/>
              <w:ind w:firstLineChars="700" w:firstLine="1260"/>
              <w:rPr>
                <w:rFonts w:cs="宋体"/>
                <w:sz w:val="18"/>
                <w:szCs w:val="18"/>
              </w:rPr>
            </w:pPr>
            <w:r w:rsidRPr="0063248C">
              <w:rPr>
                <w:rFonts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0D6C00D6" w14:textId="77777777" w:rsidR="007B3DB2" w:rsidRPr="0063248C" w:rsidRDefault="00000000">
            <w:pPr>
              <w:spacing w:line="240" w:lineRule="exact"/>
              <w:jc w:val="right"/>
              <w:rPr>
                <w:rFonts w:cs="宋体"/>
                <w:sz w:val="18"/>
                <w:szCs w:val="18"/>
              </w:rPr>
            </w:pPr>
            <w:r w:rsidRPr="0063248C">
              <w:rPr>
                <w:rFonts w:cs="宋体"/>
                <w:sz w:val="18"/>
                <w:szCs w:val="18"/>
              </w:rPr>
              <w:t>11,062,975.88</w:t>
            </w:r>
          </w:p>
        </w:tc>
        <w:tc>
          <w:tcPr>
            <w:tcW w:w="3213" w:type="dxa"/>
            <w:tcBorders>
              <w:top w:val="single" w:sz="2" w:space="0" w:color="auto"/>
              <w:left w:val="single" w:sz="2" w:space="0" w:color="auto"/>
              <w:bottom w:val="single" w:sz="2" w:space="0" w:color="auto"/>
              <w:right w:val="single" w:sz="2" w:space="0" w:color="auto"/>
            </w:tcBorders>
            <w:vAlign w:val="center"/>
          </w:tcPr>
          <w:p w14:paraId="0368BF9A" w14:textId="77777777" w:rsidR="007B3DB2" w:rsidRPr="0063248C" w:rsidRDefault="00000000">
            <w:pPr>
              <w:spacing w:line="240" w:lineRule="exact"/>
              <w:jc w:val="right"/>
              <w:rPr>
                <w:rFonts w:cs="宋体"/>
                <w:sz w:val="18"/>
                <w:szCs w:val="18"/>
              </w:rPr>
            </w:pPr>
            <w:r w:rsidRPr="0063248C">
              <w:rPr>
                <w:rFonts w:cs="宋体"/>
                <w:sz w:val="18"/>
                <w:szCs w:val="18"/>
              </w:rPr>
              <w:t>2,949,682.12</w:t>
            </w:r>
          </w:p>
        </w:tc>
      </w:tr>
      <w:tr w:rsidR="007B3DB2" w:rsidRPr="0063248C" w14:paraId="044A0F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D8B80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7719567C" w14:textId="77777777" w:rsidR="007B3DB2" w:rsidRPr="0063248C" w:rsidRDefault="00000000">
            <w:pPr>
              <w:spacing w:line="240" w:lineRule="exact"/>
              <w:jc w:val="right"/>
              <w:rPr>
                <w:rFonts w:cs="宋体"/>
                <w:sz w:val="18"/>
                <w:szCs w:val="18"/>
              </w:rPr>
            </w:pPr>
            <w:r w:rsidRPr="0063248C">
              <w:rPr>
                <w:rFonts w:cs="宋体"/>
                <w:sz w:val="18"/>
                <w:szCs w:val="18"/>
              </w:rPr>
              <w:t>1,680,949.76</w:t>
            </w:r>
          </w:p>
        </w:tc>
        <w:tc>
          <w:tcPr>
            <w:tcW w:w="3213" w:type="dxa"/>
            <w:tcBorders>
              <w:top w:val="single" w:sz="2" w:space="0" w:color="auto"/>
              <w:left w:val="single" w:sz="2" w:space="0" w:color="auto"/>
              <w:bottom w:val="single" w:sz="2" w:space="0" w:color="auto"/>
              <w:right w:val="single" w:sz="2" w:space="0" w:color="auto"/>
            </w:tcBorders>
            <w:vAlign w:val="center"/>
          </w:tcPr>
          <w:p w14:paraId="2217C0BE" w14:textId="77777777" w:rsidR="007B3DB2" w:rsidRPr="0063248C" w:rsidRDefault="00000000">
            <w:pPr>
              <w:spacing w:line="240" w:lineRule="exact"/>
              <w:jc w:val="right"/>
              <w:rPr>
                <w:rFonts w:cs="宋体"/>
                <w:sz w:val="18"/>
                <w:szCs w:val="18"/>
              </w:rPr>
            </w:pPr>
            <w:r w:rsidRPr="0063248C">
              <w:rPr>
                <w:rFonts w:cs="宋体"/>
                <w:sz w:val="18"/>
                <w:szCs w:val="18"/>
              </w:rPr>
              <w:t>2,601,958.32</w:t>
            </w:r>
          </w:p>
        </w:tc>
      </w:tr>
      <w:tr w:rsidR="007B3DB2" w:rsidRPr="0063248C" w14:paraId="6762F9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4F7F22"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投资收益（损失以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CCCF9C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96B9CF" w14:textId="77777777" w:rsidR="007B3DB2" w:rsidRPr="0063248C" w:rsidRDefault="007B3DB2">
            <w:pPr>
              <w:spacing w:line="240" w:lineRule="exact"/>
              <w:jc w:val="right"/>
              <w:rPr>
                <w:rFonts w:cs="宋体"/>
                <w:sz w:val="18"/>
                <w:szCs w:val="18"/>
              </w:rPr>
            </w:pPr>
          </w:p>
        </w:tc>
      </w:tr>
      <w:tr w:rsidR="007B3DB2" w:rsidRPr="0063248C" w14:paraId="23DC31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054358"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73F569A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E2E79D" w14:textId="77777777" w:rsidR="007B3DB2" w:rsidRPr="0063248C" w:rsidRDefault="007B3DB2">
            <w:pPr>
              <w:spacing w:line="240" w:lineRule="exact"/>
              <w:jc w:val="right"/>
              <w:rPr>
                <w:rFonts w:cs="宋体"/>
                <w:sz w:val="18"/>
                <w:szCs w:val="18"/>
              </w:rPr>
            </w:pPr>
          </w:p>
        </w:tc>
      </w:tr>
      <w:tr w:rsidR="007B3DB2" w:rsidRPr="0063248C" w14:paraId="588D3E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63CF92" w14:textId="77777777" w:rsidR="007B3DB2" w:rsidRPr="0063248C" w:rsidRDefault="00000000">
            <w:pPr>
              <w:spacing w:before="40" w:after="40" w:line="240" w:lineRule="exact"/>
              <w:ind w:firstLineChars="700" w:firstLine="1260"/>
              <w:rPr>
                <w:rFonts w:cs="宋体"/>
                <w:sz w:val="18"/>
                <w:szCs w:val="18"/>
              </w:rPr>
            </w:pPr>
            <w:r w:rsidRPr="0063248C">
              <w:rPr>
                <w:rFonts w:cs="宋体"/>
                <w:sz w:val="18"/>
                <w:szCs w:val="18"/>
              </w:rPr>
              <w:t>以摊</w:t>
            </w:r>
            <w:proofErr w:type="gramStart"/>
            <w:r w:rsidRPr="0063248C">
              <w:rPr>
                <w:rFonts w:cs="宋体"/>
                <w:sz w:val="18"/>
                <w:szCs w:val="18"/>
              </w:rPr>
              <w:t>余成本</w:t>
            </w:r>
            <w:proofErr w:type="gramEnd"/>
            <w:r w:rsidRPr="0063248C">
              <w:rPr>
                <w:rFonts w:cs="宋体"/>
                <w:sz w:val="18"/>
                <w:szCs w:val="18"/>
              </w:rPr>
              <w:t>计量的金融资产终止确认收益（损失以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D1EE63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736F9A" w14:textId="77777777" w:rsidR="007B3DB2" w:rsidRPr="0063248C" w:rsidRDefault="007B3DB2">
            <w:pPr>
              <w:spacing w:line="240" w:lineRule="exact"/>
              <w:jc w:val="right"/>
              <w:rPr>
                <w:rFonts w:cs="宋体"/>
                <w:sz w:val="18"/>
                <w:szCs w:val="18"/>
              </w:rPr>
            </w:pPr>
          </w:p>
        </w:tc>
      </w:tr>
      <w:tr w:rsidR="007B3DB2" w:rsidRPr="0063248C" w14:paraId="5CBF83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AAB450"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净敞口套期收益（损失以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8D43AC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DEC1D9" w14:textId="77777777" w:rsidR="007B3DB2" w:rsidRPr="0063248C" w:rsidRDefault="007B3DB2">
            <w:pPr>
              <w:spacing w:line="240" w:lineRule="exact"/>
              <w:jc w:val="right"/>
              <w:rPr>
                <w:rFonts w:cs="宋体"/>
                <w:sz w:val="18"/>
                <w:szCs w:val="18"/>
              </w:rPr>
            </w:pPr>
          </w:p>
        </w:tc>
      </w:tr>
      <w:tr w:rsidR="007B3DB2" w:rsidRPr="0063248C" w14:paraId="0041F8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2339B5"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公允价值变动收益（损失以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469A78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4D9B0D" w14:textId="77777777" w:rsidR="007B3DB2" w:rsidRPr="0063248C" w:rsidRDefault="007B3DB2">
            <w:pPr>
              <w:spacing w:line="240" w:lineRule="exact"/>
              <w:jc w:val="right"/>
              <w:rPr>
                <w:rFonts w:cs="宋体"/>
                <w:sz w:val="18"/>
                <w:szCs w:val="18"/>
              </w:rPr>
            </w:pPr>
          </w:p>
        </w:tc>
      </w:tr>
      <w:tr w:rsidR="007B3DB2" w:rsidRPr="0063248C" w14:paraId="0D84CD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E6F181"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信用减值损失（损失以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FCBEC1C" w14:textId="77777777" w:rsidR="007B3DB2" w:rsidRPr="0063248C" w:rsidRDefault="00000000">
            <w:pPr>
              <w:spacing w:line="240" w:lineRule="exact"/>
              <w:jc w:val="right"/>
              <w:rPr>
                <w:rFonts w:cs="宋体"/>
                <w:sz w:val="18"/>
                <w:szCs w:val="18"/>
              </w:rPr>
            </w:pPr>
            <w:r w:rsidRPr="0063248C">
              <w:rPr>
                <w:rFonts w:cs="宋体"/>
                <w:sz w:val="18"/>
                <w:szCs w:val="18"/>
              </w:rPr>
              <w:t>35,846,869.26</w:t>
            </w:r>
          </w:p>
        </w:tc>
        <w:tc>
          <w:tcPr>
            <w:tcW w:w="3213" w:type="dxa"/>
            <w:tcBorders>
              <w:top w:val="single" w:sz="2" w:space="0" w:color="auto"/>
              <w:left w:val="single" w:sz="2" w:space="0" w:color="auto"/>
              <w:bottom w:val="single" w:sz="2" w:space="0" w:color="auto"/>
              <w:right w:val="single" w:sz="2" w:space="0" w:color="auto"/>
            </w:tcBorders>
            <w:vAlign w:val="center"/>
          </w:tcPr>
          <w:p w14:paraId="6D2DB4FA" w14:textId="77777777" w:rsidR="007B3DB2" w:rsidRPr="0063248C" w:rsidRDefault="00000000">
            <w:pPr>
              <w:spacing w:line="240" w:lineRule="exact"/>
              <w:jc w:val="right"/>
              <w:rPr>
                <w:rFonts w:cs="宋体"/>
                <w:sz w:val="18"/>
                <w:szCs w:val="18"/>
              </w:rPr>
            </w:pPr>
            <w:r w:rsidRPr="0063248C">
              <w:rPr>
                <w:rFonts w:cs="宋体"/>
                <w:sz w:val="18"/>
                <w:szCs w:val="18"/>
              </w:rPr>
              <w:t>3,990,001.37</w:t>
            </w:r>
          </w:p>
        </w:tc>
      </w:tr>
      <w:tr w:rsidR="007B3DB2" w:rsidRPr="0063248C" w14:paraId="6F33F1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D0BE00"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资产减值损失（损失以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515E827" w14:textId="77777777" w:rsidR="007B3DB2" w:rsidRPr="0063248C" w:rsidRDefault="00000000">
            <w:pPr>
              <w:spacing w:line="240" w:lineRule="exact"/>
              <w:jc w:val="right"/>
              <w:rPr>
                <w:rFonts w:cs="宋体"/>
                <w:sz w:val="18"/>
                <w:szCs w:val="18"/>
              </w:rPr>
            </w:pPr>
            <w:r w:rsidRPr="0063248C">
              <w:rPr>
                <w:rFonts w:cs="宋体"/>
                <w:sz w:val="18"/>
                <w:szCs w:val="18"/>
              </w:rPr>
              <w:t>744,475.08</w:t>
            </w:r>
          </w:p>
        </w:tc>
        <w:tc>
          <w:tcPr>
            <w:tcW w:w="3213" w:type="dxa"/>
            <w:tcBorders>
              <w:top w:val="single" w:sz="2" w:space="0" w:color="auto"/>
              <w:left w:val="single" w:sz="2" w:space="0" w:color="auto"/>
              <w:bottom w:val="single" w:sz="2" w:space="0" w:color="auto"/>
              <w:right w:val="single" w:sz="2" w:space="0" w:color="auto"/>
            </w:tcBorders>
            <w:vAlign w:val="center"/>
          </w:tcPr>
          <w:p w14:paraId="64781E6C" w14:textId="77777777" w:rsidR="007B3DB2" w:rsidRPr="0063248C" w:rsidRDefault="00000000">
            <w:pPr>
              <w:spacing w:line="240" w:lineRule="exact"/>
              <w:jc w:val="right"/>
              <w:rPr>
                <w:rFonts w:cs="宋体"/>
                <w:sz w:val="18"/>
                <w:szCs w:val="18"/>
              </w:rPr>
            </w:pPr>
            <w:r w:rsidRPr="0063248C">
              <w:rPr>
                <w:rFonts w:cs="宋体"/>
                <w:sz w:val="18"/>
                <w:szCs w:val="18"/>
              </w:rPr>
              <w:t>-32,304,710.66</w:t>
            </w:r>
          </w:p>
        </w:tc>
      </w:tr>
      <w:tr w:rsidR="007B3DB2" w:rsidRPr="0063248C" w14:paraId="6427BC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C9392E"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资产处置收益（损失以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0A35A13" w14:textId="77777777" w:rsidR="007B3DB2" w:rsidRPr="0063248C" w:rsidRDefault="00000000">
            <w:pPr>
              <w:spacing w:line="240" w:lineRule="exact"/>
              <w:jc w:val="right"/>
              <w:rPr>
                <w:rFonts w:cs="宋体"/>
                <w:sz w:val="18"/>
                <w:szCs w:val="18"/>
              </w:rPr>
            </w:pPr>
            <w:r w:rsidRPr="0063248C">
              <w:rPr>
                <w:rFonts w:cs="宋体"/>
                <w:sz w:val="18"/>
                <w:szCs w:val="18"/>
              </w:rPr>
              <w:t>275,381.13</w:t>
            </w:r>
          </w:p>
        </w:tc>
        <w:tc>
          <w:tcPr>
            <w:tcW w:w="3213" w:type="dxa"/>
            <w:tcBorders>
              <w:top w:val="single" w:sz="2" w:space="0" w:color="auto"/>
              <w:left w:val="single" w:sz="2" w:space="0" w:color="auto"/>
              <w:bottom w:val="single" w:sz="2" w:space="0" w:color="auto"/>
              <w:right w:val="single" w:sz="2" w:space="0" w:color="auto"/>
            </w:tcBorders>
            <w:vAlign w:val="center"/>
          </w:tcPr>
          <w:p w14:paraId="75C365DD" w14:textId="77777777" w:rsidR="007B3DB2" w:rsidRPr="0063248C" w:rsidRDefault="00000000">
            <w:pPr>
              <w:spacing w:line="240" w:lineRule="exact"/>
              <w:jc w:val="right"/>
              <w:rPr>
                <w:rFonts w:cs="宋体"/>
                <w:sz w:val="18"/>
                <w:szCs w:val="18"/>
              </w:rPr>
            </w:pPr>
            <w:r w:rsidRPr="0063248C">
              <w:rPr>
                <w:rFonts w:cs="宋体"/>
                <w:sz w:val="18"/>
                <w:szCs w:val="18"/>
              </w:rPr>
              <w:t>37,682.96</w:t>
            </w:r>
          </w:p>
        </w:tc>
      </w:tr>
      <w:tr w:rsidR="007B3DB2" w:rsidRPr="0063248C" w14:paraId="59A9FCC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81207D" w14:textId="77777777" w:rsidR="007B3DB2" w:rsidRPr="0063248C" w:rsidRDefault="00000000">
            <w:pPr>
              <w:spacing w:before="40" w:after="40" w:line="240" w:lineRule="exact"/>
              <w:rPr>
                <w:rFonts w:cs="宋体"/>
                <w:sz w:val="18"/>
                <w:szCs w:val="18"/>
              </w:rPr>
            </w:pPr>
            <w:r w:rsidRPr="0063248C">
              <w:rPr>
                <w:rFonts w:cs="宋体"/>
                <w:sz w:val="18"/>
                <w:szCs w:val="18"/>
              </w:rPr>
              <w:t>二、营业利润（亏损以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BC83639" w14:textId="77777777" w:rsidR="007B3DB2" w:rsidRPr="0063248C" w:rsidRDefault="00000000">
            <w:pPr>
              <w:spacing w:line="240" w:lineRule="exact"/>
              <w:jc w:val="right"/>
              <w:rPr>
                <w:rFonts w:cs="宋体"/>
                <w:sz w:val="18"/>
                <w:szCs w:val="18"/>
              </w:rPr>
            </w:pPr>
            <w:r w:rsidRPr="0063248C">
              <w:rPr>
                <w:rFonts w:cs="宋体"/>
                <w:sz w:val="18"/>
                <w:szCs w:val="18"/>
              </w:rPr>
              <w:t>18,033,807.88</w:t>
            </w:r>
          </w:p>
        </w:tc>
        <w:tc>
          <w:tcPr>
            <w:tcW w:w="3213" w:type="dxa"/>
            <w:tcBorders>
              <w:top w:val="single" w:sz="2" w:space="0" w:color="auto"/>
              <w:left w:val="single" w:sz="2" w:space="0" w:color="auto"/>
              <w:bottom w:val="single" w:sz="2" w:space="0" w:color="auto"/>
              <w:right w:val="single" w:sz="2" w:space="0" w:color="auto"/>
            </w:tcBorders>
            <w:vAlign w:val="center"/>
          </w:tcPr>
          <w:p w14:paraId="7AD5083D" w14:textId="77777777" w:rsidR="007B3DB2" w:rsidRPr="0063248C" w:rsidRDefault="00000000">
            <w:pPr>
              <w:spacing w:line="240" w:lineRule="exact"/>
              <w:jc w:val="right"/>
              <w:rPr>
                <w:rFonts w:cs="宋体"/>
                <w:sz w:val="18"/>
                <w:szCs w:val="18"/>
              </w:rPr>
            </w:pPr>
            <w:r w:rsidRPr="0063248C">
              <w:rPr>
                <w:rFonts w:cs="宋体"/>
                <w:sz w:val="18"/>
                <w:szCs w:val="18"/>
              </w:rPr>
              <w:t>-72,074,624.28</w:t>
            </w:r>
          </w:p>
        </w:tc>
      </w:tr>
      <w:tr w:rsidR="007B3DB2" w:rsidRPr="0063248C" w14:paraId="51DF25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53386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38A8C182" w14:textId="77777777" w:rsidR="007B3DB2" w:rsidRPr="0063248C" w:rsidRDefault="00000000">
            <w:pPr>
              <w:spacing w:line="240" w:lineRule="exact"/>
              <w:jc w:val="right"/>
              <w:rPr>
                <w:rFonts w:cs="宋体"/>
                <w:sz w:val="18"/>
                <w:szCs w:val="18"/>
              </w:rPr>
            </w:pPr>
            <w:r w:rsidRPr="0063248C">
              <w:rPr>
                <w:rFonts w:cs="宋体"/>
                <w:sz w:val="18"/>
                <w:szCs w:val="18"/>
              </w:rPr>
              <w:t>1,138,197.21</w:t>
            </w:r>
          </w:p>
        </w:tc>
        <w:tc>
          <w:tcPr>
            <w:tcW w:w="3213" w:type="dxa"/>
            <w:tcBorders>
              <w:top w:val="single" w:sz="2" w:space="0" w:color="auto"/>
              <w:left w:val="single" w:sz="2" w:space="0" w:color="auto"/>
              <w:bottom w:val="single" w:sz="2" w:space="0" w:color="auto"/>
              <w:right w:val="single" w:sz="2" w:space="0" w:color="auto"/>
            </w:tcBorders>
            <w:vAlign w:val="center"/>
          </w:tcPr>
          <w:p w14:paraId="3D146122" w14:textId="77777777" w:rsidR="007B3DB2" w:rsidRPr="0063248C" w:rsidRDefault="00000000">
            <w:pPr>
              <w:spacing w:line="240" w:lineRule="exact"/>
              <w:jc w:val="right"/>
              <w:rPr>
                <w:rFonts w:cs="宋体"/>
                <w:sz w:val="18"/>
                <w:szCs w:val="18"/>
              </w:rPr>
            </w:pPr>
            <w:r w:rsidRPr="0063248C">
              <w:rPr>
                <w:rFonts w:cs="宋体"/>
                <w:sz w:val="18"/>
                <w:szCs w:val="18"/>
              </w:rPr>
              <w:t>924,029.42</w:t>
            </w:r>
          </w:p>
        </w:tc>
      </w:tr>
      <w:tr w:rsidR="007B3DB2" w:rsidRPr="0063248C" w14:paraId="5B5AB9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9E2DE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6754F01B" w14:textId="77777777" w:rsidR="007B3DB2" w:rsidRPr="0063248C" w:rsidRDefault="00000000">
            <w:pPr>
              <w:spacing w:line="240" w:lineRule="exact"/>
              <w:jc w:val="right"/>
              <w:rPr>
                <w:rFonts w:cs="宋体"/>
                <w:sz w:val="18"/>
                <w:szCs w:val="18"/>
              </w:rPr>
            </w:pPr>
            <w:r w:rsidRPr="0063248C">
              <w:rPr>
                <w:rFonts w:cs="宋体"/>
                <w:sz w:val="18"/>
                <w:szCs w:val="18"/>
              </w:rPr>
              <w:t>715,416.02</w:t>
            </w:r>
          </w:p>
        </w:tc>
        <w:tc>
          <w:tcPr>
            <w:tcW w:w="3213" w:type="dxa"/>
            <w:tcBorders>
              <w:top w:val="single" w:sz="2" w:space="0" w:color="auto"/>
              <w:left w:val="single" w:sz="2" w:space="0" w:color="auto"/>
              <w:bottom w:val="single" w:sz="2" w:space="0" w:color="auto"/>
              <w:right w:val="single" w:sz="2" w:space="0" w:color="auto"/>
            </w:tcBorders>
            <w:vAlign w:val="center"/>
          </w:tcPr>
          <w:p w14:paraId="408C2455" w14:textId="77777777" w:rsidR="007B3DB2" w:rsidRPr="0063248C" w:rsidRDefault="00000000">
            <w:pPr>
              <w:spacing w:line="240" w:lineRule="exact"/>
              <w:jc w:val="right"/>
              <w:rPr>
                <w:rFonts w:cs="宋体"/>
                <w:sz w:val="18"/>
                <w:szCs w:val="18"/>
              </w:rPr>
            </w:pPr>
            <w:r w:rsidRPr="0063248C">
              <w:rPr>
                <w:rFonts w:cs="宋体"/>
                <w:sz w:val="18"/>
                <w:szCs w:val="18"/>
              </w:rPr>
              <w:t>1,389,880.50</w:t>
            </w:r>
          </w:p>
        </w:tc>
      </w:tr>
      <w:tr w:rsidR="007B3DB2" w:rsidRPr="0063248C" w14:paraId="4A1121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902CC8" w14:textId="77777777" w:rsidR="007B3DB2" w:rsidRPr="0063248C" w:rsidRDefault="00000000">
            <w:pPr>
              <w:spacing w:before="40" w:after="40" w:line="240" w:lineRule="exact"/>
              <w:rPr>
                <w:rFonts w:cs="宋体"/>
                <w:sz w:val="18"/>
                <w:szCs w:val="18"/>
              </w:rPr>
            </w:pPr>
            <w:r w:rsidRPr="0063248C">
              <w:rPr>
                <w:rFonts w:cs="宋体"/>
                <w:sz w:val="18"/>
                <w:szCs w:val="18"/>
              </w:rPr>
              <w:t>三、利润总额（亏损总额以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012BF96" w14:textId="77777777" w:rsidR="007B3DB2" w:rsidRPr="0063248C" w:rsidRDefault="00000000">
            <w:pPr>
              <w:spacing w:line="240" w:lineRule="exact"/>
              <w:jc w:val="right"/>
              <w:rPr>
                <w:rFonts w:cs="宋体"/>
                <w:sz w:val="18"/>
                <w:szCs w:val="18"/>
              </w:rPr>
            </w:pPr>
            <w:r w:rsidRPr="0063248C">
              <w:rPr>
                <w:rFonts w:cs="宋体"/>
                <w:sz w:val="18"/>
                <w:szCs w:val="18"/>
              </w:rPr>
              <w:t>18,456,589.07</w:t>
            </w:r>
          </w:p>
        </w:tc>
        <w:tc>
          <w:tcPr>
            <w:tcW w:w="3213" w:type="dxa"/>
            <w:tcBorders>
              <w:top w:val="single" w:sz="2" w:space="0" w:color="auto"/>
              <w:left w:val="single" w:sz="2" w:space="0" w:color="auto"/>
              <w:bottom w:val="single" w:sz="2" w:space="0" w:color="auto"/>
              <w:right w:val="single" w:sz="2" w:space="0" w:color="auto"/>
            </w:tcBorders>
            <w:vAlign w:val="center"/>
          </w:tcPr>
          <w:p w14:paraId="5A4CA98B" w14:textId="77777777" w:rsidR="007B3DB2" w:rsidRPr="0063248C" w:rsidRDefault="00000000">
            <w:pPr>
              <w:spacing w:line="240" w:lineRule="exact"/>
              <w:jc w:val="right"/>
              <w:rPr>
                <w:rFonts w:cs="宋体"/>
                <w:sz w:val="18"/>
                <w:szCs w:val="18"/>
              </w:rPr>
            </w:pPr>
            <w:r w:rsidRPr="0063248C">
              <w:rPr>
                <w:rFonts w:cs="宋体"/>
                <w:sz w:val="18"/>
                <w:szCs w:val="18"/>
              </w:rPr>
              <w:t>-72,540,475.36</w:t>
            </w:r>
          </w:p>
        </w:tc>
      </w:tr>
      <w:tr w:rsidR="007B3DB2" w:rsidRPr="0063248C" w14:paraId="744A03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3923BC"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411C92F4" w14:textId="77777777" w:rsidR="007B3DB2" w:rsidRPr="0063248C" w:rsidRDefault="00000000">
            <w:pPr>
              <w:spacing w:line="240" w:lineRule="exact"/>
              <w:jc w:val="right"/>
              <w:rPr>
                <w:rFonts w:cs="宋体"/>
                <w:sz w:val="18"/>
                <w:szCs w:val="18"/>
              </w:rPr>
            </w:pPr>
            <w:r w:rsidRPr="0063248C">
              <w:rPr>
                <w:rFonts w:cs="宋体"/>
                <w:sz w:val="18"/>
                <w:szCs w:val="18"/>
              </w:rPr>
              <w:t>3,822,129.70</w:t>
            </w:r>
          </w:p>
        </w:tc>
        <w:tc>
          <w:tcPr>
            <w:tcW w:w="3213" w:type="dxa"/>
            <w:tcBorders>
              <w:top w:val="single" w:sz="2" w:space="0" w:color="auto"/>
              <w:left w:val="single" w:sz="2" w:space="0" w:color="auto"/>
              <w:bottom w:val="single" w:sz="2" w:space="0" w:color="auto"/>
              <w:right w:val="single" w:sz="2" w:space="0" w:color="auto"/>
            </w:tcBorders>
            <w:vAlign w:val="center"/>
          </w:tcPr>
          <w:p w14:paraId="003E6234" w14:textId="77777777" w:rsidR="007B3DB2" w:rsidRPr="0063248C" w:rsidRDefault="00000000">
            <w:pPr>
              <w:spacing w:line="240" w:lineRule="exact"/>
              <w:jc w:val="right"/>
              <w:rPr>
                <w:rFonts w:cs="宋体"/>
                <w:sz w:val="18"/>
                <w:szCs w:val="18"/>
              </w:rPr>
            </w:pPr>
            <w:r w:rsidRPr="0063248C">
              <w:rPr>
                <w:rFonts w:cs="宋体"/>
                <w:sz w:val="18"/>
                <w:szCs w:val="18"/>
              </w:rPr>
              <w:t>-2,225,956.67</w:t>
            </w:r>
          </w:p>
        </w:tc>
      </w:tr>
      <w:tr w:rsidR="007B3DB2" w:rsidRPr="0063248C" w14:paraId="7CF02E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84E320" w14:textId="77777777" w:rsidR="007B3DB2" w:rsidRPr="0063248C" w:rsidRDefault="00000000">
            <w:pPr>
              <w:spacing w:line="240" w:lineRule="exact"/>
              <w:rPr>
                <w:rFonts w:cs="宋体"/>
                <w:sz w:val="18"/>
                <w:szCs w:val="18"/>
              </w:rPr>
            </w:pPr>
            <w:r w:rsidRPr="0063248C">
              <w:rPr>
                <w:rFonts w:cs="宋体"/>
                <w:sz w:val="18"/>
                <w:szCs w:val="18"/>
              </w:rPr>
              <w:t>四、净利润（净亏损以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30A36FD" w14:textId="77777777" w:rsidR="007B3DB2" w:rsidRPr="0063248C" w:rsidRDefault="00000000">
            <w:pPr>
              <w:spacing w:line="240" w:lineRule="exact"/>
              <w:jc w:val="right"/>
              <w:rPr>
                <w:rFonts w:cs="宋体"/>
                <w:sz w:val="18"/>
                <w:szCs w:val="18"/>
              </w:rPr>
            </w:pPr>
            <w:r w:rsidRPr="0063248C">
              <w:rPr>
                <w:rFonts w:cs="宋体"/>
                <w:sz w:val="18"/>
                <w:szCs w:val="18"/>
              </w:rPr>
              <w:t>14,634,459.37</w:t>
            </w:r>
          </w:p>
        </w:tc>
        <w:tc>
          <w:tcPr>
            <w:tcW w:w="3213" w:type="dxa"/>
            <w:tcBorders>
              <w:top w:val="single" w:sz="2" w:space="0" w:color="auto"/>
              <w:left w:val="single" w:sz="2" w:space="0" w:color="auto"/>
              <w:bottom w:val="single" w:sz="2" w:space="0" w:color="auto"/>
              <w:right w:val="single" w:sz="2" w:space="0" w:color="auto"/>
            </w:tcBorders>
            <w:vAlign w:val="center"/>
          </w:tcPr>
          <w:p w14:paraId="79EC651E" w14:textId="77777777" w:rsidR="007B3DB2" w:rsidRPr="0063248C" w:rsidRDefault="00000000">
            <w:pPr>
              <w:spacing w:line="240" w:lineRule="exact"/>
              <w:jc w:val="right"/>
              <w:rPr>
                <w:rFonts w:cs="宋体"/>
                <w:sz w:val="18"/>
                <w:szCs w:val="18"/>
              </w:rPr>
            </w:pPr>
            <w:r w:rsidRPr="0063248C">
              <w:rPr>
                <w:rFonts w:cs="宋体"/>
                <w:sz w:val="18"/>
                <w:szCs w:val="18"/>
              </w:rPr>
              <w:t>-70,314,518.69</w:t>
            </w:r>
          </w:p>
        </w:tc>
      </w:tr>
      <w:tr w:rsidR="007B3DB2" w:rsidRPr="0063248C" w14:paraId="3107F0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38A9C8"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（一）持续经营净利润（净亏损以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9D61D6D" w14:textId="77777777" w:rsidR="007B3DB2" w:rsidRPr="0063248C" w:rsidRDefault="00000000">
            <w:pPr>
              <w:spacing w:line="240" w:lineRule="exact"/>
              <w:jc w:val="right"/>
              <w:rPr>
                <w:rFonts w:cs="宋体"/>
                <w:sz w:val="18"/>
                <w:szCs w:val="18"/>
              </w:rPr>
            </w:pPr>
            <w:r w:rsidRPr="0063248C">
              <w:rPr>
                <w:rFonts w:cs="宋体"/>
                <w:sz w:val="18"/>
                <w:szCs w:val="18"/>
              </w:rPr>
              <w:t>14,634,459.37</w:t>
            </w:r>
          </w:p>
        </w:tc>
        <w:tc>
          <w:tcPr>
            <w:tcW w:w="3213" w:type="dxa"/>
            <w:tcBorders>
              <w:top w:val="single" w:sz="2" w:space="0" w:color="auto"/>
              <w:left w:val="single" w:sz="2" w:space="0" w:color="auto"/>
              <w:bottom w:val="single" w:sz="2" w:space="0" w:color="auto"/>
              <w:right w:val="single" w:sz="2" w:space="0" w:color="auto"/>
            </w:tcBorders>
            <w:vAlign w:val="center"/>
          </w:tcPr>
          <w:p w14:paraId="763381D0" w14:textId="77777777" w:rsidR="007B3DB2" w:rsidRPr="0063248C" w:rsidRDefault="00000000">
            <w:pPr>
              <w:spacing w:line="240" w:lineRule="exact"/>
              <w:jc w:val="right"/>
              <w:rPr>
                <w:rFonts w:cs="宋体"/>
                <w:sz w:val="18"/>
                <w:szCs w:val="18"/>
              </w:rPr>
            </w:pPr>
            <w:r w:rsidRPr="0063248C">
              <w:rPr>
                <w:rFonts w:cs="宋体"/>
                <w:sz w:val="18"/>
                <w:szCs w:val="18"/>
              </w:rPr>
              <w:t>-70,314,518.69</w:t>
            </w:r>
          </w:p>
        </w:tc>
      </w:tr>
      <w:tr w:rsidR="007B3DB2" w:rsidRPr="0063248C" w14:paraId="6AE7BE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A78298"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（二）终止经营净利润（净亏损以</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D49D1D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041007" w14:textId="77777777" w:rsidR="007B3DB2" w:rsidRPr="0063248C" w:rsidRDefault="007B3DB2">
            <w:pPr>
              <w:spacing w:line="240" w:lineRule="exact"/>
              <w:jc w:val="right"/>
              <w:rPr>
                <w:rFonts w:cs="宋体"/>
                <w:sz w:val="18"/>
                <w:szCs w:val="18"/>
              </w:rPr>
            </w:pPr>
          </w:p>
        </w:tc>
      </w:tr>
      <w:tr w:rsidR="007B3DB2" w:rsidRPr="0063248C" w14:paraId="5D05F4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7791D3" w14:textId="77777777" w:rsidR="007B3DB2" w:rsidRPr="0063248C" w:rsidRDefault="00000000">
            <w:pPr>
              <w:spacing w:line="240" w:lineRule="exact"/>
              <w:rPr>
                <w:rFonts w:cs="宋体"/>
                <w:sz w:val="18"/>
                <w:szCs w:val="18"/>
              </w:rPr>
            </w:pPr>
            <w:r w:rsidRPr="0063248C">
              <w:rPr>
                <w:rFonts w:cs="宋体"/>
                <w:sz w:val="18"/>
                <w:szCs w:val="18"/>
              </w:rPr>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21221E9A"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FCB058" w14:textId="77777777" w:rsidR="007B3DB2" w:rsidRPr="0063248C" w:rsidRDefault="007B3DB2">
            <w:pPr>
              <w:spacing w:line="240" w:lineRule="exact"/>
              <w:jc w:val="right"/>
              <w:rPr>
                <w:rFonts w:cs="宋体"/>
                <w:sz w:val="18"/>
                <w:szCs w:val="18"/>
              </w:rPr>
            </w:pPr>
          </w:p>
        </w:tc>
      </w:tr>
      <w:tr w:rsidR="007B3DB2" w:rsidRPr="0063248C" w14:paraId="4DA003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8F9468" w14:textId="77777777" w:rsidR="007B3DB2" w:rsidRPr="0063248C" w:rsidRDefault="00000000">
            <w:pPr>
              <w:spacing w:line="240" w:lineRule="exact"/>
              <w:ind w:firstLineChars="200" w:firstLine="360"/>
              <w:rPr>
                <w:rFonts w:cs="宋体"/>
                <w:sz w:val="18"/>
                <w:szCs w:val="18"/>
              </w:rPr>
            </w:pPr>
            <w:r w:rsidRPr="0063248C">
              <w:rPr>
                <w:rFonts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473D369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652743" w14:textId="77777777" w:rsidR="007B3DB2" w:rsidRPr="0063248C" w:rsidRDefault="007B3DB2">
            <w:pPr>
              <w:spacing w:line="240" w:lineRule="exact"/>
              <w:jc w:val="right"/>
              <w:rPr>
                <w:rFonts w:cs="宋体"/>
                <w:sz w:val="18"/>
                <w:szCs w:val="18"/>
              </w:rPr>
            </w:pPr>
          </w:p>
        </w:tc>
      </w:tr>
      <w:tr w:rsidR="007B3DB2" w:rsidRPr="0063248C" w14:paraId="1B9748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ACFDD2"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1.</w:t>
            </w:r>
            <w:r w:rsidRPr="0063248C">
              <w:rPr>
                <w:rFonts w:cs="宋体"/>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1D92134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F9F777" w14:textId="77777777" w:rsidR="007B3DB2" w:rsidRPr="0063248C" w:rsidRDefault="007B3DB2">
            <w:pPr>
              <w:spacing w:line="240" w:lineRule="exact"/>
              <w:jc w:val="right"/>
              <w:rPr>
                <w:rFonts w:cs="宋体"/>
                <w:sz w:val="18"/>
                <w:szCs w:val="18"/>
              </w:rPr>
            </w:pPr>
          </w:p>
        </w:tc>
      </w:tr>
      <w:tr w:rsidR="007B3DB2" w:rsidRPr="0063248C" w14:paraId="1C2B4C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D67F60"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2.</w:t>
            </w:r>
            <w:r w:rsidRPr="0063248C">
              <w:rPr>
                <w:rFonts w:cs="宋体"/>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0E14B5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13E454" w14:textId="77777777" w:rsidR="007B3DB2" w:rsidRPr="0063248C" w:rsidRDefault="007B3DB2">
            <w:pPr>
              <w:spacing w:line="240" w:lineRule="exact"/>
              <w:jc w:val="right"/>
              <w:rPr>
                <w:rFonts w:cs="宋体"/>
                <w:sz w:val="18"/>
                <w:szCs w:val="18"/>
              </w:rPr>
            </w:pPr>
          </w:p>
        </w:tc>
      </w:tr>
      <w:tr w:rsidR="007B3DB2" w:rsidRPr="0063248C" w14:paraId="07A0E7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1ADB06"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3.</w:t>
            </w:r>
            <w:r w:rsidRPr="0063248C">
              <w:rPr>
                <w:rFonts w:cs="宋体"/>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55513FB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06DEDF" w14:textId="77777777" w:rsidR="007B3DB2" w:rsidRPr="0063248C" w:rsidRDefault="007B3DB2">
            <w:pPr>
              <w:spacing w:line="240" w:lineRule="exact"/>
              <w:jc w:val="right"/>
              <w:rPr>
                <w:rFonts w:cs="宋体"/>
                <w:sz w:val="18"/>
                <w:szCs w:val="18"/>
              </w:rPr>
            </w:pPr>
          </w:p>
        </w:tc>
      </w:tr>
      <w:tr w:rsidR="007B3DB2" w:rsidRPr="0063248C" w14:paraId="0607B0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CEC555"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4.</w:t>
            </w:r>
            <w:r w:rsidRPr="0063248C">
              <w:rPr>
                <w:rFonts w:cs="宋体"/>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11753582"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9277B8" w14:textId="77777777" w:rsidR="007B3DB2" w:rsidRPr="0063248C" w:rsidRDefault="007B3DB2">
            <w:pPr>
              <w:spacing w:line="240" w:lineRule="exact"/>
              <w:jc w:val="right"/>
              <w:rPr>
                <w:rFonts w:cs="宋体"/>
                <w:sz w:val="18"/>
                <w:szCs w:val="18"/>
              </w:rPr>
            </w:pPr>
          </w:p>
        </w:tc>
      </w:tr>
      <w:tr w:rsidR="007B3DB2" w:rsidRPr="0063248C" w14:paraId="4A0E65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006780"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5.</w:t>
            </w:r>
            <w:r w:rsidRPr="0063248C">
              <w:rPr>
                <w:rFonts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5A8F8FC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8CF135" w14:textId="77777777" w:rsidR="007B3DB2" w:rsidRPr="0063248C" w:rsidRDefault="007B3DB2">
            <w:pPr>
              <w:spacing w:line="240" w:lineRule="exact"/>
              <w:jc w:val="right"/>
              <w:rPr>
                <w:rFonts w:cs="宋体"/>
                <w:sz w:val="18"/>
                <w:szCs w:val="18"/>
              </w:rPr>
            </w:pPr>
          </w:p>
        </w:tc>
      </w:tr>
      <w:tr w:rsidR="007B3DB2" w:rsidRPr="0063248C" w14:paraId="4CF279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58EB3E" w14:textId="77777777" w:rsidR="007B3DB2" w:rsidRPr="0063248C" w:rsidRDefault="00000000">
            <w:pPr>
              <w:spacing w:line="240" w:lineRule="exact"/>
              <w:ind w:firstLineChars="200" w:firstLine="360"/>
              <w:rPr>
                <w:rFonts w:cs="宋体"/>
                <w:sz w:val="18"/>
                <w:szCs w:val="18"/>
              </w:rPr>
            </w:pPr>
            <w:r w:rsidRPr="0063248C">
              <w:rPr>
                <w:rFonts w:cs="宋体"/>
                <w:sz w:val="18"/>
                <w:szCs w:val="18"/>
              </w:rPr>
              <w:t>（二）将重分类进损益的其他综</w:t>
            </w:r>
            <w:r w:rsidRPr="0063248C">
              <w:rPr>
                <w:rFonts w:cs="宋体"/>
                <w:sz w:val="18"/>
                <w:szCs w:val="18"/>
              </w:rPr>
              <w:lastRenderedPageBreak/>
              <w:t>合收益</w:t>
            </w:r>
          </w:p>
        </w:tc>
        <w:tc>
          <w:tcPr>
            <w:tcW w:w="3213" w:type="dxa"/>
            <w:tcBorders>
              <w:top w:val="single" w:sz="2" w:space="0" w:color="auto"/>
              <w:left w:val="single" w:sz="2" w:space="0" w:color="auto"/>
              <w:bottom w:val="single" w:sz="2" w:space="0" w:color="auto"/>
              <w:right w:val="single" w:sz="2" w:space="0" w:color="auto"/>
            </w:tcBorders>
            <w:vAlign w:val="center"/>
          </w:tcPr>
          <w:p w14:paraId="5F457A2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6BC85E" w14:textId="77777777" w:rsidR="007B3DB2" w:rsidRPr="0063248C" w:rsidRDefault="007B3DB2">
            <w:pPr>
              <w:spacing w:line="240" w:lineRule="exact"/>
              <w:jc w:val="right"/>
              <w:rPr>
                <w:rFonts w:cs="宋体"/>
                <w:sz w:val="18"/>
                <w:szCs w:val="18"/>
              </w:rPr>
            </w:pPr>
          </w:p>
        </w:tc>
      </w:tr>
      <w:tr w:rsidR="007B3DB2" w:rsidRPr="0063248C" w14:paraId="2CB119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25EB7B"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1.</w:t>
            </w:r>
            <w:r w:rsidRPr="0063248C">
              <w:rPr>
                <w:rFonts w:cs="宋体"/>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02C77E3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42B89C" w14:textId="77777777" w:rsidR="007B3DB2" w:rsidRPr="0063248C" w:rsidRDefault="007B3DB2">
            <w:pPr>
              <w:spacing w:line="240" w:lineRule="exact"/>
              <w:jc w:val="right"/>
              <w:rPr>
                <w:rFonts w:cs="宋体"/>
                <w:sz w:val="18"/>
                <w:szCs w:val="18"/>
              </w:rPr>
            </w:pPr>
          </w:p>
        </w:tc>
      </w:tr>
      <w:tr w:rsidR="007B3DB2" w:rsidRPr="0063248C" w14:paraId="04E7DD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25A880"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2.</w:t>
            </w:r>
            <w:r w:rsidRPr="0063248C">
              <w:rPr>
                <w:rFonts w:cs="宋体"/>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3CBDE91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A36F0B" w14:textId="77777777" w:rsidR="007B3DB2" w:rsidRPr="0063248C" w:rsidRDefault="007B3DB2">
            <w:pPr>
              <w:spacing w:line="240" w:lineRule="exact"/>
              <w:jc w:val="right"/>
              <w:rPr>
                <w:rFonts w:cs="宋体"/>
                <w:sz w:val="18"/>
                <w:szCs w:val="18"/>
              </w:rPr>
            </w:pPr>
          </w:p>
        </w:tc>
      </w:tr>
      <w:tr w:rsidR="007B3DB2" w:rsidRPr="0063248C" w14:paraId="6A62FF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285B0D"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3.</w:t>
            </w:r>
            <w:r w:rsidRPr="0063248C">
              <w:rPr>
                <w:rFonts w:cs="宋体"/>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7D39D15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220693" w14:textId="77777777" w:rsidR="007B3DB2" w:rsidRPr="0063248C" w:rsidRDefault="007B3DB2">
            <w:pPr>
              <w:spacing w:line="240" w:lineRule="exact"/>
              <w:jc w:val="right"/>
              <w:rPr>
                <w:rFonts w:cs="宋体"/>
                <w:sz w:val="18"/>
                <w:szCs w:val="18"/>
              </w:rPr>
            </w:pPr>
          </w:p>
        </w:tc>
      </w:tr>
      <w:tr w:rsidR="007B3DB2" w:rsidRPr="0063248C" w14:paraId="64ECF2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022993"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4.</w:t>
            </w:r>
            <w:r w:rsidRPr="0063248C">
              <w:rPr>
                <w:rFonts w:cs="宋体"/>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3501E8D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4F0E86" w14:textId="77777777" w:rsidR="007B3DB2" w:rsidRPr="0063248C" w:rsidRDefault="007B3DB2">
            <w:pPr>
              <w:spacing w:line="240" w:lineRule="exact"/>
              <w:jc w:val="right"/>
              <w:rPr>
                <w:rFonts w:cs="宋体"/>
                <w:sz w:val="18"/>
                <w:szCs w:val="18"/>
              </w:rPr>
            </w:pPr>
          </w:p>
        </w:tc>
      </w:tr>
      <w:tr w:rsidR="007B3DB2" w:rsidRPr="0063248C" w14:paraId="18268E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2FB261"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5.</w:t>
            </w:r>
            <w:r w:rsidRPr="0063248C">
              <w:rPr>
                <w:rFonts w:cs="宋体"/>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4DDB15F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E79AB2" w14:textId="77777777" w:rsidR="007B3DB2" w:rsidRPr="0063248C" w:rsidRDefault="007B3DB2">
            <w:pPr>
              <w:spacing w:line="240" w:lineRule="exact"/>
              <w:jc w:val="right"/>
              <w:rPr>
                <w:rFonts w:cs="宋体"/>
                <w:sz w:val="18"/>
                <w:szCs w:val="18"/>
              </w:rPr>
            </w:pPr>
          </w:p>
        </w:tc>
      </w:tr>
      <w:tr w:rsidR="007B3DB2" w:rsidRPr="0063248C" w14:paraId="43AD67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2E38E7"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6.</w:t>
            </w:r>
            <w:r w:rsidRPr="0063248C">
              <w:rPr>
                <w:rFonts w:cs="宋体"/>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7A49C55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24891F" w14:textId="77777777" w:rsidR="007B3DB2" w:rsidRPr="0063248C" w:rsidRDefault="007B3DB2">
            <w:pPr>
              <w:spacing w:line="240" w:lineRule="exact"/>
              <w:jc w:val="right"/>
              <w:rPr>
                <w:rFonts w:cs="宋体"/>
                <w:sz w:val="18"/>
                <w:szCs w:val="18"/>
              </w:rPr>
            </w:pPr>
          </w:p>
        </w:tc>
      </w:tr>
      <w:tr w:rsidR="007B3DB2" w:rsidRPr="0063248C" w14:paraId="534E84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672E26" w14:textId="77777777" w:rsidR="007B3DB2" w:rsidRPr="0063248C" w:rsidRDefault="00000000">
            <w:pPr>
              <w:spacing w:line="240" w:lineRule="exact"/>
              <w:ind w:firstLineChars="300" w:firstLine="540"/>
              <w:rPr>
                <w:rFonts w:cs="宋体"/>
                <w:sz w:val="18"/>
                <w:szCs w:val="18"/>
              </w:rPr>
            </w:pPr>
            <w:r w:rsidRPr="0063248C">
              <w:rPr>
                <w:rFonts w:cs="宋体"/>
                <w:sz w:val="18"/>
                <w:szCs w:val="18"/>
              </w:rPr>
              <w:t>7.</w:t>
            </w:r>
            <w:r w:rsidRPr="0063248C">
              <w:rPr>
                <w:rFonts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0762538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2C29DA" w14:textId="77777777" w:rsidR="007B3DB2" w:rsidRPr="0063248C" w:rsidRDefault="007B3DB2">
            <w:pPr>
              <w:spacing w:line="240" w:lineRule="exact"/>
              <w:jc w:val="right"/>
              <w:rPr>
                <w:rFonts w:cs="宋体"/>
                <w:sz w:val="18"/>
                <w:szCs w:val="18"/>
              </w:rPr>
            </w:pPr>
          </w:p>
        </w:tc>
      </w:tr>
      <w:tr w:rsidR="007B3DB2" w:rsidRPr="0063248C" w14:paraId="49A66C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2C2012" w14:textId="77777777" w:rsidR="007B3DB2" w:rsidRPr="0063248C" w:rsidRDefault="00000000">
            <w:pPr>
              <w:spacing w:line="240" w:lineRule="exact"/>
              <w:rPr>
                <w:rFonts w:cs="宋体"/>
                <w:sz w:val="18"/>
                <w:szCs w:val="18"/>
              </w:rPr>
            </w:pPr>
            <w:r w:rsidRPr="0063248C">
              <w:rPr>
                <w:rFonts w:cs="宋体"/>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65D6FB00" w14:textId="77777777" w:rsidR="007B3DB2" w:rsidRPr="0063248C" w:rsidRDefault="00000000">
            <w:pPr>
              <w:spacing w:line="240" w:lineRule="exact"/>
              <w:jc w:val="right"/>
              <w:rPr>
                <w:rFonts w:cs="宋体"/>
                <w:sz w:val="18"/>
                <w:szCs w:val="18"/>
              </w:rPr>
            </w:pPr>
            <w:r w:rsidRPr="0063248C">
              <w:rPr>
                <w:rFonts w:cs="宋体"/>
                <w:sz w:val="18"/>
                <w:szCs w:val="18"/>
              </w:rPr>
              <w:t>14,634,459.37</w:t>
            </w:r>
          </w:p>
        </w:tc>
        <w:tc>
          <w:tcPr>
            <w:tcW w:w="3213" w:type="dxa"/>
            <w:tcBorders>
              <w:top w:val="single" w:sz="2" w:space="0" w:color="auto"/>
              <w:left w:val="single" w:sz="2" w:space="0" w:color="auto"/>
              <w:bottom w:val="single" w:sz="2" w:space="0" w:color="auto"/>
              <w:right w:val="single" w:sz="2" w:space="0" w:color="auto"/>
            </w:tcBorders>
            <w:vAlign w:val="center"/>
          </w:tcPr>
          <w:p w14:paraId="03680C24" w14:textId="77777777" w:rsidR="007B3DB2" w:rsidRPr="0063248C" w:rsidRDefault="00000000">
            <w:pPr>
              <w:spacing w:line="240" w:lineRule="exact"/>
              <w:jc w:val="right"/>
              <w:rPr>
                <w:rFonts w:cs="宋体"/>
                <w:sz w:val="18"/>
                <w:szCs w:val="18"/>
              </w:rPr>
            </w:pPr>
            <w:r w:rsidRPr="0063248C">
              <w:rPr>
                <w:rFonts w:cs="宋体"/>
                <w:sz w:val="18"/>
                <w:szCs w:val="18"/>
              </w:rPr>
              <w:t>-70,314,518.69</w:t>
            </w:r>
          </w:p>
        </w:tc>
      </w:tr>
      <w:tr w:rsidR="007B3DB2" w:rsidRPr="0063248C" w14:paraId="75DF87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8D6BE0" w14:textId="77777777" w:rsidR="007B3DB2" w:rsidRPr="0063248C" w:rsidRDefault="00000000">
            <w:pPr>
              <w:spacing w:line="240" w:lineRule="exact"/>
              <w:rPr>
                <w:rFonts w:cs="宋体"/>
                <w:sz w:val="18"/>
                <w:szCs w:val="18"/>
              </w:rPr>
            </w:pPr>
            <w:r w:rsidRPr="0063248C">
              <w:rPr>
                <w:rFonts w:cs="宋体"/>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7028B9"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D70B77" w14:textId="77777777" w:rsidR="007B3DB2" w:rsidRPr="0063248C" w:rsidRDefault="007B3DB2"/>
        </w:tc>
      </w:tr>
      <w:tr w:rsidR="007B3DB2" w:rsidRPr="0063248C" w14:paraId="16B4DC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6E9C0A"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7D64F8B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A71A9E" w14:textId="77777777" w:rsidR="007B3DB2" w:rsidRPr="0063248C" w:rsidRDefault="007B3DB2">
            <w:pPr>
              <w:spacing w:line="240" w:lineRule="exact"/>
              <w:jc w:val="right"/>
              <w:rPr>
                <w:rFonts w:cs="宋体"/>
                <w:sz w:val="18"/>
                <w:szCs w:val="18"/>
              </w:rPr>
            </w:pPr>
          </w:p>
        </w:tc>
      </w:tr>
      <w:tr w:rsidR="007B3DB2" w:rsidRPr="0063248C" w14:paraId="073846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7A9C7F"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01D270C2"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3C73EF" w14:textId="77777777" w:rsidR="007B3DB2" w:rsidRPr="0063248C" w:rsidRDefault="007B3DB2">
            <w:pPr>
              <w:spacing w:line="240" w:lineRule="exact"/>
              <w:jc w:val="right"/>
              <w:rPr>
                <w:rFonts w:cs="宋体"/>
                <w:sz w:val="18"/>
                <w:szCs w:val="18"/>
              </w:rPr>
            </w:pPr>
          </w:p>
        </w:tc>
      </w:tr>
    </w:tbl>
    <w:p w14:paraId="15013967" w14:textId="77777777" w:rsidR="007B3DB2" w:rsidRPr="0063248C" w:rsidRDefault="00000000">
      <w:pPr>
        <w:pStyle w:val="3"/>
        <w:spacing w:line="280" w:lineRule="exact"/>
        <w:jc w:val="left"/>
        <w:rPr>
          <w:rFonts w:cs="宋体"/>
          <w:b/>
          <w:bCs/>
        </w:rPr>
      </w:pPr>
      <w:bookmarkStart w:id="108" w:name="_Toc988997"/>
      <w:r w:rsidRPr="0063248C">
        <w:rPr>
          <w:rFonts w:cs="宋体"/>
          <w:b/>
          <w:bCs/>
        </w:rPr>
        <w:t>5</w:t>
      </w:r>
      <w:r w:rsidRPr="0063248C">
        <w:rPr>
          <w:rFonts w:cs="宋体"/>
          <w:b/>
          <w:bCs/>
        </w:rPr>
        <w:t>、合并现金流量表</w:t>
      </w:r>
      <w:bookmarkEnd w:id="108"/>
    </w:p>
    <w:p w14:paraId="6B03F2B2"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104B46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82979A" w14:textId="77777777" w:rsidR="007B3DB2" w:rsidRPr="0063248C" w:rsidRDefault="00000000">
            <w:pPr>
              <w:spacing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FE9B14" w14:textId="77777777" w:rsidR="007B3DB2" w:rsidRPr="0063248C" w:rsidRDefault="00000000">
            <w:pPr>
              <w:spacing w:line="240" w:lineRule="exact"/>
              <w:jc w:val="center"/>
              <w:rPr>
                <w:rFonts w:cs="宋体"/>
                <w:sz w:val="18"/>
                <w:szCs w:val="18"/>
              </w:rPr>
            </w:pPr>
            <w:r w:rsidRPr="0063248C">
              <w:rPr>
                <w:rFonts w:cs="宋体"/>
                <w:sz w:val="18"/>
                <w:szCs w:val="18"/>
              </w:rPr>
              <w:t>2024</w:t>
            </w:r>
            <w:r w:rsidRPr="0063248C">
              <w:rPr>
                <w:rFonts w:cs="宋体"/>
                <w:sz w:val="18"/>
                <w:szCs w:val="18"/>
              </w:rPr>
              <w:t>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902795" w14:textId="77777777" w:rsidR="007B3DB2" w:rsidRPr="0063248C" w:rsidRDefault="00000000">
            <w:pPr>
              <w:spacing w:line="240" w:lineRule="exact"/>
              <w:jc w:val="center"/>
              <w:rPr>
                <w:rFonts w:cs="宋体"/>
                <w:sz w:val="18"/>
                <w:szCs w:val="18"/>
              </w:rPr>
            </w:pPr>
            <w:r w:rsidRPr="0063248C">
              <w:rPr>
                <w:rFonts w:cs="宋体"/>
                <w:sz w:val="18"/>
                <w:szCs w:val="18"/>
              </w:rPr>
              <w:t>2023</w:t>
            </w:r>
            <w:r w:rsidRPr="0063248C">
              <w:rPr>
                <w:rFonts w:cs="宋体"/>
                <w:sz w:val="18"/>
                <w:szCs w:val="18"/>
              </w:rPr>
              <w:t>年半年度</w:t>
            </w:r>
          </w:p>
        </w:tc>
      </w:tr>
      <w:tr w:rsidR="007B3DB2" w:rsidRPr="0063248C" w14:paraId="2DD315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D813D7" w14:textId="77777777" w:rsidR="007B3DB2" w:rsidRPr="0063248C" w:rsidRDefault="00000000">
            <w:pPr>
              <w:spacing w:line="240" w:lineRule="exact"/>
              <w:rPr>
                <w:rFonts w:cs="宋体"/>
                <w:sz w:val="18"/>
                <w:szCs w:val="18"/>
              </w:rPr>
            </w:pPr>
            <w:r w:rsidRPr="0063248C">
              <w:rPr>
                <w:rFonts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7DEAB6"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A20628" w14:textId="77777777" w:rsidR="007B3DB2" w:rsidRPr="0063248C" w:rsidRDefault="007B3DB2"/>
        </w:tc>
      </w:tr>
      <w:tr w:rsidR="007B3DB2" w:rsidRPr="0063248C" w14:paraId="1CB85A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F2A1CE"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18361229" w14:textId="77777777" w:rsidR="007B3DB2" w:rsidRPr="0063248C" w:rsidRDefault="00000000">
            <w:pPr>
              <w:spacing w:line="240" w:lineRule="exact"/>
              <w:jc w:val="right"/>
              <w:rPr>
                <w:rFonts w:cs="宋体"/>
                <w:sz w:val="18"/>
                <w:szCs w:val="18"/>
              </w:rPr>
            </w:pPr>
            <w:r w:rsidRPr="0063248C">
              <w:rPr>
                <w:rFonts w:cs="宋体"/>
                <w:sz w:val="18"/>
                <w:szCs w:val="18"/>
              </w:rPr>
              <w:t>5,576,758,172.42</w:t>
            </w:r>
          </w:p>
        </w:tc>
        <w:tc>
          <w:tcPr>
            <w:tcW w:w="3213" w:type="dxa"/>
            <w:tcBorders>
              <w:top w:val="single" w:sz="2" w:space="0" w:color="auto"/>
              <w:left w:val="single" w:sz="2" w:space="0" w:color="auto"/>
              <w:bottom w:val="single" w:sz="2" w:space="0" w:color="auto"/>
              <w:right w:val="single" w:sz="2" w:space="0" w:color="auto"/>
            </w:tcBorders>
            <w:vAlign w:val="center"/>
          </w:tcPr>
          <w:p w14:paraId="6D637CD1" w14:textId="77777777" w:rsidR="007B3DB2" w:rsidRPr="0063248C" w:rsidRDefault="00000000">
            <w:pPr>
              <w:spacing w:line="240" w:lineRule="exact"/>
              <w:jc w:val="right"/>
              <w:rPr>
                <w:rFonts w:cs="宋体"/>
                <w:sz w:val="18"/>
                <w:szCs w:val="18"/>
              </w:rPr>
            </w:pPr>
            <w:r w:rsidRPr="0063248C">
              <w:rPr>
                <w:rFonts w:cs="宋体"/>
                <w:sz w:val="18"/>
                <w:szCs w:val="18"/>
              </w:rPr>
              <w:t>7,514,806,304.66</w:t>
            </w:r>
          </w:p>
        </w:tc>
      </w:tr>
      <w:tr w:rsidR="007B3DB2" w:rsidRPr="0063248C" w14:paraId="727C5D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75EFF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282D6E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7B3A67" w14:textId="77777777" w:rsidR="007B3DB2" w:rsidRPr="0063248C" w:rsidRDefault="007B3DB2">
            <w:pPr>
              <w:spacing w:line="240" w:lineRule="exact"/>
              <w:jc w:val="right"/>
              <w:rPr>
                <w:rFonts w:cs="宋体"/>
                <w:sz w:val="18"/>
                <w:szCs w:val="18"/>
              </w:rPr>
            </w:pPr>
          </w:p>
        </w:tc>
      </w:tr>
      <w:tr w:rsidR="007B3DB2" w:rsidRPr="0063248C" w14:paraId="6DCDCF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0DA16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DF64509"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BC348D4" w14:textId="77777777" w:rsidR="007B3DB2" w:rsidRPr="0063248C" w:rsidRDefault="007B3DB2">
            <w:pPr>
              <w:spacing w:line="240" w:lineRule="exact"/>
              <w:jc w:val="right"/>
              <w:rPr>
                <w:rFonts w:cs="宋体"/>
                <w:sz w:val="18"/>
                <w:szCs w:val="18"/>
              </w:rPr>
            </w:pPr>
          </w:p>
        </w:tc>
      </w:tr>
      <w:tr w:rsidR="007B3DB2" w:rsidRPr="0063248C" w14:paraId="6F590A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A5C1F9"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10F2CE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3B2DCD" w14:textId="77777777" w:rsidR="007B3DB2" w:rsidRPr="0063248C" w:rsidRDefault="007B3DB2">
            <w:pPr>
              <w:spacing w:line="240" w:lineRule="exact"/>
              <w:jc w:val="right"/>
              <w:rPr>
                <w:rFonts w:cs="宋体"/>
                <w:sz w:val="18"/>
                <w:szCs w:val="18"/>
              </w:rPr>
            </w:pPr>
          </w:p>
        </w:tc>
      </w:tr>
      <w:tr w:rsidR="007B3DB2" w:rsidRPr="0063248C" w14:paraId="7D06F1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E87887"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0264A99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CAB176" w14:textId="77777777" w:rsidR="007B3DB2" w:rsidRPr="0063248C" w:rsidRDefault="007B3DB2">
            <w:pPr>
              <w:spacing w:line="240" w:lineRule="exact"/>
              <w:jc w:val="right"/>
              <w:rPr>
                <w:rFonts w:cs="宋体"/>
                <w:sz w:val="18"/>
                <w:szCs w:val="18"/>
              </w:rPr>
            </w:pPr>
          </w:p>
        </w:tc>
      </w:tr>
      <w:tr w:rsidR="007B3DB2" w:rsidRPr="0063248C" w14:paraId="58C31B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5D7A19"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3321D558"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0256A7" w14:textId="77777777" w:rsidR="007B3DB2" w:rsidRPr="0063248C" w:rsidRDefault="007B3DB2">
            <w:pPr>
              <w:spacing w:line="240" w:lineRule="exact"/>
              <w:jc w:val="right"/>
              <w:rPr>
                <w:rFonts w:cs="宋体"/>
                <w:sz w:val="18"/>
                <w:szCs w:val="18"/>
              </w:rPr>
            </w:pPr>
          </w:p>
        </w:tc>
      </w:tr>
      <w:tr w:rsidR="007B3DB2" w:rsidRPr="0063248C" w14:paraId="5E468C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08F7D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317C31A"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1A47C6F" w14:textId="77777777" w:rsidR="007B3DB2" w:rsidRPr="0063248C" w:rsidRDefault="007B3DB2">
            <w:pPr>
              <w:spacing w:line="240" w:lineRule="exact"/>
              <w:jc w:val="right"/>
              <w:rPr>
                <w:rFonts w:cs="宋体"/>
                <w:sz w:val="18"/>
                <w:szCs w:val="18"/>
              </w:rPr>
            </w:pPr>
          </w:p>
        </w:tc>
      </w:tr>
      <w:tr w:rsidR="007B3DB2" w:rsidRPr="0063248C" w14:paraId="126AB6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94D3EA"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0F92955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791D6E" w14:textId="77777777" w:rsidR="007B3DB2" w:rsidRPr="0063248C" w:rsidRDefault="007B3DB2">
            <w:pPr>
              <w:spacing w:line="240" w:lineRule="exact"/>
              <w:jc w:val="right"/>
              <w:rPr>
                <w:rFonts w:cs="宋体"/>
                <w:sz w:val="18"/>
                <w:szCs w:val="18"/>
              </w:rPr>
            </w:pPr>
          </w:p>
        </w:tc>
      </w:tr>
      <w:tr w:rsidR="007B3DB2" w:rsidRPr="0063248C" w14:paraId="122FDD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D9565F"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6D33A3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6C9F80" w14:textId="77777777" w:rsidR="007B3DB2" w:rsidRPr="0063248C" w:rsidRDefault="007B3DB2">
            <w:pPr>
              <w:spacing w:line="240" w:lineRule="exact"/>
              <w:jc w:val="right"/>
              <w:rPr>
                <w:rFonts w:cs="宋体"/>
                <w:sz w:val="18"/>
                <w:szCs w:val="18"/>
              </w:rPr>
            </w:pPr>
          </w:p>
        </w:tc>
      </w:tr>
      <w:tr w:rsidR="007B3DB2" w:rsidRPr="0063248C" w14:paraId="4A776F2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58DA97"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8C6C66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B5EDFA" w14:textId="77777777" w:rsidR="007B3DB2" w:rsidRPr="0063248C" w:rsidRDefault="007B3DB2">
            <w:pPr>
              <w:spacing w:line="240" w:lineRule="exact"/>
              <w:jc w:val="right"/>
              <w:rPr>
                <w:rFonts w:cs="宋体"/>
                <w:sz w:val="18"/>
                <w:szCs w:val="18"/>
              </w:rPr>
            </w:pPr>
          </w:p>
        </w:tc>
      </w:tr>
      <w:tr w:rsidR="007B3DB2" w:rsidRPr="0063248C" w14:paraId="3CD1FA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EF20A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0AC37996"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1C32B5" w14:textId="77777777" w:rsidR="007B3DB2" w:rsidRPr="0063248C" w:rsidRDefault="007B3DB2">
            <w:pPr>
              <w:spacing w:line="240" w:lineRule="exact"/>
              <w:jc w:val="right"/>
              <w:rPr>
                <w:rFonts w:cs="宋体"/>
                <w:sz w:val="18"/>
                <w:szCs w:val="18"/>
              </w:rPr>
            </w:pPr>
          </w:p>
        </w:tc>
      </w:tr>
      <w:tr w:rsidR="007B3DB2" w:rsidRPr="0063248C" w14:paraId="298956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87F6A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210D7507" w14:textId="77777777" w:rsidR="007B3DB2" w:rsidRPr="0063248C" w:rsidRDefault="00000000">
            <w:pPr>
              <w:spacing w:line="240" w:lineRule="exact"/>
              <w:jc w:val="right"/>
              <w:rPr>
                <w:rFonts w:cs="宋体"/>
                <w:sz w:val="18"/>
                <w:szCs w:val="18"/>
              </w:rPr>
            </w:pPr>
            <w:r w:rsidRPr="0063248C">
              <w:rPr>
                <w:rFonts w:cs="宋体"/>
                <w:sz w:val="18"/>
                <w:szCs w:val="18"/>
              </w:rPr>
              <w:t>5,759,926.35</w:t>
            </w:r>
          </w:p>
        </w:tc>
        <w:tc>
          <w:tcPr>
            <w:tcW w:w="3213" w:type="dxa"/>
            <w:tcBorders>
              <w:top w:val="single" w:sz="2" w:space="0" w:color="auto"/>
              <w:left w:val="single" w:sz="2" w:space="0" w:color="auto"/>
              <w:bottom w:val="single" w:sz="2" w:space="0" w:color="auto"/>
              <w:right w:val="single" w:sz="2" w:space="0" w:color="auto"/>
            </w:tcBorders>
            <w:vAlign w:val="center"/>
          </w:tcPr>
          <w:p w14:paraId="1C4F4EA8" w14:textId="77777777" w:rsidR="007B3DB2" w:rsidRPr="0063248C" w:rsidRDefault="00000000">
            <w:pPr>
              <w:spacing w:line="240" w:lineRule="exact"/>
              <w:jc w:val="right"/>
              <w:rPr>
                <w:rFonts w:cs="宋体"/>
                <w:sz w:val="18"/>
                <w:szCs w:val="18"/>
              </w:rPr>
            </w:pPr>
            <w:r w:rsidRPr="0063248C">
              <w:rPr>
                <w:rFonts w:cs="宋体"/>
                <w:sz w:val="18"/>
                <w:szCs w:val="18"/>
              </w:rPr>
              <w:t>37,759,604.07</w:t>
            </w:r>
          </w:p>
        </w:tc>
      </w:tr>
      <w:tr w:rsidR="007B3DB2" w:rsidRPr="0063248C" w14:paraId="359463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D992E7"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9E56D99" w14:textId="77777777" w:rsidR="007B3DB2" w:rsidRPr="0063248C" w:rsidRDefault="00000000">
            <w:pPr>
              <w:spacing w:line="240" w:lineRule="exact"/>
              <w:jc w:val="right"/>
              <w:rPr>
                <w:rFonts w:cs="宋体"/>
                <w:sz w:val="18"/>
                <w:szCs w:val="18"/>
              </w:rPr>
            </w:pPr>
            <w:r w:rsidRPr="0063248C">
              <w:rPr>
                <w:rFonts w:cs="宋体"/>
                <w:sz w:val="18"/>
                <w:szCs w:val="18"/>
              </w:rPr>
              <w:t>73,549,933.70</w:t>
            </w:r>
          </w:p>
        </w:tc>
        <w:tc>
          <w:tcPr>
            <w:tcW w:w="3213" w:type="dxa"/>
            <w:tcBorders>
              <w:top w:val="single" w:sz="2" w:space="0" w:color="auto"/>
              <w:left w:val="single" w:sz="2" w:space="0" w:color="auto"/>
              <w:bottom w:val="single" w:sz="2" w:space="0" w:color="auto"/>
              <w:right w:val="single" w:sz="2" w:space="0" w:color="auto"/>
            </w:tcBorders>
            <w:vAlign w:val="center"/>
          </w:tcPr>
          <w:p w14:paraId="71AA83EF" w14:textId="77777777" w:rsidR="007B3DB2" w:rsidRPr="0063248C" w:rsidRDefault="00000000">
            <w:pPr>
              <w:spacing w:line="240" w:lineRule="exact"/>
              <w:jc w:val="right"/>
              <w:rPr>
                <w:rFonts w:cs="宋体"/>
                <w:sz w:val="18"/>
                <w:szCs w:val="18"/>
              </w:rPr>
            </w:pPr>
            <w:r w:rsidRPr="0063248C">
              <w:rPr>
                <w:rFonts w:cs="宋体"/>
                <w:sz w:val="18"/>
                <w:szCs w:val="18"/>
              </w:rPr>
              <w:t>124,584,149.56</w:t>
            </w:r>
          </w:p>
        </w:tc>
      </w:tr>
      <w:tr w:rsidR="007B3DB2" w:rsidRPr="0063248C" w14:paraId="439392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C0EDCB" w14:textId="77777777" w:rsidR="007B3DB2" w:rsidRPr="0063248C" w:rsidRDefault="00000000">
            <w:pPr>
              <w:spacing w:line="240" w:lineRule="exact"/>
              <w:rPr>
                <w:rFonts w:cs="宋体"/>
                <w:sz w:val="18"/>
                <w:szCs w:val="18"/>
              </w:rPr>
            </w:pPr>
            <w:r w:rsidRPr="0063248C">
              <w:rPr>
                <w:rFonts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3C6F4795" w14:textId="77777777" w:rsidR="007B3DB2" w:rsidRPr="0063248C" w:rsidRDefault="00000000">
            <w:pPr>
              <w:spacing w:line="240" w:lineRule="exact"/>
              <w:jc w:val="right"/>
              <w:rPr>
                <w:rFonts w:cs="宋体"/>
                <w:sz w:val="18"/>
                <w:szCs w:val="18"/>
              </w:rPr>
            </w:pPr>
            <w:r w:rsidRPr="0063248C">
              <w:rPr>
                <w:rFonts w:cs="宋体"/>
                <w:sz w:val="18"/>
                <w:szCs w:val="18"/>
              </w:rPr>
              <w:t>5,656,068,032.47</w:t>
            </w:r>
          </w:p>
        </w:tc>
        <w:tc>
          <w:tcPr>
            <w:tcW w:w="3213" w:type="dxa"/>
            <w:tcBorders>
              <w:top w:val="single" w:sz="2" w:space="0" w:color="auto"/>
              <w:left w:val="single" w:sz="2" w:space="0" w:color="auto"/>
              <w:bottom w:val="single" w:sz="2" w:space="0" w:color="auto"/>
              <w:right w:val="single" w:sz="2" w:space="0" w:color="auto"/>
            </w:tcBorders>
            <w:vAlign w:val="center"/>
          </w:tcPr>
          <w:p w14:paraId="1419F9DF" w14:textId="77777777" w:rsidR="007B3DB2" w:rsidRPr="0063248C" w:rsidRDefault="00000000">
            <w:pPr>
              <w:spacing w:line="240" w:lineRule="exact"/>
              <w:jc w:val="right"/>
              <w:rPr>
                <w:rFonts w:cs="宋体"/>
                <w:sz w:val="18"/>
                <w:szCs w:val="18"/>
              </w:rPr>
            </w:pPr>
            <w:r w:rsidRPr="0063248C">
              <w:rPr>
                <w:rFonts w:cs="宋体"/>
                <w:sz w:val="18"/>
                <w:szCs w:val="18"/>
              </w:rPr>
              <w:t>7,677,150,058.29</w:t>
            </w:r>
          </w:p>
        </w:tc>
      </w:tr>
      <w:tr w:rsidR="007B3DB2" w:rsidRPr="0063248C" w14:paraId="2198B5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5D1649"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12C9AE2" w14:textId="77777777" w:rsidR="007B3DB2" w:rsidRPr="0063248C" w:rsidRDefault="00000000">
            <w:pPr>
              <w:spacing w:line="240" w:lineRule="exact"/>
              <w:jc w:val="right"/>
              <w:rPr>
                <w:rFonts w:cs="宋体"/>
                <w:sz w:val="18"/>
                <w:szCs w:val="18"/>
              </w:rPr>
            </w:pPr>
            <w:r w:rsidRPr="0063248C">
              <w:rPr>
                <w:rFonts w:cs="宋体"/>
                <w:sz w:val="18"/>
                <w:szCs w:val="18"/>
              </w:rPr>
              <w:t>5,066,007,937.51</w:t>
            </w:r>
          </w:p>
        </w:tc>
        <w:tc>
          <w:tcPr>
            <w:tcW w:w="3213" w:type="dxa"/>
            <w:tcBorders>
              <w:top w:val="single" w:sz="2" w:space="0" w:color="auto"/>
              <w:left w:val="single" w:sz="2" w:space="0" w:color="auto"/>
              <w:bottom w:val="single" w:sz="2" w:space="0" w:color="auto"/>
              <w:right w:val="single" w:sz="2" w:space="0" w:color="auto"/>
            </w:tcBorders>
            <w:vAlign w:val="center"/>
          </w:tcPr>
          <w:p w14:paraId="273E7199" w14:textId="77777777" w:rsidR="007B3DB2" w:rsidRPr="0063248C" w:rsidRDefault="00000000">
            <w:pPr>
              <w:spacing w:line="240" w:lineRule="exact"/>
              <w:jc w:val="right"/>
              <w:rPr>
                <w:rFonts w:cs="宋体"/>
                <w:sz w:val="18"/>
                <w:szCs w:val="18"/>
              </w:rPr>
            </w:pPr>
            <w:r w:rsidRPr="0063248C">
              <w:rPr>
                <w:rFonts w:cs="宋体"/>
                <w:sz w:val="18"/>
                <w:szCs w:val="18"/>
              </w:rPr>
              <w:t>7,624,057,916.15</w:t>
            </w:r>
          </w:p>
        </w:tc>
      </w:tr>
      <w:tr w:rsidR="007B3DB2" w:rsidRPr="0063248C" w14:paraId="77D942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76E5D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E5B78FA"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3CDC38" w14:textId="77777777" w:rsidR="007B3DB2" w:rsidRPr="0063248C" w:rsidRDefault="007B3DB2">
            <w:pPr>
              <w:spacing w:line="240" w:lineRule="exact"/>
              <w:jc w:val="right"/>
              <w:rPr>
                <w:rFonts w:cs="宋体"/>
                <w:sz w:val="18"/>
                <w:szCs w:val="18"/>
              </w:rPr>
            </w:pPr>
          </w:p>
        </w:tc>
      </w:tr>
      <w:tr w:rsidR="007B3DB2" w:rsidRPr="0063248C" w14:paraId="76707C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DA54B7"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6F0CD52"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017849" w14:textId="77777777" w:rsidR="007B3DB2" w:rsidRPr="0063248C" w:rsidRDefault="007B3DB2">
            <w:pPr>
              <w:spacing w:line="240" w:lineRule="exact"/>
              <w:jc w:val="right"/>
              <w:rPr>
                <w:rFonts w:cs="宋体"/>
                <w:sz w:val="18"/>
                <w:szCs w:val="18"/>
              </w:rPr>
            </w:pPr>
          </w:p>
        </w:tc>
      </w:tr>
      <w:tr w:rsidR="007B3DB2" w:rsidRPr="0063248C" w14:paraId="3F242A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73C763"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78B50058"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DB38F0" w14:textId="77777777" w:rsidR="007B3DB2" w:rsidRPr="0063248C" w:rsidRDefault="007B3DB2">
            <w:pPr>
              <w:spacing w:line="240" w:lineRule="exact"/>
              <w:jc w:val="right"/>
              <w:rPr>
                <w:rFonts w:cs="宋体"/>
                <w:sz w:val="18"/>
                <w:szCs w:val="18"/>
              </w:rPr>
            </w:pPr>
          </w:p>
        </w:tc>
      </w:tr>
      <w:tr w:rsidR="007B3DB2" w:rsidRPr="0063248C" w14:paraId="0A4C71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8040A0"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83C342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AAC4CB" w14:textId="77777777" w:rsidR="007B3DB2" w:rsidRPr="0063248C" w:rsidRDefault="007B3DB2">
            <w:pPr>
              <w:spacing w:line="240" w:lineRule="exact"/>
              <w:jc w:val="right"/>
              <w:rPr>
                <w:rFonts w:cs="宋体"/>
                <w:sz w:val="18"/>
                <w:szCs w:val="18"/>
              </w:rPr>
            </w:pPr>
          </w:p>
        </w:tc>
      </w:tr>
      <w:tr w:rsidR="007B3DB2" w:rsidRPr="0063248C" w14:paraId="2A176D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B64E9D"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39F2BD0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4A3672" w14:textId="77777777" w:rsidR="007B3DB2" w:rsidRPr="0063248C" w:rsidRDefault="007B3DB2">
            <w:pPr>
              <w:spacing w:line="240" w:lineRule="exact"/>
              <w:jc w:val="right"/>
              <w:rPr>
                <w:rFonts w:cs="宋体"/>
                <w:sz w:val="18"/>
                <w:szCs w:val="18"/>
              </w:rPr>
            </w:pPr>
          </w:p>
        </w:tc>
      </w:tr>
      <w:tr w:rsidR="007B3DB2" w:rsidRPr="0063248C" w14:paraId="782270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DB7E9A"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0294B7D6"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5D30B6" w14:textId="77777777" w:rsidR="007B3DB2" w:rsidRPr="0063248C" w:rsidRDefault="007B3DB2">
            <w:pPr>
              <w:spacing w:line="240" w:lineRule="exact"/>
              <w:jc w:val="right"/>
              <w:rPr>
                <w:rFonts w:cs="宋体"/>
                <w:sz w:val="18"/>
                <w:szCs w:val="18"/>
              </w:rPr>
            </w:pPr>
          </w:p>
        </w:tc>
      </w:tr>
      <w:tr w:rsidR="007B3DB2" w:rsidRPr="0063248C" w14:paraId="2B0407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4DC87A"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2F10DB18" w14:textId="77777777" w:rsidR="007B3DB2" w:rsidRPr="0063248C" w:rsidRDefault="00000000">
            <w:pPr>
              <w:spacing w:line="240" w:lineRule="exact"/>
              <w:jc w:val="right"/>
              <w:rPr>
                <w:rFonts w:cs="宋体"/>
                <w:sz w:val="18"/>
                <w:szCs w:val="18"/>
              </w:rPr>
            </w:pPr>
            <w:r w:rsidRPr="0063248C">
              <w:rPr>
                <w:rFonts w:cs="宋体"/>
                <w:sz w:val="18"/>
                <w:szCs w:val="18"/>
              </w:rPr>
              <w:t>226,303,104.17</w:t>
            </w:r>
          </w:p>
        </w:tc>
        <w:tc>
          <w:tcPr>
            <w:tcW w:w="3213" w:type="dxa"/>
            <w:tcBorders>
              <w:top w:val="single" w:sz="2" w:space="0" w:color="auto"/>
              <w:left w:val="single" w:sz="2" w:space="0" w:color="auto"/>
              <w:bottom w:val="single" w:sz="2" w:space="0" w:color="auto"/>
              <w:right w:val="single" w:sz="2" w:space="0" w:color="auto"/>
            </w:tcBorders>
            <w:vAlign w:val="center"/>
          </w:tcPr>
          <w:p w14:paraId="34B1FB57" w14:textId="77777777" w:rsidR="007B3DB2" w:rsidRPr="0063248C" w:rsidRDefault="00000000">
            <w:pPr>
              <w:spacing w:line="240" w:lineRule="exact"/>
              <w:jc w:val="right"/>
              <w:rPr>
                <w:rFonts w:cs="宋体"/>
                <w:sz w:val="18"/>
                <w:szCs w:val="18"/>
              </w:rPr>
            </w:pPr>
            <w:r w:rsidRPr="0063248C">
              <w:rPr>
                <w:rFonts w:cs="宋体"/>
                <w:sz w:val="18"/>
                <w:szCs w:val="18"/>
              </w:rPr>
              <w:t>265,630,342.59</w:t>
            </w:r>
          </w:p>
        </w:tc>
      </w:tr>
      <w:tr w:rsidR="007B3DB2" w:rsidRPr="0063248C" w14:paraId="4456B9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9B043A"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59FDFA90" w14:textId="77777777" w:rsidR="007B3DB2" w:rsidRPr="0063248C" w:rsidRDefault="00000000">
            <w:pPr>
              <w:spacing w:line="240" w:lineRule="exact"/>
              <w:jc w:val="right"/>
              <w:rPr>
                <w:rFonts w:cs="宋体"/>
                <w:sz w:val="18"/>
                <w:szCs w:val="18"/>
              </w:rPr>
            </w:pPr>
            <w:r w:rsidRPr="0063248C">
              <w:rPr>
                <w:rFonts w:cs="宋体"/>
                <w:sz w:val="18"/>
                <w:szCs w:val="18"/>
              </w:rPr>
              <w:t>15,151,254.58</w:t>
            </w:r>
          </w:p>
        </w:tc>
        <w:tc>
          <w:tcPr>
            <w:tcW w:w="3213" w:type="dxa"/>
            <w:tcBorders>
              <w:top w:val="single" w:sz="2" w:space="0" w:color="auto"/>
              <w:left w:val="single" w:sz="2" w:space="0" w:color="auto"/>
              <w:bottom w:val="single" w:sz="2" w:space="0" w:color="auto"/>
              <w:right w:val="single" w:sz="2" w:space="0" w:color="auto"/>
            </w:tcBorders>
            <w:vAlign w:val="center"/>
          </w:tcPr>
          <w:p w14:paraId="7F8249D0" w14:textId="77777777" w:rsidR="007B3DB2" w:rsidRPr="0063248C" w:rsidRDefault="00000000">
            <w:pPr>
              <w:spacing w:line="240" w:lineRule="exact"/>
              <w:jc w:val="right"/>
              <w:rPr>
                <w:rFonts w:cs="宋体"/>
                <w:sz w:val="18"/>
                <w:szCs w:val="18"/>
              </w:rPr>
            </w:pPr>
            <w:r w:rsidRPr="0063248C">
              <w:rPr>
                <w:rFonts w:cs="宋体"/>
                <w:sz w:val="18"/>
                <w:szCs w:val="18"/>
              </w:rPr>
              <w:t>16,347,617.62</w:t>
            </w:r>
          </w:p>
        </w:tc>
      </w:tr>
      <w:tr w:rsidR="007B3DB2" w:rsidRPr="0063248C" w14:paraId="106404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0A1277"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3733E63" w14:textId="77777777" w:rsidR="007B3DB2" w:rsidRPr="0063248C" w:rsidRDefault="00000000">
            <w:pPr>
              <w:spacing w:line="240" w:lineRule="exact"/>
              <w:jc w:val="right"/>
              <w:rPr>
                <w:rFonts w:cs="宋体"/>
                <w:sz w:val="18"/>
                <w:szCs w:val="18"/>
              </w:rPr>
            </w:pPr>
            <w:r w:rsidRPr="0063248C">
              <w:rPr>
                <w:rFonts w:cs="宋体"/>
                <w:sz w:val="18"/>
                <w:szCs w:val="18"/>
              </w:rPr>
              <w:t>127,080,503.16</w:t>
            </w:r>
          </w:p>
        </w:tc>
        <w:tc>
          <w:tcPr>
            <w:tcW w:w="3213" w:type="dxa"/>
            <w:tcBorders>
              <w:top w:val="single" w:sz="2" w:space="0" w:color="auto"/>
              <w:left w:val="single" w:sz="2" w:space="0" w:color="auto"/>
              <w:bottom w:val="single" w:sz="2" w:space="0" w:color="auto"/>
              <w:right w:val="single" w:sz="2" w:space="0" w:color="auto"/>
            </w:tcBorders>
            <w:vAlign w:val="center"/>
          </w:tcPr>
          <w:p w14:paraId="272D5008" w14:textId="77777777" w:rsidR="007B3DB2" w:rsidRPr="0063248C" w:rsidRDefault="00000000">
            <w:pPr>
              <w:spacing w:line="240" w:lineRule="exact"/>
              <w:jc w:val="right"/>
              <w:rPr>
                <w:rFonts w:cs="宋体"/>
                <w:sz w:val="18"/>
                <w:szCs w:val="18"/>
              </w:rPr>
            </w:pPr>
            <w:r w:rsidRPr="0063248C">
              <w:rPr>
                <w:rFonts w:cs="宋体"/>
                <w:sz w:val="18"/>
                <w:szCs w:val="18"/>
              </w:rPr>
              <w:t>137,669,626.37</w:t>
            </w:r>
          </w:p>
        </w:tc>
      </w:tr>
      <w:tr w:rsidR="007B3DB2" w:rsidRPr="0063248C" w14:paraId="382E5D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068737" w14:textId="77777777" w:rsidR="007B3DB2" w:rsidRPr="0063248C" w:rsidRDefault="00000000">
            <w:pPr>
              <w:spacing w:line="240" w:lineRule="exact"/>
              <w:rPr>
                <w:rFonts w:cs="宋体"/>
                <w:sz w:val="18"/>
                <w:szCs w:val="18"/>
              </w:rPr>
            </w:pPr>
            <w:r w:rsidRPr="0063248C">
              <w:rPr>
                <w:rFonts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5D7E497B" w14:textId="77777777" w:rsidR="007B3DB2" w:rsidRPr="0063248C" w:rsidRDefault="00000000">
            <w:pPr>
              <w:spacing w:line="240" w:lineRule="exact"/>
              <w:jc w:val="right"/>
              <w:rPr>
                <w:rFonts w:cs="宋体"/>
                <w:sz w:val="18"/>
                <w:szCs w:val="18"/>
              </w:rPr>
            </w:pPr>
            <w:r w:rsidRPr="0063248C">
              <w:rPr>
                <w:rFonts w:cs="宋体"/>
                <w:sz w:val="18"/>
                <w:szCs w:val="18"/>
              </w:rPr>
              <w:t>5,434,542,799.42</w:t>
            </w:r>
          </w:p>
        </w:tc>
        <w:tc>
          <w:tcPr>
            <w:tcW w:w="3213" w:type="dxa"/>
            <w:tcBorders>
              <w:top w:val="single" w:sz="2" w:space="0" w:color="auto"/>
              <w:left w:val="single" w:sz="2" w:space="0" w:color="auto"/>
              <w:bottom w:val="single" w:sz="2" w:space="0" w:color="auto"/>
              <w:right w:val="single" w:sz="2" w:space="0" w:color="auto"/>
            </w:tcBorders>
            <w:vAlign w:val="center"/>
          </w:tcPr>
          <w:p w14:paraId="50D5E13A" w14:textId="77777777" w:rsidR="007B3DB2" w:rsidRPr="0063248C" w:rsidRDefault="00000000">
            <w:pPr>
              <w:spacing w:line="240" w:lineRule="exact"/>
              <w:jc w:val="right"/>
              <w:rPr>
                <w:rFonts w:cs="宋体"/>
                <w:sz w:val="18"/>
                <w:szCs w:val="18"/>
              </w:rPr>
            </w:pPr>
            <w:r w:rsidRPr="0063248C">
              <w:rPr>
                <w:rFonts w:cs="宋体"/>
                <w:sz w:val="18"/>
                <w:szCs w:val="18"/>
              </w:rPr>
              <w:t>8,043,705,502.73</w:t>
            </w:r>
          </w:p>
        </w:tc>
      </w:tr>
      <w:tr w:rsidR="007B3DB2" w:rsidRPr="0063248C" w14:paraId="4E5C5E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BFA254" w14:textId="77777777" w:rsidR="007B3DB2" w:rsidRPr="0063248C" w:rsidRDefault="00000000">
            <w:pPr>
              <w:spacing w:line="240" w:lineRule="exact"/>
              <w:rPr>
                <w:rFonts w:cs="宋体"/>
                <w:sz w:val="18"/>
                <w:szCs w:val="18"/>
              </w:rPr>
            </w:pPr>
            <w:r w:rsidRPr="0063248C">
              <w:rPr>
                <w:rFonts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03C3548D" w14:textId="77777777" w:rsidR="007B3DB2" w:rsidRPr="0063248C" w:rsidRDefault="00000000">
            <w:pPr>
              <w:spacing w:line="240" w:lineRule="exact"/>
              <w:jc w:val="right"/>
              <w:rPr>
                <w:rFonts w:cs="宋体"/>
                <w:sz w:val="18"/>
                <w:szCs w:val="18"/>
              </w:rPr>
            </w:pPr>
            <w:r w:rsidRPr="0063248C">
              <w:rPr>
                <w:rFonts w:cs="宋体"/>
                <w:sz w:val="18"/>
                <w:szCs w:val="18"/>
              </w:rPr>
              <w:t>221,525,233.05</w:t>
            </w:r>
          </w:p>
        </w:tc>
        <w:tc>
          <w:tcPr>
            <w:tcW w:w="3213" w:type="dxa"/>
            <w:tcBorders>
              <w:top w:val="single" w:sz="2" w:space="0" w:color="auto"/>
              <w:left w:val="single" w:sz="2" w:space="0" w:color="auto"/>
              <w:bottom w:val="single" w:sz="2" w:space="0" w:color="auto"/>
              <w:right w:val="single" w:sz="2" w:space="0" w:color="auto"/>
            </w:tcBorders>
            <w:vAlign w:val="center"/>
          </w:tcPr>
          <w:p w14:paraId="778F4524" w14:textId="77777777" w:rsidR="007B3DB2" w:rsidRPr="0063248C" w:rsidRDefault="00000000">
            <w:pPr>
              <w:spacing w:line="240" w:lineRule="exact"/>
              <w:jc w:val="right"/>
              <w:rPr>
                <w:rFonts w:cs="宋体"/>
                <w:sz w:val="18"/>
                <w:szCs w:val="18"/>
              </w:rPr>
            </w:pPr>
            <w:r w:rsidRPr="0063248C">
              <w:rPr>
                <w:rFonts w:cs="宋体"/>
                <w:sz w:val="18"/>
                <w:szCs w:val="18"/>
              </w:rPr>
              <w:t>-366,555,444.44</w:t>
            </w:r>
          </w:p>
        </w:tc>
      </w:tr>
      <w:tr w:rsidR="007B3DB2" w:rsidRPr="0063248C" w14:paraId="41E8A0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A06307" w14:textId="77777777" w:rsidR="007B3DB2" w:rsidRPr="0063248C" w:rsidRDefault="00000000">
            <w:pPr>
              <w:spacing w:line="240" w:lineRule="exact"/>
              <w:rPr>
                <w:rFonts w:cs="宋体"/>
                <w:sz w:val="18"/>
                <w:szCs w:val="18"/>
              </w:rPr>
            </w:pPr>
            <w:r w:rsidRPr="0063248C">
              <w:rPr>
                <w:rFonts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03EA0B"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36946B" w14:textId="77777777" w:rsidR="007B3DB2" w:rsidRPr="0063248C" w:rsidRDefault="007B3DB2"/>
        </w:tc>
      </w:tr>
      <w:tr w:rsidR="007B3DB2" w:rsidRPr="0063248C" w14:paraId="18B020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5C10C9"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AFCA711"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A20BEC" w14:textId="77777777" w:rsidR="007B3DB2" w:rsidRPr="0063248C" w:rsidRDefault="00000000">
            <w:pPr>
              <w:spacing w:line="240" w:lineRule="exact"/>
              <w:jc w:val="right"/>
              <w:rPr>
                <w:rFonts w:cs="宋体"/>
                <w:sz w:val="18"/>
                <w:szCs w:val="18"/>
              </w:rPr>
            </w:pPr>
            <w:r w:rsidRPr="0063248C">
              <w:rPr>
                <w:rFonts w:cs="宋体"/>
                <w:sz w:val="18"/>
                <w:szCs w:val="18"/>
              </w:rPr>
              <w:t>600,000,000.00</w:t>
            </w:r>
          </w:p>
        </w:tc>
      </w:tr>
      <w:tr w:rsidR="007B3DB2" w:rsidRPr="0063248C" w14:paraId="1672E0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EBBC73"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9A962E3"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4399E0" w14:textId="77777777" w:rsidR="007B3DB2" w:rsidRPr="0063248C" w:rsidRDefault="00000000">
            <w:pPr>
              <w:spacing w:line="240" w:lineRule="exact"/>
              <w:jc w:val="right"/>
              <w:rPr>
                <w:rFonts w:cs="宋体"/>
                <w:sz w:val="18"/>
                <w:szCs w:val="18"/>
              </w:rPr>
            </w:pPr>
            <w:r w:rsidRPr="0063248C">
              <w:rPr>
                <w:rFonts w:cs="宋体"/>
                <w:sz w:val="18"/>
                <w:szCs w:val="18"/>
              </w:rPr>
              <w:t>12,000,000.00</w:t>
            </w:r>
          </w:p>
        </w:tc>
      </w:tr>
      <w:tr w:rsidR="007B3DB2" w:rsidRPr="0063248C" w14:paraId="6824B3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0AE722"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D51DFF6" w14:textId="77777777" w:rsidR="007B3DB2" w:rsidRPr="0063248C" w:rsidRDefault="00000000">
            <w:pPr>
              <w:spacing w:line="240" w:lineRule="exact"/>
              <w:jc w:val="right"/>
              <w:rPr>
                <w:rFonts w:cs="宋体"/>
                <w:sz w:val="18"/>
                <w:szCs w:val="18"/>
              </w:rPr>
            </w:pPr>
            <w:r w:rsidRPr="0063248C">
              <w:rPr>
                <w:rFonts w:cs="宋体"/>
                <w:sz w:val="18"/>
                <w:szCs w:val="18"/>
              </w:rPr>
              <w:t>363,500.00</w:t>
            </w:r>
          </w:p>
        </w:tc>
        <w:tc>
          <w:tcPr>
            <w:tcW w:w="3213" w:type="dxa"/>
            <w:tcBorders>
              <w:top w:val="single" w:sz="2" w:space="0" w:color="auto"/>
              <w:left w:val="single" w:sz="2" w:space="0" w:color="auto"/>
              <w:bottom w:val="single" w:sz="2" w:space="0" w:color="auto"/>
              <w:right w:val="single" w:sz="2" w:space="0" w:color="auto"/>
            </w:tcBorders>
            <w:vAlign w:val="center"/>
          </w:tcPr>
          <w:p w14:paraId="5909CDB0" w14:textId="77777777" w:rsidR="007B3DB2" w:rsidRPr="0063248C" w:rsidRDefault="00000000">
            <w:pPr>
              <w:spacing w:line="240" w:lineRule="exact"/>
              <w:jc w:val="right"/>
              <w:rPr>
                <w:rFonts w:cs="宋体"/>
                <w:sz w:val="18"/>
                <w:szCs w:val="18"/>
              </w:rPr>
            </w:pPr>
            <w:r w:rsidRPr="0063248C">
              <w:rPr>
                <w:rFonts w:cs="宋体"/>
                <w:sz w:val="18"/>
                <w:szCs w:val="18"/>
              </w:rPr>
              <w:t>42,110,286.14</w:t>
            </w:r>
          </w:p>
        </w:tc>
      </w:tr>
      <w:tr w:rsidR="007B3DB2" w:rsidRPr="0063248C" w14:paraId="7CFE37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FF6D0F"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处置子公司及其他营业单位收到的</w:t>
            </w:r>
            <w:r w:rsidRPr="0063248C">
              <w:rPr>
                <w:rFonts w:cs="宋体"/>
                <w:sz w:val="18"/>
                <w:szCs w:val="18"/>
              </w:rPr>
              <w:lastRenderedPageBreak/>
              <w:t>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7C07BB5A" w14:textId="77777777" w:rsidR="007B3DB2" w:rsidRPr="0063248C" w:rsidRDefault="00000000">
            <w:pPr>
              <w:spacing w:line="240" w:lineRule="exact"/>
              <w:jc w:val="right"/>
              <w:rPr>
                <w:rFonts w:cs="宋体"/>
                <w:sz w:val="18"/>
                <w:szCs w:val="18"/>
              </w:rPr>
            </w:pPr>
            <w:r w:rsidRPr="0063248C">
              <w:rPr>
                <w:rFonts w:cs="宋体"/>
                <w:sz w:val="18"/>
                <w:szCs w:val="18"/>
              </w:rPr>
              <w:lastRenderedPageBreak/>
              <w:t>0.00</w:t>
            </w:r>
          </w:p>
        </w:tc>
        <w:tc>
          <w:tcPr>
            <w:tcW w:w="3213" w:type="dxa"/>
            <w:tcBorders>
              <w:top w:val="single" w:sz="2" w:space="0" w:color="auto"/>
              <w:left w:val="single" w:sz="2" w:space="0" w:color="auto"/>
              <w:bottom w:val="single" w:sz="2" w:space="0" w:color="auto"/>
              <w:right w:val="single" w:sz="2" w:space="0" w:color="auto"/>
            </w:tcBorders>
            <w:vAlign w:val="center"/>
          </w:tcPr>
          <w:p w14:paraId="4FAB62E8" w14:textId="77777777" w:rsidR="007B3DB2" w:rsidRPr="0063248C" w:rsidRDefault="007B3DB2">
            <w:pPr>
              <w:spacing w:line="240" w:lineRule="exact"/>
              <w:jc w:val="right"/>
              <w:rPr>
                <w:rFonts w:cs="宋体"/>
                <w:sz w:val="18"/>
                <w:szCs w:val="18"/>
              </w:rPr>
            </w:pPr>
          </w:p>
        </w:tc>
      </w:tr>
      <w:tr w:rsidR="007B3DB2" w:rsidRPr="0063248C" w14:paraId="31DE0F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B04F74"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9E4D8CC"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0B5E0B24" w14:textId="77777777" w:rsidR="007B3DB2" w:rsidRPr="0063248C" w:rsidRDefault="007B3DB2">
            <w:pPr>
              <w:spacing w:line="240" w:lineRule="exact"/>
              <w:jc w:val="right"/>
              <w:rPr>
                <w:rFonts w:cs="宋体"/>
                <w:sz w:val="18"/>
                <w:szCs w:val="18"/>
              </w:rPr>
            </w:pPr>
          </w:p>
        </w:tc>
      </w:tr>
      <w:tr w:rsidR="007B3DB2" w:rsidRPr="0063248C" w14:paraId="61C321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FE427C" w14:textId="77777777" w:rsidR="007B3DB2" w:rsidRPr="0063248C" w:rsidRDefault="00000000">
            <w:pPr>
              <w:spacing w:line="240" w:lineRule="exact"/>
              <w:rPr>
                <w:rFonts w:cs="宋体"/>
                <w:sz w:val="18"/>
                <w:szCs w:val="18"/>
              </w:rPr>
            </w:pPr>
            <w:r w:rsidRPr="0063248C">
              <w:rPr>
                <w:rFonts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6B496164" w14:textId="77777777" w:rsidR="007B3DB2" w:rsidRPr="0063248C" w:rsidRDefault="00000000">
            <w:pPr>
              <w:spacing w:line="240" w:lineRule="exact"/>
              <w:jc w:val="right"/>
              <w:rPr>
                <w:rFonts w:cs="宋体"/>
                <w:sz w:val="18"/>
                <w:szCs w:val="18"/>
              </w:rPr>
            </w:pPr>
            <w:r w:rsidRPr="0063248C">
              <w:rPr>
                <w:rFonts w:cs="宋体"/>
                <w:sz w:val="18"/>
                <w:szCs w:val="18"/>
              </w:rPr>
              <w:t>363,500.00</w:t>
            </w:r>
          </w:p>
        </w:tc>
        <w:tc>
          <w:tcPr>
            <w:tcW w:w="3213" w:type="dxa"/>
            <w:tcBorders>
              <w:top w:val="single" w:sz="2" w:space="0" w:color="auto"/>
              <w:left w:val="single" w:sz="2" w:space="0" w:color="auto"/>
              <w:bottom w:val="single" w:sz="2" w:space="0" w:color="auto"/>
              <w:right w:val="single" w:sz="2" w:space="0" w:color="auto"/>
            </w:tcBorders>
            <w:vAlign w:val="center"/>
          </w:tcPr>
          <w:p w14:paraId="792A2B11" w14:textId="77777777" w:rsidR="007B3DB2" w:rsidRPr="0063248C" w:rsidRDefault="00000000">
            <w:pPr>
              <w:spacing w:line="240" w:lineRule="exact"/>
              <w:jc w:val="right"/>
              <w:rPr>
                <w:rFonts w:cs="宋体"/>
                <w:sz w:val="18"/>
                <w:szCs w:val="18"/>
              </w:rPr>
            </w:pPr>
            <w:r w:rsidRPr="0063248C">
              <w:rPr>
                <w:rFonts w:cs="宋体"/>
                <w:sz w:val="18"/>
                <w:szCs w:val="18"/>
              </w:rPr>
              <w:t>654,110,286.14</w:t>
            </w:r>
          </w:p>
        </w:tc>
      </w:tr>
      <w:tr w:rsidR="007B3DB2" w:rsidRPr="0063248C" w14:paraId="2998A5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DD0B94"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C11D7C6" w14:textId="77777777" w:rsidR="007B3DB2" w:rsidRPr="0063248C" w:rsidRDefault="00000000">
            <w:pPr>
              <w:spacing w:line="240" w:lineRule="exact"/>
              <w:jc w:val="right"/>
              <w:rPr>
                <w:rFonts w:cs="宋体"/>
                <w:sz w:val="18"/>
                <w:szCs w:val="18"/>
              </w:rPr>
            </w:pPr>
            <w:r w:rsidRPr="0063248C">
              <w:rPr>
                <w:rFonts w:cs="宋体"/>
                <w:sz w:val="18"/>
                <w:szCs w:val="18"/>
              </w:rPr>
              <w:t>78,768,006.26</w:t>
            </w:r>
          </w:p>
        </w:tc>
        <w:tc>
          <w:tcPr>
            <w:tcW w:w="3213" w:type="dxa"/>
            <w:tcBorders>
              <w:top w:val="single" w:sz="2" w:space="0" w:color="auto"/>
              <w:left w:val="single" w:sz="2" w:space="0" w:color="auto"/>
              <w:bottom w:val="single" w:sz="2" w:space="0" w:color="auto"/>
              <w:right w:val="single" w:sz="2" w:space="0" w:color="auto"/>
            </w:tcBorders>
            <w:vAlign w:val="center"/>
          </w:tcPr>
          <w:p w14:paraId="338FAACF" w14:textId="77777777" w:rsidR="007B3DB2" w:rsidRPr="0063248C" w:rsidRDefault="00000000">
            <w:pPr>
              <w:spacing w:line="240" w:lineRule="exact"/>
              <w:jc w:val="right"/>
              <w:rPr>
                <w:rFonts w:cs="宋体"/>
                <w:sz w:val="18"/>
                <w:szCs w:val="18"/>
              </w:rPr>
            </w:pPr>
            <w:r w:rsidRPr="0063248C">
              <w:rPr>
                <w:rFonts w:cs="宋体"/>
                <w:sz w:val="18"/>
                <w:szCs w:val="18"/>
              </w:rPr>
              <w:t>327,556,998.56</w:t>
            </w:r>
          </w:p>
        </w:tc>
      </w:tr>
      <w:tr w:rsidR="007B3DB2" w:rsidRPr="0063248C" w14:paraId="43D17C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21A5E6"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5E6429F" w14:textId="77777777" w:rsidR="007B3DB2" w:rsidRPr="0063248C" w:rsidRDefault="00000000">
            <w:pPr>
              <w:spacing w:line="240" w:lineRule="exact"/>
              <w:jc w:val="right"/>
              <w:rPr>
                <w:rFonts w:cs="宋体"/>
                <w:sz w:val="18"/>
                <w:szCs w:val="18"/>
              </w:rPr>
            </w:pPr>
            <w:r w:rsidRPr="0063248C">
              <w:rPr>
                <w:rFonts w:cs="宋体"/>
                <w:sz w:val="18"/>
                <w:szCs w:val="18"/>
              </w:rPr>
              <w:t>27,440,000.00</w:t>
            </w:r>
          </w:p>
        </w:tc>
        <w:tc>
          <w:tcPr>
            <w:tcW w:w="3213" w:type="dxa"/>
            <w:tcBorders>
              <w:top w:val="single" w:sz="2" w:space="0" w:color="auto"/>
              <w:left w:val="single" w:sz="2" w:space="0" w:color="auto"/>
              <w:bottom w:val="single" w:sz="2" w:space="0" w:color="auto"/>
              <w:right w:val="single" w:sz="2" w:space="0" w:color="auto"/>
            </w:tcBorders>
            <w:vAlign w:val="center"/>
          </w:tcPr>
          <w:p w14:paraId="6D968DF9" w14:textId="77777777" w:rsidR="007B3DB2" w:rsidRPr="0063248C" w:rsidRDefault="00000000">
            <w:pPr>
              <w:spacing w:line="240" w:lineRule="exact"/>
              <w:jc w:val="right"/>
              <w:rPr>
                <w:rFonts w:cs="宋体"/>
                <w:sz w:val="18"/>
                <w:szCs w:val="18"/>
              </w:rPr>
            </w:pPr>
            <w:r w:rsidRPr="0063248C">
              <w:rPr>
                <w:rFonts w:cs="宋体"/>
                <w:sz w:val="18"/>
                <w:szCs w:val="18"/>
              </w:rPr>
              <w:t>12,211,500.00</w:t>
            </w:r>
          </w:p>
        </w:tc>
      </w:tr>
      <w:tr w:rsidR="007B3DB2" w:rsidRPr="0063248C" w14:paraId="40F8D4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AF602E"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109AC4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22613B" w14:textId="77777777" w:rsidR="007B3DB2" w:rsidRPr="0063248C" w:rsidRDefault="007B3DB2">
            <w:pPr>
              <w:spacing w:line="240" w:lineRule="exact"/>
              <w:jc w:val="right"/>
              <w:rPr>
                <w:rFonts w:cs="宋体"/>
                <w:sz w:val="18"/>
                <w:szCs w:val="18"/>
              </w:rPr>
            </w:pPr>
          </w:p>
        </w:tc>
      </w:tr>
      <w:tr w:rsidR="007B3DB2" w:rsidRPr="0063248C" w14:paraId="6DAC70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FFD176"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05136F5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A31D6B" w14:textId="77777777" w:rsidR="007B3DB2" w:rsidRPr="0063248C" w:rsidRDefault="007B3DB2">
            <w:pPr>
              <w:spacing w:line="240" w:lineRule="exact"/>
              <w:jc w:val="right"/>
              <w:rPr>
                <w:rFonts w:cs="宋体"/>
                <w:sz w:val="18"/>
                <w:szCs w:val="18"/>
              </w:rPr>
            </w:pPr>
          </w:p>
        </w:tc>
      </w:tr>
      <w:tr w:rsidR="007B3DB2" w:rsidRPr="0063248C" w14:paraId="6DC833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5C4EE7"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F4BB82D"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E58265" w14:textId="77777777" w:rsidR="007B3DB2" w:rsidRPr="0063248C" w:rsidRDefault="007B3DB2">
            <w:pPr>
              <w:spacing w:line="240" w:lineRule="exact"/>
              <w:jc w:val="right"/>
              <w:rPr>
                <w:rFonts w:cs="宋体"/>
                <w:sz w:val="18"/>
                <w:szCs w:val="18"/>
              </w:rPr>
            </w:pPr>
          </w:p>
        </w:tc>
      </w:tr>
      <w:tr w:rsidR="007B3DB2" w:rsidRPr="0063248C" w14:paraId="11A816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7955BC" w14:textId="77777777" w:rsidR="007B3DB2" w:rsidRPr="0063248C" w:rsidRDefault="00000000">
            <w:pPr>
              <w:spacing w:line="240" w:lineRule="exact"/>
              <w:rPr>
                <w:rFonts w:cs="宋体"/>
                <w:sz w:val="18"/>
                <w:szCs w:val="18"/>
              </w:rPr>
            </w:pPr>
            <w:r w:rsidRPr="0063248C">
              <w:rPr>
                <w:rFonts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2DDAE1BE" w14:textId="77777777" w:rsidR="007B3DB2" w:rsidRPr="0063248C" w:rsidRDefault="00000000">
            <w:pPr>
              <w:spacing w:line="240" w:lineRule="exact"/>
              <w:jc w:val="right"/>
              <w:rPr>
                <w:rFonts w:cs="宋体"/>
                <w:sz w:val="18"/>
                <w:szCs w:val="18"/>
              </w:rPr>
            </w:pPr>
            <w:r w:rsidRPr="0063248C">
              <w:rPr>
                <w:rFonts w:cs="宋体"/>
                <w:sz w:val="18"/>
                <w:szCs w:val="18"/>
              </w:rPr>
              <w:t>106,208,006.26</w:t>
            </w:r>
          </w:p>
        </w:tc>
        <w:tc>
          <w:tcPr>
            <w:tcW w:w="3213" w:type="dxa"/>
            <w:tcBorders>
              <w:top w:val="single" w:sz="2" w:space="0" w:color="auto"/>
              <w:left w:val="single" w:sz="2" w:space="0" w:color="auto"/>
              <w:bottom w:val="single" w:sz="2" w:space="0" w:color="auto"/>
              <w:right w:val="single" w:sz="2" w:space="0" w:color="auto"/>
            </w:tcBorders>
            <w:vAlign w:val="center"/>
          </w:tcPr>
          <w:p w14:paraId="411304B3" w14:textId="77777777" w:rsidR="007B3DB2" w:rsidRPr="0063248C" w:rsidRDefault="00000000">
            <w:pPr>
              <w:spacing w:line="240" w:lineRule="exact"/>
              <w:jc w:val="right"/>
              <w:rPr>
                <w:rFonts w:cs="宋体"/>
                <w:sz w:val="18"/>
                <w:szCs w:val="18"/>
              </w:rPr>
            </w:pPr>
            <w:r w:rsidRPr="0063248C">
              <w:rPr>
                <w:rFonts w:cs="宋体"/>
                <w:sz w:val="18"/>
                <w:szCs w:val="18"/>
              </w:rPr>
              <w:t>339,768,498.56</w:t>
            </w:r>
          </w:p>
        </w:tc>
      </w:tr>
      <w:tr w:rsidR="007B3DB2" w:rsidRPr="0063248C" w14:paraId="5D5BDF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6988AE" w14:textId="77777777" w:rsidR="007B3DB2" w:rsidRPr="0063248C" w:rsidRDefault="00000000">
            <w:pPr>
              <w:spacing w:line="240" w:lineRule="exact"/>
              <w:rPr>
                <w:rFonts w:cs="宋体"/>
                <w:sz w:val="18"/>
                <w:szCs w:val="18"/>
              </w:rPr>
            </w:pPr>
            <w:r w:rsidRPr="0063248C">
              <w:rPr>
                <w:rFonts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03AD84B5" w14:textId="77777777" w:rsidR="007B3DB2" w:rsidRPr="0063248C" w:rsidRDefault="00000000">
            <w:pPr>
              <w:spacing w:line="240" w:lineRule="exact"/>
              <w:jc w:val="right"/>
              <w:rPr>
                <w:rFonts w:cs="宋体"/>
                <w:sz w:val="18"/>
                <w:szCs w:val="18"/>
              </w:rPr>
            </w:pPr>
            <w:r w:rsidRPr="0063248C">
              <w:rPr>
                <w:rFonts w:cs="宋体"/>
                <w:sz w:val="18"/>
                <w:szCs w:val="18"/>
              </w:rPr>
              <w:t>-105,844,506.26</w:t>
            </w:r>
          </w:p>
        </w:tc>
        <w:tc>
          <w:tcPr>
            <w:tcW w:w="3213" w:type="dxa"/>
            <w:tcBorders>
              <w:top w:val="single" w:sz="2" w:space="0" w:color="auto"/>
              <w:left w:val="single" w:sz="2" w:space="0" w:color="auto"/>
              <w:bottom w:val="single" w:sz="2" w:space="0" w:color="auto"/>
              <w:right w:val="single" w:sz="2" w:space="0" w:color="auto"/>
            </w:tcBorders>
            <w:vAlign w:val="center"/>
          </w:tcPr>
          <w:p w14:paraId="32C8D338" w14:textId="77777777" w:rsidR="007B3DB2" w:rsidRPr="0063248C" w:rsidRDefault="00000000">
            <w:pPr>
              <w:spacing w:line="240" w:lineRule="exact"/>
              <w:jc w:val="right"/>
              <w:rPr>
                <w:rFonts w:cs="宋体"/>
                <w:sz w:val="18"/>
                <w:szCs w:val="18"/>
              </w:rPr>
            </w:pPr>
            <w:r w:rsidRPr="0063248C">
              <w:rPr>
                <w:rFonts w:cs="宋体"/>
                <w:sz w:val="18"/>
                <w:szCs w:val="18"/>
              </w:rPr>
              <w:t>314,341,787.58</w:t>
            </w:r>
          </w:p>
        </w:tc>
      </w:tr>
      <w:tr w:rsidR="007B3DB2" w:rsidRPr="0063248C" w14:paraId="788F8B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96B7B5" w14:textId="77777777" w:rsidR="007B3DB2" w:rsidRPr="0063248C" w:rsidRDefault="00000000">
            <w:pPr>
              <w:spacing w:line="240" w:lineRule="exact"/>
              <w:rPr>
                <w:rFonts w:cs="宋体"/>
                <w:sz w:val="18"/>
                <w:szCs w:val="18"/>
              </w:rPr>
            </w:pPr>
            <w:r w:rsidRPr="0063248C">
              <w:rPr>
                <w:rFonts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125832"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CE4DE9" w14:textId="77777777" w:rsidR="007B3DB2" w:rsidRPr="0063248C" w:rsidRDefault="007B3DB2"/>
        </w:tc>
      </w:tr>
      <w:tr w:rsidR="007B3DB2" w:rsidRPr="0063248C" w14:paraId="26E1DA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ED85B9"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42FCE0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FF580D" w14:textId="77777777" w:rsidR="007B3DB2" w:rsidRPr="0063248C" w:rsidRDefault="00000000">
            <w:pPr>
              <w:spacing w:line="240" w:lineRule="exact"/>
              <w:jc w:val="right"/>
              <w:rPr>
                <w:rFonts w:cs="宋体"/>
                <w:sz w:val="18"/>
                <w:szCs w:val="18"/>
              </w:rPr>
            </w:pPr>
            <w:r w:rsidRPr="0063248C">
              <w:rPr>
                <w:rFonts w:cs="宋体"/>
                <w:sz w:val="18"/>
                <w:szCs w:val="18"/>
              </w:rPr>
              <w:t>3,786,675.95</w:t>
            </w:r>
          </w:p>
        </w:tc>
      </w:tr>
      <w:tr w:rsidR="007B3DB2" w:rsidRPr="0063248C" w14:paraId="1E3160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85F439"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4AF6FA02"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E20D9E" w14:textId="77777777" w:rsidR="007B3DB2" w:rsidRPr="0063248C" w:rsidRDefault="007B3DB2">
            <w:pPr>
              <w:spacing w:line="240" w:lineRule="exact"/>
              <w:jc w:val="right"/>
              <w:rPr>
                <w:rFonts w:cs="宋体"/>
                <w:sz w:val="18"/>
                <w:szCs w:val="18"/>
              </w:rPr>
            </w:pPr>
          </w:p>
        </w:tc>
      </w:tr>
      <w:tr w:rsidR="007B3DB2" w:rsidRPr="0063248C" w14:paraId="733350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3CFF12"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A124748" w14:textId="77777777" w:rsidR="007B3DB2" w:rsidRPr="0063248C" w:rsidRDefault="00000000">
            <w:pPr>
              <w:spacing w:line="240" w:lineRule="exact"/>
              <w:jc w:val="right"/>
              <w:rPr>
                <w:rFonts w:cs="宋体"/>
                <w:sz w:val="18"/>
                <w:szCs w:val="18"/>
              </w:rPr>
            </w:pPr>
            <w:r w:rsidRPr="0063248C">
              <w:rPr>
                <w:rFonts w:cs="宋体"/>
                <w:sz w:val="18"/>
                <w:szCs w:val="18"/>
              </w:rPr>
              <w:t>299,698,973.77</w:t>
            </w:r>
          </w:p>
        </w:tc>
        <w:tc>
          <w:tcPr>
            <w:tcW w:w="3213" w:type="dxa"/>
            <w:tcBorders>
              <w:top w:val="single" w:sz="2" w:space="0" w:color="auto"/>
              <w:left w:val="single" w:sz="2" w:space="0" w:color="auto"/>
              <w:bottom w:val="single" w:sz="2" w:space="0" w:color="auto"/>
              <w:right w:val="single" w:sz="2" w:space="0" w:color="auto"/>
            </w:tcBorders>
            <w:vAlign w:val="center"/>
          </w:tcPr>
          <w:p w14:paraId="1A4564A8" w14:textId="77777777" w:rsidR="007B3DB2" w:rsidRPr="0063248C" w:rsidRDefault="00000000">
            <w:pPr>
              <w:spacing w:line="240" w:lineRule="exact"/>
              <w:jc w:val="right"/>
              <w:rPr>
                <w:rFonts w:cs="宋体"/>
                <w:sz w:val="18"/>
                <w:szCs w:val="18"/>
              </w:rPr>
            </w:pPr>
            <w:r w:rsidRPr="0063248C">
              <w:rPr>
                <w:rFonts w:cs="宋体"/>
                <w:sz w:val="18"/>
                <w:szCs w:val="18"/>
              </w:rPr>
              <w:t>964,584,767.07</w:t>
            </w:r>
          </w:p>
        </w:tc>
      </w:tr>
      <w:tr w:rsidR="007B3DB2" w:rsidRPr="0063248C" w14:paraId="449F53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96E12E"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14962AD" w14:textId="77777777" w:rsidR="007B3DB2" w:rsidRPr="0063248C" w:rsidRDefault="00000000">
            <w:pPr>
              <w:spacing w:line="240" w:lineRule="exact"/>
              <w:jc w:val="right"/>
              <w:rPr>
                <w:rFonts w:cs="宋体"/>
                <w:sz w:val="18"/>
                <w:szCs w:val="18"/>
              </w:rPr>
            </w:pPr>
            <w:r w:rsidRPr="0063248C">
              <w:rPr>
                <w:rFonts w:cs="宋体"/>
                <w:sz w:val="18"/>
                <w:szCs w:val="18"/>
              </w:rPr>
              <w:t>765,070,868.05</w:t>
            </w:r>
          </w:p>
        </w:tc>
        <w:tc>
          <w:tcPr>
            <w:tcW w:w="3213" w:type="dxa"/>
            <w:tcBorders>
              <w:top w:val="single" w:sz="2" w:space="0" w:color="auto"/>
              <w:left w:val="single" w:sz="2" w:space="0" w:color="auto"/>
              <w:bottom w:val="single" w:sz="2" w:space="0" w:color="auto"/>
              <w:right w:val="single" w:sz="2" w:space="0" w:color="auto"/>
            </w:tcBorders>
            <w:vAlign w:val="center"/>
          </w:tcPr>
          <w:p w14:paraId="375B4CD5" w14:textId="77777777" w:rsidR="007B3DB2" w:rsidRPr="0063248C" w:rsidRDefault="00000000">
            <w:pPr>
              <w:spacing w:line="240" w:lineRule="exact"/>
              <w:jc w:val="right"/>
              <w:rPr>
                <w:rFonts w:cs="宋体"/>
                <w:sz w:val="18"/>
                <w:szCs w:val="18"/>
              </w:rPr>
            </w:pPr>
            <w:r w:rsidRPr="0063248C">
              <w:rPr>
                <w:rFonts w:cs="宋体"/>
                <w:sz w:val="18"/>
                <w:szCs w:val="18"/>
              </w:rPr>
              <w:t>659,496,106.18</w:t>
            </w:r>
          </w:p>
        </w:tc>
      </w:tr>
      <w:tr w:rsidR="007B3DB2" w:rsidRPr="0063248C" w14:paraId="2DBA75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61CA09" w14:textId="77777777" w:rsidR="007B3DB2" w:rsidRPr="0063248C" w:rsidRDefault="00000000">
            <w:pPr>
              <w:spacing w:line="240" w:lineRule="exact"/>
              <w:rPr>
                <w:rFonts w:cs="宋体"/>
                <w:sz w:val="18"/>
                <w:szCs w:val="18"/>
              </w:rPr>
            </w:pPr>
            <w:r w:rsidRPr="0063248C">
              <w:rPr>
                <w:rFonts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5590994E" w14:textId="77777777" w:rsidR="007B3DB2" w:rsidRPr="0063248C" w:rsidRDefault="00000000">
            <w:pPr>
              <w:spacing w:line="240" w:lineRule="exact"/>
              <w:jc w:val="right"/>
              <w:rPr>
                <w:rFonts w:cs="宋体"/>
                <w:sz w:val="18"/>
                <w:szCs w:val="18"/>
              </w:rPr>
            </w:pPr>
            <w:r w:rsidRPr="0063248C">
              <w:rPr>
                <w:rFonts w:cs="宋体"/>
                <w:sz w:val="18"/>
                <w:szCs w:val="18"/>
              </w:rPr>
              <w:t>1,064,769,841.82</w:t>
            </w:r>
          </w:p>
        </w:tc>
        <w:tc>
          <w:tcPr>
            <w:tcW w:w="3213" w:type="dxa"/>
            <w:tcBorders>
              <w:top w:val="single" w:sz="2" w:space="0" w:color="auto"/>
              <w:left w:val="single" w:sz="2" w:space="0" w:color="auto"/>
              <w:bottom w:val="single" w:sz="2" w:space="0" w:color="auto"/>
              <w:right w:val="single" w:sz="2" w:space="0" w:color="auto"/>
            </w:tcBorders>
            <w:vAlign w:val="center"/>
          </w:tcPr>
          <w:p w14:paraId="27561D9A" w14:textId="77777777" w:rsidR="007B3DB2" w:rsidRPr="0063248C" w:rsidRDefault="00000000">
            <w:pPr>
              <w:spacing w:line="240" w:lineRule="exact"/>
              <w:jc w:val="right"/>
              <w:rPr>
                <w:rFonts w:cs="宋体"/>
                <w:sz w:val="18"/>
                <w:szCs w:val="18"/>
              </w:rPr>
            </w:pPr>
            <w:r w:rsidRPr="0063248C">
              <w:rPr>
                <w:rFonts w:cs="宋体"/>
                <w:sz w:val="18"/>
                <w:szCs w:val="18"/>
              </w:rPr>
              <w:t>1,627,867,549.20</w:t>
            </w:r>
          </w:p>
        </w:tc>
      </w:tr>
      <w:tr w:rsidR="007B3DB2" w:rsidRPr="0063248C" w14:paraId="342E60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439080"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C0B6B38" w14:textId="77777777" w:rsidR="007B3DB2" w:rsidRPr="0063248C" w:rsidRDefault="00000000">
            <w:pPr>
              <w:spacing w:line="240" w:lineRule="exact"/>
              <w:jc w:val="right"/>
              <w:rPr>
                <w:rFonts w:cs="宋体"/>
                <w:sz w:val="18"/>
                <w:szCs w:val="18"/>
              </w:rPr>
            </w:pPr>
            <w:r w:rsidRPr="0063248C">
              <w:rPr>
                <w:rFonts w:cs="宋体"/>
                <w:sz w:val="18"/>
                <w:szCs w:val="18"/>
              </w:rPr>
              <w:t>540,386,000.00</w:t>
            </w:r>
          </w:p>
        </w:tc>
        <w:tc>
          <w:tcPr>
            <w:tcW w:w="3213" w:type="dxa"/>
            <w:tcBorders>
              <w:top w:val="single" w:sz="2" w:space="0" w:color="auto"/>
              <w:left w:val="single" w:sz="2" w:space="0" w:color="auto"/>
              <w:bottom w:val="single" w:sz="2" w:space="0" w:color="auto"/>
              <w:right w:val="single" w:sz="2" w:space="0" w:color="auto"/>
            </w:tcBorders>
            <w:vAlign w:val="center"/>
          </w:tcPr>
          <w:p w14:paraId="0D1D32B1" w14:textId="77777777" w:rsidR="007B3DB2" w:rsidRPr="0063248C" w:rsidRDefault="00000000">
            <w:pPr>
              <w:spacing w:line="240" w:lineRule="exact"/>
              <w:jc w:val="right"/>
              <w:rPr>
                <w:rFonts w:cs="宋体"/>
                <w:sz w:val="18"/>
                <w:szCs w:val="18"/>
              </w:rPr>
            </w:pPr>
            <w:r w:rsidRPr="0063248C">
              <w:rPr>
                <w:rFonts w:cs="宋体"/>
                <w:sz w:val="18"/>
                <w:szCs w:val="18"/>
              </w:rPr>
              <w:t>956,617,772.83</w:t>
            </w:r>
          </w:p>
        </w:tc>
      </w:tr>
      <w:tr w:rsidR="007B3DB2" w:rsidRPr="0063248C" w14:paraId="5F9A0E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43A023"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2763437F" w14:textId="77777777" w:rsidR="007B3DB2" w:rsidRPr="0063248C" w:rsidRDefault="00000000">
            <w:pPr>
              <w:spacing w:line="240" w:lineRule="exact"/>
              <w:jc w:val="right"/>
              <w:rPr>
                <w:rFonts w:cs="宋体"/>
                <w:sz w:val="18"/>
                <w:szCs w:val="18"/>
              </w:rPr>
            </w:pPr>
            <w:r w:rsidRPr="0063248C">
              <w:rPr>
                <w:rFonts w:cs="宋体"/>
                <w:sz w:val="18"/>
                <w:szCs w:val="18"/>
              </w:rPr>
              <w:t>35,137,258.47</w:t>
            </w:r>
          </w:p>
        </w:tc>
        <w:tc>
          <w:tcPr>
            <w:tcW w:w="3213" w:type="dxa"/>
            <w:tcBorders>
              <w:top w:val="single" w:sz="2" w:space="0" w:color="auto"/>
              <w:left w:val="single" w:sz="2" w:space="0" w:color="auto"/>
              <w:bottom w:val="single" w:sz="2" w:space="0" w:color="auto"/>
              <w:right w:val="single" w:sz="2" w:space="0" w:color="auto"/>
            </w:tcBorders>
            <w:vAlign w:val="center"/>
          </w:tcPr>
          <w:p w14:paraId="26211E74" w14:textId="77777777" w:rsidR="007B3DB2" w:rsidRPr="0063248C" w:rsidRDefault="00000000">
            <w:pPr>
              <w:spacing w:line="240" w:lineRule="exact"/>
              <w:jc w:val="right"/>
              <w:rPr>
                <w:rFonts w:cs="宋体"/>
                <w:sz w:val="18"/>
                <w:szCs w:val="18"/>
              </w:rPr>
            </w:pPr>
            <w:r w:rsidRPr="0063248C">
              <w:rPr>
                <w:rFonts w:cs="宋体"/>
                <w:sz w:val="18"/>
                <w:szCs w:val="18"/>
              </w:rPr>
              <w:t>26,000,344.48</w:t>
            </w:r>
          </w:p>
        </w:tc>
      </w:tr>
      <w:tr w:rsidR="007B3DB2" w:rsidRPr="0063248C" w14:paraId="2678C7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226DDF"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27DDC0B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36982E" w14:textId="77777777" w:rsidR="007B3DB2" w:rsidRPr="0063248C" w:rsidRDefault="007B3DB2">
            <w:pPr>
              <w:spacing w:line="240" w:lineRule="exact"/>
              <w:jc w:val="right"/>
              <w:rPr>
                <w:rFonts w:cs="宋体"/>
                <w:sz w:val="18"/>
                <w:szCs w:val="18"/>
              </w:rPr>
            </w:pPr>
          </w:p>
        </w:tc>
      </w:tr>
      <w:tr w:rsidR="007B3DB2" w:rsidRPr="0063248C" w14:paraId="67B16B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8D01FD"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691ECA2" w14:textId="77777777" w:rsidR="007B3DB2" w:rsidRPr="0063248C" w:rsidRDefault="00000000">
            <w:pPr>
              <w:spacing w:line="240" w:lineRule="exact"/>
              <w:jc w:val="right"/>
              <w:rPr>
                <w:rFonts w:cs="宋体"/>
                <w:sz w:val="18"/>
                <w:szCs w:val="18"/>
              </w:rPr>
            </w:pPr>
            <w:r w:rsidRPr="0063248C">
              <w:rPr>
                <w:rFonts w:cs="宋体"/>
                <w:sz w:val="18"/>
                <w:szCs w:val="18"/>
              </w:rPr>
              <w:t>850,300,659.39</w:t>
            </w:r>
          </w:p>
        </w:tc>
        <w:tc>
          <w:tcPr>
            <w:tcW w:w="3213" w:type="dxa"/>
            <w:tcBorders>
              <w:top w:val="single" w:sz="2" w:space="0" w:color="auto"/>
              <w:left w:val="single" w:sz="2" w:space="0" w:color="auto"/>
              <w:bottom w:val="single" w:sz="2" w:space="0" w:color="auto"/>
              <w:right w:val="single" w:sz="2" w:space="0" w:color="auto"/>
            </w:tcBorders>
            <w:vAlign w:val="center"/>
          </w:tcPr>
          <w:p w14:paraId="5730015F" w14:textId="77777777" w:rsidR="007B3DB2" w:rsidRPr="0063248C" w:rsidRDefault="00000000">
            <w:pPr>
              <w:spacing w:line="240" w:lineRule="exact"/>
              <w:jc w:val="right"/>
              <w:rPr>
                <w:rFonts w:cs="宋体"/>
                <w:sz w:val="18"/>
                <w:szCs w:val="18"/>
              </w:rPr>
            </w:pPr>
            <w:r w:rsidRPr="0063248C">
              <w:rPr>
                <w:rFonts w:cs="宋体"/>
                <w:sz w:val="18"/>
                <w:szCs w:val="18"/>
              </w:rPr>
              <w:t>496,017,775.27</w:t>
            </w:r>
          </w:p>
        </w:tc>
      </w:tr>
      <w:tr w:rsidR="007B3DB2" w:rsidRPr="0063248C" w14:paraId="11C6E1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7DE290" w14:textId="77777777" w:rsidR="007B3DB2" w:rsidRPr="0063248C" w:rsidRDefault="00000000">
            <w:pPr>
              <w:spacing w:line="240" w:lineRule="exact"/>
              <w:rPr>
                <w:rFonts w:cs="宋体"/>
                <w:sz w:val="18"/>
                <w:szCs w:val="18"/>
              </w:rPr>
            </w:pPr>
            <w:r w:rsidRPr="0063248C">
              <w:rPr>
                <w:rFonts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24695FB1" w14:textId="77777777" w:rsidR="007B3DB2" w:rsidRPr="0063248C" w:rsidRDefault="00000000">
            <w:pPr>
              <w:spacing w:line="240" w:lineRule="exact"/>
              <w:jc w:val="right"/>
              <w:rPr>
                <w:rFonts w:cs="宋体"/>
                <w:sz w:val="18"/>
                <w:szCs w:val="18"/>
              </w:rPr>
            </w:pPr>
            <w:r w:rsidRPr="0063248C">
              <w:rPr>
                <w:rFonts w:cs="宋体"/>
                <w:sz w:val="18"/>
                <w:szCs w:val="18"/>
              </w:rPr>
              <w:t>1,425,823,917.86</w:t>
            </w:r>
          </w:p>
        </w:tc>
        <w:tc>
          <w:tcPr>
            <w:tcW w:w="3213" w:type="dxa"/>
            <w:tcBorders>
              <w:top w:val="single" w:sz="2" w:space="0" w:color="auto"/>
              <w:left w:val="single" w:sz="2" w:space="0" w:color="auto"/>
              <w:bottom w:val="single" w:sz="2" w:space="0" w:color="auto"/>
              <w:right w:val="single" w:sz="2" w:space="0" w:color="auto"/>
            </w:tcBorders>
            <w:vAlign w:val="center"/>
          </w:tcPr>
          <w:p w14:paraId="7988D7AC" w14:textId="77777777" w:rsidR="007B3DB2" w:rsidRPr="0063248C" w:rsidRDefault="00000000">
            <w:pPr>
              <w:spacing w:line="240" w:lineRule="exact"/>
              <w:jc w:val="right"/>
              <w:rPr>
                <w:rFonts w:cs="宋体"/>
                <w:sz w:val="18"/>
                <w:szCs w:val="18"/>
              </w:rPr>
            </w:pPr>
            <w:r w:rsidRPr="0063248C">
              <w:rPr>
                <w:rFonts w:cs="宋体"/>
                <w:sz w:val="18"/>
                <w:szCs w:val="18"/>
              </w:rPr>
              <w:t>1,478,635,892.58</w:t>
            </w:r>
          </w:p>
        </w:tc>
      </w:tr>
      <w:tr w:rsidR="007B3DB2" w:rsidRPr="0063248C" w14:paraId="2C8B00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C72EF2" w14:textId="77777777" w:rsidR="007B3DB2" w:rsidRPr="0063248C" w:rsidRDefault="00000000">
            <w:pPr>
              <w:spacing w:line="240" w:lineRule="exact"/>
              <w:rPr>
                <w:rFonts w:cs="宋体"/>
                <w:sz w:val="18"/>
                <w:szCs w:val="18"/>
              </w:rPr>
            </w:pPr>
            <w:r w:rsidRPr="0063248C">
              <w:rPr>
                <w:rFonts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1560BC27" w14:textId="77777777" w:rsidR="007B3DB2" w:rsidRPr="0063248C" w:rsidRDefault="00000000">
            <w:pPr>
              <w:spacing w:line="240" w:lineRule="exact"/>
              <w:jc w:val="right"/>
              <w:rPr>
                <w:rFonts w:cs="宋体"/>
                <w:sz w:val="18"/>
                <w:szCs w:val="18"/>
              </w:rPr>
            </w:pPr>
            <w:r w:rsidRPr="0063248C">
              <w:rPr>
                <w:rFonts w:cs="宋体"/>
                <w:sz w:val="18"/>
                <w:szCs w:val="18"/>
              </w:rPr>
              <w:t>-361,054,076.04</w:t>
            </w:r>
          </w:p>
        </w:tc>
        <w:tc>
          <w:tcPr>
            <w:tcW w:w="3213" w:type="dxa"/>
            <w:tcBorders>
              <w:top w:val="single" w:sz="2" w:space="0" w:color="auto"/>
              <w:left w:val="single" w:sz="2" w:space="0" w:color="auto"/>
              <w:bottom w:val="single" w:sz="2" w:space="0" w:color="auto"/>
              <w:right w:val="single" w:sz="2" w:space="0" w:color="auto"/>
            </w:tcBorders>
            <w:vAlign w:val="center"/>
          </w:tcPr>
          <w:p w14:paraId="3B1EED86" w14:textId="77777777" w:rsidR="007B3DB2" w:rsidRPr="0063248C" w:rsidRDefault="00000000">
            <w:pPr>
              <w:spacing w:line="240" w:lineRule="exact"/>
              <w:jc w:val="right"/>
              <w:rPr>
                <w:rFonts w:cs="宋体"/>
                <w:sz w:val="18"/>
                <w:szCs w:val="18"/>
              </w:rPr>
            </w:pPr>
            <w:r w:rsidRPr="0063248C">
              <w:rPr>
                <w:rFonts w:cs="宋体"/>
                <w:sz w:val="18"/>
                <w:szCs w:val="18"/>
              </w:rPr>
              <w:t>149,231,656.62</w:t>
            </w:r>
          </w:p>
        </w:tc>
      </w:tr>
      <w:tr w:rsidR="007B3DB2" w:rsidRPr="0063248C" w14:paraId="4B1115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AC767F" w14:textId="77777777" w:rsidR="007B3DB2" w:rsidRPr="0063248C" w:rsidRDefault="00000000">
            <w:pPr>
              <w:spacing w:line="240" w:lineRule="exact"/>
              <w:rPr>
                <w:rFonts w:cs="宋体"/>
                <w:sz w:val="18"/>
                <w:szCs w:val="18"/>
              </w:rPr>
            </w:pPr>
            <w:r w:rsidRPr="0063248C">
              <w:rPr>
                <w:rFonts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524AD508" w14:textId="77777777" w:rsidR="007B3DB2" w:rsidRPr="0063248C" w:rsidRDefault="00000000">
            <w:pPr>
              <w:spacing w:line="240" w:lineRule="exact"/>
              <w:jc w:val="right"/>
              <w:rPr>
                <w:rFonts w:cs="宋体"/>
                <w:sz w:val="18"/>
                <w:szCs w:val="18"/>
              </w:rPr>
            </w:pPr>
            <w:r w:rsidRPr="0063248C">
              <w:rPr>
                <w:rFonts w:cs="宋体"/>
                <w:sz w:val="18"/>
                <w:szCs w:val="18"/>
              </w:rPr>
              <w:t>570.08</w:t>
            </w:r>
          </w:p>
        </w:tc>
        <w:tc>
          <w:tcPr>
            <w:tcW w:w="3213" w:type="dxa"/>
            <w:tcBorders>
              <w:top w:val="single" w:sz="2" w:space="0" w:color="auto"/>
              <w:left w:val="single" w:sz="2" w:space="0" w:color="auto"/>
              <w:bottom w:val="single" w:sz="2" w:space="0" w:color="auto"/>
              <w:right w:val="single" w:sz="2" w:space="0" w:color="auto"/>
            </w:tcBorders>
            <w:vAlign w:val="center"/>
          </w:tcPr>
          <w:p w14:paraId="1BDB6727" w14:textId="77777777" w:rsidR="007B3DB2" w:rsidRPr="0063248C" w:rsidRDefault="00000000">
            <w:pPr>
              <w:spacing w:line="240" w:lineRule="exact"/>
              <w:jc w:val="right"/>
              <w:rPr>
                <w:rFonts w:cs="宋体"/>
                <w:sz w:val="18"/>
                <w:szCs w:val="18"/>
              </w:rPr>
            </w:pPr>
            <w:r w:rsidRPr="0063248C">
              <w:rPr>
                <w:rFonts w:cs="宋体"/>
                <w:sz w:val="18"/>
                <w:szCs w:val="18"/>
              </w:rPr>
              <w:t>69,269.64</w:t>
            </w:r>
          </w:p>
        </w:tc>
      </w:tr>
      <w:tr w:rsidR="007B3DB2" w:rsidRPr="0063248C" w14:paraId="7FC3D3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705475" w14:textId="77777777" w:rsidR="007B3DB2" w:rsidRPr="0063248C" w:rsidRDefault="00000000">
            <w:pPr>
              <w:spacing w:line="240" w:lineRule="exact"/>
              <w:rPr>
                <w:rFonts w:cs="宋体"/>
                <w:sz w:val="18"/>
                <w:szCs w:val="18"/>
              </w:rPr>
            </w:pPr>
            <w:r w:rsidRPr="0063248C">
              <w:rPr>
                <w:rFonts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565067D" w14:textId="77777777" w:rsidR="007B3DB2" w:rsidRPr="0063248C" w:rsidRDefault="00000000">
            <w:pPr>
              <w:spacing w:line="240" w:lineRule="exact"/>
              <w:jc w:val="right"/>
              <w:rPr>
                <w:rFonts w:cs="宋体"/>
                <w:sz w:val="18"/>
                <w:szCs w:val="18"/>
              </w:rPr>
            </w:pPr>
            <w:r w:rsidRPr="0063248C">
              <w:rPr>
                <w:rFonts w:cs="宋体"/>
                <w:sz w:val="18"/>
                <w:szCs w:val="18"/>
              </w:rPr>
              <w:t>-245,372,779.17</w:t>
            </w:r>
          </w:p>
        </w:tc>
        <w:tc>
          <w:tcPr>
            <w:tcW w:w="3213" w:type="dxa"/>
            <w:tcBorders>
              <w:top w:val="single" w:sz="2" w:space="0" w:color="auto"/>
              <w:left w:val="single" w:sz="2" w:space="0" w:color="auto"/>
              <w:bottom w:val="single" w:sz="2" w:space="0" w:color="auto"/>
              <w:right w:val="single" w:sz="2" w:space="0" w:color="auto"/>
            </w:tcBorders>
            <w:vAlign w:val="center"/>
          </w:tcPr>
          <w:p w14:paraId="5FB6B828" w14:textId="77777777" w:rsidR="007B3DB2" w:rsidRPr="0063248C" w:rsidRDefault="00000000">
            <w:pPr>
              <w:spacing w:line="240" w:lineRule="exact"/>
              <w:jc w:val="right"/>
              <w:rPr>
                <w:rFonts w:cs="宋体"/>
                <w:sz w:val="18"/>
                <w:szCs w:val="18"/>
              </w:rPr>
            </w:pPr>
            <w:r w:rsidRPr="0063248C">
              <w:rPr>
                <w:rFonts w:cs="宋体"/>
                <w:sz w:val="18"/>
                <w:szCs w:val="18"/>
              </w:rPr>
              <w:t>97,087,269.40</w:t>
            </w:r>
          </w:p>
        </w:tc>
      </w:tr>
      <w:tr w:rsidR="007B3DB2" w:rsidRPr="0063248C" w14:paraId="399972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84E24F"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02EAADEB" w14:textId="77777777" w:rsidR="007B3DB2" w:rsidRPr="0063248C" w:rsidRDefault="00000000">
            <w:pPr>
              <w:spacing w:line="240" w:lineRule="exact"/>
              <w:jc w:val="right"/>
              <w:rPr>
                <w:rFonts w:cs="宋体"/>
                <w:sz w:val="18"/>
                <w:szCs w:val="18"/>
              </w:rPr>
            </w:pPr>
            <w:r w:rsidRPr="0063248C">
              <w:rPr>
                <w:rFonts w:cs="宋体"/>
                <w:sz w:val="18"/>
                <w:szCs w:val="18"/>
              </w:rPr>
              <w:t>903,314,576.39</w:t>
            </w:r>
          </w:p>
        </w:tc>
        <w:tc>
          <w:tcPr>
            <w:tcW w:w="3213" w:type="dxa"/>
            <w:tcBorders>
              <w:top w:val="single" w:sz="2" w:space="0" w:color="auto"/>
              <w:left w:val="single" w:sz="2" w:space="0" w:color="auto"/>
              <w:bottom w:val="single" w:sz="2" w:space="0" w:color="auto"/>
              <w:right w:val="single" w:sz="2" w:space="0" w:color="auto"/>
            </w:tcBorders>
            <w:vAlign w:val="center"/>
          </w:tcPr>
          <w:p w14:paraId="001ED336" w14:textId="77777777" w:rsidR="007B3DB2" w:rsidRPr="0063248C" w:rsidRDefault="00000000">
            <w:pPr>
              <w:spacing w:line="240" w:lineRule="exact"/>
              <w:jc w:val="right"/>
              <w:rPr>
                <w:rFonts w:cs="宋体"/>
                <w:sz w:val="18"/>
                <w:szCs w:val="18"/>
              </w:rPr>
            </w:pPr>
            <w:r w:rsidRPr="0063248C">
              <w:rPr>
                <w:rFonts w:cs="宋体"/>
                <w:sz w:val="18"/>
                <w:szCs w:val="18"/>
              </w:rPr>
              <w:t>749,118,356.19</w:t>
            </w:r>
          </w:p>
        </w:tc>
      </w:tr>
      <w:tr w:rsidR="007B3DB2" w:rsidRPr="0063248C" w14:paraId="300CD8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DD69D6" w14:textId="77777777" w:rsidR="007B3DB2" w:rsidRPr="0063248C" w:rsidRDefault="00000000">
            <w:pPr>
              <w:spacing w:line="240" w:lineRule="exact"/>
              <w:rPr>
                <w:rFonts w:cs="宋体"/>
                <w:sz w:val="18"/>
                <w:szCs w:val="18"/>
              </w:rPr>
            </w:pPr>
            <w:r w:rsidRPr="0063248C">
              <w:rPr>
                <w:rFonts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1F321215" w14:textId="77777777" w:rsidR="007B3DB2" w:rsidRPr="0063248C" w:rsidRDefault="00000000">
            <w:pPr>
              <w:spacing w:line="240" w:lineRule="exact"/>
              <w:jc w:val="right"/>
              <w:rPr>
                <w:rFonts w:cs="宋体"/>
                <w:sz w:val="18"/>
                <w:szCs w:val="18"/>
              </w:rPr>
            </w:pPr>
            <w:r w:rsidRPr="0063248C">
              <w:rPr>
                <w:rFonts w:cs="宋体"/>
                <w:sz w:val="18"/>
                <w:szCs w:val="18"/>
              </w:rPr>
              <w:t>657,941,797.22</w:t>
            </w:r>
          </w:p>
        </w:tc>
        <w:tc>
          <w:tcPr>
            <w:tcW w:w="3213" w:type="dxa"/>
            <w:tcBorders>
              <w:top w:val="single" w:sz="2" w:space="0" w:color="auto"/>
              <w:left w:val="single" w:sz="2" w:space="0" w:color="auto"/>
              <w:bottom w:val="single" w:sz="2" w:space="0" w:color="auto"/>
              <w:right w:val="single" w:sz="2" w:space="0" w:color="auto"/>
            </w:tcBorders>
            <w:vAlign w:val="center"/>
          </w:tcPr>
          <w:p w14:paraId="5EEC7336" w14:textId="77777777" w:rsidR="007B3DB2" w:rsidRPr="0063248C" w:rsidRDefault="00000000">
            <w:pPr>
              <w:spacing w:line="240" w:lineRule="exact"/>
              <w:jc w:val="right"/>
              <w:rPr>
                <w:rFonts w:cs="宋体"/>
                <w:sz w:val="18"/>
                <w:szCs w:val="18"/>
              </w:rPr>
            </w:pPr>
            <w:r w:rsidRPr="0063248C">
              <w:rPr>
                <w:rFonts w:cs="宋体"/>
                <w:sz w:val="18"/>
                <w:szCs w:val="18"/>
              </w:rPr>
              <w:t>846,205,625.59</w:t>
            </w:r>
          </w:p>
        </w:tc>
      </w:tr>
    </w:tbl>
    <w:p w14:paraId="77E13A90" w14:textId="77777777" w:rsidR="007B3DB2" w:rsidRPr="0063248C" w:rsidRDefault="00000000">
      <w:pPr>
        <w:pStyle w:val="3"/>
        <w:spacing w:line="280" w:lineRule="exact"/>
        <w:jc w:val="left"/>
        <w:rPr>
          <w:rFonts w:cs="宋体"/>
          <w:b/>
          <w:bCs/>
        </w:rPr>
      </w:pPr>
      <w:bookmarkStart w:id="109" w:name="_Toc988998"/>
      <w:r w:rsidRPr="0063248C">
        <w:rPr>
          <w:rFonts w:cs="宋体"/>
          <w:b/>
          <w:bCs/>
        </w:rPr>
        <w:t>6</w:t>
      </w:r>
      <w:r w:rsidRPr="0063248C">
        <w:rPr>
          <w:rFonts w:cs="宋体"/>
          <w:b/>
          <w:bCs/>
        </w:rPr>
        <w:t>、母公司现金流量表</w:t>
      </w:r>
      <w:bookmarkEnd w:id="109"/>
    </w:p>
    <w:p w14:paraId="16909EBA" w14:textId="77777777" w:rsidR="007B3DB2" w:rsidRPr="0063248C" w:rsidRDefault="00000000">
      <w:pPr>
        <w:spacing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03E02E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25F526" w14:textId="77777777" w:rsidR="007B3DB2" w:rsidRPr="0063248C" w:rsidRDefault="00000000">
            <w:pPr>
              <w:spacing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3A99C1" w14:textId="77777777" w:rsidR="007B3DB2" w:rsidRPr="0063248C" w:rsidRDefault="00000000">
            <w:pPr>
              <w:spacing w:line="240" w:lineRule="exact"/>
              <w:jc w:val="center"/>
              <w:rPr>
                <w:rFonts w:cs="宋体"/>
                <w:sz w:val="18"/>
                <w:szCs w:val="18"/>
              </w:rPr>
            </w:pPr>
            <w:r w:rsidRPr="0063248C">
              <w:rPr>
                <w:rFonts w:cs="宋体"/>
                <w:sz w:val="18"/>
                <w:szCs w:val="18"/>
              </w:rPr>
              <w:t>2024</w:t>
            </w:r>
            <w:r w:rsidRPr="0063248C">
              <w:rPr>
                <w:rFonts w:cs="宋体"/>
                <w:sz w:val="18"/>
                <w:szCs w:val="18"/>
              </w:rPr>
              <w:t>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2970FB" w14:textId="77777777" w:rsidR="007B3DB2" w:rsidRPr="0063248C" w:rsidRDefault="00000000">
            <w:pPr>
              <w:spacing w:line="240" w:lineRule="exact"/>
              <w:jc w:val="center"/>
              <w:rPr>
                <w:rFonts w:cs="宋体"/>
                <w:sz w:val="18"/>
                <w:szCs w:val="18"/>
              </w:rPr>
            </w:pPr>
            <w:r w:rsidRPr="0063248C">
              <w:rPr>
                <w:rFonts w:cs="宋体"/>
                <w:sz w:val="18"/>
                <w:szCs w:val="18"/>
              </w:rPr>
              <w:t>2023</w:t>
            </w:r>
            <w:r w:rsidRPr="0063248C">
              <w:rPr>
                <w:rFonts w:cs="宋体"/>
                <w:sz w:val="18"/>
                <w:szCs w:val="18"/>
              </w:rPr>
              <w:t>年半年度</w:t>
            </w:r>
          </w:p>
        </w:tc>
      </w:tr>
      <w:tr w:rsidR="007B3DB2" w:rsidRPr="0063248C" w14:paraId="70B92F6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5CB64E" w14:textId="77777777" w:rsidR="007B3DB2" w:rsidRPr="0063248C" w:rsidRDefault="00000000">
            <w:pPr>
              <w:spacing w:line="240" w:lineRule="exact"/>
              <w:rPr>
                <w:rFonts w:cs="宋体"/>
                <w:sz w:val="18"/>
                <w:szCs w:val="18"/>
              </w:rPr>
            </w:pPr>
            <w:r w:rsidRPr="0063248C">
              <w:rPr>
                <w:rFonts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CABDFA"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E71263" w14:textId="77777777" w:rsidR="007B3DB2" w:rsidRPr="0063248C" w:rsidRDefault="007B3DB2"/>
        </w:tc>
      </w:tr>
      <w:tr w:rsidR="007B3DB2" w:rsidRPr="0063248C" w14:paraId="737FDB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5BD77D"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5D6686E3" w14:textId="77777777" w:rsidR="007B3DB2" w:rsidRPr="0063248C" w:rsidRDefault="00000000">
            <w:pPr>
              <w:spacing w:line="240" w:lineRule="exact"/>
              <w:jc w:val="right"/>
              <w:rPr>
                <w:rFonts w:cs="宋体"/>
                <w:sz w:val="18"/>
                <w:szCs w:val="18"/>
              </w:rPr>
            </w:pPr>
            <w:r w:rsidRPr="0063248C">
              <w:rPr>
                <w:rFonts w:cs="宋体"/>
                <w:sz w:val="18"/>
                <w:szCs w:val="18"/>
              </w:rPr>
              <w:t>2,097,643,867.74</w:t>
            </w:r>
          </w:p>
        </w:tc>
        <w:tc>
          <w:tcPr>
            <w:tcW w:w="3213" w:type="dxa"/>
            <w:tcBorders>
              <w:top w:val="single" w:sz="2" w:space="0" w:color="auto"/>
              <w:left w:val="single" w:sz="2" w:space="0" w:color="auto"/>
              <w:bottom w:val="single" w:sz="2" w:space="0" w:color="auto"/>
              <w:right w:val="single" w:sz="2" w:space="0" w:color="auto"/>
            </w:tcBorders>
            <w:vAlign w:val="center"/>
          </w:tcPr>
          <w:p w14:paraId="4151A04F" w14:textId="77777777" w:rsidR="007B3DB2" w:rsidRPr="0063248C" w:rsidRDefault="00000000">
            <w:pPr>
              <w:spacing w:line="240" w:lineRule="exact"/>
              <w:jc w:val="right"/>
              <w:rPr>
                <w:rFonts w:cs="宋体"/>
                <w:sz w:val="18"/>
                <w:szCs w:val="18"/>
              </w:rPr>
            </w:pPr>
            <w:r w:rsidRPr="0063248C">
              <w:rPr>
                <w:rFonts w:cs="宋体"/>
                <w:sz w:val="18"/>
                <w:szCs w:val="18"/>
              </w:rPr>
              <w:t>2,673,700,392.10</w:t>
            </w:r>
          </w:p>
        </w:tc>
      </w:tr>
      <w:tr w:rsidR="007B3DB2" w:rsidRPr="0063248C" w14:paraId="668FE9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13BCED"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0F438F44"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2DDBDBE7" w14:textId="77777777" w:rsidR="007B3DB2" w:rsidRPr="0063248C" w:rsidRDefault="00000000">
            <w:pPr>
              <w:spacing w:line="240" w:lineRule="exact"/>
              <w:jc w:val="right"/>
              <w:rPr>
                <w:rFonts w:cs="宋体"/>
                <w:sz w:val="18"/>
                <w:szCs w:val="18"/>
              </w:rPr>
            </w:pPr>
            <w:r w:rsidRPr="0063248C">
              <w:rPr>
                <w:rFonts w:cs="宋体"/>
                <w:sz w:val="18"/>
                <w:szCs w:val="18"/>
              </w:rPr>
              <w:t>27,487,047.87</w:t>
            </w:r>
          </w:p>
        </w:tc>
      </w:tr>
      <w:tr w:rsidR="007B3DB2" w:rsidRPr="0063248C" w14:paraId="045669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F3851A"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E461C46" w14:textId="77777777" w:rsidR="007B3DB2" w:rsidRPr="0063248C" w:rsidRDefault="00000000">
            <w:pPr>
              <w:spacing w:line="240" w:lineRule="exact"/>
              <w:jc w:val="right"/>
              <w:rPr>
                <w:rFonts w:cs="宋体"/>
                <w:sz w:val="18"/>
                <w:szCs w:val="18"/>
              </w:rPr>
            </w:pPr>
            <w:r w:rsidRPr="0063248C">
              <w:rPr>
                <w:rFonts w:cs="宋体"/>
                <w:sz w:val="18"/>
                <w:szCs w:val="18"/>
              </w:rPr>
              <w:t>31,922,998.99</w:t>
            </w:r>
          </w:p>
        </w:tc>
        <w:tc>
          <w:tcPr>
            <w:tcW w:w="3213" w:type="dxa"/>
            <w:tcBorders>
              <w:top w:val="single" w:sz="2" w:space="0" w:color="auto"/>
              <w:left w:val="single" w:sz="2" w:space="0" w:color="auto"/>
              <w:bottom w:val="single" w:sz="2" w:space="0" w:color="auto"/>
              <w:right w:val="single" w:sz="2" w:space="0" w:color="auto"/>
            </w:tcBorders>
            <w:vAlign w:val="center"/>
          </w:tcPr>
          <w:p w14:paraId="72B77D7F" w14:textId="77777777" w:rsidR="007B3DB2" w:rsidRPr="0063248C" w:rsidRDefault="00000000">
            <w:pPr>
              <w:spacing w:line="240" w:lineRule="exact"/>
              <w:jc w:val="right"/>
              <w:rPr>
                <w:rFonts w:cs="宋体"/>
                <w:sz w:val="18"/>
                <w:szCs w:val="18"/>
              </w:rPr>
            </w:pPr>
            <w:r w:rsidRPr="0063248C">
              <w:rPr>
                <w:rFonts w:cs="宋体"/>
                <w:sz w:val="18"/>
                <w:szCs w:val="18"/>
              </w:rPr>
              <w:t>39,347,953.74</w:t>
            </w:r>
          </w:p>
        </w:tc>
      </w:tr>
      <w:tr w:rsidR="007B3DB2" w:rsidRPr="0063248C" w14:paraId="50176F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21B58C" w14:textId="77777777" w:rsidR="007B3DB2" w:rsidRPr="0063248C" w:rsidRDefault="00000000">
            <w:pPr>
              <w:spacing w:line="240" w:lineRule="exact"/>
              <w:rPr>
                <w:rFonts w:cs="宋体"/>
                <w:sz w:val="18"/>
                <w:szCs w:val="18"/>
              </w:rPr>
            </w:pPr>
            <w:r w:rsidRPr="0063248C">
              <w:rPr>
                <w:rFonts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623E7434" w14:textId="77777777" w:rsidR="007B3DB2" w:rsidRPr="0063248C" w:rsidRDefault="00000000">
            <w:pPr>
              <w:spacing w:line="240" w:lineRule="exact"/>
              <w:jc w:val="right"/>
              <w:rPr>
                <w:rFonts w:cs="宋体"/>
                <w:sz w:val="18"/>
                <w:szCs w:val="18"/>
              </w:rPr>
            </w:pPr>
            <w:r w:rsidRPr="0063248C">
              <w:rPr>
                <w:rFonts w:cs="宋体"/>
                <w:sz w:val="18"/>
                <w:szCs w:val="18"/>
              </w:rPr>
              <w:t>2,129,566,866.73</w:t>
            </w:r>
          </w:p>
        </w:tc>
        <w:tc>
          <w:tcPr>
            <w:tcW w:w="3213" w:type="dxa"/>
            <w:tcBorders>
              <w:top w:val="single" w:sz="2" w:space="0" w:color="auto"/>
              <w:left w:val="single" w:sz="2" w:space="0" w:color="auto"/>
              <w:bottom w:val="single" w:sz="2" w:space="0" w:color="auto"/>
              <w:right w:val="single" w:sz="2" w:space="0" w:color="auto"/>
            </w:tcBorders>
            <w:vAlign w:val="center"/>
          </w:tcPr>
          <w:p w14:paraId="10FCDF83" w14:textId="77777777" w:rsidR="007B3DB2" w:rsidRPr="0063248C" w:rsidRDefault="00000000">
            <w:pPr>
              <w:spacing w:line="240" w:lineRule="exact"/>
              <w:jc w:val="right"/>
              <w:rPr>
                <w:rFonts w:cs="宋体"/>
                <w:sz w:val="18"/>
                <w:szCs w:val="18"/>
              </w:rPr>
            </w:pPr>
            <w:r w:rsidRPr="0063248C">
              <w:rPr>
                <w:rFonts w:cs="宋体"/>
                <w:sz w:val="18"/>
                <w:szCs w:val="18"/>
              </w:rPr>
              <w:t>2,740,535,393.71</w:t>
            </w:r>
          </w:p>
        </w:tc>
      </w:tr>
      <w:tr w:rsidR="007B3DB2" w:rsidRPr="0063248C" w14:paraId="1136D7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156DC2"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7207955" w14:textId="77777777" w:rsidR="007B3DB2" w:rsidRPr="0063248C" w:rsidRDefault="00000000">
            <w:pPr>
              <w:spacing w:line="240" w:lineRule="exact"/>
              <w:jc w:val="right"/>
              <w:rPr>
                <w:rFonts w:cs="宋体"/>
                <w:sz w:val="18"/>
                <w:szCs w:val="18"/>
              </w:rPr>
            </w:pPr>
            <w:r w:rsidRPr="0063248C">
              <w:rPr>
                <w:rFonts w:cs="宋体"/>
                <w:sz w:val="18"/>
                <w:szCs w:val="18"/>
              </w:rPr>
              <w:t>1,739,996,096.95</w:t>
            </w:r>
          </w:p>
        </w:tc>
        <w:tc>
          <w:tcPr>
            <w:tcW w:w="3213" w:type="dxa"/>
            <w:tcBorders>
              <w:top w:val="single" w:sz="2" w:space="0" w:color="auto"/>
              <w:left w:val="single" w:sz="2" w:space="0" w:color="auto"/>
              <w:bottom w:val="single" w:sz="2" w:space="0" w:color="auto"/>
              <w:right w:val="single" w:sz="2" w:space="0" w:color="auto"/>
            </w:tcBorders>
            <w:vAlign w:val="center"/>
          </w:tcPr>
          <w:p w14:paraId="03DB5ACB" w14:textId="77777777" w:rsidR="007B3DB2" w:rsidRPr="0063248C" w:rsidRDefault="00000000">
            <w:pPr>
              <w:spacing w:line="240" w:lineRule="exact"/>
              <w:jc w:val="right"/>
              <w:rPr>
                <w:rFonts w:cs="宋体"/>
                <w:sz w:val="18"/>
                <w:szCs w:val="18"/>
              </w:rPr>
            </w:pPr>
            <w:r w:rsidRPr="0063248C">
              <w:rPr>
                <w:rFonts w:cs="宋体"/>
                <w:sz w:val="18"/>
                <w:szCs w:val="18"/>
              </w:rPr>
              <w:t>2,646,280,302.39</w:t>
            </w:r>
          </w:p>
        </w:tc>
      </w:tr>
      <w:tr w:rsidR="007B3DB2" w:rsidRPr="0063248C" w14:paraId="2C6ED2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07FDBE"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D9E21C9" w14:textId="77777777" w:rsidR="007B3DB2" w:rsidRPr="0063248C" w:rsidRDefault="00000000">
            <w:pPr>
              <w:spacing w:line="240" w:lineRule="exact"/>
              <w:jc w:val="right"/>
              <w:rPr>
                <w:rFonts w:cs="宋体"/>
                <w:sz w:val="18"/>
                <w:szCs w:val="18"/>
              </w:rPr>
            </w:pPr>
            <w:r w:rsidRPr="0063248C">
              <w:rPr>
                <w:rFonts w:cs="宋体"/>
                <w:sz w:val="18"/>
                <w:szCs w:val="18"/>
              </w:rPr>
              <w:t>99,864,535.53</w:t>
            </w:r>
          </w:p>
        </w:tc>
        <w:tc>
          <w:tcPr>
            <w:tcW w:w="3213" w:type="dxa"/>
            <w:tcBorders>
              <w:top w:val="single" w:sz="2" w:space="0" w:color="auto"/>
              <w:left w:val="single" w:sz="2" w:space="0" w:color="auto"/>
              <w:bottom w:val="single" w:sz="2" w:space="0" w:color="auto"/>
              <w:right w:val="single" w:sz="2" w:space="0" w:color="auto"/>
            </w:tcBorders>
            <w:vAlign w:val="center"/>
          </w:tcPr>
          <w:p w14:paraId="46830BF7" w14:textId="77777777" w:rsidR="007B3DB2" w:rsidRPr="0063248C" w:rsidRDefault="00000000">
            <w:pPr>
              <w:spacing w:line="240" w:lineRule="exact"/>
              <w:jc w:val="right"/>
              <w:rPr>
                <w:rFonts w:cs="宋体"/>
                <w:sz w:val="18"/>
                <w:szCs w:val="18"/>
              </w:rPr>
            </w:pPr>
            <w:r w:rsidRPr="0063248C">
              <w:rPr>
                <w:rFonts w:cs="宋体"/>
                <w:sz w:val="18"/>
                <w:szCs w:val="18"/>
              </w:rPr>
              <w:t>123,965,562.00</w:t>
            </w:r>
          </w:p>
        </w:tc>
      </w:tr>
      <w:tr w:rsidR="007B3DB2" w:rsidRPr="0063248C" w14:paraId="6CDF58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7E30D1"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2E239CD1" w14:textId="77777777" w:rsidR="007B3DB2" w:rsidRPr="0063248C" w:rsidRDefault="00000000">
            <w:pPr>
              <w:spacing w:line="240" w:lineRule="exact"/>
              <w:jc w:val="right"/>
              <w:rPr>
                <w:rFonts w:cs="宋体"/>
                <w:sz w:val="18"/>
                <w:szCs w:val="18"/>
              </w:rPr>
            </w:pPr>
            <w:r w:rsidRPr="0063248C">
              <w:rPr>
                <w:rFonts w:cs="宋体"/>
                <w:sz w:val="18"/>
                <w:szCs w:val="18"/>
              </w:rPr>
              <w:t>3,721,055.30</w:t>
            </w:r>
          </w:p>
        </w:tc>
        <w:tc>
          <w:tcPr>
            <w:tcW w:w="3213" w:type="dxa"/>
            <w:tcBorders>
              <w:top w:val="single" w:sz="2" w:space="0" w:color="auto"/>
              <w:left w:val="single" w:sz="2" w:space="0" w:color="auto"/>
              <w:bottom w:val="single" w:sz="2" w:space="0" w:color="auto"/>
              <w:right w:val="single" w:sz="2" w:space="0" w:color="auto"/>
            </w:tcBorders>
            <w:vAlign w:val="center"/>
          </w:tcPr>
          <w:p w14:paraId="2743BE11" w14:textId="77777777" w:rsidR="007B3DB2" w:rsidRPr="0063248C" w:rsidRDefault="00000000">
            <w:pPr>
              <w:spacing w:line="240" w:lineRule="exact"/>
              <w:jc w:val="right"/>
              <w:rPr>
                <w:rFonts w:cs="宋体"/>
                <w:sz w:val="18"/>
                <w:szCs w:val="18"/>
              </w:rPr>
            </w:pPr>
            <w:r w:rsidRPr="0063248C">
              <w:rPr>
                <w:rFonts w:cs="宋体"/>
                <w:sz w:val="18"/>
                <w:szCs w:val="18"/>
              </w:rPr>
              <w:t>3,595,764.40</w:t>
            </w:r>
          </w:p>
        </w:tc>
      </w:tr>
      <w:tr w:rsidR="007B3DB2" w:rsidRPr="0063248C" w14:paraId="505FD4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48C944"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65E1D08" w14:textId="77777777" w:rsidR="007B3DB2" w:rsidRPr="0063248C" w:rsidRDefault="00000000">
            <w:pPr>
              <w:spacing w:line="240" w:lineRule="exact"/>
              <w:jc w:val="right"/>
              <w:rPr>
                <w:rFonts w:cs="宋体"/>
                <w:sz w:val="18"/>
                <w:szCs w:val="18"/>
              </w:rPr>
            </w:pPr>
            <w:r w:rsidRPr="0063248C">
              <w:rPr>
                <w:rFonts w:cs="宋体"/>
                <w:sz w:val="18"/>
                <w:szCs w:val="18"/>
              </w:rPr>
              <w:t>91,979,775.60</w:t>
            </w:r>
          </w:p>
        </w:tc>
        <w:tc>
          <w:tcPr>
            <w:tcW w:w="3213" w:type="dxa"/>
            <w:tcBorders>
              <w:top w:val="single" w:sz="2" w:space="0" w:color="auto"/>
              <w:left w:val="single" w:sz="2" w:space="0" w:color="auto"/>
              <w:bottom w:val="single" w:sz="2" w:space="0" w:color="auto"/>
              <w:right w:val="single" w:sz="2" w:space="0" w:color="auto"/>
            </w:tcBorders>
            <w:vAlign w:val="center"/>
          </w:tcPr>
          <w:p w14:paraId="538C81E3" w14:textId="77777777" w:rsidR="007B3DB2" w:rsidRPr="0063248C" w:rsidRDefault="00000000">
            <w:pPr>
              <w:spacing w:line="240" w:lineRule="exact"/>
              <w:jc w:val="right"/>
              <w:rPr>
                <w:rFonts w:cs="宋体"/>
                <w:sz w:val="18"/>
                <w:szCs w:val="18"/>
              </w:rPr>
            </w:pPr>
            <w:r w:rsidRPr="0063248C">
              <w:rPr>
                <w:rFonts w:cs="宋体"/>
                <w:sz w:val="18"/>
                <w:szCs w:val="18"/>
              </w:rPr>
              <w:t>99,358,348.91</w:t>
            </w:r>
          </w:p>
        </w:tc>
      </w:tr>
      <w:tr w:rsidR="007B3DB2" w:rsidRPr="0063248C" w14:paraId="497198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6185D1" w14:textId="77777777" w:rsidR="007B3DB2" w:rsidRPr="0063248C" w:rsidRDefault="00000000">
            <w:pPr>
              <w:spacing w:line="240" w:lineRule="exact"/>
              <w:rPr>
                <w:rFonts w:cs="宋体"/>
                <w:sz w:val="18"/>
                <w:szCs w:val="18"/>
              </w:rPr>
            </w:pPr>
            <w:r w:rsidRPr="0063248C">
              <w:rPr>
                <w:rFonts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43575A99" w14:textId="77777777" w:rsidR="007B3DB2" w:rsidRPr="0063248C" w:rsidRDefault="00000000">
            <w:pPr>
              <w:spacing w:line="240" w:lineRule="exact"/>
              <w:jc w:val="right"/>
              <w:rPr>
                <w:rFonts w:cs="宋体"/>
                <w:sz w:val="18"/>
                <w:szCs w:val="18"/>
              </w:rPr>
            </w:pPr>
            <w:r w:rsidRPr="0063248C">
              <w:rPr>
                <w:rFonts w:cs="宋体"/>
                <w:sz w:val="18"/>
                <w:szCs w:val="18"/>
              </w:rPr>
              <w:t>1,935,561,463.38</w:t>
            </w:r>
          </w:p>
        </w:tc>
        <w:tc>
          <w:tcPr>
            <w:tcW w:w="3213" w:type="dxa"/>
            <w:tcBorders>
              <w:top w:val="single" w:sz="2" w:space="0" w:color="auto"/>
              <w:left w:val="single" w:sz="2" w:space="0" w:color="auto"/>
              <w:bottom w:val="single" w:sz="2" w:space="0" w:color="auto"/>
              <w:right w:val="single" w:sz="2" w:space="0" w:color="auto"/>
            </w:tcBorders>
            <w:vAlign w:val="center"/>
          </w:tcPr>
          <w:p w14:paraId="093B77DA" w14:textId="77777777" w:rsidR="007B3DB2" w:rsidRPr="0063248C" w:rsidRDefault="00000000">
            <w:pPr>
              <w:spacing w:line="240" w:lineRule="exact"/>
              <w:jc w:val="right"/>
              <w:rPr>
                <w:rFonts w:cs="宋体"/>
                <w:sz w:val="18"/>
                <w:szCs w:val="18"/>
              </w:rPr>
            </w:pPr>
            <w:r w:rsidRPr="0063248C">
              <w:rPr>
                <w:rFonts w:cs="宋体"/>
                <w:sz w:val="18"/>
                <w:szCs w:val="18"/>
              </w:rPr>
              <w:t>2,873,199,977.70</w:t>
            </w:r>
          </w:p>
        </w:tc>
      </w:tr>
      <w:tr w:rsidR="007B3DB2" w:rsidRPr="0063248C" w14:paraId="199B30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F8EEF8" w14:textId="77777777" w:rsidR="007B3DB2" w:rsidRPr="0063248C" w:rsidRDefault="00000000">
            <w:pPr>
              <w:spacing w:line="240" w:lineRule="exact"/>
              <w:rPr>
                <w:rFonts w:cs="宋体"/>
                <w:sz w:val="18"/>
                <w:szCs w:val="18"/>
              </w:rPr>
            </w:pPr>
            <w:r w:rsidRPr="0063248C">
              <w:rPr>
                <w:rFonts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59F46673" w14:textId="77777777" w:rsidR="007B3DB2" w:rsidRPr="0063248C" w:rsidRDefault="00000000">
            <w:pPr>
              <w:spacing w:line="240" w:lineRule="exact"/>
              <w:jc w:val="right"/>
              <w:rPr>
                <w:rFonts w:cs="宋体"/>
                <w:sz w:val="18"/>
                <w:szCs w:val="18"/>
              </w:rPr>
            </w:pPr>
            <w:r w:rsidRPr="0063248C">
              <w:rPr>
                <w:rFonts w:cs="宋体"/>
                <w:sz w:val="18"/>
                <w:szCs w:val="18"/>
              </w:rPr>
              <w:t>194,005,403.35</w:t>
            </w:r>
          </w:p>
        </w:tc>
        <w:tc>
          <w:tcPr>
            <w:tcW w:w="3213" w:type="dxa"/>
            <w:tcBorders>
              <w:top w:val="single" w:sz="2" w:space="0" w:color="auto"/>
              <w:left w:val="single" w:sz="2" w:space="0" w:color="auto"/>
              <w:bottom w:val="single" w:sz="2" w:space="0" w:color="auto"/>
              <w:right w:val="single" w:sz="2" w:space="0" w:color="auto"/>
            </w:tcBorders>
            <w:vAlign w:val="center"/>
          </w:tcPr>
          <w:p w14:paraId="100B3920" w14:textId="77777777" w:rsidR="007B3DB2" w:rsidRPr="0063248C" w:rsidRDefault="00000000">
            <w:pPr>
              <w:spacing w:line="240" w:lineRule="exact"/>
              <w:jc w:val="right"/>
              <w:rPr>
                <w:rFonts w:cs="宋体"/>
                <w:sz w:val="18"/>
                <w:szCs w:val="18"/>
              </w:rPr>
            </w:pPr>
            <w:r w:rsidRPr="0063248C">
              <w:rPr>
                <w:rFonts w:cs="宋体"/>
                <w:sz w:val="18"/>
                <w:szCs w:val="18"/>
              </w:rPr>
              <w:t>-132,664,583.99</w:t>
            </w:r>
          </w:p>
        </w:tc>
      </w:tr>
      <w:tr w:rsidR="007B3DB2" w:rsidRPr="0063248C" w14:paraId="63DFD8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B1E08C" w14:textId="77777777" w:rsidR="007B3DB2" w:rsidRPr="0063248C" w:rsidRDefault="00000000">
            <w:pPr>
              <w:spacing w:line="240" w:lineRule="exact"/>
              <w:rPr>
                <w:rFonts w:cs="宋体"/>
                <w:sz w:val="18"/>
                <w:szCs w:val="18"/>
              </w:rPr>
            </w:pPr>
            <w:r w:rsidRPr="0063248C">
              <w:rPr>
                <w:rFonts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0047E1"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D267AB" w14:textId="77777777" w:rsidR="007B3DB2" w:rsidRPr="0063248C" w:rsidRDefault="007B3DB2"/>
        </w:tc>
      </w:tr>
      <w:tr w:rsidR="007B3DB2" w:rsidRPr="0063248C" w14:paraId="08CF08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79B8E6"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1B7088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CDF223"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753B9F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796990"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11D36A2B"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9CB794"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4FD78C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5B349A"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44FDB383" w14:textId="77777777" w:rsidR="007B3DB2" w:rsidRPr="0063248C" w:rsidRDefault="00000000">
            <w:pPr>
              <w:spacing w:line="240" w:lineRule="exact"/>
              <w:jc w:val="right"/>
              <w:rPr>
                <w:rFonts w:cs="宋体"/>
                <w:sz w:val="18"/>
                <w:szCs w:val="18"/>
              </w:rPr>
            </w:pPr>
            <w:r w:rsidRPr="0063248C">
              <w:rPr>
                <w:rFonts w:cs="宋体"/>
                <w:sz w:val="18"/>
                <w:szCs w:val="18"/>
              </w:rPr>
              <w:t>554,208.50</w:t>
            </w:r>
          </w:p>
        </w:tc>
        <w:tc>
          <w:tcPr>
            <w:tcW w:w="3213" w:type="dxa"/>
            <w:tcBorders>
              <w:top w:val="single" w:sz="2" w:space="0" w:color="auto"/>
              <w:left w:val="single" w:sz="2" w:space="0" w:color="auto"/>
              <w:bottom w:val="single" w:sz="2" w:space="0" w:color="auto"/>
              <w:right w:val="single" w:sz="2" w:space="0" w:color="auto"/>
            </w:tcBorders>
            <w:vAlign w:val="center"/>
          </w:tcPr>
          <w:p w14:paraId="53DC91F0" w14:textId="77777777" w:rsidR="007B3DB2" w:rsidRPr="0063248C" w:rsidRDefault="00000000">
            <w:pPr>
              <w:spacing w:line="240" w:lineRule="exact"/>
              <w:jc w:val="right"/>
              <w:rPr>
                <w:rFonts w:cs="宋体"/>
                <w:sz w:val="18"/>
                <w:szCs w:val="18"/>
              </w:rPr>
            </w:pPr>
            <w:r w:rsidRPr="0063248C">
              <w:rPr>
                <w:rFonts w:cs="宋体"/>
                <w:sz w:val="18"/>
                <w:szCs w:val="18"/>
              </w:rPr>
              <w:t>1,082,633.04</w:t>
            </w:r>
          </w:p>
        </w:tc>
      </w:tr>
      <w:tr w:rsidR="007B3DB2" w:rsidRPr="0063248C" w14:paraId="0FBD96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43CA9C"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12C091B9"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A331E4"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176C78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4284F5" w14:textId="77777777" w:rsidR="007B3DB2" w:rsidRPr="0063248C" w:rsidRDefault="00000000">
            <w:pPr>
              <w:spacing w:line="240" w:lineRule="exact"/>
              <w:ind w:firstLineChars="100" w:firstLine="180"/>
              <w:rPr>
                <w:rFonts w:cs="宋体"/>
                <w:sz w:val="18"/>
                <w:szCs w:val="18"/>
              </w:rPr>
            </w:pPr>
            <w:r w:rsidRPr="0063248C">
              <w:rPr>
                <w:rFonts w:cs="宋体"/>
                <w:sz w:val="18"/>
                <w:szCs w:val="18"/>
              </w:rPr>
              <w:lastRenderedPageBreak/>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DF3B103" w14:textId="77777777" w:rsidR="007B3DB2" w:rsidRPr="0063248C" w:rsidRDefault="00000000">
            <w:pPr>
              <w:spacing w:line="240" w:lineRule="exact"/>
              <w:jc w:val="right"/>
              <w:rPr>
                <w:rFonts w:cs="宋体"/>
                <w:sz w:val="18"/>
                <w:szCs w:val="18"/>
              </w:rPr>
            </w:pPr>
            <w:r w:rsidRPr="0063248C">
              <w:rPr>
                <w:rFonts w:cs="宋体"/>
                <w:sz w:val="18"/>
                <w:szCs w:val="18"/>
              </w:rPr>
              <w:t>334,539,051.29</w:t>
            </w:r>
          </w:p>
        </w:tc>
        <w:tc>
          <w:tcPr>
            <w:tcW w:w="3213" w:type="dxa"/>
            <w:tcBorders>
              <w:top w:val="single" w:sz="2" w:space="0" w:color="auto"/>
              <w:left w:val="single" w:sz="2" w:space="0" w:color="auto"/>
              <w:bottom w:val="single" w:sz="2" w:space="0" w:color="auto"/>
              <w:right w:val="single" w:sz="2" w:space="0" w:color="auto"/>
            </w:tcBorders>
            <w:vAlign w:val="center"/>
          </w:tcPr>
          <w:p w14:paraId="18DAA805" w14:textId="77777777" w:rsidR="007B3DB2" w:rsidRPr="0063248C" w:rsidRDefault="00000000">
            <w:pPr>
              <w:spacing w:line="240" w:lineRule="exact"/>
              <w:jc w:val="right"/>
              <w:rPr>
                <w:rFonts w:cs="宋体"/>
                <w:sz w:val="18"/>
                <w:szCs w:val="18"/>
              </w:rPr>
            </w:pPr>
            <w:r w:rsidRPr="0063248C">
              <w:rPr>
                <w:rFonts w:cs="宋体"/>
                <w:sz w:val="18"/>
                <w:szCs w:val="18"/>
              </w:rPr>
              <w:t>284,736,505.75</w:t>
            </w:r>
          </w:p>
        </w:tc>
      </w:tr>
      <w:tr w:rsidR="007B3DB2" w:rsidRPr="0063248C" w14:paraId="21A460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63E230" w14:textId="77777777" w:rsidR="007B3DB2" w:rsidRPr="0063248C" w:rsidRDefault="00000000">
            <w:pPr>
              <w:spacing w:line="240" w:lineRule="exact"/>
              <w:rPr>
                <w:rFonts w:cs="宋体"/>
                <w:sz w:val="18"/>
                <w:szCs w:val="18"/>
              </w:rPr>
            </w:pPr>
            <w:r w:rsidRPr="0063248C">
              <w:rPr>
                <w:rFonts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0DE9135F" w14:textId="77777777" w:rsidR="007B3DB2" w:rsidRPr="0063248C" w:rsidRDefault="00000000">
            <w:pPr>
              <w:spacing w:line="240" w:lineRule="exact"/>
              <w:jc w:val="right"/>
              <w:rPr>
                <w:rFonts w:cs="宋体"/>
                <w:sz w:val="18"/>
                <w:szCs w:val="18"/>
              </w:rPr>
            </w:pPr>
            <w:r w:rsidRPr="0063248C">
              <w:rPr>
                <w:rFonts w:cs="宋体"/>
                <w:sz w:val="18"/>
                <w:szCs w:val="18"/>
              </w:rPr>
              <w:t>335,093,259.79</w:t>
            </w:r>
          </w:p>
        </w:tc>
        <w:tc>
          <w:tcPr>
            <w:tcW w:w="3213" w:type="dxa"/>
            <w:tcBorders>
              <w:top w:val="single" w:sz="2" w:space="0" w:color="auto"/>
              <w:left w:val="single" w:sz="2" w:space="0" w:color="auto"/>
              <w:bottom w:val="single" w:sz="2" w:space="0" w:color="auto"/>
              <w:right w:val="single" w:sz="2" w:space="0" w:color="auto"/>
            </w:tcBorders>
            <w:vAlign w:val="center"/>
          </w:tcPr>
          <w:p w14:paraId="4198E560" w14:textId="77777777" w:rsidR="007B3DB2" w:rsidRPr="0063248C" w:rsidRDefault="00000000">
            <w:pPr>
              <w:spacing w:line="240" w:lineRule="exact"/>
              <w:jc w:val="right"/>
              <w:rPr>
                <w:rFonts w:cs="宋体"/>
                <w:sz w:val="18"/>
                <w:szCs w:val="18"/>
              </w:rPr>
            </w:pPr>
            <w:r w:rsidRPr="0063248C">
              <w:rPr>
                <w:rFonts w:cs="宋体"/>
                <w:sz w:val="18"/>
                <w:szCs w:val="18"/>
              </w:rPr>
              <w:t>285,819,138.79</w:t>
            </w:r>
          </w:p>
        </w:tc>
      </w:tr>
      <w:tr w:rsidR="007B3DB2" w:rsidRPr="0063248C" w14:paraId="7F64F7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208D87"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DE23D7A" w14:textId="77777777" w:rsidR="007B3DB2" w:rsidRPr="0063248C" w:rsidRDefault="00000000">
            <w:pPr>
              <w:spacing w:line="240" w:lineRule="exact"/>
              <w:jc w:val="right"/>
              <w:rPr>
                <w:rFonts w:cs="宋体"/>
                <w:sz w:val="18"/>
                <w:szCs w:val="18"/>
              </w:rPr>
            </w:pPr>
            <w:r w:rsidRPr="0063248C">
              <w:rPr>
                <w:rFonts w:cs="宋体"/>
                <w:sz w:val="18"/>
                <w:szCs w:val="18"/>
              </w:rPr>
              <w:t>7,641,892.23</w:t>
            </w:r>
          </w:p>
        </w:tc>
        <w:tc>
          <w:tcPr>
            <w:tcW w:w="3213" w:type="dxa"/>
            <w:tcBorders>
              <w:top w:val="single" w:sz="2" w:space="0" w:color="auto"/>
              <w:left w:val="single" w:sz="2" w:space="0" w:color="auto"/>
              <w:bottom w:val="single" w:sz="2" w:space="0" w:color="auto"/>
              <w:right w:val="single" w:sz="2" w:space="0" w:color="auto"/>
            </w:tcBorders>
            <w:vAlign w:val="center"/>
          </w:tcPr>
          <w:p w14:paraId="3B5D2519" w14:textId="77777777" w:rsidR="007B3DB2" w:rsidRPr="0063248C" w:rsidRDefault="00000000">
            <w:pPr>
              <w:spacing w:line="240" w:lineRule="exact"/>
              <w:jc w:val="right"/>
              <w:rPr>
                <w:rFonts w:cs="宋体"/>
                <w:sz w:val="18"/>
                <w:szCs w:val="18"/>
              </w:rPr>
            </w:pPr>
            <w:r w:rsidRPr="0063248C">
              <w:rPr>
                <w:rFonts w:cs="宋体"/>
                <w:sz w:val="18"/>
                <w:szCs w:val="18"/>
              </w:rPr>
              <w:t>-8,229,139.10</w:t>
            </w:r>
          </w:p>
        </w:tc>
      </w:tr>
      <w:tr w:rsidR="007B3DB2" w:rsidRPr="0063248C" w14:paraId="18244B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6EB49B"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35139479" w14:textId="77777777" w:rsidR="007B3DB2" w:rsidRPr="0063248C" w:rsidRDefault="00000000">
            <w:pPr>
              <w:spacing w:line="240" w:lineRule="exact"/>
              <w:jc w:val="right"/>
              <w:rPr>
                <w:rFonts w:cs="宋体"/>
                <w:sz w:val="18"/>
                <w:szCs w:val="18"/>
              </w:rPr>
            </w:pPr>
            <w:r w:rsidRPr="0063248C">
              <w:rPr>
                <w:rFonts w:cs="宋体"/>
                <w:sz w:val="18"/>
                <w:szCs w:val="18"/>
              </w:rPr>
              <w:t>48,440,000.00</w:t>
            </w:r>
          </w:p>
        </w:tc>
        <w:tc>
          <w:tcPr>
            <w:tcW w:w="3213" w:type="dxa"/>
            <w:tcBorders>
              <w:top w:val="single" w:sz="2" w:space="0" w:color="auto"/>
              <w:left w:val="single" w:sz="2" w:space="0" w:color="auto"/>
              <w:bottom w:val="single" w:sz="2" w:space="0" w:color="auto"/>
              <w:right w:val="single" w:sz="2" w:space="0" w:color="auto"/>
            </w:tcBorders>
            <w:vAlign w:val="center"/>
          </w:tcPr>
          <w:p w14:paraId="4B33AA97" w14:textId="77777777" w:rsidR="007B3DB2" w:rsidRPr="0063248C" w:rsidRDefault="00000000">
            <w:pPr>
              <w:spacing w:line="240" w:lineRule="exact"/>
              <w:jc w:val="right"/>
              <w:rPr>
                <w:rFonts w:cs="宋体"/>
                <w:sz w:val="18"/>
                <w:szCs w:val="18"/>
              </w:rPr>
            </w:pPr>
            <w:r w:rsidRPr="0063248C">
              <w:rPr>
                <w:rFonts w:cs="宋体"/>
                <w:sz w:val="18"/>
                <w:szCs w:val="18"/>
              </w:rPr>
              <w:t>22,211,500.00</w:t>
            </w:r>
          </w:p>
        </w:tc>
      </w:tr>
      <w:tr w:rsidR="007B3DB2" w:rsidRPr="0063248C" w14:paraId="1CBA5E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6CB0FD"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3BCEB134"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0370E2D3"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7F0D10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C21775"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150AB3E8" w14:textId="77777777" w:rsidR="007B3DB2" w:rsidRPr="0063248C" w:rsidRDefault="00000000">
            <w:pPr>
              <w:spacing w:line="240" w:lineRule="exact"/>
              <w:jc w:val="right"/>
              <w:rPr>
                <w:rFonts w:cs="宋体"/>
                <w:sz w:val="18"/>
                <w:szCs w:val="18"/>
              </w:rPr>
            </w:pPr>
            <w:r w:rsidRPr="0063248C">
              <w:rPr>
                <w:rFonts w:cs="宋体"/>
                <w:sz w:val="18"/>
                <w:szCs w:val="18"/>
              </w:rPr>
              <w:t>255,934,638.89</w:t>
            </w:r>
          </w:p>
        </w:tc>
        <w:tc>
          <w:tcPr>
            <w:tcW w:w="3213" w:type="dxa"/>
            <w:tcBorders>
              <w:top w:val="single" w:sz="2" w:space="0" w:color="auto"/>
              <w:left w:val="single" w:sz="2" w:space="0" w:color="auto"/>
              <w:bottom w:val="single" w:sz="2" w:space="0" w:color="auto"/>
              <w:right w:val="single" w:sz="2" w:space="0" w:color="auto"/>
            </w:tcBorders>
            <w:vAlign w:val="center"/>
          </w:tcPr>
          <w:p w14:paraId="56A47AEF" w14:textId="77777777" w:rsidR="007B3DB2" w:rsidRPr="0063248C" w:rsidRDefault="00000000">
            <w:pPr>
              <w:spacing w:line="240" w:lineRule="exact"/>
              <w:jc w:val="right"/>
              <w:rPr>
                <w:rFonts w:cs="宋体"/>
                <w:sz w:val="18"/>
                <w:szCs w:val="18"/>
              </w:rPr>
            </w:pPr>
            <w:r w:rsidRPr="0063248C">
              <w:rPr>
                <w:rFonts w:cs="宋体"/>
                <w:sz w:val="18"/>
                <w:szCs w:val="18"/>
              </w:rPr>
              <w:t>317,120,000.00</w:t>
            </w:r>
          </w:p>
        </w:tc>
      </w:tr>
      <w:tr w:rsidR="007B3DB2" w:rsidRPr="0063248C" w14:paraId="3AC546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4834C5" w14:textId="77777777" w:rsidR="007B3DB2" w:rsidRPr="0063248C" w:rsidRDefault="00000000">
            <w:pPr>
              <w:spacing w:line="240" w:lineRule="exact"/>
              <w:rPr>
                <w:rFonts w:cs="宋体"/>
                <w:sz w:val="18"/>
                <w:szCs w:val="18"/>
              </w:rPr>
            </w:pPr>
            <w:r w:rsidRPr="0063248C">
              <w:rPr>
                <w:rFonts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741D4B32" w14:textId="77777777" w:rsidR="007B3DB2" w:rsidRPr="0063248C" w:rsidRDefault="00000000">
            <w:pPr>
              <w:spacing w:line="240" w:lineRule="exact"/>
              <w:jc w:val="right"/>
              <w:rPr>
                <w:rFonts w:cs="宋体"/>
                <w:sz w:val="18"/>
                <w:szCs w:val="18"/>
              </w:rPr>
            </w:pPr>
            <w:r w:rsidRPr="0063248C">
              <w:rPr>
                <w:rFonts w:cs="宋体"/>
                <w:sz w:val="18"/>
                <w:szCs w:val="18"/>
              </w:rPr>
              <w:t>312,016,531.12</w:t>
            </w:r>
          </w:p>
        </w:tc>
        <w:tc>
          <w:tcPr>
            <w:tcW w:w="3213" w:type="dxa"/>
            <w:tcBorders>
              <w:top w:val="single" w:sz="2" w:space="0" w:color="auto"/>
              <w:left w:val="single" w:sz="2" w:space="0" w:color="auto"/>
              <w:bottom w:val="single" w:sz="2" w:space="0" w:color="auto"/>
              <w:right w:val="single" w:sz="2" w:space="0" w:color="auto"/>
            </w:tcBorders>
            <w:vAlign w:val="center"/>
          </w:tcPr>
          <w:p w14:paraId="22DAB101" w14:textId="77777777" w:rsidR="007B3DB2" w:rsidRPr="0063248C" w:rsidRDefault="00000000">
            <w:pPr>
              <w:spacing w:line="240" w:lineRule="exact"/>
              <w:jc w:val="right"/>
              <w:rPr>
                <w:rFonts w:cs="宋体"/>
                <w:sz w:val="18"/>
                <w:szCs w:val="18"/>
              </w:rPr>
            </w:pPr>
            <w:r w:rsidRPr="0063248C">
              <w:rPr>
                <w:rFonts w:cs="宋体"/>
                <w:sz w:val="18"/>
                <w:szCs w:val="18"/>
              </w:rPr>
              <w:t>331,102,360.90</w:t>
            </w:r>
          </w:p>
        </w:tc>
      </w:tr>
      <w:tr w:rsidR="007B3DB2" w:rsidRPr="0063248C" w14:paraId="3C2ADC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272176" w14:textId="77777777" w:rsidR="007B3DB2" w:rsidRPr="0063248C" w:rsidRDefault="00000000">
            <w:pPr>
              <w:spacing w:line="240" w:lineRule="exact"/>
              <w:rPr>
                <w:rFonts w:cs="宋体"/>
                <w:sz w:val="18"/>
                <w:szCs w:val="18"/>
              </w:rPr>
            </w:pPr>
            <w:r w:rsidRPr="0063248C">
              <w:rPr>
                <w:rFonts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213B80C3" w14:textId="77777777" w:rsidR="007B3DB2" w:rsidRPr="0063248C" w:rsidRDefault="00000000">
            <w:pPr>
              <w:spacing w:line="240" w:lineRule="exact"/>
              <w:jc w:val="right"/>
              <w:rPr>
                <w:rFonts w:cs="宋体"/>
                <w:sz w:val="18"/>
                <w:szCs w:val="18"/>
              </w:rPr>
            </w:pPr>
            <w:r w:rsidRPr="0063248C">
              <w:rPr>
                <w:rFonts w:cs="宋体"/>
                <w:sz w:val="18"/>
                <w:szCs w:val="18"/>
              </w:rPr>
              <w:t>23,076,728.67</w:t>
            </w:r>
          </w:p>
        </w:tc>
        <w:tc>
          <w:tcPr>
            <w:tcW w:w="3213" w:type="dxa"/>
            <w:tcBorders>
              <w:top w:val="single" w:sz="2" w:space="0" w:color="auto"/>
              <w:left w:val="single" w:sz="2" w:space="0" w:color="auto"/>
              <w:bottom w:val="single" w:sz="2" w:space="0" w:color="auto"/>
              <w:right w:val="single" w:sz="2" w:space="0" w:color="auto"/>
            </w:tcBorders>
            <w:vAlign w:val="center"/>
          </w:tcPr>
          <w:p w14:paraId="02C78AF7" w14:textId="77777777" w:rsidR="007B3DB2" w:rsidRPr="0063248C" w:rsidRDefault="00000000">
            <w:pPr>
              <w:spacing w:line="240" w:lineRule="exact"/>
              <w:jc w:val="right"/>
              <w:rPr>
                <w:rFonts w:cs="宋体"/>
                <w:sz w:val="18"/>
                <w:szCs w:val="18"/>
              </w:rPr>
            </w:pPr>
            <w:r w:rsidRPr="0063248C">
              <w:rPr>
                <w:rFonts w:cs="宋体"/>
                <w:sz w:val="18"/>
                <w:szCs w:val="18"/>
              </w:rPr>
              <w:t>-45,283,222.11</w:t>
            </w:r>
          </w:p>
        </w:tc>
      </w:tr>
      <w:tr w:rsidR="007B3DB2" w:rsidRPr="0063248C" w14:paraId="7D6699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4E92C1" w14:textId="77777777" w:rsidR="007B3DB2" w:rsidRPr="0063248C" w:rsidRDefault="00000000">
            <w:pPr>
              <w:spacing w:line="240" w:lineRule="exact"/>
              <w:rPr>
                <w:rFonts w:cs="宋体"/>
                <w:sz w:val="18"/>
                <w:szCs w:val="18"/>
              </w:rPr>
            </w:pPr>
            <w:r w:rsidRPr="0063248C">
              <w:rPr>
                <w:rFonts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60DB1F"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C2E20C" w14:textId="77777777" w:rsidR="007B3DB2" w:rsidRPr="0063248C" w:rsidRDefault="007B3DB2"/>
        </w:tc>
      </w:tr>
      <w:tr w:rsidR="007B3DB2" w:rsidRPr="0063248C" w14:paraId="315BD7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0E9993"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1F269AF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137AD4" w14:textId="77777777" w:rsidR="007B3DB2" w:rsidRPr="0063248C" w:rsidRDefault="00000000">
            <w:pPr>
              <w:spacing w:line="240" w:lineRule="exact"/>
              <w:jc w:val="right"/>
              <w:rPr>
                <w:rFonts w:cs="宋体"/>
                <w:sz w:val="18"/>
                <w:szCs w:val="18"/>
              </w:rPr>
            </w:pPr>
            <w:r w:rsidRPr="0063248C">
              <w:rPr>
                <w:rFonts w:cs="宋体"/>
                <w:sz w:val="18"/>
                <w:szCs w:val="18"/>
              </w:rPr>
              <w:t>3,786,675.95</w:t>
            </w:r>
          </w:p>
        </w:tc>
      </w:tr>
      <w:tr w:rsidR="007B3DB2" w:rsidRPr="0063248C" w14:paraId="6294BF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797E2B"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EEA041F" w14:textId="77777777" w:rsidR="007B3DB2" w:rsidRPr="0063248C" w:rsidRDefault="00000000">
            <w:pPr>
              <w:spacing w:line="240" w:lineRule="exact"/>
              <w:jc w:val="right"/>
              <w:rPr>
                <w:rFonts w:cs="宋体"/>
                <w:sz w:val="18"/>
                <w:szCs w:val="18"/>
              </w:rPr>
            </w:pPr>
            <w:r w:rsidRPr="0063248C">
              <w:rPr>
                <w:rFonts w:cs="宋体"/>
                <w:sz w:val="18"/>
                <w:szCs w:val="18"/>
              </w:rPr>
              <w:t>66,560,000.00</w:t>
            </w:r>
          </w:p>
        </w:tc>
        <w:tc>
          <w:tcPr>
            <w:tcW w:w="3213" w:type="dxa"/>
            <w:tcBorders>
              <w:top w:val="single" w:sz="2" w:space="0" w:color="auto"/>
              <w:left w:val="single" w:sz="2" w:space="0" w:color="auto"/>
              <w:bottom w:val="single" w:sz="2" w:space="0" w:color="auto"/>
              <w:right w:val="single" w:sz="2" w:space="0" w:color="auto"/>
            </w:tcBorders>
            <w:vAlign w:val="center"/>
          </w:tcPr>
          <w:p w14:paraId="22AD0490" w14:textId="77777777" w:rsidR="007B3DB2" w:rsidRPr="0063248C" w:rsidRDefault="00000000">
            <w:pPr>
              <w:spacing w:line="240" w:lineRule="exact"/>
              <w:jc w:val="right"/>
              <w:rPr>
                <w:rFonts w:cs="宋体"/>
                <w:sz w:val="18"/>
                <w:szCs w:val="18"/>
              </w:rPr>
            </w:pPr>
            <w:r w:rsidRPr="0063248C">
              <w:rPr>
                <w:rFonts w:cs="宋体"/>
                <w:sz w:val="18"/>
                <w:szCs w:val="18"/>
              </w:rPr>
              <w:t>419,200,000.00</w:t>
            </w:r>
          </w:p>
        </w:tc>
      </w:tr>
      <w:tr w:rsidR="007B3DB2" w:rsidRPr="0063248C" w14:paraId="34C1E1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95FECF"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85D4A5A" w14:textId="77777777" w:rsidR="007B3DB2" w:rsidRPr="0063248C" w:rsidRDefault="00000000">
            <w:pPr>
              <w:spacing w:line="240" w:lineRule="exact"/>
              <w:jc w:val="right"/>
              <w:rPr>
                <w:rFonts w:cs="宋体"/>
                <w:sz w:val="18"/>
                <w:szCs w:val="18"/>
              </w:rPr>
            </w:pPr>
            <w:r w:rsidRPr="0063248C">
              <w:rPr>
                <w:rFonts w:cs="宋体"/>
                <w:sz w:val="18"/>
                <w:szCs w:val="18"/>
              </w:rPr>
              <w:t>580,230,000.00</w:t>
            </w:r>
          </w:p>
        </w:tc>
        <w:tc>
          <w:tcPr>
            <w:tcW w:w="3213" w:type="dxa"/>
            <w:tcBorders>
              <w:top w:val="single" w:sz="2" w:space="0" w:color="auto"/>
              <w:left w:val="single" w:sz="2" w:space="0" w:color="auto"/>
              <w:bottom w:val="single" w:sz="2" w:space="0" w:color="auto"/>
              <w:right w:val="single" w:sz="2" w:space="0" w:color="auto"/>
            </w:tcBorders>
            <w:vAlign w:val="center"/>
          </w:tcPr>
          <w:p w14:paraId="6DFA41F9" w14:textId="77777777" w:rsidR="007B3DB2" w:rsidRPr="0063248C" w:rsidRDefault="00000000">
            <w:pPr>
              <w:spacing w:line="240" w:lineRule="exact"/>
              <w:jc w:val="right"/>
              <w:rPr>
                <w:rFonts w:cs="宋体"/>
                <w:sz w:val="18"/>
                <w:szCs w:val="18"/>
              </w:rPr>
            </w:pPr>
            <w:r w:rsidRPr="0063248C">
              <w:rPr>
                <w:rFonts w:cs="宋体"/>
                <w:sz w:val="18"/>
                <w:szCs w:val="18"/>
              </w:rPr>
              <w:t>488,310,000.00</w:t>
            </w:r>
          </w:p>
        </w:tc>
      </w:tr>
      <w:tr w:rsidR="007B3DB2" w:rsidRPr="0063248C" w14:paraId="47F9D6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E733AB" w14:textId="77777777" w:rsidR="007B3DB2" w:rsidRPr="0063248C" w:rsidRDefault="00000000">
            <w:pPr>
              <w:spacing w:line="240" w:lineRule="exact"/>
              <w:rPr>
                <w:rFonts w:cs="宋体"/>
                <w:sz w:val="18"/>
                <w:szCs w:val="18"/>
              </w:rPr>
            </w:pPr>
            <w:r w:rsidRPr="0063248C">
              <w:rPr>
                <w:rFonts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1CB5D7D4" w14:textId="77777777" w:rsidR="007B3DB2" w:rsidRPr="0063248C" w:rsidRDefault="00000000">
            <w:pPr>
              <w:spacing w:line="240" w:lineRule="exact"/>
              <w:jc w:val="right"/>
              <w:rPr>
                <w:rFonts w:cs="宋体"/>
                <w:sz w:val="18"/>
                <w:szCs w:val="18"/>
              </w:rPr>
            </w:pPr>
            <w:r w:rsidRPr="0063248C">
              <w:rPr>
                <w:rFonts w:cs="宋体"/>
                <w:sz w:val="18"/>
                <w:szCs w:val="18"/>
              </w:rPr>
              <w:t>646,790,000.00</w:t>
            </w:r>
          </w:p>
        </w:tc>
        <w:tc>
          <w:tcPr>
            <w:tcW w:w="3213" w:type="dxa"/>
            <w:tcBorders>
              <w:top w:val="single" w:sz="2" w:space="0" w:color="auto"/>
              <w:left w:val="single" w:sz="2" w:space="0" w:color="auto"/>
              <w:bottom w:val="single" w:sz="2" w:space="0" w:color="auto"/>
              <w:right w:val="single" w:sz="2" w:space="0" w:color="auto"/>
            </w:tcBorders>
            <w:vAlign w:val="center"/>
          </w:tcPr>
          <w:p w14:paraId="0725960B" w14:textId="77777777" w:rsidR="007B3DB2" w:rsidRPr="0063248C" w:rsidRDefault="00000000">
            <w:pPr>
              <w:spacing w:line="240" w:lineRule="exact"/>
              <w:jc w:val="right"/>
              <w:rPr>
                <w:rFonts w:cs="宋体"/>
                <w:sz w:val="18"/>
                <w:szCs w:val="18"/>
              </w:rPr>
            </w:pPr>
            <w:r w:rsidRPr="0063248C">
              <w:rPr>
                <w:rFonts w:cs="宋体"/>
                <w:sz w:val="18"/>
                <w:szCs w:val="18"/>
              </w:rPr>
              <w:t>911,296,675.95</w:t>
            </w:r>
          </w:p>
        </w:tc>
      </w:tr>
      <w:tr w:rsidR="007B3DB2" w:rsidRPr="0063248C" w14:paraId="6EAEEB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957116"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3E2033F5" w14:textId="77777777" w:rsidR="007B3DB2" w:rsidRPr="0063248C" w:rsidRDefault="00000000">
            <w:pPr>
              <w:spacing w:line="240" w:lineRule="exact"/>
              <w:jc w:val="right"/>
              <w:rPr>
                <w:rFonts w:cs="宋体"/>
                <w:sz w:val="18"/>
                <w:szCs w:val="18"/>
              </w:rPr>
            </w:pPr>
            <w:r w:rsidRPr="0063248C">
              <w:rPr>
                <w:rFonts w:cs="宋体"/>
                <w:sz w:val="18"/>
                <w:szCs w:val="18"/>
              </w:rPr>
              <w:t>370,710,000.00</w:t>
            </w:r>
          </w:p>
        </w:tc>
        <w:tc>
          <w:tcPr>
            <w:tcW w:w="3213" w:type="dxa"/>
            <w:tcBorders>
              <w:top w:val="single" w:sz="2" w:space="0" w:color="auto"/>
              <w:left w:val="single" w:sz="2" w:space="0" w:color="auto"/>
              <w:bottom w:val="single" w:sz="2" w:space="0" w:color="auto"/>
              <w:right w:val="single" w:sz="2" w:space="0" w:color="auto"/>
            </w:tcBorders>
            <w:vAlign w:val="center"/>
          </w:tcPr>
          <w:p w14:paraId="7476051C" w14:textId="77777777" w:rsidR="007B3DB2" w:rsidRPr="0063248C" w:rsidRDefault="00000000">
            <w:pPr>
              <w:spacing w:line="240" w:lineRule="exact"/>
              <w:jc w:val="right"/>
              <w:rPr>
                <w:rFonts w:cs="宋体"/>
                <w:sz w:val="18"/>
                <w:szCs w:val="18"/>
              </w:rPr>
            </w:pPr>
            <w:r w:rsidRPr="0063248C">
              <w:rPr>
                <w:rFonts w:cs="宋体"/>
                <w:sz w:val="18"/>
                <w:szCs w:val="18"/>
              </w:rPr>
              <w:t>583,600,000.00</w:t>
            </w:r>
          </w:p>
        </w:tc>
      </w:tr>
      <w:tr w:rsidR="007B3DB2" w:rsidRPr="0063248C" w14:paraId="2F6BBB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8C54CD"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6D9E2033" w14:textId="77777777" w:rsidR="007B3DB2" w:rsidRPr="0063248C" w:rsidRDefault="00000000">
            <w:pPr>
              <w:spacing w:line="240" w:lineRule="exact"/>
              <w:jc w:val="right"/>
              <w:rPr>
                <w:rFonts w:cs="宋体"/>
                <w:sz w:val="18"/>
                <w:szCs w:val="18"/>
              </w:rPr>
            </w:pPr>
            <w:r w:rsidRPr="0063248C">
              <w:rPr>
                <w:rFonts w:cs="宋体"/>
                <w:sz w:val="18"/>
                <w:szCs w:val="18"/>
              </w:rPr>
              <w:t>13,983,040.07</w:t>
            </w:r>
          </w:p>
        </w:tc>
        <w:tc>
          <w:tcPr>
            <w:tcW w:w="3213" w:type="dxa"/>
            <w:tcBorders>
              <w:top w:val="single" w:sz="2" w:space="0" w:color="auto"/>
              <w:left w:val="single" w:sz="2" w:space="0" w:color="auto"/>
              <w:bottom w:val="single" w:sz="2" w:space="0" w:color="auto"/>
              <w:right w:val="single" w:sz="2" w:space="0" w:color="auto"/>
            </w:tcBorders>
            <w:vAlign w:val="center"/>
          </w:tcPr>
          <w:p w14:paraId="66463BA9" w14:textId="77777777" w:rsidR="007B3DB2" w:rsidRPr="0063248C" w:rsidRDefault="00000000">
            <w:pPr>
              <w:spacing w:line="240" w:lineRule="exact"/>
              <w:jc w:val="right"/>
              <w:rPr>
                <w:rFonts w:cs="宋体"/>
                <w:sz w:val="18"/>
                <w:szCs w:val="18"/>
              </w:rPr>
            </w:pPr>
            <w:r w:rsidRPr="0063248C">
              <w:rPr>
                <w:rFonts w:cs="宋体"/>
                <w:sz w:val="18"/>
                <w:szCs w:val="18"/>
              </w:rPr>
              <w:t>16,332,563.52</w:t>
            </w:r>
          </w:p>
        </w:tc>
      </w:tr>
      <w:tr w:rsidR="007B3DB2" w:rsidRPr="0063248C" w14:paraId="2DE8F9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0145AB"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2DA967F" w14:textId="77777777" w:rsidR="007B3DB2" w:rsidRPr="0063248C" w:rsidRDefault="00000000">
            <w:pPr>
              <w:spacing w:line="240" w:lineRule="exact"/>
              <w:jc w:val="right"/>
              <w:rPr>
                <w:rFonts w:cs="宋体"/>
                <w:sz w:val="18"/>
                <w:szCs w:val="18"/>
              </w:rPr>
            </w:pPr>
            <w:r w:rsidRPr="0063248C">
              <w:rPr>
                <w:rFonts w:cs="宋体"/>
                <w:sz w:val="18"/>
                <w:szCs w:val="18"/>
              </w:rPr>
              <w:t>619,530,012.08</w:t>
            </w:r>
          </w:p>
        </w:tc>
        <w:tc>
          <w:tcPr>
            <w:tcW w:w="3213" w:type="dxa"/>
            <w:tcBorders>
              <w:top w:val="single" w:sz="2" w:space="0" w:color="auto"/>
              <w:left w:val="single" w:sz="2" w:space="0" w:color="auto"/>
              <w:bottom w:val="single" w:sz="2" w:space="0" w:color="auto"/>
              <w:right w:val="single" w:sz="2" w:space="0" w:color="auto"/>
            </w:tcBorders>
            <w:vAlign w:val="center"/>
          </w:tcPr>
          <w:p w14:paraId="46CC7D1F" w14:textId="77777777" w:rsidR="007B3DB2" w:rsidRPr="0063248C" w:rsidRDefault="00000000">
            <w:pPr>
              <w:spacing w:line="240" w:lineRule="exact"/>
              <w:jc w:val="right"/>
              <w:rPr>
                <w:rFonts w:cs="宋体"/>
                <w:sz w:val="18"/>
                <w:szCs w:val="18"/>
              </w:rPr>
            </w:pPr>
            <w:r w:rsidRPr="0063248C">
              <w:rPr>
                <w:rFonts w:cs="宋体"/>
                <w:sz w:val="18"/>
                <w:szCs w:val="18"/>
              </w:rPr>
              <w:t>393,380,788.84</w:t>
            </w:r>
          </w:p>
        </w:tc>
      </w:tr>
      <w:tr w:rsidR="007B3DB2" w:rsidRPr="0063248C" w14:paraId="385C12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AC61A1" w14:textId="77777777" w:rsidR="007B3DB2" w:rsidRPr="0063248C" w:rsidRDefault="00000000">
            <w:pPr>
              <w:spacing w:line="240" w:lineRule="exact"/>
              <w:rPr>
                <w:rFonts w:cs="宋体"/>
                <w:sz w:val="18"/>
                <w:szCs w:val="18"/>
              </w:rPr>
            </w:pPr>
            <w:r w:rsidRPr="0063248C">
              <w:rPr>
                <w:rFonts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392A4A5C" w14:textId="77777777" w:rsidR="007B3DB2" w:rsidRPr="0063248C" w:rsidRDefault="00000000">
            <w:pPr>
              <w:spacing w:line="240" w:lineRule="exact"/>
              <w:jc w:val="right"/>
              <w:rPr>
                <w:rFonts w:cs="宋体"/>
                <w:sz w:val="18"/>
                <w:szCs w:val="18"/>
              </w:rPr>
            </w:pPr>
            <w:r w:rsidRPr="0063248C">
              <w:rPr>
                <w:rFonts w:cs="宋体"/>
                <w:sz w:val="18"/>
                <w:szCs w:val="18"/>
              </w:rPr>
              <w:t>1,004,223,052.15</w:t>
            </w:r>
          </w:p>
        </w:tc>
        <w:tc>
          <w:tcPr>
            <w:tcW w:w="3213" w:type="dxa"/>
            <w:tcBorders>
              <w:top w:val="single" w:sz="2" w:space="0" w:color="auto"/>
              <w:left w:val="single" w:sz="2" w:space="0" w:color="auto"/>
              <w:bottom w:val="single" w:sz="2" w:space="0" w:color="auto"/>
              <w:right w:val="single" w:sz="2" w:space="0" w:color="auto"/>
            </w:tcBorders>
            <w:vAlign w:val="center"/>
          </w:tcPr>
          <w:p w14:paraId="26738257" w14:textId="77777777" w:rsidR="007B3DB2" w:rsidRPr="0063248C" w:rsidRDefault="00000000">
            <w:pPr>
              <w:spacing w:line="240" w:lineRule="exact"/>
              <w:jc w:val="right"/>
              <w:rPr>
                <w:rFonts w:cs="宋体"/>
                <w:sz w:val="18"/>
                <w:szCs w:val="18"/>
              </w:rPr>
            </w:pPr>
            <w:r w:rsidRPr="0063248C">
              <w:rPr>
                <w:rFonts w:cs="宋体"/>
                <w:sz w:val="18"/>
                <w:szCs w:val="18"/>
              </w:rPr>
              <w:t>993,313,352.36</w:t>
            </w:r>
          </w:p>
        </w:tc>
      </w:tr>
      <w:tr w:rsidR="007B3DB2" w:rsidRPr="0063248C" w14:paraId="5B2156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2D83BE" w14:textId="77777777" w:rsidR="007B3DB2" w:rsidRPr="0063248C" w:rsidRDefault="00000000">
            <w:pPr>
              <w:spacing w:line="240" w:lineRule="exact"/>
              <w:rPr>
                <w:rFonts w:cs="宋体"/>
                <w:sz w:val="18"/>
                <w:szCs w:val="18"/>
              </w:rPr>
            </w:pPr>
            <w:r w:rsidRPr="0063248C">
              <w:rPr>
                <w:rFonts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5023F600" w14:textId="77777777" w:rsidR="007B3DB2" w:rsidRPr="0063248C" w:rsidRDefault="00000000">
            <w:pPr>
              <w:spacing w:line="240" w:lineRule="exact"/>
              <w:jc w:val="right"/>
              <w:rPr>
                <w:rFonts w:cs="宋体"/>
                <w:sz w:val="18"/>
                <w:szCs w:val="18"/>
              </w:rPr>
            </w:pPr>
            <w:r w:rsidRPr="0063248C">
              <w:rPr>
                <w:rFonts w:cs="宋体"/>
                <w:sz w:val="18"/>
                <w:szCs w:val="18"/>
              </w:rPr>
              <w:t>-357,433,052.15</w:t>
            </w:r>
          </w:p>
        </w:tc>
        <w:tc>
          <w:tcPr>
            <w:tcW w:w="3213" w:type="dxa"/>
            <w:tcBorders>
              <w:top w:val="single" w:sz="2" w:space="0" w:color="auto"/>
              <w:left w:val="single" w:sz="2" w:space="0" w:color="auto"/>
              <w:bottom w:val="single" w:sz="2" w:space="0" w:color="auto"/>
              <w:right w:val="single" w:sz="2" w:space="0" w:color="auto"/>
            </w:tcBorders>
            <w:vAlign w:val="center"/>
          </w:tcPr>
          <w:p w14:paraId="0EA14002" w14:textId="77777777" w:rsidR="007B3DB2" w:rsidRPr="0063248C" w:rsidRDefault="00000000">
            <w:pPr>
              <w:spacing w:line="240" w:lineRule="exact"/>
              <w:jc w:val="right"/>
              <w:rPr>
                <w:rFonts w:cs="宋体"/>
                <w:sz w:val="18"/>
                <w:szCs w:val="18"/>
              </w:rPr>
            </w:pPr>
            <w:r w:rsidRPr="0063248C">
              <w:rPr>
                <w:rFonts w:cs="宋体"/>
                <w:sz w:val="18"/>
                <w:szCs w:val="18"/>
              </w:rPr>
              <w:t>-82,016,676.41</w:t>
            </w:r>
          </w:p>
        </w:tc>
      </w:tr>
      <w:tr w:rsidR="007B3DB2" w:rsidRPr="0063248C" w14:paraId="2C4B07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0735C4" w14:textId="77777777" w:rsidR="007B3DB2" w:rsidRPr="0063248C" w:rsidRDefault="00000000">
            <w:pPr>
              <w:spacing w:line="240" w:lineRule="exact"/>
              <w:rPr>
                <w:rFonts w:cs="宋体"/>
                <w:sz w:val="18"/>
                <w:szCs w:val="18"/>
              </w:rPr>
            </w:pPr>
            <w:r w:rsidRPr="0063248C">
              <w:rPr>
                <w:rFonts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14A670E7"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14:paraId="50461972" w14:textId="77777777" w:rsidR="007B3DB2" w:rsidRPr="0063248C" w:rsidRDefault="00000000">
            <w:pPr>
              <w:spacing w:line="240" w:lineRule="exact"/>
              <w:jc w:val="right"/>
              <w:rPr>
                <w:rFonts w:cs="宋体"/>
                <w:sz w:val="18"/>
                <w:szCs w:val="18"/>
              </w:rPr>
            </w:pPr>
            <w:r w:rsidRPr="0063248C">
              <w:rPr>
                <w:rFonts w:cs="宋体"/>
                <w:sz w:val="18"/>
                <w:szCs w:val="18"/>
              </w:rPr>
              <w:t>5,315.82</w:t>
            </w:r>
          </w:p>
        </w:tc>
      </w:tr>
      <w:tr w:rsidR="007B3DB2" w:rsidRPr="0063248C" w14:paraId="771150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78FD14" w14:textId="77777777" w:rsidR="007B3DB2" w:rsidRPr="0063248C" w:rsidRDefault="00000000">
            <w:pPr>
              <w:spacing w:line="240" w:lineRule="exact"/>
              <w:rPr>
                <w:rFonts w:cs="宋体"/>
                <w:sz w:val="18"/>
                <w:szCs w:val="18"/>
              </w:rPr>
            </w:pPr>
            <w:r w:rsidRPr="0063248C">
              <w:rPr>
                <w:rFonts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D91BBAA" w14:textId="77777777" w:rsidR="007B3DB2" w:rsidRPr="0063248C" w:rsidRDefault="00000000">
            <w:pPr>
              <w:spacing w:line="240" w:lineRule="exact"/>
              <w:jc w:val="right"/>
              <w:rPr>
                <w:rFonts w:cs="宋体"/>
                <w:sz w:val="18"/>
                <w:szCs w:val="18"/>
              </w:rPr>
            </w:pPr>
            <w:r w:rsidRPr="0063248C">
              <w:rPr>
                <w:rFonts w:cs="宋体"/>
                <w:sz w:val="18"/>
                <w:szCs w:val="18"/>
              </w:rPr>
              <w:t>-140,350,920.13</w:t>
            </w:r>
          </w:p>
        </w:tc>
        <w:tc>
          <w:tcPr>
            <w:tcW w:w="3213" w:type="dxa"/>
            <w:tcBorders>
              <w:top w:val="single" w:sz="2" w:space="0" w:color="auto"/>
              <w:left w:val="single" w:sz="2" w:space="0" w:color="auto"/>
              <w:bottom w:val="single" w:sz="2" w:space="0" w:color="auto"/>
              <w:right w:val="single" w:sz="2" w:space="0" w:color="auto"/>
            </w:tcBorders>
            <w:vAlign w:val="center"/>
          </w:tcPr>
          <w:p w14:paraId="7AD92299" w14:textId="77777777" w:rsidR="007B3DB2" w:rsidRPr="0063248C" w:rsidRDefault="00000000">
            <w:pPr>
              <w:spacing w:line="240" w:lineRule="exact"/>
              <w:jc w:val="right"/>
              <w:rPr>
                <w:rFonts w:cs="宋体"/>
                <w:sz w:val="18"/>
                <w:szCs w:val="18"/>
              </w:rPr>
            </w:pPr>
            <w:r w:rsidRPr="0063248C">
              <w:rPr>
                <w:rFonts w:cs="宋体"/>
                <w:sz w:val="18"/>
                <w:szCs w:val="18"/>
              </w:rPr>
              <w:t>-259,959,166.69</w:t>
            </w:r>
          </w:p>
        </w:tc>
      </w:tr>
      <w:tr w:rsidR="007B3DB2" w:rsidRPr="0063248C" w14:paraId="7168F9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492CC3" w14:textId="77777777" w:rsidR="007B3DB2" w:rsidRPr="0063248C" w:rsidRDefault="00000000">
            <w:pPr>
              <w:spacing w:line="240" w:lineRule="exact"/>
              <w:ind w:firstLineChars="100" w:firstLine="180"/>
              <w:rPr>
                <w:rFonts w:cs="宋体"/>
                <w:sz w:val="18"/>
                <w:szCs w:val="18"/>
              </w:rPr>
            </w:pPr>
            <w:r w:rsidRPr="0063248C">
              <w:rPr>
                <w:rFonts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084729F5" w14:textId="77777777" w:rsidR="007B3DB2" w:rsidRPr="0063248C" w:rsidRDefault="00000000">
            <w:pPr>
              <w:spacing w:line="240" w:lineRule="exact"/>
              <w:jc w:val="right"/>
              <w:rPr>
                <w:rFonts w:cs="宋体"/>
                <w:sz w:val="18"/>
                <w:szCs w:val="18"/>
              </w:rPr>
            </w:pPr>
            <w:r w:rsidRPr="0063248C">
              <w:rPr>
                <w:rFonts w:cs="宋体"/>
                <w:sz w:val="18"/>
                <w:szCs w:val="18"/>
              </w:rPr>
              <w:t>672,111,840.03</w:t>
            </w:r>
          </w:p>
        </w:tc>
        <w:tc>
          <w:tcPr>
            <w:tcW w:w="3213" w:type="dxa"/>
            <w:tcBorders>
              <w:top w:val="single" w:sz="2" w:space="0" w:color="auto"/>
              <w:left w:val="single" w:sz="2" w:space="0" w:color="auto"/>
              <w:bottom w:val="single" w:sz="2" w:space="0" w:color="auto"/>
              <w:right w:val="single" w:sz="2" w:space="0" w:color="auto"/>
            </w:tcBorders>
            <w:vAlign w:val="center"/>
          </w:tcPr>
          <w:p w14:paraId="2D214BE2" w14:textId="77777777" w:rsidR="007B3DB2" w:rsidRPr="0063248C" w:rsidRDefault="00000000">
            <w:pPr>
              <w:spacing w:line="240" w:lineRule="exact"/>
              <w:jc w:val="right"/>
              <w:rPr>
                <w:rFonts w:cs="宋体"/>
                <w:sz w:val="18"/>
                <w:szCs w:val="18"/>
              </w:rPr>
            </w:pPr>
            <w:r w:rsidRPr="0063248C">
              <w:rPr>
                <w:rFonts w:cs="宋体"/>
                <w:sz w:val="18"/>
                <w:szCs w:val="18"/>
              </w:rPr>
              <w:t>418,215,505.68</w:t>
            </w:r>
          </w:p>
        </w:tc>
      </w:tr>
      <w:tr w:rsidR="007B3DB2" w:rsidRPr="0063248C" w14:paraId="3744BC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3AE8B2" w14:textId="77777777" w:rsidR="007B3DB2" w:rsidRPr="0063248C" w:rsidRDefault="00000000">
            <w:pPr>
              <w:spacing w:line="240" w:lineRule="exact"/>
              <w:rPr>
                <w:rFonts w:cs="宋体"/>
                <w:sz w:val="18"/>
                <w:szCs w:val="18"/>
              </w:rPr>
            </w:pPr>
            <w:r w:rsidRPr="0063248C">
              <w:rPr>
                <w:rFonts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65FDD758" w14:textId="77777777" w:rsidR="007B3DB2" w:rsidRPr="0063248C" w:rsidRDefault="00000000">
            <w:pPr>
              <w:spacing w:line="240" w:lineRule="exact"/>
              <w:jc w:val="right"/>
              <w:rPr>
                <w:rFonts w:cs="宋体"/>
                <w:sz w:val="18"/>
                <w:szCs w:val="18"/>
              </w:rPr>
            </w:pPr>
            <w:r w:rsidRPr="0063248C">
              <w:rPr>
                <w:rFonts w:cs="宋体"/>
                <w:sz w:val="18"/>
                <w:szCs w:val="18"/>
              </w:rPr>
              <w:t>531,760,919.90</w:t>
            </w:r>
          </w:p>
        </w:tc>
        <w:tc>
          <w:tcPr>
            <w:tcW w:w="3213" w:type="dxa"/>
            <w:tcBorders>
              <w:top w:val="single" w:sz="2" w:space="0" w:color="auto"/>
              <w:left w:val="single" w:sz="2" w:space="0" w:color="auto"/>
              <w:bottom w:val="single" w:sz="2" w:space="0" w:color="auto"/>
              <w:right w:val="single" w:sz="2" w:space="0" w:color="auto"/>
            </w:tcBorders>
            <w:vAlign w:val="center"/>
          </w:tcPr>
          <w:p w14:paraId="563B2D46" w14:textId="77777777" w:rsidR="007B3DB2" w:rsidRPr="0063248C" w:rsidRDefault="00000000">
            <w:pPr>
              <w:spacing w:line="240" w:lineRule="exact"/>
              <w:jc w:val="right"/>
              <w:rPr>
                <w:rFonts w:cs="宋体"/>
                <w:sz w:val="18"/>
                <w:szCs w:val="18"/>
              </w:rPr>
            </w:pPr>
            <w:r w:rsidRPr="0063248C">
              <w:rPr>
                <w:rFonts w:cs="宋体"/>
                <w:sz w:val="18"/>
                <w:szCs w:val="18"/>
              </w:rPr>
              <w:t>158,256,338.99</w:t>
            </w:r>
          </w:p>
        </w:tc>
      </w:tr>
    </w:tbl>
    <w:p w14:paraId="2C9EDE39" w14:textId="77777777" w:rsidR="00E92CF1" w:rsidRDefault="00E92CF1">
      <w:pPr>
        <w:pStyle w:val="3"/>
        <w:spacing w:line="280" w:lineRule="exact"/>
        <w:jc w:val="left"/>
        <w:rPr>
          <w:rFonts w:cs="宋体"/>
          <w:b/>
          <w:bCs/>
        </w:rPr>
        <w:sectPr w:rsidR="00E92CF1">
          <w:headerReference w:type="default" r:id="rId7"/>
          <w:footerReference w:type="default" r:id="rId8"/>
          <w:pgSz w:w="11905" w:h="16840"/>
          <w:pgMar w:top="1440" w:right="1134" w:bottom="1440" w:left="1134" w:header="850" w:footer="992" w:gutter="0"/>
          <w:cols w:space="720"/>
          <w:docGrid w:type="linesAndChars" w:linePitch="312"/>
        </w:sectPr>
      </w:pPr>
      <w:bookmarkStart w:id="110" w:name="_Toc988999"/>
    </w:p>
    <w:p w14:paraId="62F7040B" w14:textId="77777777" w:rsidR="007B3DB2" w:rsidRPr="0063248C" w:rsidRDefault="00000000">
      <w:pPr>
        <w:pStyle w:val="3"/>
        <w:spacing w:line="280" w:lineRule="exact"/>
        <w:jc w:val="left"/>
        <w:rPr>
          <w:rFonts w:cs="宋体"/>
          <w:b/>
          <w:bCs/>
        </w:rPr>
      </w:pPr>
      <w:r w:rsidRPr="0063248C">
        <w:rPr>
          <w:rFonts w:cs="宋体"/>
          <w:b/>
          <w:bCs/>
        </w:rPr>
        <w:lastRenderedPageBreak/>
        <w:t>7</w:t>
      </w:r>
      <w:r w:rsidRPr="0063248C">
        <w:rPr>
          <w:rFonts w:cs="宋体"/>
          <w:b/>
          <w:bCs/>
        </w:rPr>
        <w:t>、合并所有者权益变动表</w:t>
      </w:r>
      <w:bookmarkEnd w:id="110"/>
    </w:p>
    <w:p w14:paraId="3963128E" w14:textId="77777777" w:rsidR="007B3DB2" w:rsidRPr="0063248C" w:rsidRDefault="00000000">
      <w:pPr>
        <w:spacing w:before="100" w:after="100" w:line="240" w:lineRule="exact"/>
        <w:rPr>
          <w:rFonts w:cs="宋体"/>
          <w:sz w:val="18"/>
          <w:szCs w:val="18"/>
        </w:rPr>
      </w:pPr>
      <w:r w:rsidRPr="0063248C">
        <w:rPr>
          <w:rFonts w:cs="宋体"/>
          <w:sz w:val="18"/>
          <w:szCs w:val="18"/>
        </w:rPr>
        <w:t>本期金额</w:t>
      </w:r>
    </w:p>
    <w:p w14:paraId="28CBB564"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1405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746"/>
        <w:gridCol w:w="819"/>
        <w:gridCol w:w="819"/>
        <w:gridCol w:w="819"/>
        <w:gridCol w:w="819"/>
        <w:gridCol w:w="820"/>
        <w:gridCol w:w="820"/>
        <w:gridCol w:w="820"/>
        <w:gridCol w:w="820"/>
        <w:gridCol w:w="820"/>
        <w:gridCol w:w="820"/>
        <w:gridCol w:w="820"/>
        <w:gridCol w:w="820"/>
        <w:gridCol w:w="820"/>
        <w:gridCol w:w="8"/>
        <w:gridCol w:w="812"/>
        <w:gridCol w:w="8"/>
        <w:gridCol w:w="812"/>
        <w:gridCol w:w="9"/>
      </w:tblGrid>
      <w:tr w:rsidR="007B3DB2" w:rsidRPr="0063248C" w14:paraId="5D9167B2" w14:textId="77777777" w:rsidTr="00E92CF1">
        <w:trPr>
          <w:trHeight w:val="240"/>
        </w:trPr>
        <w:tc>
          <w:tcPr>
            <w:tcW w:w="174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FA9512"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2305" w:type="dxa"/>
            <w:gridSpan w:val="18"/>
            <w:tcBorders>
              <w:top w:val="single" w:sz="2" w:space="0" w:color="auto"/>
              <w:left w:val="single" w:sz="2" w:space="0" w:color="auto"/>
              <w:bottom w:val="single" w:sz="2" w:space="0" w:color="auto"/>
              <w:right w:val="single" w:sz="2" w:space="0" w:color="auto"/>
            </w:tcBorders>
            <w:shd w:val="clear" w:color="auto" w:fill="D3D3D3"/>
            <w:vAlign w:val="center"/>
          </w:tcPr>
          <w:p w14:paraId="0D35A1EB" w14:textId="77777777" w:rsidR="007B3DB2" w:rsidRPr="0063248C" w:rsidRDefault="00000000">
            <w:pPr>
              <w:spacing w:before="40" w:after="40" w:line="240" w:lineRule="exact"/>
              <w:jc w:val="center"/>
              <w:rPr>
                <w:rFonts w:cs="宋体"/>
                <w:sz w:val="18"/>
                <w:szCs w:val="18"/>
              </w:rPr>
            </w:pPr>
            <w:r w:rsidRPr="0063248C">
              <w:rPr>
                <w:rFonts w:cs="宋体"/>
                <w:sz w:val="18"/>
                <w:szCs w:val="18"/>
              </w:rPr>
              <w:t>2024</w:t>
            </w:r>
            <w:r w:rsidRPr="0063248C">
              <w:rPr>
                <w:rFonts w:cs="宋体"/>
                <w:sz w:val="18"/>
                <w:szCs w:val="18"/>
              </w:rPr>
              <w:t>年半年度</w:t>
            </w:r>
          </w:p>
        </w:tc>
      </w:tr>
      <w:tr w:rsidR="007B3DB2" w:rsidRPr="0063248C" w14:paraId="62EE0615" w14:textId="77777777" w:rsidTr="00E92CF1">
        <w:trPr>
          <w:trHeight w:val="240"/>
        </w:trPr>
        <w:tc>
          <w:tcPr>
            <w:tcW w:w="174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E4401C4" w14:textId="77777777" w:rsidR="007B3DB2" w:rsidRPr="0063248C" w:rsidRDefault="007B3DB2"/>
        </w:tc>
        <w:tc>
          <w:tcPr>
            <w:tcW w:w="10664" w:type="dxa"/>
            <w:gridSpan w:val="14"/>
            <w:tcBorders>
              <w:top w:val="single" w:sz="2" w:space="0" w:color="auto"/>
              <w:left w:val="single" w:sz="2" w:space="0" w:color="auto"/>
              <w:bottom w:val="single" w:sz="2" w:space="0" w:color="auto"/>
              <w:right w:val="single" w:sz="2" w:space="0" w:color="auto"/>
            </w:tcBorders>
            <w:shd w:val="clear" w:color="auto" w:fill="D3D3D3"/>
            <w:vAlign w:val="center"/>
          </w:tcPr>
          <w:p w14:paraId="0204777A" w14:textId="77777777" w:rsidR="007B3DB2" w:rsidRPr="0063248C" w:rsidRDefault="00000000">
            <w:pPr>
              <w:spacing w:before="40" w:after="40" w:line="240" w:lineRule="exact"/>
              <w:jc w:val="center"/>
              <w:rPr>
                <w:rFonts w:cs="宋体"/>
                <w:sz w:val="18"/>
                <w:szCs w:val="18"/>
              </w:rPr>
            </w:pPr>
            <w:r w:rsidRPr="0063248C">
              <w:rPr>
                <w:rFonts w:cs="宋体"/>
                <w:sz w:val="18"/>
                <w:szCs w:val="18"/>
              </w:rPr>
              <w:t>归属于母公司所有者权益</w:t>
            </w:r>
          </w:p>
        </w:tc>
        <w:tc>
          <w:tcPr>
            <w:tcW w:w="820"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682A70" w14:textId="77777777" w:rsidR="007B3DB2" w:rsidRPr="0063248C" w:rsidRDefault="00000000">
            <w:pPr>
              <w:spacing w:before="40" w:after="40" w:line="0" w:lineRule="atLeast"/>
              <w:jc w:val="center"/>
              <w:rPr>
                <w:rFonts w:cs="宋体"/>
                <w:sz w:val="18"/>
                <w:szCs w:val="18"/>
              </w:rPr>
            </w:pPr>
            <w:r w:rsidRPr="0063248C">
              <w:rPr>
                <w:rFonts w:cs="宋体"/>
                <w:sz w:val="18"/>
                <w:szCs w:val="18"/>
              </w:rPr>
              <w:t>少数股东权益</w:t>
            </w:r>
          </w:p>
        </w:tc>
        <w:tc>
          <w:tcPr>
            <w:tcW w:w="820"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730B720" w14:textId="77777777" w:rsidR="007B3DB2" w:rsidRPr="0063248C" w:rsidRDefault="00000000">
            <w:pPr>
              <w:spacing w:before="40" w:after="40" w:line="240" w:lineRule="exact"/>
              <w:jc w:val="center"/>
              <w:rPr>
                <w:rFonts w:cs="宋体"/>
                <w:sz w:val="18"/>
                <w:szCs w:val="18"/>
              </w:rPr>
            </w:pPr>
            <w:r w:rsidRPr="0063248C">
              <w:rPr>
                <w:rFonts w:cs="宋体"/>
                <w:sz w:val="18"/>
                <w:szCs w:val="18"/>
              </w:rPr>
              <w:t>所有者权益合计</w:t>
            </w:r>
          </w:p>
        </w:tc>
      </w:tr>
      <w:tr w:rsidR="007B3DB2" w:rsidRPr="0063248C" w14:paraId="0A65F453" w14:textId="77777777" w:rsidTr="00E92CF1">
        <w:trPr>
          <w:gridAfter w:val="1"/>
          <w:wAfter w:w="9" w:type="dxa"/>
          <w:trHeight w:val="240"/>
        </w:trPr>
        <w:tc>
          <w:tcPr>
            <w:tcW w:w="174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06C3DCD" w14:textId="77777777" w:rsidR="007B3DB2" w:rsidRPr="0063248C" w:rsidRDefault="007B3DB2"/>
        </w:tc>
        <w:tc>
          <w:tcPr>
            <w:tcW w:w="81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38BCA13" w14:textId="77777777" w:rsidR="007B3DB2" w:rsidRPr="0063248C" w:rsidRDefault="00000000">
            <w:pPr>
              <w:spacing w:before="40" w:after="40" w:line="240" w:lineRule="exact"/>
              <w:jc w:val="center"/>
              <w:rPr>
                <w:rFonts w:cs="宋体"/>
                <w:sz w:val="18"/>
                <w:szCs w:val="18"/>
              </w:rPr>
            </w:pPr>
            <w:r w:rsidRPr="0063248C">
              <w:rPr>
                <w:rFonts w:cs="宋体"/>
                <w:sz w:val="18"/>
                <w:szCs w:val="18"/>
              </w:rPr>
              <w:t>股本</w:t>
            </w:r>
          </w:p>
        </w:tc>
        <w:tc>
          <w:tcPr>
            <w:tcW w:w="245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4D40443"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其他权益工具</w:t>
            </w:r>
          </w:p>
        </w:tc>
        <w:tc>
          <w:tcPr>
            <w:tcW w:w="82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4B42B26" w14:textId="77777777" w:rsidR="007B3DB2" w:rsidRPr="0063248C" w:rsidRDefault="00000000">
            <w:pPr>
              <w:spacing w:before="40" w:after="40" w:line="240" w:lineRule="exact"/>
              <w:jc w:val="center"/>
              <w:rPr>
                <w:rFonts w:cs="宋体"/>
                <w:sz w:val="18"/>
                <w:szCs w:val="18"/>
              </w:rPr>
            </w:pPr>
            <w:r w:rsidRPr="0063248C">
              <w:rPr>
                <w:rFonts w:cs="宋体"/>
                <w:sz w:val="18"/>
                <w:szCs w:val="18"/>
              </w:rPr>
              <w:t>资本公积</w:t>
            </w:r>
          </w:p>
        </w:tc>
        <w:tc>
          <w:tcPr>
            <w:tcW w:w="82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EE81C1C"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减：库存股</w:t>
            </w:r>
          </w:p>
        </w:tc>
        <w:tc>
          <w:tcPr>
            <w:tcW w:w="82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98B26B5"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其他综合收益</w:t>
            </w:r>
          </w:p>
        </w:tc>
        <w:tc>
          <w:tcPr>
            <w:tcW w:w="82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A589AA4" w14:textId="77777777" w:rsidR="007B3DB2" w:rsidRPr="0063248C" w:rsidRDefault="00000000">
            <w:pPr>
              <w:spacing w:before="40" w:after="40" w:line="240" w:lineRule="exact"/>
              <w:jc w:val="center"/>
              <w:rPr>
                <w:rFonts w:cs="宋体"/>
                <w:sz w:val="18"/>
                <w:szCs w:val="18"/>
              </w:rPr>
            </w:pPr>
            <w:r w:rsidRPr="0063248C">
              <w:rPr>
                <w:rFonts w:cs="宋体"/>
                <w:sz w:val="18"/>
                <w:szCs w:val="18"/>
              </w:rPr>
              <w:t>专项储备</w:t>
            </w:r>
          </w:p>
        </w:tc>
        <w:tc>
          <w:tcPr>
            <w:tcW w:w="82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31317D" w14:textId="77777777" w:rsidR="007B3DB2" w:rsidRPr="0063248C" w:rsidRDefault="00000000">
            <w:pPr>
              <w:spacing w:before="40" w:after="40" w:line="240" w:lineRule="exact"/>
              <w:jc w:val="center"/>
              <w:rPr>
                <w:rFonts w:cs="宋体"/>
                <w:sz w:val="18"/>
                <w:szCs w:val="18"/>
              </w:rPr>
            </w:pPr>
            <w:r w:rsidRPr="0063248C">
              <w:rPr>
                <w:rFonts w:cs="宋体"/>
                <w:sz w:val="18"/>
                <w:szCs w:val="18"/>
              </w:rPr>
              <w:t>盈余公积</w:t>
            </w:r>
          </w:p>
        </w:tc>
        <w:tc>
          <w:tcPr>
            <w:tcW w:w="82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E444CD1" w14:textId="77777777" w:rsidR="007B3DB2" w:rsidRPr="0063248C" w:rsidRDefault="00000000">
            <w:pPr>
              <w:spacing w:before="40" w:after="40" w:line="240" w:lineRule="exact"/>
              <w:jc w:val="center"/>
              <w:rPr>
                <w:rFonts w:cs="宋体"/>
                <w:sz w:val="18"/>
                <w:szCs w:val="18"/>
              </w:rPr>
            </w:pPr>
            <w:r w:rsidRPr="0063248C">
              <w:rPr>
                <w:rFonts w:cs="宋体"/>
                <w:sz w:val="18"/>
                <w:szCs w:val="18"/>
              </w:rPr>
              <w:t>一般风险准备</w:t>
            </w:r>
          </w:p>
        </w:tc>
        <w:tc>
          <w:tcPr>
            <w:tcW w:w="82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D43E7E9" w14:textId="77777777" w:rsidR="007B3DB2" w:rsidRPr="0063248C" w:rsidRDefault="00000000">
            <w:pPr>
              <w:spacing w:before="40" w:after="40" w:line="240" w:lineRule="exact"/>
              <w:jc w:val="center"/>
              <w:rPr>
                <w:rFonts w:cs="宋体"/>
                <w:sz w:val="18"/>
                <w:szCs w:val="18"/>
              </w:rPr>
            </w:pPr>
            <w:r w:rsidRPr="0063248C">
              <w:rPr>
                <w:rFonts w:cs="宋体"/>
                <w:sz w:val="18"/>
                <w:szCs w:val="18"/>
              </w:rPr>
              <w:t>未分配利润</w:t>
            </w:r>
          </w:p>
        </w:tc>
        <w:tc>
          <w:tcPr>
            <w:tcW w:w="82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124A465"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82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5C38CDC" w14:textId="77777777" w:rsidR="007B3DB2" w:rsidRPr="0063248C" w:rsidRDefault="00000000">
            <w:pPr>
              <w:spacing w:before="40" w:after="40" w:line="240" w:lineRule="exact"/>
              <w:jc w:val="center"/>
              <w:rPr>
                <w:rFonts w:cs="宋体"/>
                <w:sz w:val="18"/>
                <w:szCs w:val="18"/>
              </w:rPr>
            </w:pPr>
            <w:r w:rsidRPr="0063248C">
              <w:rPr>
                <w:rFonts w:cs="宋体"/>
                <w:sz w:val="18"/>
                <w:szCs w:val="18"/>
              </w:rPr>
              <w:t>小计</w:t>
            </w:r>
          </w:p>
        </w:tc>
        <w:tc>
          <w:tcPr>
            <w:tcW w:w="820"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29FFA96B" w14:textId="77777777" w:rsidR="007B3DB2" w:rsidRPr="0063248C" w:rsidRDefault="007B3DB2"/>
        </w:tc>
        <w:tc>
          <w:tcPr>
            <w:tcW w:w="820"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50132B03" w14:textId="77777777" w:rsidR="007B3DB2" w:rsidRPr="0063248C" w:rsidRDefault="007B3DB2"/>
        </w:tc>
      </w:tr>
      <w:tr w:rsidR="007B3DB2" w:rsidRPr="0063248C" w14:paraId="09CD7C5A" w14:textId="77777777" w:rsidTr="00E92CF1">
        <w:trPr>
          <w:gridAfter w:val="1"/>
          <w:wAfter w:w="9" w:type="dxa"/>
          <w:trHeight w:val="240"/>
        </w:trPr>
        <w:tc>
          <w:tcPr>
            <w:tcW w:w="174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45ACCA7" w14:textId="77777777" w:rsidR="007B3DB2" w:rsidRPr="0063248C" w:rsidRDefault="007B3DB2"/>
        </w:tc>
        <w:tc>
          <w:tcPr>
            <w:tcW w:w="81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A69D47F" w14:textId="77777777" w:rsidR="007B3DB2" w:rsidRPr="0063248C" w:rsidRDefault="007B3DB2"/>
        </w:tc>
        <w:tc>
          <w:tcPr>
            <w:tcW w:w="819" w:type="dxa"/>
            <w:tcBorders>
              <w:top w:val="single" w:sz="2" w:space="0" w:color="auto"/>
              <w:left w:val="single" w:sz="2" w:space="0" w:color="auto"/>
              <w:bottom w:val="single" w:sz="2" w:space="0" w:color="auto"/>
              <w:right w:val="single" w:sz="2" w:space="0" w:color="auto"/>
            </w:tcBorders>
            <w:shd w:val="clear" w:color="auto" w:fill="D3D3D3"/>
            <w:vAlign w:val="center"/>
          </w:tcPr>
          <w:p w14:paraId="3909DDF6" w14:textId="77777777" w:rsidR="007B3DB2" w:rsidRPr="0063248C" w:rsidRDefault="00000000">
            <w:pPr>
              <w:spacing w:before="40" w:after="40" w:line="240" w:lineRule="exact"/>
              <w:jc w:val="center"/>
              <w:rPr>
                <w:rFonts w:cs="宋体"/>
                <w:sz w:val="18"/>
                <w:szCs w:val="18"/>
              </w:rPr>
            </w:pPr>
            <w:r w:rsidRPr="0063248C">
              <w:rPr>
                <w:rFonts w:cs="宋体"/>
                <w:sz w:val="18"/>
                <w:szCs w:val="18"/>
              </w:rPr>
              <w:t>优先股</w:t>
            </w:r>
          </w:p>
        </w:tc>
        <w:tc>
          <w:tcPr>
            <w:tcW w:w="819" w:type="dxa"/>
            <w:tcBorders>
              <w:top w:val="single" w:sz="2" w:space="0" w:color="auto"/>
              <w:left w:val="single" w:sz="2" w:space="0" w:color="auto"/>
              <w:bottom w:val="single" w:sz="2" w:space="0" w:color="auto"/>
              <w:right w:val="single" w:sz="2" w:space="0" w:color="auto"/>
            </w:tcBorders>
            <w:shd w:val="clear" w:color="auto" w:fill="D3D3D3"/>
            <w:vAlign w:val="center"/>
          </w:tcPr>
          <w:p w14:paraId="4A94E754" w14:textId="77777777" w:rsidR="007B3DB2" w:rsidRPr="0063248C" w:rsidRDefault="00000000">
            <w:pPr>
              <w:spacing w:before="40" w:after="40" w:line="240" w:lineRule="exact"/>
              <w:jc w:val="center"/>
              <w:rPr>
                <w:rFonts w:cs="宋体"/>
                <w:sz w:val="18"/>
                <w:szCs w:val="18"/>
              </w:rPr>
            </w:pPr>
            <w:r w:rsidRPr="0063248C">
              <w:rPr>
                <w:rFonts w:cs="宋体"/>
                <w:sz w:val="18"/>
                <w:szCs w:val="18"/>
              </w:rPr>
              <w:t>永续债</w:t>
            </w:r>
          </w:p>
        </w:tc>
        <w:tc>
          <w:tcPr>
            <w:tcW w:w="819" w:type="dxa"/>
            <w:tcBorders>
              <w:top w:val="single" w:sz="2" w:space="0" w:color="auto"/>
              <w:left w:val="single" w:sz="2" w:space="0" w:color="auto"/>
              <w:bottom w:val="single" w:sz="2" w:space="0" w:color="auto"/>
              <w:right w:val="single" w:sz="2" w:space="0" w:color="auto"/>
            </w:tcBorders>
            <w:shd w:val="clear" w:color="auto" w:fill="D3D3D3"/>
            <w:vAlign w:val="center"/>
          </w:tcPr>
          <w:p w14:paraId="4D7B6DDD"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82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3283CA" w14:textId="77777777" w:rsidR="007B3DB2" w:rsidRPr="0063248C" w:rsidRDefault="007B3DB2"/>
        </w:tc>
        <w:tc>
          <w:tcPr>
            <w:tcW w:w="82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F6A152" w14:textId="77777777" w:rsidR="007B3DB2" w:rsidRPr="0063248C" w:rsidRDefault="007B3DB2"/>
        </w:tc>
        <w:tc>
          <w:tcPr>
            <w:tcW w:w="82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7977E75" w14:textId="77777777" w:rsidR="007B3DB2" w:rsidRPr="0063248C" w:rsidRDefault="007B3DB2"/>
        </w:tc>
        <w:tc>
          <w:tcPr>
            <w:tcW w:w="820" w:type="dxa"/>
            <w:vMerge/>
            <w:tcBorders>
              <w:top w:val="single" w:sz="2" w:space="0" w:color="auto"/>
              <w:left w:val="single" w:sz="2" w:space="0" w:color="auto"/>
              <w:bottom w:val="single" w:sz="2" w:space="0" w:color="auto"/>
              <w:right w:val="single" w:sz="2" w:space="0" w:color="auto"/>
            </w:tcBorders>
            <w:vAlign w:val="center"/>
          </w:tcPr>
          <w:p w14:paraId="09DB4D23" w14:textId="77777777" w:rsidR="007B3DB2" w:rsidRPr="0063248C" w:rsidRDefault="007B3DB2"/>
        </w:tc>
        <w:tc>
          <w:tcPr>
            <w:tcW w:w="82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D2AEA4B" w14:textId="77777777" w:rsidR="007B3DB2" w:rsidRPr="0063248C" w:rsidRDefault="007B3DB2"/>
        </w:tc>
        <w:tc>
          <w:tcPr>
            <w:tcW w:w="82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26B0A07" w14:textId="77777777" w:rsidR="007B3DB2" w:rsidRPr="0063248C" w:rsidRDefault="007B3DB2"/>
        </w:tc>
        <w:tc>
          <w:tcPr>
            <w:tcW w:w="82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F6C6CA8" w14:textId="77777777" w:rsidR="007B3DB2" w:rsidRPr="0063248C" w:rsidRDefault="007B3DB2"/>
        </w:tc>
        <w:tc>
          <w:tcPr>
            <w:tcW w:w="82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D915921" w14:textId="77777777" w:rsidR="007B3DB2" w:rsidRPr="0063248C" w:rsidRDefault="007B3DB2"/>
        </w:tc>
        <w:tc>
          <w:tcPr>
            <w:tcW w:w="82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C14F047" w14:textId="77777777" w:rsidR="007B3DB2" w:rsidRPr="0063248C" w:rsidRDefault="007B3DB2"/>
        </w:tc>
        <w:tc>
          <w:tcPr>
            <w:tcW w:w="820"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6A528A7D" w14:textId="77777777" w:rsidR="007B3DB2" w:rsidRPr="0063248C" w:rsidRDefault="007B3DB2"/>
        </w:tc>
        <w:tc>
          <w:tcPr>
            <w:tcW w:w="820"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7B97CE2D" w14:textId="77777777" w:rsidR="007B3DB2" w:rsidRPr="0063248C" w:rsidRDefault="007B3DB2"/>
        </w:tc>
      </w:tr>
      <w:tr w:rsidR="007B3DB2" w:rsidRPr="0063248C" w14:paraId="2D2B1050"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2B2840AB" w14:textId="77777777" w:rsidR="007B3DB2" w:rsidRPr="0063248C" w:rsidRDefault="00000000">
            <w:pPr>
              <w:spacing w:before="40" w:after="40" w:line="240" w:lineRule="exact"/>
              <w:rPr>
                <w:rFonts w:cs="宋体"/>
                <w:sz w:val="18"/>
                <w:szCs w:val="18"/>
              </w:rPr>
            </w:pPr>
            <w:r w:rsidRPr="0063248C">
              <w:rPr>
                <w:rFonts w:cs="宋体"/>
                <w:sz w:val="18"/>
                <w:szCs w:val="18"/>
              </w:rPr>
              <w:t>一、上年期末余额</w:t>
            </w:r>
          </w:p>
        </w:tc>
        <w:tc>
          <w:tcPr>
            <w:tcW w:w="819" w:type="dxa"/>
            <w:tcBorders>
              <w:top w:val="single" w:sz="2" w:space="0" w:color="auto"/>
              <w:left w:val="single" w:sz="2" w:space="0" w:color="auto"/>
              <w:bottom w:val="single" w:sz="2" w:space="0" w:color="auto"/>
              <w:right w:val="single" w:sz="2" w:space="0" w:color="auto"/>
            </w:tcBorders>
            <w:vAlign w:val="center"/>
          </w:tcPr>
          <w:p w14:paraId="4245ADE6" w14:textId="77777777" w:rsidR="007B3DB2" w:rsidRPr="0063248C" w:rsidRDefault="00000000">
            <w:pPr>
              <w:spacing w:line="240" w:lineRule="exact"/>
              <w:jc w:val="right"/>
              <w:rPr>
                <w:rFonts w:cs="宋体"/>
                <w:sz w:val="18"/>
                <w:szCs w:val="18"/>
              </w:rPr>
            </w:pPr>
            <w:r w:rsidRPr="0063248C">
              <w:rPr>
                <w:rFonts w:cs="宋体"/>
                <w:sz w:val="18"/>
                <w:szCs w:val="18"/>
              </w:rPr>
              <w:t>1,079,159,832.00</w:t>
            </w:r>
          </w:p>
        </w:tc>
        <w:tc>
          <w:tcPr>
            <w:tcW w:w="819" w:type="dxa"/>
            <w:tcBorders>
              <w:top w:val="single" w:sz="2" w:space="0" w:color="auto"/>
              <w:left w:val="single" w:sz="2" w:space="0" w:color="auto"/>
              <w:bottom w:val="single" w:sz="2" w:space="0" w:color="auto"/>
              <w:right w:val="single" w:sz="2" w:space="0" w:color="auto"/>
            </w:tcBorders>
            <w:vAlign w:val="center"/>
          </w:tcPr>
          <w:p w14:paraId="062D18DD"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0B1F94A1"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55959CC2" w14:textId="77777777" w:rsidR="007B3DB2" w:rsidRPr="0063248C" w:rsidRDefault="00000000">
            <w:pPr>
              <w:spacing w:line="240" w:lineRule="exact"/>
              <w:jc w:val="right"/>
              <w:rPr>
                <w:rFonts w:cs="宋体"/>
                <w:sz w:val="18"/>
                <w:szCs w:val="18"/>
              </w:rPr>
            </w:pPr>
            <w:r w:rsidRPr="0063248C">
              <w:rPr>
                <w:rFonts w:cs="宋体"/>
                <w:sz w:val="18"/>
                <w:szCs w:val="18"/>
              </w:rPr>
              <w:t>171,570,881.98</w:t>
            </w:r>
          </w:p>
        </w:tc>
        <w:tc>
          <w:tcPr>
            <w:tcW w:w="820" w:type="dxa"/>
            <w:tcBorders>
              <w:top w:val="single" w:sz="2" w:space="0" w:color="auto"/>
              <w:left w:val="single" w:sz="2" w:space="0" w:color="auto"/>
              <w:bottom w:val="single" w:sz="2" w:space="0" w:color="auto"/>
              <w:right w:val="single" w:sz="2" w:space="0" w:color="auto"/>
            </w:tcBorders>
            <w:vAlign w:val="center"/>
          </w:tcPr>
          <w:p w14:paraId="67ABA820" w14:textId="77777777" w:rsidR="007B3DB2" w:rsidRPr="0063248C" w:rsidRDefault="00000000">
            <w:pPr>
              <w:spacing w:line="240" w:lineRule="exact"/>
              <w:jc w:val="right"/>
              <w:rPr>
                <w:rFonts w:cs="宋体"/>
                <w:sz w:val="18"/>
                <w:szCs w:val="18"/>
              </w:rPr>
            </w:pPr>
            <w:r w:rsidRPr="0063248C">
              <w:rPr>
                <w:rFonts w:cs="宋体"/>
                <w:sz w:val="18"/>
                <w:szCs w:val="18"/>
              </w:rPr>
              <w:t>824,957,421.64</w:t>
            </w:r>
          </w:p>
        </w:tc>
        <w:tc>
          <w:tcPr>
            <w:tcW w:w="820" w:type="dxa"/>
            <w:tcBorders>
              <w:top w:val="single" w:sz="2" w:space="0" w:color="auto"/>
              <w:left w:val="single" w:sz="2" w:space="0" w:color="auto"/>
              <w:bottom w:val="single" w:sz="2" w:space="0" w:color="auto"/>
              <w:right w:val="single" w:sz="2" w:space="0" w:color="auto"/>
            </w:tcBorders>
            <w:vAlign w:val="center"/>
          </w:tcPr>
          <w:p w14:paraId="3F5DB1CF"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c>
          <w:tcPr>
            <w:tcW w:w="820" w:type="dxa"/>
            <w:tcBorders>
              <w:top w:val="single" w:sz="2" w:space="0" w:color="auto"/>
              <w:left w:val="single" w:sz="2" w:space="0" w:color="auto"/>
              <w:bottom w:val="single" w:sz="2" w:space="0" w:color="auto"/>
              <w:right w:val="single" w:sz="2" w:space="0" w:color="auto"/>
            </w:tcBorders>
            <w:vAlign w:val="center"/>
          </w:tcPr>
          <w:p w14:paraId="087B3868"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c>
          <w:tcPr>
            <w:tcW w:w="820" w:type="dxa"/>
            <w:tcBorders>
              <w:top w:val="single" w:sz="2" w:space="0" w:color="auto"/>
              <w:left w:val="single" w:sz="2" w:space="0" w:color="auto"/>
              <w:bottom w:val="single" w:sz="2" w:space="0" w:color="auto"/>
              <w:right w:val="single" w:sz="2" w:space="0" w:color="auto"/>
            </w:tcBorders>
            <w:vAlign w:val="center"/>
          </w:tcPr>
          <w:p w14:paraId="7A2F97F6"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0EE5C2B0"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820" w:type="dxa"/>
            <w:tcBorders>
              <w:top w:val="single" w:sz="2" w:space="0" w:color="auto"/>
              <w:left w:val="single" w:sz="2" w:space="0" w:color="auto"/>
              <w:bottom w:val="single" w:sz="2" w:space="0" w:color="auto"/>
              <w:right w:val="single" w:sz="2" w:space="0" w:color="auto"/>
            </w:tcBorders>
            <w:vAlign w:val="center"/>
          </w:tcPr>
          <w:p w14:paraId="1F6A9967"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578BD87D" w14:textId="77777777" w:rsidR="007B3DB2" w:rsidRPr="0063248C" w:rsidRDefault="00000000">
            <w:pPr>
              <w:spacing w:line="240" w:lineRule="exact"/>
              <w:jc w:val="right"/>
              <w:rPr>
                <w:rFonts w:cs="宋体"/>
                <w:sz w:val="18"/>
                <w:szCs w:val="18"/>
              </w:rPr>
            </w:pPr>
            <w:r w:rsidRPr="0063248C">
              <w:rPr>
                <w:rFonts w:cs="宋体"/>
                <w:sz w:val="18"/>
                <w:szCs w:val="18"/>
              </w:rPr>
              <w:t>-515,299,374.16</w:t>
            </w:r>
          </w:p>
        </w:tc>
        <w:tc>
          <w:tcPr>
            <w:tcW w:w="820" w:type="dxa"/>
            <w:tcBorders>
              <w:top w:val="single" w:sz="2" w:space="0" w:color="auto"/>
              <w:left w:val="single" w:sz="2" w:space="0" w:color="auto"/>
              <w:bottom w:val="single" w:sz="2" w:space="0" w:color="auto"/>
              <w:right w:val="single" w:sz="2" w:space="0" w:color="auto"/>
            </w:tcBorders>
            <w:vAlign w:val="center"/>
          </w:tcPr>
          <w:p w14:paraId="2AFD059C"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47CCEF1D" w14:textId="77777777" w:rsidR="007B3DB2" w:rsidRPr="0063248C" w:rsidRDefault="00000000">
            <w:pPr>
              <w:spacing w:line="240" w:lineRule="exact"/>
              <w:jc w:val="right"/>
              <w:rPr>
                <w:rFonts w:cs="宋体"/>
                <w:sz w:val="18"/>
                <w:szCs w:val="18"/>
              </w:rPr>
            </w:pPr>
            <w:r w:rsidRPr="0063248C">
              <w:rPr>
                <w:rFonts w:cs="宋体"/>
                <w:sz w:val="18"/>
                <w:szCs w:val="18"/>
              </w:rPr>
              <w:t>1,481,981,607.33</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1BFE0347" w14:textId="77777777" w:rsidR="007B3DB2" w:rsidRPr="0063248C" w:rsidRDefault="00000000">
            <w:pPr>
              <w:spacing w:line="240" w:lineRule="exact"/>
              <w:jc w:val="right"/>
              <w:rPr>
                <w:rFonts w:cs="宋体"/>
                <w:sz w:val="18"/>
                <w:szCs w:val="18"/>
              </w:rPr>
            </w:pPr>
            <w:r w:rsidRPr="0063248C">
              <w:rPr>
                <w:rFonts w:cs="宋体"/>
                <w:sz w:val="18"/>
                <w:szCs w:val="18"/>
              </w:rPr>
              <w:t>174,979,208.11</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7AD0892A" w14:textId="77777777" w:rsidR="007B3DB2" w:rsidRPr="0063248C" w:rsidRDefault="00000000">
            <w:pPr>
              <w:spacing w:line="240" w:lineRule="exact"/>
              <w:jc w:val="right"/>
              <w:rPr>
                <w:rFonts w:cs="宋体"/>
                <w:sz w:val="18"/>
                <w:szCs w:val="18"/>
              </w:rPr>
            </w:pPr>
            <w:r w:rsidRPr="0063248C">
              <w:rPr>
                <w:rFonts w:cs="宋体"/>
                <w:sz w:val="18"/>
                <w:szCs w:val="18"/>
              </w:rPr>
              <w:t>1,656,960,815.44</w:t>
            </w:r>
          </w:p>
        </w:tc>
      </w:tr>
      <w:tr w:rsidR="007B3DB2" w:rsidRPr="0063248C" w14:paraId="2DD4F2B2"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681D90DF"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加：会计政策变更</w:t>
            </w:r>
          </w:p>
        </w:tc>
        <w:tc>
          <w:tcPr>
            <w:tcW w:w="819" w:type="dxa"/>
            <w:tcBorders>
              <w:top w:val="single" w:sz="2" w:space="0" w:color="auto"/>
              <w:left w:val="single" w:sz="2" w:space="0" w:color="auto"/>
              <w:bottom w:val="single" w:sz="2" w:space="0" w:color="auto"/>
              <w:right w:val="single" w:sz="2" w:space="0" w:color="auto"/>
            </w:tcBorders>
            <w:vAlign w:val="center"/>
          </w:tcPr>
          <w:p w14:paraId="514BA39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DD0876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3E6DA8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A592BC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9F2465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E825764"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95F900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2259B0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7B8919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EB61D0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B857BB3"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AE7652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A20954A"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1F0BDEA0"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25685015" w14:textId="77777777" w:rsidR="007B3DB2" w:rsidRPr="0063248C" w:rsidRDefault="007B3DB2">
            <w:pPr>
              <w:spacing w:line="240" w:lineRule="exact"/>
              <w:jc w:val="right"/>
              <w:rPr>
                <w:rFonts w:cs="宋体"/>
                <w:sz w:val="18"/>
                <w:szCs w:val="18"/>
              </w:rPr>
            </w:pPr>
          </w:p>
        </w:tc>
      </w:tr>
      <w:tr w:rsidR="007B3DB2" w:rsidRPr="0063248C" w14:paraId="1109EC67"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5D6F71ED"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前期差错更正</w:t>
            </w:r>
          </w:p>
        </w:tc>
        <w:tc>
          <w:tcPr>
            <w:tcW w:w="819" w:type="dxa"/>
            <w:tcBorders>
              <w:top w:val="single" w:sz="2" w:space="0" w:color="auto"/>
              <w:left w:val="single" w:sz="2" w:space="0" w:color="auto"/>
              <w:bottom w:val="single" w:sz="2" w:space="0" w:color="auto"/>
              <w:right w:val="single" w:sz="2" w:space="0" w:color="auto"/>
            </w:tcBorders>
            <w:vAlign w:val="center"/>
          </w:tcPr>
          <w:p w14:paraId="1772741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CDBFB16"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E3C29F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5230B0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C6ACFA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8AD17C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3760C86"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2CB6BB6"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0F008B3"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38A7DD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30B6206"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6BC58B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2A565B0"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0E3AE3BD"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043F7220" w14:textId="77777777" w:rsidR="007B3DB2" w:rsidRPr="0063248C" w:rsidRDefault="007B3DB2">
            <w:pPr>
              <w:spacing w:line="240" w:lineRule="exact"/>
              <w:jc w:val="right"/>
              <w:rPr>
                <w:rFonts w:cs="宋体"/>
                <w:sz w:val="18"/>
                <w:szCs w:val="18"/>
              </w:rPr>
            </w:pPr>
          </w:p>
        </w:tc>
      </w:tr>
      <w:tr w:rsidR="007B3DB2" w:rsidRPr="0063248C" w14:paraId="2EF2FBF4"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44BED66D"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其他</w:t>
            </w:r>
          </w:p>
        </w:tc>
        <w:tc>
          <w:tcPr>
            <w:tcW w:w="819" w:type="dxa"/>
            <w:tcBorders>
              <w:top w:val="single" w:sz="2" w:space="0" w:color="auto"/>
              <w:left w:val="single" w:sz="2" w:space="0" w:color="auto"/>
              <w:bottom w:val="single" w:sz="2" w:space="0" w:color="auto"/>
              <w:right w:val="single" w:sz="2" w:space="0" w:color="auto"/>
            </w:tcBorders>
            <w:vAlign w:val="center"/>
          </w:tcPr>
          <w:p w14:paraId="6834F77A"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306E20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A1A172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5F759F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D42F294"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C610B2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1F5CCE1"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DC1BB5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C3DC0A3"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81435F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A66E4DF"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8673C4C"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B80D7B1"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18DFA853"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574937EA" w14:textId="77777777" w:rsidR="007B3DB2" w:rsidRPr="0063248C" w:rsidRDefault="007B3DB2">
            <w:pPr>
              <w:spacing w:line="240" w:lineRule="exact"/>
              <w:jc w:val="right"/>
              <w:rPr>
                <w:rFonts w:cs="宋体"/>
                <w:sz w:val="18"/>
                <w:szCs w:val="18"/>
              </w:rPr>
            </w:pPr>
          </w:p>
        </w:tc>
      </w:tr>
      <w:tr w:rsidR="007B3DB2" w:rsidRPr="0063248C" w14:paraId="53ACC4C9"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3AB8815A" w14:textId="77777777" w:rsidR="007B3DB2" w:rsidRPr="0063248C" w:rsidRDefault="00000000">
            <w:pPr>
              <w:spacing w:before="40" w:after="40" w:line="240" w:lineRule="exact"/>
              <w:rPr>
                <w:rFonts w:cs="宋体"/>
                <w:sz w:val="18"/>
                <w:szCs w:val="18"/>
              </w:rPr>
            </w:pPr>
            <w:r w:rsidRPr="0063248C">
              <w:rPr>
                <w:rFonts w:cs="宋体"/>
                <w:sz w:val="18"/>
                <w:szCs w:val="18"/>
              </w:rPr>
              <w:t>二、本年期初余额</w:t>
            </w:r>
          </w:p>
        </w:tc>
        <w:tc>
          <w:tcPr>
            <w:tcW w:w="819" w:type="dxa"/>
            <w:tcBorders>
              <w:top w:val="single" w:sz="2" w:space="0" w:color="auto"/>
              <w:left w:val="single" w:sz="2" w:space="0" w:color="auto"/>
              <w:bottom w:val="single" w:sz="2" w:space="0" w:color="auto"/>
              <w:right w:val="single" w:sz="2" w:space="0" w:color="auto"/>
            </w:tcBorders>
            <w:vAlign w:val="center"/>
          </w:tcPr>
          <w:p w14:paraId="53473EFF" w14:textId="77777777" w:rsidR="007B3DB2" w:rsidRPr="0063248C" w:rsidRDefault="00000000">
            <w:pPr>
              <w:spacing w:line="240" w:lineRule="exact"/>
              <w:jc w:val="right"/>
              <w:rPr>
                <w:rFonts w:cs="宋体"/>
                <w:sz w:val="18"/>
                <w:szCs w:val="18"/>
              </w:rPr>
            </w:pPr>
            <w:r w:rsidRPr="0063248C">
              <w:rPr>
                <w:rFonts w:cs="宋体"/>
                <w:sz w:val="18"/>
                <w:szCs w:val="18"/>
              </w:rPr>
              <w:t>1,079,159,832.00</w:t>
            </w:r>
          </w:p>
        </w:tc>
        <w:tc>
          <w:tcPr>
            <w:tcW w:w="819" w:type="dxa"/>
            <w:tcBorders>
              <w:top w:val="single" w:sz="2" w:space="0" w:color="auto"/>
              <w:left w:val="single" w:sz="2" w:space="0" w:color="auto"/>
              <w:bottom w:val="single" w:sz="2" w:space="0" w:color="auto"/>
              <w:right w:val="single" w:sz="2" w:space="0" w:color="auto"/>
            </w:tcBorders>
            <w:vAlign w:val="center"/>
          </w:tcPr>
          <w:p w14:paraId="6F48ACA7"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521471B6"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755B3472" w14:textId="77777777" w:rsidR="007B3DB2" w:rsidRPr="0063248C" w:rsidRDefault="00000000">
            <w:pPr>
              <w:spacing w:line="240" w:lineRule="exact"/>
              <w:jc w:val="right"/>
              <w:rPr>
                <w:rFonts w:cs="宋体"/>
                <w:sz w:val="18"/>
                <w:szCs w:val="18"/>
              </w:rPr>
            </w:pPr>
            <w:r w:rsidRPr="0063248C">
              <w:rPr>
                <w:rFonts w:cs="宋体"/>
                <w:sz w:val="18"/>
                <w:szCs w:val="18"/>
              </w:rPr>
              <w:t>171,570,881.98</w:t>
            </w:r>
          </w:p>
        </w:tc>
        <w:tc>
          <w:tcPr>
            <w:tcW w:w="820" w:type="dxa"/>
            <w:tcBorders>
              <w:top w:val="single" w:sz="2" w:space="0" w:color="auto"/>
              <w:left w:val="single" w:sz="2" w:space="0" w:color="auto"/>
              <w:bottom w:val="single" w:sz="2" w:space="0" w:color="auto"/>
              <w:right w:val="single" w:sz="2" w:space="0" w:color="auto"/>
            </w:tcBorders>
            <w:vAlign w:val="center"/>
          </w:tcPr>
          <w:p w14:paraId="46F7F7BE" w14:textId="77777777" w:rsidR="007B3DB2" w:rsidRPr="0063248C" w:rsidRDefault="00000000">
            <w:pPr>
              <w:spacing w:line="240" w:lineRule="exact"/>
              <w:jc w:val="right"/>
              <w:rPr>
                <w:rFonts w:cs="宋体"/>
                <w:sz w:val="18"/>
                <w:szCs w:val="18"/>
              </w:rPr>
            </w:pPr>
            <w:r w:rsidRPr="0063248C">
              <w:rPr>
                <w:rFonts w:cs="宋体"/>
                <w:sz w:val="18"/>
                <w:szCs w:val="18"/>
              </w:rPr>
              <w:t>824,957,421.64</w:t>
            </w:r>
          </w:p>
        </w:tc>
        <w:tc>
          <w:tcPr>
            <w:tcW w:w="820" w:type="dxa"/>
            <w:tcBorders>
              <w:top w:val="single" w:sz="2" w:space="0" w:color="auto"/>
              <w:left w:val="single" w:sz="2" w:space="0" w:color="auto"/>
              <w:bottom w:val="single" w:sz="2" w:space="0" w:color="auto"/>
              <w:right w:val="single" w:sz="2" w:space="0" w:color="auto"/>
            </w:tcBorders>
            <w:vAlign w:val="center"/>
          </w:tcPr>
          <w:p w14:paraId="31E81774"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c>
          <w:tcPr>
            <w:tcW w:w="820" w:type="dxa"/>
            <w:tcBorders>
              <w:top w:val="single" w:sz="2" w:space="0" w:color="auto"/>
              <w:left w:val="single" w:sz="2" w:space="0" w:color="auto"/>
              <w:bottom w:val="single" w:sz="2" w:space="0" w:color="auto"/>
              <w:right w:val="single" w:sz="2" w:space="0" w:color="auto"/>
            </w:tcBorders>
            <w:vAlign w:val="center"/>
          </w:tcPr>
          <w:p w14:paraId="2FD89868"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c>
          <w:tcPr>
            <w:tcW w:w="820" w:type="dxa"/>
            <w:tcBorders>
              <w:top w:val="single" w:sz="2" w:space="0" w:color="auto"/>
              <w:left w:val="single" w:sz="2" w:space="0" w:color="auto"/>
              <w:bottom w:val="single" w:sz="2" w:space="0" w:color="auto"/>
              <w:right w:val="single" w:sz="2" w:space="0" w:color="auto"/>
            </w:tcBorders>
            <w:vAlign w:val="center"/>
          </w:tcPr>
          <w:p w14:paraId="235B8A66"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09D942E0"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820" w:type="dxa"/>
            <w:tcBorders>
              <w:top w:val="single" w:sz="2" w:space="0" w:color="auto"/>
              <w:left w:val="single" w:sz="2" w:space="0" w:color="auto"/>
              <w:bottom w:val="single" w:sz="2" w:space="0" w:color="auto"/>
              <w:right w:val="single" w:sz="2" w:space="0" w:color="auto"/>
            </w:tcBorders>
            <w:vAlign w:val="center"/>
          </w:tcPr>
          <w:p w14:paraId="6EE73A5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37B68AA1" w14:textId="77777777" w:rsidR="007B3DB2" w:rsidRPr="0063248C" w:rsidRDefault="00000000">
            <w:pPr>
              <w:spacing w:line="240" w:lineRule="exact"/>
              <w:jc w:val="right"/>
              <w:rPr>
                <w:rFonts w:cs="宋体"/>
                <w:sz w:val="18"/>
                <w:szCs w:val="18"/>
              </w:rPr>
            </w:pPr>
            <w:r w:rsidRPr="0063248C">
              <w:rPr>
                <w:rFonts w:cs="宋体"/>
                <w:sz w:val="18"/>
                <w:szCs w:val="18"/>
              </w:rPr>
              <w:t>-515,299,374.16</w:t>
            </w:r>
          </w:p>
        </w:tc>
        <w:tc>
          <w:tcPr>
            <w:tcW w:w="820" w:type="dxa"/>
            <w:tcBorders>
              <w:top w:val="single" w:sz="2" w:space="0" w:color="auto"/>
              <w:left w:val="single" w:sz="2" w:space="0" w:color="auto"/>
              <w:bottom w:val="single" w:sz="2" w:space="0" w:color="auto"/>
              <w:right w:val="single" w:sz="2" w:space="0" w:color="auto"/>
            </w:tcBorders>
            <w:vAlign w:val="center"/>
          </w:tcPr>
          <w:p w14:paraId="70F106BF"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99CB96E" w14:textId="77777777" w:rsidR="007B3DB2" w:rsidRPr="0063248C" w:rsidRDefault="00000000">
            <w:pPr>
              <w:spacing w:line="240" w:lineRule="exact"/>
              <w:jc w:val="right"/>
              <w:rPr>
                <w:rFonts w:cs="宋体"/>
                <w:sz w:val="18"/>
                <w:szCs w:val="18"/>
              </w:rPr>
            </w:pPr>
            <w:r w:rsidRPr="0063248C">
              <w:rPr>
                <w:rFonts w:cs="宋体"/>
                <w:sz w:val="18"/>
                <w:szCs w:val="18"/>
              </w:rPr>
              <w:t>1,481,981,607.33</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3C82AE77" w14:textId="77777777" w:rsidR="007B3DB2" w:rsidRPr="0063248C" w:rsidRDefault="00000000">
            <w:pPr>
              <w:spacing w:line="240" w:lineRule="exact"/>
              <w:jc w:val="right"/>
              <w:rPr>
                <w:rFonts w:cs="宋体"/>
                <w:sz w:val="18"/>
                <w:szCs w:val="18"/>
              </w:rPr>
            </w:pPr>
            <w:r w:rsidRPr="0063248C">
              <w:rPr>
                <w:rFonts w:cs="宋体"/>
                <w:sz w:val="18"/>
                <w:szCs w:val="18"/>
              </w:rPr>
              <w:t>174,979,208.11</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7C6BEE95" w14:textId="77777777" w:rsidR="007B3DB2" w:rsidRPr="0063248C" w:rsidRDefault="00000000">
            <w:pPr>
              <w:spacing w:line="240" w:lineRule="exact"/>
              <w:jc w:val="right"/>
              <w:rPr>
                <w:rFonts w:cs="宋体"/>
                <w:sz w:val="18"/>
                <w:szCs w:val="18"/>
              </w:rPr>
            </w:pPr>
            <w:r w:rsidRPr="0063248C">
              <w:rPr>
                <w:rFonts w:cs="宋体"/>
                <w:sz w:val="18"/>
                <w:szCs w:val="18"/>
              </w:rPr>
              <w:t>1,656,960,815.44</w:t>
            </w:r>
          </w:p>
        </w:tc>
      </w:tr>
      <w:tr w:rsidR="007B3DB2" w:rsidRPr="0063248C" w14:paraId="5D12D2B9"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26063A33" w14:textId="77777777" w:rsidR="007B3DB2" w:rsidRPr="0063248C" w:rsidRDefault="00000000">
            <w:pPr>
              <w:spacing w:before="40" w:after="40" w:line="240" w:lineRule="exact"/>
              <w:rPr>
                <w:rFonts w:cs="宋体"/>
                <w:sz w:val="18"/>
                <w:szCs w:val="18"/>
              </w:rPr>
            </w:pPr>
            <w:r w:rsidRPr="0063248C">
              <w:rPr>
                <w:rFonts w:cs="宋体"/>
                <w:sz w:val="18"/>
                <w:szCs w:val="18"/>
              </w:rPr>
              <w:t>三、本期增减变动金额（减少以</w:t>
            </w:r>
            <w:r w:rsidRPr="0063248C">
              <w:rPr>
                <w:rFonts w:cs="宋体"/>
                <w:sz w:val="18"/>
                <w:szCs w:val="18"/>
              </w:rPr>
              <w:t>“—”</w:t>
            </w:r>
            <w:r w:rsidRPr="0063248C">
              <w:rPr>
                <w:rFonts w:cs="宋体"/>
                <w:sz w:val="18"/>
                <w:szCs w:val="18"/>
              </w:rPr>
              <w:t>号填列）</w:t>
            </w:r>
          </w:p>
        </w:tc>
        <w:tc>
          <w:tcPr>
            <w:tcW w:w="819" w:type="dxa"/>
            <w:tcBorders>
              <w:top w:val="single" w:sz="2" w:space="0" w:color="auto"/>
              <w:left w:val="single" w:sz="2" w:space="0" w:color="auto"/>
              <w:bottom w:val="single" w:sz="2" w:space="0" w:color="auto"/>
              <w:right w:val="single" w:sz="2" w:space="0" w:color="auto"/>
            </w:tcBorders>
            <w:vAlign w:val="center"/>
          </w:tcPr>
          <w:p w14:paraId="57F36E93" w14:textId="77777777" w:rsidR="007B3DB2" w:rsidRPr="0063248C" w:rsidRDefault="00000000">
            <w:pPr>
              <w:spacing w:line="240" w:lineRule="exact"/>
              <w:jc w:val="right"/>
              <w:rPr>
                <w:rFonts w:cs="宋体"/>
                <w:sz w:val="18"/>
                <w:szCs w:val="18"/>
              </w:rPr>
            </w:pPr>
            <w:r w:rsidRPr="0063248C">
              <w:rPr>
                <w:rFonts w:cs="宋体"/>
                <w:sz w:val="18"/>
                <w:szCs w:val="18"/>
              </w:rPr>
              <w:t>107.00</w:t>
            </w:r>
          </w:p>
        </w:tc>
        <w:tc>
          <w:tcPr>
            <w:tcW w:w="819" w:type="dxa"/>
            <w:tcBorders>
              <w:top w:val="single" w:sz="2" w:space="0" w:color="auto"/>
              <w:left w:val="single" w:sz="2" w:space="0" w:color="auto"/>
              <w:bottom w:val="single" w:sz="2" w:space="0" w:color="auto"/>
              <w:right w:val="single" w:sz="2" w:space="0" w:color="auto"/>
            </w:tcBorders>
            <w:vAlign w:val="center"/>
          </w:tcPr>
          <w:p w14:paraId="30E5D226"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7BBBBFFC"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6CC131FC" w14:textId="77777777" w:rsidR="007B3DB2" w:rsidRPr="0063248C" w:rsidRDefault="00000000">
            <w:pPr>
              <w:spacing w:line="240" w:lineRule="exact"/>
              <w:jc w:val="right"/>
              <w:rPr>
                <w:rFonts w:cs="宋体"/>
                <w:sz w:val="18"/>
                <w:szCs w:val="18"/>
              </w:rPr>
            </w:pPr>
            <w:r w:rsidRPr="0063248C">
              <w:rPr>
                <w:rFonts w:cs="宋体"/>
                <w:sz w:val="18"/>
                <w:szCs w:val="18"/>
              </w:rPr>
              <w:t>-181.35</w:t>
            </w:r>
          </w:p>
        </w:tc>
        <w:tc>
          <w:tcPr>
            <w:tcW w:w="820" w:type="dxa"/>
            <w:tcBorders>
              <w:top w:val="single" w:sz="2" w:space="0" w:color="auto"/>
              <w:left w:val="single" w:sz="2" w:space="0" w:color="auto"/>
              <w:bottom w:val="single" w:sz="2" w:space="0" w:color="auto"/>
              <w:right w:val="single" w:sz="2" w:space="0" w:color="auto"/>
            </w:tcBorders>
            <w:vAlign w:val="center"/>
          </w:tcPr>
          <w:p w14:paraId="4AA79219" w14:textId="77777777" w:rsidR="007B3DB2" w:rsidRPr="0063248C" w:rsidRDefault="00000000">
            <w:pPr>
              <w:spacing w:line="240" w:lineRule="exact"/>
              <w:jc w:val="right"/>
              <w:rPr>
                <w:rFonts w:cs="宋体"/>
                <w:sz w:val="18"/>
                <w:szCs w:val="18"/>
              </w:rPr>
            </w:pPr>
            <w:r w:rsidRPr="0063248C">
              <w:rPr>
                <w:rFonts w:cs="宋体"/>
                <w:sz w:val="18"/>
                <w:szCs w:val="18"/>
              </w:rPr>
              <w:t>1,119.05</w:t>
            </w:r>
          </w:p>
        </w:tc>
        <w:tc>
          <w:tcPr>
            <w:tcW w:w="820" w:type="dxa"/>
            <w:tcBorders>
              <w:top w:val="single" w:sz="2" w:space="0" w:color="auto"/>
              <w:left w:val="single" w:sz="2" w:space="0" w:color="auto"/>
              <w:bottom w:val="single" w:sz="2" w:space="0" w:color="auto"/>
              <w:right w:val="single" w:sz="2" w:space="0" w:color="auto"/>
            </w:tcBorders>
            <w:vAlign w:val="center"/>
          </w:tcPr>
          <w:p w14:paraId="199CA52C"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29794587"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2C6D1CE4"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70FA304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491B8270"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3F67F0C2" w14:textId="77777777" w:rsidR="007B3DB2" w:rsidRPr="0063248C" w:rsidRDefault="00000000">
            <w:pPr>
              <w:spacing w:line="240" w:lineRule="exact"/>
              <w:jc w:val="right"/>
              <w:rPr>
                <w:rFonts w:cs="宋体"/>
                <w:sz w:val="18"/>
                <w:szCs w:val="18"/>
              </w:rPr>
            </w:pPr>
            <w:r w:rsidRPr="0063248C">
              <w:rPr>
                <w:rFonts w:cs="宋体"/>
                <w:sz w:val="18"/>
                <w:szCs w:val="18"/>
              </w:rPr>
              <w:t>58,152,622.01</w:t>
            </w:r>
          </w:p>
        </w:tc>
        <w:tc>
          <w:tcPr>
            <w:tcW w:w="820" w:type="dxa"/>
            <w:tcBorders>
              <w:top w:val="single" w:sz="2" w:space="0" w:color="auto"/>
              <w:left w:val="single" w:sz="2" w:space="0" w:color="auto"/>
              <w:bottom w:val="single" w:sz="2" w:space="0" w:color="auto"/>
              <w:right w:val="single" w:sz="2" w:space="0" w:color="auto"/>
            </w:tcBorders>
            <w:vAlign w:val="center"/>
          </w:tcPr>
          <w:p w14:paraId="118C15C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62D0C59" w14:textId="77777777" w:rsidR="007B3DB2" w:rsidRPr="0063248C" w:rsidRDefault="00000000">
            <w:pPr>
              <w:spacing w:line="240" w:lineRule="exact"/>
              <w:jc w:val="right"/>
              <w:rPr>
                <w:rFonts w:cs="宋体"/>
                <w:sz w:val="18"/>
                <w:szCs w:val="18"/>
              </w:rPr>
            </w:pPr>
            <w:r w:rsidRPr="0063248C">
              <w:rPr>
                <w:rFonts w:cs="宋体"/>
                <w:sz w:val="18"/>
                <w:szCs w:val="18"/>
              </w:rPr>
              <w:t>58,153,666.71</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493F98FC" w14:textId="77777777" w:rsidR="007B3DB2" w:rsidRPr="0063248C" w:rsidRDefault="00000000">
            <w:pPr>
              <w:spacing w:line="240" w:lineRule="exact"/>
              <w:jc w:val="right"/>
              <w:rPr>
                <w:rFonts w:cs="宋体"/>
                <w:sz w:val="18"/>
                <w:szCs w:val="18"/>
              </w:rPr>
            </w:pPr>
            <w:r w:rsidRPr="0063248C">
              <w:rPr>
                <w:rFonts w:cs="宋体"/>
                <w:sz w:val="18"/>
                <w:szCs w:val="18"/>
              </w:rPr>
              <w:t>5,407,932.59</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27DCCF8B" w14:textId="77777777" w:rsidR="007B3DB2" w:rsidRPr="0063248C" w:rsidRDefault="00000000">
            <w:pPr>
              <w:spacing w:line="240" w:lineRule="exact"/>
              <w:jc w:val="right"/>
              <w:rPr>
                <w:rFonts w:cs="宋体"/>
                <w:sz w:val="18"/>
                <w:szCs w:val="18"/>
              </w:rPr>
            </w:pPr>
            <w:r w:rsidRPr="0063248C">
              <w:rPr>
                <w:rFonts w:cs="宋体"/>
                <w:sz w:val="18"/>
                <w:szCs w:val="18"/>
              </w:rPr>
              <w:t>63,561,599.30</w:t>
            </w:r>
          </w:p>
        </w:tc>
      </w:tr>
      <w:tr w:rsidR="007B3DB2" w:rsidRPr="0063248C" w14:paraId="2984ED02"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362AEB22" w14:textId="77777777" w:rsidR="007B3DB2" w:rsidRPr="0063248C" w:rsidRDefault="00000000">
            <w:pPr>
              <w:spacing w:before="40" w:after="40" w:line="240" w:lineRule="exact"/>
              <w:rPr>
                <w:rFonts w:cs="宋体"/>
                <w:sz w:val="18"/>
                <w:szCs w:val="18"/>
              </w:rPr>
            </w:pPr>
            <w:r w:rsidRPr="0063248C">
              <w:rPr>
                <w:rFonts w:cs="宋体"/>
                <w:sz w:val="18"/>
                <w:szCs w:val="18"/>
              </w:rPr>
              <w:t>（一）综合收益总额</w:t>
            </w:r>
          </w:p>
        </w:tc>
        <w:tc>
          <w:tcPr>
            <w:tcW w:w="819" w:type="dxa"/>
            <w:tcBorders>
              <w:top w:val="single" w:sz="2" w:space="0" w:color="auto"/>
              <w:left w:val="single" w:sz="2" w:space="0" w:color="auto"/>
              <w:bottom w:val="single" w:sz="2" w:space="0" w:color="auto"/>
              <w:right w:val="single" w:sz="2" w:space="0" w:color="auto"/>
            </w:tcBorders>
            <w:vAlign w:val="center"/>
          </w:tcPr>
          <w:p w14:paraId="278B4EB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657BAB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EA3D2F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DE0C2D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2A08B86"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4157B7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72E010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5AE98AD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C7FF6C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42C061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7F3791B" w14:textId="77777777" w:rsidR="007B3DB2" w:rsidRPr="0063248C" w:rsidRDefault="00000000">
            <w:pPr>
              <w:spacing w:line="240" w:lineRule="exact"/>
              <w:jc w:val="right"/>
              <w:rPr>
                <w:rFonts w:cs="宋体"/>
                <w:sz w:val="18"/>
                <w:szCs w:val="18"/>
              </w:rPr>
            </w:pPr>
            <w:r w:rsidRPr="0063248C">
              <w:rPr>
                <w:rFonts w:cs="宋体"/>
                <w:sz w:val="18"/>
                <w:szCs w:val="18"/>
              </w:rPr>
              <w:t>58,152,622.01</w:t>
            </w:r>
          </w:p>
        </w:tc>
        <w:tc>
          <w:tcPr>
            <w:tcW w:w="820" w:type="dxa"/>
            <w:tcBorders>
              <w:top w:val="single" w:sz="2" w:space="0" w:color="auto"/>
              <w:left w:val="single" w:sz="2" w:space="0" w:color="auto"/>
              <w:bottom w:val="single" w:sz="2" w:space="0" w:color="auto"/>
              <w:right w:val="single" w:sz="2" w:space="0" w:color="auto"/>
            </w:tcBorders>
            <w:vAlign w:val="center"/>
          </w:tcPr>
          <w:p w14:paraId="2279A9DF"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076982B" w14:textId="77777777" w:rsidR="007B3DB2" w:rsidRPr="0063248C" w:rsidRDefault="00000000">
            <w:pPr>
              <w:spacing w:line="240" w:lineRule="exact"/>
              <w:jc w:val="right"/>
              <w:rPr>
                <w:rFonts w:cs="宋体"/>
                <w:sz w:val="18"/>
                <w:szCs w:val="18"/>
              </w:rPr>
            </w:pPr>
            <w:r w:rsidRPr="0063248C">
              <w:rPr>
                <w:rFonts w:cs="宋体"/>
                <w:sz w:val="18"/>
                <w:szCs w:val="18"/>
              </w:rPr>
              <w:t>58,152,622.01</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50B88063" w14:textId="77777777" w:rsidR="007B3DB2" w:rsidRPr="0063248C" w:rsidRDefault="00000000">
            <w:pPr>
              <w:spacing w:line="240" w:lineRule="exact"/>
              <w:jc w:val="right"/>
              <w:rPr>
                <w:rFonts w:cs="宋体"/>
                <w:sz w:val="18"/>
                <w:szCs w:val="18"/>
              </w:rPr>
            </w:pPr>
            <w:r w:rsidRPr="0063248C">
              <w:rPr>
                <w:rFonts w:cs="宋体"/>
                <w:sz w:val="18"/>
                <w:szCs w:val="18"/>
              </w:rPr>
              <w:t>5,407,932.59</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51223CD7" w14:textId="77777777" w:rsidR="007B3DB2" w:rsidRPr="0063248C" w:rsidRDefault="00000000">
            <w:pPr>
              <w:spacing w:line="240" w:lineRule="exact"/>
              <w:jc w:val="right"/>
              <w:rPr>
                <w:rFonts w:cs="宋体"/>
                <w:sz w:val="18"/>
                <w:szCs w:val="18"/>
              </w:rPr>
            </w:pPr>
            <w:r w:rsidRPr="0063248C">
              <w:rPr>
                <w:rFonts w:cs="宋体"/>
                <w:sz w:val="18"/>
                <w:szCs w:val="18"/>
              </w:rPr>
              <w:t>63,560,554.60</w:t>
            </w:r>
          </w:p>
        </w:tc>
      </w:tr>
      <w:tr w:rsidR="007B3DB2" w:rsidRPr="0063248C" w14:paraId="04751B46"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6B852497" w14:textId="77777777" w:rsidR="007B3DB2" w:rsidRPr="0063248C" w:rsidRDefault="00000000">
            <w:pPr>
              <w:spacing w:before="40" w:after="40" w:line="240" w:lineRule="exact"/>
              <w:rPr>
                <w:rFonts w:cs="宋体"/>
                <w:sz w:val="18"/>
                <w:szCs w:val="18"/>
              </w:rPr>
            </w:pPr>
            <w:r w:rsidRPr="0063248C">
              <w:rPr>
                <w:rFonts w:cs="宋体"/>
                <w:sz w:val="18"/>
                <w:szCs w:val="18"/>
              </w:rPr>
              <w:t>（二）所有者投入和减少资本</w:t>
            </w:r>
          </w:p>
        </w:tc>
        <w:tc>
          <w:tcPr>
            <w:tcW w:w="819" w:type="dxa"/>
            <w:tcBorders>
              <w:top w:val="single" w:sz="2" w:space="0" w:color="auto"/>
              <w:left w:val="single" w:sz="2" w:space="0" w:color="auto"/>
              <w:bottom w:val="single" w:sz="2" w:space="0" w:color="auto"/>
              <w:right w:val="single" w:sz="2" w:space="0" w:color="auto"/>
            </w:tcBorders>
            <w:vAlign w:val="center"/>
          </w:tcPr>
          <w:p w14:paraId="6DD99DE7" w14:textId="77777777" w:rsidR="007B3DB2" w:rsidRPr="0063248C" w:rsidRDefault="00000000">
            <w:pPr>
              <w:spacing w:line="240" w:lineRule="exact"/>
              <w:jc w:val="right"/>
              <w:rPr>
                <w:rFonts w:cs="宋体"/>
                <w:sz w:val="18"/>
                <w:szCs w:val="18"/>
              </w:rPr>
            </w:pPr>
            <w:r w:rsidRPr="0063248C">
              <w:rPr>
                <w:rFonts w:cs="宋体"/>
                <w:sz w:val="18"/>
                <w:szCs w:val="18"/>
              </w:rPr>
              <w:t>107.00</w:t>
            </w:r>
          </w:p>
        </w:tc>
        <w:tc>
          <w:tcPr>
            <w:tcW w:w="819" w:type="dxa"/>
            <w:tcBorders>
              <w:top w:val="single" w:sz="2" w:space="0" w:color="auto"/>
              <w:left w:val="single" w:sz="2" w:space="0" w:color="auto"/>
              <w:bottom w:val="single" w:sz="2" w:space="0" w:color="auto"/>
              <w:right w:val="single" w:sz="2" w:space="0" w:color="auto"/>
            </w:tcBorders>
            <w:vAlign w:val="center"/>
          </w:tcPr>
          <w:p w14:paraId="508B9A3B"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16A8B841"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61B161E3" w14:textId="77777777" w:rsidR="007B3DB2" w:rsidRPr="0063248C" w:rsidRDefault="00000000">
            <w:pPr>
              <w:spacing w:line="240" w:lineRule="exact"/>
              <w:jc w:val="right"/>
              <w:rPr>
                <w:rFonts w:cs="宋体"/>
                <w:sz w:val="18"/>
                <w:szCs w:val="18"/>
              </w:rPr>
            </w:pPr>
            <w:r w:rsidRPr="0063248C">
              <w:rPr>
                <w:rFonts w:cs="宋体"/>
                <w:sz w:val="18"/>
                <w:szCs w:val="18"/>
              </w:rPr>
              <w:t>-181.35</w:t>
            </w:r>
          </w:p>
        </w:tc>
        <w:tc>
          <w:tcPr>
            <w:tcW w:w="820" w:type="dxa"/>
            <w:tcBorders>
              <w:top w:val="single" w:sz="2" w:space="0" w:color="auto"/>
              <w:left w:val="single" w:sz="2" w:space="0" w:color="auto"/>
              <w:bottom w:val="single" w:sz="2" w:space="0" w:color="auto"/>
              <w:right w:val="single" w:sz="2" w:space="0" w:color="auto"/>
            </w:tcBorders>
            <w:vAlign w:val="center"/>
          </w:tcPr>
          <w:p w14:paraId="6D053E38" w14:textId="77777777" w:rsidR="007B3DB2" w:rsidRPr="0063248C" w:rsidRDefault="00000000">
            <w:pPr>
              <w:spacing w:line="240" w:lineRule="exact"/>
              <w:jc w:val="right"/>
              <w:rPr>
                <w:rFonts w:cs="宋体"/>
                <w:sz w:val="18"/>
                <w:szCs w:val="18"/>
              </w:rPr>
            </w:pPr>
            <w:r w:rsidRPr="0063248C">
              <w:rPr>
                <w:rFonts w:cs="宋体"/>
                <w:sz w:val="18"/>
                <w:szCs w:val="18"/>
              </w:rPr>
              <w:t>1,119.05</w:t>
            </w:r>
          </w:p>
        </w:tc>
        <w:tc>
          <w:tcPr>
            <w:tcW w:w="820" w:type="dxa"/>
            <w:tcBorders>
              <w:top w:val="single" w:sz="2" w:space="0" w:color="auto"/>
              <w:left w:val="single" w:sz="2" w:space="0" w:color="auto"/>
              <w:bottom w:val="single" w:sz="2" w:space="0" w:color="auto"/>
              <w:right w:val="single" w:sz="2" w:space="0" w:color="auto"/>
            </w:tcBorders>
            <w:vAlign w:val="center"/>
          </w:tcPr>
          <w:p w14:paraId="7D30D4BD"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555E542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1ECFB2B1"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2106E534"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2093B88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5E1A2B0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2CF21A5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EE9512C" w14:textId="77777777" w:rsidR="007B3DB2" w:rsidRPr="0063248C" w:rsidRDefault="00000000">
            <w:pPr>
              <w:spacing w:line="240" w:lineRule="exact"/>
              <w:jc w:val="right"/>
              <w:rPr>
                <w:rFonts w:cs="宋体"/>
                <w:sz w:val="18"/>
                <w:szCs w:val="18"/>
              </w:rPr>
            </w:pPr>
            <w:r w:rsidRPr="0063248C">
              <w:rPr>
                <w:rFonts w:cs="宋体"/>
                <w:sz w:val="18"/>
                <w:szCs w:val="18"/>
              </w:rPr>
              <w:t>1,044.70</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37DBEF75"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0B7E399E" w14:textId="77777777" w:rsidR="007B3DB2" w:rsidRPr="0063248C" w:rsidRDefault="00000000">
            <w:pPr>
              <w:spacing w:line="240" w:lineRule="exact"/>
              <w:jc w:val="right"/>
              <w:rPr>
                <w:rFonts w:cs="宋体"/>
                <w:sz w:val="18"/>
                <w:szCs w:val="18"/>
              </w:rPr>
            </w:pPr>
            <w:r w:rsidRPr="0063248C">
              <w:rPr>
                <w:rFonts w:cs="宋体"/>
                <w:sz w:val="18"/>
                <w:szCs w:val="18"/>
              </w:rPr>
              <w:t>1,044.70</w:t>
            </w:r>
          </w:p>
        </w:tc>
      </w:tr>
      <w:tr w:rsidR="007B3DB2" w:rsidRPr="0063248C" w14:paraId="594CAC49"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1BA3FABD"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．所有者投入的普通股</w:t>
            </w:r>
          </w:p>
        </w:tc>
        <w:tc>
          <w:tcPr>
            <w:tcW w:w="819" w:type="dxa"/>
            <w:tcBorders>
              <w:top w:val="single" w:sz="2" w:space="0" w:color="auto"/>
              <w:left w:val="single" w:sz="2" w:space="0" w:color="auto"/>
              <w:bottom w:val="single" w:sz="2" w:space="0" w:color="auto"/>
              <w:right w:val="single" w:sz="2" w:space="0" w:color="auto"/>
            </w:tcBorders>
            <w:vAlign w:val="center"/>
          </w:tcPr>
          <w:p w14:paraId="7CD6E1E0" w14:textId="77777777" w:rsidR="007B3DB2" w:rsidRPr="0063248C" w:rsidRDefault="00000000">
            <w:pPr>
              <w:spacing w:line="240" w:lineRule="exact"/>
              <w:jc w:val="right"/>
              <w:rPr>
                <w:rFonts w:cs="宋体"/>
                <w:sz w:val="18"/>
                <w:szCs w:val="18"/>
              </w:rPr>
            </w:pPr>
            <w:r w:rsidRPr="0063248C">
              <w:rPr>
                <w:rFonts w:cs="宋体"/>
                <w:sz w:val="18"/>
                <w:szCs w:val="18"/>
              </w:rPr>
              <w:t>107.00</w:t>
            </w:r>
          </w:p>
        </w:tc>
        <w:tc>
          <w:tcPr>
            <w:tcW w:w="819" w:type="dxa"/>
            <w:tcBorders>
              <w:top w:val="single" w:sz="2" w:space="0" w:color="auto"/>
              <w:left w:val="single" w:sz="2" w:space="0" w:color="auto"/>
              <w:bottom w:val="single" w:sz="2" w:space="0" w:color="auto"/>
              <w:right w:val="single" w:sz="2" w:space="0" w:color="auto"/>
            </w:tcBorders>
            <w:vAlign w:val="center"/>
          </w:tcPr>
          <w:p w14:paraId="5AA4379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8F4DD2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4D486A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83E363E" w14:textId="77777777" w:rsidR="007B3DB2" w:rsidRPr="0063248C" w:rsidRDefault="00000000">
            <w:pPr>
              <w:spacing w:line="240" w:lineRule="exact"/>
              <w:jc w:val="right"/>
              <w:rPr>
                <w:rFonts w:cs="宋体"/>
                <w:sz w:val="18"/>
                <w:szCs w:val="18"/>
              </w:rPr>
            </w:pPr>
            <w:r w:rsidRPr="0063248C">
              <w:rPr>
                <w:rFonts w:cs="宋体"/>
                <w:sz w:val="18"/>
                <w:szCs w:val="18"/>
              </w:rPr>
              <w:t>1,119.05</w:t>
            </w:r>
          </w:p>
        </w:tc>
        <w:tc>
          <w:tcPr>
            <w:tcW w:w="820" w:type="dxa"/>
            <w:tcBorders>
              <w:top w:val="single" w:sz="2" w:space="0" w:color="auto"/>
              <w:left w:val="single" w:sz="2" w:space="0" w:color="auto"/>
              <w:bottom w:val="single" w:sz="2" w:space="0" w:color="auto"/>
              <w:right w:val="single" w:sz="2" w:space="0" w:color="auto"/>
            </w:tcBorders>
            <w:vAlign w:val="center"/>
          </w:tcPr>
          <w:p w14:paraId="45B3BB3F"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B2327BF"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EB88548"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7DDEC2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7B97B9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1C65CF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1EA44A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358A657" w14:textId="77777777" w:rsidR="007B3DB2" w:rsidRPr="0063248C" w:rsidRDefault="00000000">
            <w:pPr>
              <w:spacing w:line="240" w:lineRule="exact"/>
              <w:jc w:val="right"/>
              <w:rPr>
                <w:rFonts w:cs="宋体"/>
                <w:sz w:val="18"/>
                <w:szCs w:val="18"/>
              </w:rPr>
            </w:pPr>
            <w:r w:rsidRPr="0063248C">
              <w:rPr>
                <w:rFonts w:cs="宋体"/>
                <w:sz w:val="18"/>
                <w:szCs w:val="18"/>
              </w:rPr>
              <w:t>1,226.05</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3AF23232"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787C72CA" w14:textId="77777777" w:rsidR="007B3DB2" w:rsidRPr="0063248C" w:rsidRDefault="00000000">
            <w:pPr>
              <w:spacing w:line="240" w:lineRule="exact"/>
              <w:jc w:val="right"/>
              <w:rPr>
                <w:rFonts w:cs="宋体"/>
                <w:sz w:val="18"/>
                <w:szCs w:val="18"/>
              </w:rPr>
            </w:pPr>
            <w:r w:rsidRPr="0063248C">
              <w:rPr>
                <w:rFonts w:cs="宋体"/>
                <w:sz w:val="18"/>
                <w:szCs w:val="18"/>
              </w:rPr>
              <w:t>1,226.05</w:t>
            </w:r>
          </w:p>
        </w:tc>
      </w:tr>
      <w:tr w:rsidR="007B3DB2" w:rsidRPr="0063248C" w14:paraId="587DECF3"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6D7A64ED"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．其他权益工具持有者投入资本</w:t>
            </w:r>
          </w:p>
        </w:tc>
        <w:tc>
          <w:tcPr>
            <w:tcW w:w="819" w:type="dxa"/>
            <w:tcBorders>
              <w:top w:val="single" w:sz="2" w:space="0" w:color="auto"/>
              <w:left w:val="single" w:sz="2" w:space="0" w:color="auto"/>
              <w:bottom w:val="single" w:sz="2" w:space="0" w:color="auto"/>
              <w:right w:val="single" w:sz="2" w:space="0" w:color="auto"/>
            </w:tcBorders>
            <w:vAlign w:val="center"/>
          </w:tcPr>
          <w:p w14:paraId="0B7ED45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BA47AA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0020DD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9DAD624"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B55EA6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A0E94FC"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C76756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782621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FFA8B6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9C320A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DC9450C"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D6A99A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D966428"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5D8D11FE"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07F837B6"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14379B68"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71F80A14"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．股份支付计入所有者权益的金额</w:t>
            </w:r>
          </w:p>
        </w:tc>
        <w:tc>
          <w:tcPr>
            <w:tcW w:w="819" w:type="dxa"/>
            <w:tcBorders>
              <w:top w:val="single" w:sz="2" w:space="0" w:color="auto"/>
              <w:left w:val="single" w:sz="2" w:space="0" w:color="auto"/>
              <w:bottom w:val="single" w:sz="2" w:space="0" w:color="auto"/>
              <w:right w:val="single" w:sz="2" w:space="0" w:color="auto"/>
            </w:tcBorders>
            <w:vAlign w:val="center"/>
          </w:tcPr>
          <w:p w14:paraId="53A79F5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099CDF6"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77F370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66EC728"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2DB2B8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D221716"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FDC8B8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AE24A8F"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6531B7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D51F4C1"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C277D5C"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20105F8"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C4EC2E1"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1496E5AB"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7BF57FDF"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66CCE195"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34518EF8"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4</w:t>
            </w:r>
            <w:r w:rsidRPr="0063248C">
              <w:rPr>
                <w:rFonts w:cs="宋体"/>
                <w:sz w:val="18"/>
                <w:szCs w:val="18"/>
              </w:rPr>
              <w:t>．其他</w:t>
            </w:r>
          </w:p>
        </w:tc>
        <w:tc>
          <w:tcPr>
            <w:tcW w:w="819" w:type="dxa"/>
            <w:tcBorders>
              <w:top w:val="single" w:sz="2" w:space="0" w:color="auto"/>
              <w:left w:val="single" w:sz="2" w:space="0" w:color="auto"/>
              <w:bottom w:val="single" w:sz="2" w:space="0" w:color="auto"/>
              <w:right w:val="single" w:sz="2" w:space="0" w:color="auto"/>
            </w:tcBorders>
            <w:vAlign w:val="center"/>
          </w:tcPr>
          <w:p w14:paraId="37E67DB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070884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827EBC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E8BD8D3" w14:textId="77777777" w:rsidR="007B3DB2" w:rsidRPr="0063248C" w:rsidRDefault="00000000">
            <w:pPr>
              <w:spacing w:line="240" w:lineRule="exact"/>
              <w:jc w:val="right"/>
              <w:rPr>
                <w:rFonts w:cs="宋体"/>
                <w:sz w:val="18"/>
                <w:szCs w:val="18"/>
              </w:rPr>
            </w:pPr>
            <w:r w:rsidRPr="0063248C">
              <w:rPr>
                <w:rFonts w:cs="宋体"/>
                <w:sz w:val="18"/>
                <w:szCs w:val="18"/>
              </w:rPr>
              <w:t>-181.35</w:t>
            </w:r>
          </w:p>
        </w:tc>
        <w:tc>
          <w:tcPr>
            <w:tcW w:w="820" w:type="dxa"/>
            <w:tcBorders>
              <w:top w:val="single" w:sz="2" w:space="0" w:color="auto"/>
              <w:left w:val="single" w:sz="2" w:space="0" w:color="auto"/>
              <w:bottom w:val="single" w:sz="2" w:space="0" w:color="auto"/>
              <w:right w:val="single" w:sz="2" w:space="0" w:color="auto"/>
            </w:tcBorders>
            <w:vAlign w:val="center"/>
          </w:tcPr>
          <w:p w14:paraId="6609F9B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7BD738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A06465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DC5E700"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C3BD1F4"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DF2472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2A0378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77FDF4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FA5BCCD" w14:textId="77777777" w:rsidR="007B3DB2" w:rsidRPr="0063248C" w:rsidRDefault="00000000">
            <w:pPr>
              <w:spacing w:line="240" w:lineRule="exact"/>
              <w:jc w:val="right"/>
              <w:rPr>
                <w:rFonts w:cs="宋体"/>
                <w:sz w:val="18"/>
                <w:szCs w:val="18"/>
              </w:rPr>
            </w:pPr>
            <w:r w:rsidRPr="0063248C">
              <w:rPr>
                <w:rFonts w:cs="宋体"/>
                <w:sz w:val="18"/>
                <w:szCs w:val="18"/>
              </w:rPr>
              <w:t>-181.35</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6448D0AC"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587A4C45" w14:textId="77777777" w:rsidR="007B3DB2" w:rsidRPr="0063248C" w:rsidRDefault="00000000">
            <w:pPr>
              <w:spacing w:line="240" w:lineRule="exact"/>
              <w:jc w:val="right"/>
              <w:rPr>
                <w:rFonts w:cs="宋体"/>
                <w:sz w:val="18"/>
                <w:szCs w:val="18"/>
              </w:rPr>
            </w:pPr>
            <w:r w:rsidRPr="0063248C">
              <w:rPr>
                <w:rFonts w:cs="宋体"/>
                <w:sz w:val="18"/>
                <w:szCs w:val="18"/>
              </w:rPr>
              <w:t>-181.35</w:t>
            </w:r>
          </w:p>
        </w:tc>
      </w:tr>
      <w:tr w:rsidR="007B3DB2" w:rsidRPr="0063248C" w14:paraId="27B73D18"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5CF70E42" w14:textId="77777777" w:rsidR="007B3DB2" w:rsidRPr="0063248C" w:rsidRDefault="00000000">
            <w:pPr>
              <w:spacing w:before="40" w:after="40" w:line="240" w:lineRule="exact"/>
              <w:rPr>
                <w:rFonts w:cs="宋体"/>
                <w:sz w:val="18"/>
                <w:szCs w:val="18"/>
              </w:rPr>
            </w:pPr>
            <w:r w:rsidRPr="0063248C">
              <w:rPr>
                <w:rFonts w:cs="宋体"/>
                <w:sz w:val="18"/>
                <w:szCs w:val="18"/>
              </w:rPr>
              <w:t>（三）利润分配</w:t>
            </w:r>
          </w:p>
        </w:tc>
        <w:tc>
          <w:tcPr>
            <w:tcW w:w="819" w:type="dxa"/>
            <w:tcBorders>
              <w:top w:val="single" w:sz="2" w:space="0" w:color="auto"/>
              <w:left w:val="single" w:sz="2" w:space="0" w:color="auto"/>
              <w:bottom w:val="single" w:sz="2" w:space="0" w:color="auto"/>
              <w:right w:val="single" w:sz="2" w:space="0" w:color="auto"/>
            </w:tcBorders>
            <w:vAlign w:val="center"/>
          </w:tcPr>
          <w:p w14:paraId="0CEAE0D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9C0F41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A6121F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B6029F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336B58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4DF0338"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A8B228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6B8952C"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23F83D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9B19430"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C8EE16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06A492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885D02A"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608F910E"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7EBCAFF5" w14:textId="77777777" w:rsidR="007B3DB2" w:rsidRPr="0063248C" w:rsidRDefault="007B3DB2">
            <w:pPr>
              <w:spacing w:line="240" w:lineRule="exact"/>
              <w:jc w:val="right"/>
              <w:rPr>
                <w:rFonts w:cs="宋体"/>
                <w:sz w:val="18"/>
                <w:szCs w:val="18"/>
              </w:rPr>
            </w:pPr>
          </w:p>
        </w:tc>
      </w:tr>
      <w:tr w:rsidR="007B3DB2" w:rsidRPr="0063248C" w14:paraId="0D450E0E"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3BAF9B8F"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．提取盈余公积</w:t>
            </w:r>
          </w:p>
        </w:tc>
        <w:tc>
          <w:tcPr>
            <w:tcW w:w="819" w:type="dxa"/>
            <w:tcBorders>
              <w:top w:val="single" w:sz="2" w:space="0" w:color="auto"/>
              <w:left w:val="single" w:sz="2" w:space="0" w:color="auto"/>
              <w:bottom w:val="single" w:sz="2" w:space="0" w:color="auto"/>
              <w:right w:val="single" w:sz="2" w:space="0" w:color="auto"/>
            </w:tcBorders>
            <w:vAlign w:val="center"/>
          </w:tcPr>
          <w:p w14:paraId="5AEF8E9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33F432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CFFFD6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3A8D77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F5DFC6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3A8693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ED91123"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873415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89F3180"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E3AD57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21CFC0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CFD1CF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54CFEB4"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05D42A78"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376DE05D" w14:textId="77777777" w:rsidR="007B3DB2" w:rsidRPr="0063248C" w:rsidRDefault="007B3DB2">
            <w:pPr>
              <w:spacing w:line="240" w:lineRule="exact"/>
              <w:jc w:val="right"/>
              <w:rPr>
                <w:rFonts w:cs="宋体"/>
                <w:sz w:val="18"/>
                <w:szCs w:val="18"/>
              </w:rPr>
            </w:pPr>
          </w:p>
        </w:tc>
      </w:tr>
      <w:tr w:rsidR="007B3DB2" w:rsidRPr="0063248C" w14:paraId="636B53DD"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2D38E064"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．提取一般风险准备</w:t>
            </w:r>
          </w:p>
        </w:tc>
        <w:tc>
          <w:tcPr>
            <w:tcW w:w="819" w:type="dxa"/>
            <w:tcBorders>
              <w:top w:val="single" w:sz="2" w:space="0" w:color="auto"/>
              <w:left w:val="single" w:sz="2" w:space="0" w:color="auto"/>
              <w:bottom w:val="single" w:sz="2" w:space="0" w:color="auto"/>
              <w:right w:val="single" w:sz="2" w:space="0" w:color="auto"/>
            </w:tcBorders>
            <w:vAlign w:val="center"/>
          </w:tcPr>
          <w:p w14:paraId="7A0523B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238C11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655128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8B4D08F"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BB1E00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1EC63D4"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4BE9C7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F84B8D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1B44B5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CBB9276"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2EE9FB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77324FF"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75F36E9"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0ACA4E2E"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0E2603C5" w14:textId="77777777" w:rsidR="007B3DB2" w:rsidRPr="0063248C" w:rsidRDefault="007B3DB2">
            <w:pPr>
              <w:spacing w:line="240" w:lineRule="exact"/>
              <w:jc w:val="right"/>
              <w:rPr>
                <w:rFonts w:cs="宋体"/>
                <w:sz w:val="18"/>
                <w:szCs w:val="18"/>
              </w:rPr>
            </w:pPr>
          </w:p>
        </w:tc>
      </w:tr>
      <w:tr w:rsidR="007B3DB2" w:rsidRPr="0063248C" w14:paraId="481A943B"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277D2113"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．对所有者（或股东）的分配</w:t>
            </w:r>
          </w:p>
        </w:tc>
        <w:tc>
          <w:tcPr>
            <w:tcW w:w="819" w:type="dxa"/>
            <w:tcBorders>
              <w:top w:val="single" w:sz="2" w:space="0" w:color="auto"/>
              <w:left w:val="single" w:sz="2" w:space="0" w:color="auto"/>
              <w:bottom w:val="single" w:sz="2" w:space="0" w:color="auto"/>
              <w:right w:val="single" w:sz="2" w:space="0" w:color="auto"/>
            </w:tcBorders>
            <w:vAlign w:val="center"/>
          </w:tcPr>
          <w:p w14:paraId="066A9CF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3135E2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90FFC7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556776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130113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C109663"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3662B1C"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1908E2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1AAB58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D03C954"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54F581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FF3783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A585A05"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3A82473C"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32F3A556" w14:textId="77777777" w:rsidR="007B3DB2" w:rsidRPr="0063248C" w:rsidRDefault="007B3DB2">
            <w:pPr>
              <w:spacing w:line="240" w:lineRule="exact"/>
              <w:jc w:val="right"/>
              <w:rPr>
                <w:rFonts w:cs="宋体"/>
                <w:sz w:val="18"/>
                <w:szCs w:val="18"/>
              </w:rPr>
            </w:pPr>
          </w:p>
        </w:tc>
      </w:tr>
      <w:tr w:rsidR="007B3DB2" w:rsidRPr="0063248C" w14:paraId="114A09B7"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3EB579EB" w14:textId="77777777" w:rsidR="007B3DB2" w:rsidRPr="0063248C" w:rsidRDefault="00000000">
            <w:pPr>
              <w:spacing w:before="40" w:after="40" w:line="240" w:lineRule="exact"/>
              <w:rPr>
                <w:rFonts w:cs="宋体"/>
                <w:sz w:val="18"/>
                <w:szCs w:val="18"/>
              </w:rPr>
            </w:pPr>
            <w:r w:rsidRPr="0063248C">
              <w:rPr>
                <w:rFonts w:cs="宋体"/>
                <w:sz w:val="18"/>
                <w:szCs w:val="18"/>
              </w:rPr>
              <w:t>4</w:t>
            </w:r>
            <w:r w:rsidRPr="0063248C">
              <w:rPr>
                <w:rFonts w:cs="宋体"/>
                <w:sz w:val="18"/>
                <w:szCs w:val="18"/>
              </w:rPr>
              <w:t>．其他</w:t>
            </w:r>
          </w:p>
        </w:tc>
        <w:tc>
          <w:tcPr>
            <w:tcW w:w="819" w:type="dxa"/>
            <w:tcBorders>
              <w:top w:val="single" w:sz="2" w:space="0" w:color="auto"/>
              <w:left w:val="single" w:sz="2" w:space="0" w:color="auto"/>
              <w:bottom w:val="single" w:sz="2" w:space="0" w:color="auto"/>
              <w:right w:val="single" w:sz="2" w:space="0" w:color="auto"/>
            </w:tcBorders>
            <w:vAlign w:val="center"/>
          </w:tcPr>
          <w:p w14:paraId="5313081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C29F40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084A28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B5C5FB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1D12303"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F38E5A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4CF476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EF23CE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E17AD5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D6164E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C69CA24"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17C8C3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21CCCBD"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65E73A8F"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72BE8039" w14:textId="77777777" w:rsidR="007B3DB2" w:rsidRPr="0063248C" w:rsidRDefault="007B3DB2">
            <w:pPr>
              <w:spacing w:line="240" w:lineRule="exact"/>
              <w:jc w:val="right"/>
              <w:rPr>
                <w:rFonts w:cs="宋体"/>
                <w:sz w:val="18"/>
                <w:szCs w:val="18"/>
              </w:rPr>
            </w:pPr>
          </w:p>
        </w:tc>
      </w:tr>
      <w:tr w:rsidR="007B3DB2" w:rsidRPr="0063248C" w14:paraId="1A3B225D"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60636075" w14:textId="77777777" w:rsidR="007B3DB2" w:rsidRPr="0063248C" w:rsidRDefault="00000000">
            <w:pPr>
              <w:spacing w:before="40" w:after="40" w:line="240" w:lineRule="exact"/>
              <w:rPr>
                <w:rFonts w:cs="宋体"/>
                <w:sz w:val="18"/>
                <w:szCs w:val="18"/>
              </w:rPr>
            </w:pPr>
            <w:r w:rsidRPr="0063248C">
              <w:rPr>
                <w:rFonts w:cs="宋体"/>
                <w:sz w:val="18"/>
                <w:szCs w:val="18"/>
              </w:rPr>
              <w:t>（四）所有者权益内部结转</w:t>
            </w:r>
          </w:p>
        </w:tc>
        <w:tc>
          <w:tcPr>
            <w:tcW w:w="819" w:type="dxa"/>
            <w:tcBorders>
              <w:top w:val="single" w:sz="2" w:space="0" w:color="auto"/>
              <w:left w:val="single" w:sz="2" w:space="0" w:color="auto"/>
              <w:bottom w:val="single" w:sz="2" w:space="0" w:color="auto"/>
              <w:right w:val="single" w:sz="2" w:space="0" w:color="auto"/>
            </w:tcBorders>
            <w:vAlign w:val="center"/>
          </w:tcPr>
          <w:p w14:paraId="5F78646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8B1E0C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B09D03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285D394"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312A96F"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DFAEAE8"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E12893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825FE81"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4A195A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5F7B63C"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B16F1F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A4D663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6577C35"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154505DA"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13FE34C5" w14:textId="77777777" w:rsidR="007B3DB2" w:rsidRPr="0063248C" w:rsidRDefault="007B3DB2">
            <w:pPr>
              <w:spacing w:line="240" w:lineRule="exact"/>
              <w:jc w:val="right"/>
              <w:rPr>
                <w:rFonts w:cs="宋体"/>
                <w:sz w:val="18"/>
                <w:szCs w:val="18"/>
              </w:rPr>
            </w:pPr>
          </w:p>
        </w:tc>
      </w:tr>
      <w:tr w:rsidR="007B3DB2" w:rsidRPr="0063248C" w14:paraId="3FC1D1C8"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69A2177C"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．资本公积转增资本（或股本）</w:t>
            </w:r>
          </w:p>
        </w:tc>
        <w:tc>
          <w:tcPr>
            <w:tcW w:w="819" w:type="dxa"/>
            <w:tcBorders>
              <w:top w:val="single" w:sz="2" w:space="0" w:color="auto"/>
              <w:left w:val="single" w:sz="2" w:space="0" w:color="auto"/>
              <w:bottom w:val="single" w:sz="2" w:space="0" w:color="auto"/>
              <w:right w:val="single" w:sz="2" w:space="0" w:color="auto"/>
            </w:tcBorders>
            <w:vAlign w:val="center"/>
          </w:tcPr>
          <w:p w14:paraId="0A6BD7C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640A336"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8C22CE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C407A8C"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0AA194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898E9D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D500BFC"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2E8C0C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63954DC"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079545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9A564F8"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91F765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70C48FE"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7D58FA22"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5980DD97" w14:textId="77777777" w:rsidR="007B3DB2" w:rsidRPr="0063248C" w:rsidRDefault="007B3DB2">
            <w:pPr>
              <w:spacing w:line="240" w:lineRule="exact"/>
              <w:jc w:val="right"/>
              <w:rPr>
                <w:rFonts w:cs="宋体"/>
                <w:sz w:val="18"/>
                <w:szCs w:val="18"/>
              </w:rPr>
            </w:pPr>
          </w:p>
        </w:tc>
      </w:tr>
      <w:tr w:rsidR="007B3DB2" w:rsidRPr="0063248C" w14:paraId="2820F79F"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0999BD07"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．盈余公积转增资本（或股本）</w:t>
            </w:r>
          </w:p>
        </w:tc>
        <w:tc>
          <w:tcPr>
            <w:tcW w:w="819" w:type="dxa"/>
            <w:tcBorders>
              <w:top w:val="single" w:sz="2" w:space="0" w:color="auto"/>
              <w:left w:val="single" w:sz="2" w:space="0" w:color="auto"/>
              <w:bottom w:val="single" w:sz="2" w:space="0" w:color="auto"/>
              <w:right w:val="single" w:sz="2" w:space="0" w:color="auto"/>
            </w:tcBorders>
            <w:vAlign w:val="center"/>
          </w:tcPr>
          <w:p w14:paraId="69F5611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59A043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09FDA6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F89FB3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B76E1A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ABC320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0D9057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0B3CA40"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C62C42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40CF043"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F6A30D6"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7E078E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98A223C"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5350311C"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4678ECCB" w14:textId="77777777" w:rsidR="007B3DB2" w:rsidRPr="0063248C" w:rsidRDefault="007B3DB2">
            <w:pPr>
              <w:spacing w:line="240" w:lineRule="exact"/>
              <w:jc w:val="right"/>
              <w:rPr>
                <w:rFonts w:cs="宋体"/>
                <w:sz w:val="18"/>
                <w:szCs w:val="18"/>
              </w:rPr>
            </w:pPr>
          </w:p>
        </w:tc>
      </w:tr>
      <w:tr w:rsidR="007B3DB2" w:rsidRPr="0063248C" w14:paraId="7B57EDA3"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13C85A5E"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．盈余公积弥补亏损</w:t>
            </w:r>
          </w:p>
        </w:tc>
        <w:tc>
          <w:tcPr>
            <w:tcW w:w="819" w:type="dxa"/>
            <w:tcBorders>
              <w:top w:val="single" w:sz="2" w:space="0" w:color="auto"/>
              <w:left w:val="single" w:sz="2" w:space="0" w:color="auto"/>
              <w:bottom w:val="single" w:sz="2" w:space="0" w:color="auto"/>
              <w:right w:val="single" w:sz="2" w:space="0" w:color="auto"/>
            </w:tcBorders>
            <w:vAlign w:val="center"/>
          </w:tcPr>
          <w:p w14:paraId="083F863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80BC89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71A101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DE7D251"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17C3B5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5FDC1F1"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305F0A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5EDEFB0"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411158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E7450D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F4DE56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A667B1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88CA63A"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26D1D17E"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5A5EA11E" w14:textId="77777777" w:rsidR="007B3DB2" w:rsidRPr="0063248C" w:rsidRDefault="007B3DB2">
            <w:pPr>
              <w:spacing w:line="240" w:lineRule="exact"/>
              <w:jc w:val="right"/>
              <w:rPr>
                <w:rFonts w:cs="宋体"/>
                <w:sz w:val="18"/>
                <w:szCs w:val="18"/>
              </w:rPr>
            </w:pPr>
          </w:p>
        </w:tc>
      </w:tr>
      <w:tr w:rsidR="007B3DB2" w:rsidRPr="0063248C" w14:paraId="0FEF6162"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77447C13" w14:textId="77777777" w:rsidR="007B3DB2" w:rsidRPr="0063248C" w:rsidRDefault="00000000">
            <w:pPr>
              <w:spacing w:before="40" w:after="40" w:line="240" w:lineRule="exact"/>
              <w:rPr>
                <w:rFonts w:cs="宋体"/>
                <w:sz w:val="18"/>
                <w:szCs w:val="18"/>
              </w:rPr>
            </w:pPr>
            <w:r w:rsidRPr="0063248C">
              <w:rPr>
                <w:rFonts w:cs="宋体"/>
                <w:sz w:val="18"/>
                <w:szCs w:val="18"/>
              </w:rPr>
              <w:t>4</w:t>
            </w:r>
            <w:r w:rsidRPr="0063248C">
              <w:rPr>
                <w:rFonts w:cs="宋体"/>
                <w:sz w:val="18"/>
                <w:szCs w:val="18"/>
              </w:rPr>
              <w:t>．设定受益计划变动额结转留存收益</w:t>
            </w:r>
          </w:p>
        </w:tc>
        <w:tc>
          <w:tcPr>
            <w:tcW w:w="819" w:type="dxa"/>
            <w:tcBorders>
              <w:top w:val="single" w:sz="2" w:space="0" w:color="auto"/>
              <w:left w:val="single" w:sz="2" w:space="0" w:color="auto"/>
              <w:bottom w:val="single" w:sz="2" w:space="0" w:color="auto"/>
              <w:right w:val="single" w:sz="2" w:space="0" w:color="auto"/>
            </w:tcBorders>
            <w:vAlign w:val="center"/>
          </w:tcPr>
          <w:p w14:paraId="1958DA7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0C1E0E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8DE817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B19BA3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50A1C0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FE2D9D8"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CCBF303"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7366EC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E44234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70A3EF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F1EAAAD"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6868EF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3280EBF"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42CA8DE1"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6FB1B811" w14:textId="77777777" w:rsidR="007B3DB2" w:rsidRPr="0063248C" w:rsidRDefault="007B3DB2">
            <w:pPr>
              <w:spacing w:line="240" w:lineRule="exact"/>
              <w:jc w:val="right"/>
              <w:rPr>
                <w:rFonts w:cs="宋体"/>
                <w:sz w:val="18"/>
                <w:szCs w:val="18"/>
              </w:rPr>
            </w:pPr>
          </w:p>
        </w:tc>
      </w:tr>
      <w:tr w:rsidR="007B3DB2" w:rsidRPr="0063248C" w14:paraId="082ECD01"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6D77B428" w14:textId="77777777" w:rsidR="007B3DB2" w:rsidRPr="0063248C" w:rsidRDefault="00000000">
            <w:pPr>
              <w:spacing w:before="40" w:after="40" w:line="240" w:lineRule="exact"/>
              <w:rPr>
                <w:rFonts w:cs="宋体"/>
                <w:sz w:val="18"/>
                <w:szCs w:val="18"/>
              </w:rPr>
            </w:pPr>
            <w:r w:rsidRPr="0063248C">
              <w:rPr>
                <w:rFonts w:cs="宋体"/>
                <w:sz w:val="18"/>
                <w:szCs w:val="18"/>
              </w:rPr>
              <w:t>5</w:t>
            </w:r>
            <w:r w:rsidRPr="0063248C">
              <w:rPr>
                <w:rFonts w:cs="宋体"/>
                <w:sz w:val="18"/>
                <w:szCs w:val="18"/>
              </w:rPr>
              <w:t>．其他综合收益结转留存收益</w:t>
            </w:r>
          </w:p>
        </w:tc>
        <w:tc>
          <w:tcPr>
            <w:tcW w:w="819" w:type="dxa"/>
            <w:tcBorders>
              <w:top w:val="single" w:sz="2" w:space="0" w:color="auto"/>
              <w:left w:val="single" w:sz="2" w:space="0" w:color="auto"/>
              <w:bottom w:val="single" w:sz="2" w:space="0" w:color="auto"/>
              <w:right w:val="single" w:sz="2" w:space="0" w:color="auto"/>
            </w:tcBorders>
            <w:vAlign w:val="center"/>
          </w:tcPr>
          <w:p w14:paraId="24474E4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E92DB6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2F8B21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9D455B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1E882D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FF0C256"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25C0841"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FB56321"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CA8C7B3"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201E848"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E38EC3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8CB06E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FD558D6"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46BDE00F"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7D4982E0" w14:textId="77777777" w:rsidR="007B3DB2" w:rsidRPr="0063248C" w:rsidRDefault="007B3DB2">
            <w:pPr>
              <w:spacing w:line="240" w:lineRule="exact"/>
              <w:jc w:val="right"/>
              <w:rPr>
                <w:rFonts w:cs="宋体"/>
                <w:sz w:val="18"/>
                <w:szCs w:val="18"/>
              </w:rPr>
            </w:pPr>
          </w:p>
        </w:tc>
      </w:tr>
      <w:tr w:rsidR="007B3DB2" w:rsidRPr="0063248C" w14:paraId="5F1B7E64"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067B5C22" w14:textId="77777777" w:rsidR="007B3DB2" w:rsidRPr="0063248C" w:rsidRDefault="00000000">
            <w:pPr>
              <w:spacing w:before="40" w:after="40" w:line="240" w:lineRule="exact"/>
              <w:rPr>
                <w:rFonts w:cs="宋体"/>
                <w:sz w:val="18"/>
                <w:szCs w:val="18"/>
              </w:rPr>
            </w:pPr>
            <w:r w:rsidRPr="0063248C">
              <w:rPr>
                <w:rFonts w:cs="宋体"/>
                <w:sz w:val="18"/>
                <w:szCs w:val="18"/>
              </w:rPr>
              <w:t>6</w:t>
            </w:r>
            <w:r w:rsidRPr="0063248C">
              <w:rPr>
                <w:rFonts w:cs="宋体"/>
                <w:sz w:val="18"/>
                <w:szCs w:val="18"/>
              </w:rPr>
              <w:t>．其他</w:t>
            </w:r>
          </w:p>
        </w:tc>
        <w:tc>
          <w:tcPr>
            <w:tcW w:w="819" w:type="dxa"/>
            <w:tcBorders>
              <w:top w:val="single" w:sz="2" w:space="0" w:color="auto"/>
              <w:left w:val="single" w:sz="2" w:space="0" w:color="auto"/>
              <w:bottom w:val="single" w:sz="2" w:space="0" w:color="auto"/>
              <w:right w:val="single" w:sz="2" w:space="0" w:color="auto"/>
            </w:tcBorders>
            <w:vAlign w:val="center"/>
          </w:tcPr>
          <w:p w14:paraId="458A43B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4559D1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379AAF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D9FC2F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507F27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CECE264"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6B6148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23D949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F797A9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26176C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016B4D8"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224826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DAAC11E"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4ABF7BBB"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2EFA9B10" w14:textId="77777777" w:rsidR="007B3DB2" w:rsidRPr="0063248C" w:rsidRDefault="007B3DB2">
            <w:pPr>
              <w:spacing w:line="240" w:lineRule="exact"/>
              <w:jc w:val="right"/>
              <w:rPr>
                <w:rFonts w:cs="宋体"/>
                <w:sz w:val="18"/>
                <w:szCs w:val="18"/>
              </w:rPr>
            </w:pPr>
          </w:p>
        </w:tc>
      </w:tr>
      <w:tr w:rsidR="007B3DB2" w:rsidRPr="0063248C" w14:paraId="70313BA3"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3CCCAA67" w14:textId="77777777" w:rsidR="007B3DB2" w:rsidRPr="0063248C" w:rsidRDefault="00000000">
            <w:pPr>
              <w:spacing w:before="40" w:after="40" w:line="240" w:lineRule="exact"/>
              <w:rPr>
                <w:rFonts w:cs="宋体"/>
                <w:sz w:val="18"/>
                <w:szCs w:val="18"/>
              </w:rPr>
            </w:pPr>
            <w:r w:rsidRPr="0063248C">
              <w:rPr>
                <w:rFonts w:cs="宋体"/>
                <w:sz w:val="18"/>
                <w:szCs w:val="18"/>
              </w:rPr>
              <w:t>（五）专项储备</w:t>
            </w:r>
          </w:p>
        </w:tc>
        <w:tc>
          <w:tcPr>
            <w:tcW w:w="819" w:type="dxa"/>
            <w:tcBorders>
              <w:top w:val="single" w:sz="2" w:space="0" w:color="auto"/>
              <w:left w:val="single" w:sz="2" w:space="0" w:color="auto"/>
              <w:bottom w:val="single" w:sz="2" w:space="0" w:color="auto"/>
              <w:right w:val="single" w:sz="2" w:space="0" w:color="auto"/>
            </w:tcBorders>
            <w:vAlign w:val="center"/>
          </w:tcPr>
          <w:p w14:paraId="12B216B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51E80D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E4266F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474F2E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597C50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A6ED5C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90C9953"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362D10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0FAE000"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37038A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5339C0D8"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9A8136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FFE518D"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0A8B9253"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2779369F" w14:textId="77777777" w:rsidR="007B3DB2" w:rsidRPr="0063248C" w:rsidRDefault="007B3DB2">
            <w:pPr>
              <w:spacing w:line="240" w:lineRule="exact"/>
              <w:jc w:val="right"/>
              <w:rPr>
                <w:rFonts w:cs="宋体"/>
                <w:sz w:val="18"/>
                <w:szCs w:val="18"/>
              </w:rPr>
            </w:pPr>
          </w:p>
        </w:tc>
      </w:tr>
      <w:tr w:rsidR="007B3DB2" w:rsidRPr="0063248C" w14:paraId="3144FD59"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2BC9E02A"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．本期提取</w:t>
            </w:r>
          </w:p>
        </w:tc>
        <w:tc>
          <w:tcPr>
            <w:tcW w:w="819" w:type="dxa"/>
            <w:tcBorders>
              <w:top w:val="single" w:sz="2" w:space="0" w:color="auto"/>
              <w:left w:val="single" w:sz="2" w:space="0" w:color="auto"/>
              <w:bottom w:val="single" w:sz="2" w:space="0" w:color="auto"/>
              <w:right w:val="single" w:sz="2" w:space="0" w:color="auto"/>
            </w:tcBorders>
            <w:vAlign w:val="center"/>
          </w:tcPr>
          <w:p w14:paraId="7AA98026"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3A62A4A"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8B135B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166AFB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B6F80C1"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FAB4954"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928CD7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D603A88"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FB2527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713729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01F8A8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5134DE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0A0EC2A"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7890DF25"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68CD911D" w14:textId="77777777" w:rsidR="007B3DB2" w:rsidRPr="0063248C" w:rsidRDefault="007B3DB2">
            <w:pPr>
              <w:spacing w:line="240" w:lineRule="exact"/>
              <w:jc w:val="right"/>
              <w:rPr>
                <w:rFonts w:cs="宋体"/>
                <w:sz w:val="18"/>
                <w:szCs w:val="18"/>
              </w:rPr>
            </w:pPr>
          </w:p>
        </w:tc>
      </w:tr>
      <w:tr w:rsidR="007B3DB2" w:rsidRPr="0063248C" w14:paraId="010CF575"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3EB803D1"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．本期使用</w:t>
            </w:r>
          </w:p>
        </w:tc>
        <w:tc>
          <w:tcPr>
            <w:tcW w:w="819" w:type="dxa"/>
            <w:tcBorders>
              <w:top w:val="single" w:sz="2" w:space="0" w:color="auto"/>
              <w:left w:val="single" w:sz="2" w:space="0" w:color="auto"/>
              <w:bottom w:val="single" w:sz="2" w:space="0" w:color="auto"/>
              <w:right w:val="single" w:sz="2" w:space="0" w:color="auto"/>
            </w:tcBorders>
            <w:vAlign w:val="center"/>
          </w:tcPr>
          <w:p w14:paraId="34774384"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E65E99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6BECFA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131CB74"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E57166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E03518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05B4EE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9EFE4CB"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7328FB8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646B507"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19B8391"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6132A18"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48429B15"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3E444F98"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5DAE4153" w14:textId="77777777" w:rsidR="007B3DB2" w:rsidRPr="0063248C" w:rsidRDefault="007B3DB2">
            <w:pPr>
              <w:spacing w:line="240" w:lineRule="exact"/>
              <w:jc w:val="right"/>
              <w:rPr>
                <w:rFonts w:cs="宋体"/>
                <w:sz w:val="18"/>
                <w:szCs w:val="18"/>
              </w:rPr>
            </w:pPr>
          </w:p>
        </w:tc>
      </w:tr>
      <w:tr w:rsidR="007B3DB2" w:rsidRPr="0063248C" w14:paraId="6A9BA75D"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693136FC" w14:textId="77777777" w:rsidR="007B3DB2" w:rsidRPr="0063248C" w:rsidRDefault="00000000">
            <w:pPr>
              <w:spacing w:before="40" w:after="40" w:line="240" w:lineRule="exact"/>
              <w:rPr>
                <w:rFonts w:cs="宋体"/>
                <w:sz w:val="18"/>
                <w:szCs w:val="18"/>
              </w:rPr>
            </w:pPr>
            <w:r w:rsidRPr="0063248C">
              <w:rPr>
                <w:rFonts w:cs="宋体"/>
                <w:sz w:val="18"/>
                <w:szCs w:val="18"/>
              </w:rPr>
              <w:t>（六）其他</w:t>
            </w:r>
          </w:p>
        </w:tc>
        <w:tc>
          <w:tcPr>
            <w:tcW w:w="819" w:type="dxa"/>
            <w:tcBorders>
              <w:top w:val="single" w:sz="2" w:space="0" w:color="auto"/>
              <w:left w:val="single" w:sz="2" w:space="0" w:color="auto"/>
              <w:bottom w:val="single" w:sz="2" w:space="0" w:color="auto"/>
              <w:right w:val="single" w:sz="2" w:space="0" w:color="auto"/>
            </w:tcBorders>
            <w:vAlign w:val="center"/>
          </w:tcPr>
          <w:p w14:paraId="20174534"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7C6B12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C87407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BC2105E"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6EFAC3E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53997DC"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D8395FC"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C1DADD4"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9A26A3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36D1B5C5"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6370EB9"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293CA5FA"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16B82856"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31F02DC8" w14:textId="77777777" w:rsidR="007B3DB2" w:rsidRPr="0063248C" w:rsidRDefault="007B3DB2">
            <w:pPr>
              <w:spacing w:line="240" w:lineRule="exact"/>
              <w:jc w:val="right"/>
              <w:rPr>
                <w:rFonts w:cs="宋体"/>
                <w:sz w:val="18"/>
                <w:szCs w:val="18"/>
              </w:rPr>
            </w:pP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66191085" w14:textId="77777777" w:rsidR="007B3DB2" w:rsidRPr="0063248C" w:rsidRDefault="007B3DB2">
            <w:pPr>
              <w:spacing w:line="240" w:lineRule="exact"/>
              <w:jc w:val="right"/>
              <w:rPr>
                <w:rFonts w:cs="宋体"/>
                <w:sz w:val="18"/>
                <w:szCs w:val="18"/>
              </w:rPr>
            </w:pPr>
          </w:p>
        </w:tc>
      </w:tr>
      <w:tr w:rsidR="007B3DB2" w:rsidRPr="0063248C" w14:paraId="108FEB4B" w14:textId="77777777" w:rsidTr="00E92CF1">
        <w:trPr>
          <w:gridAfter w:val="1"/>
          <w:wAfter w:w="9" w:type="dxa"/>
          <w:trHeight w:val="240"/>
        </w:trPr>
        <w:tc>
          <w:tcPr>
            <w:tcW w:w="1746" w:type="dxa"/>
            <w:tcBorders>
              <w:top w:val="single" w:sz="2" w:space="0" w:color="auto"/>
              <w:left w:val="single" w:sz="2" w:space="0" w:color="auto"/>
              <w:bottom w:val="single" w:sz="2" w:space="0" w:color="auto"/>
              <w:right w:val="single" w:sz="2" w:space="0" w:color="auto"/>
            </w:tcBorders>
            <w:shd w:val="clear" w:color="auto" w:fill="D3D3D3"/>
            <w:vAlign w:val="center"/>
          </w:tcPr>
          <w:p w14:paraId="70708DF3" w14:textId="77777777" w:rsidR="007B3DB2" w:rsidRPr="0063248C" w:rsidRDefault="00000000">
            <w:pPr>
              <w:spacing w:before="40" w:after="40" w:line="240" w:lineRule="exact"/>
              <w:rPr>
                <w:rFonts w:cs="宋体"/>
                <w:sz w:val="18"/>
                <w:szCs w:val="18"/>
              </w:rPr>
            </w:pPr>
            <w:r w:rsidRPr="0063248C">
              <w:rPr>
                <w:rFonts w:cs="宋体"/>
                <w:sz w:val="18"/>
                <w:szCs w:val="18"/>
              </w:rPr>
              <w:t>四、本期期末余额</w:t>
            </w:r>
          </w:p>
        </w:tc>
        <w:tc>
          <w:tcPr>
            <w:tcW w:w="819" w:type="dxa"/>
            <w:tcBorders>
              <w:top w:val="single" w:sz="2" w:space="0" w:color="auto"/>
              <w:left w:val="single" w:sz="2" w:space="0" w:color="auto"/>
              <w:bottom w:val="single" w:sz="2" w:space="0" w:color="auto"/>
              <w:right w:val="single" w:sz="2" w:space="0" w:color="auto"/>
            </w:tcBorders>
            <w:vAlign w:val="center"/>
          </w:tcPr>
          <w:p w14:paraId="29028416" w14:textId="77777777" w:rsidR="007B3DB2" w:rsidRPr="0063248C" w:rsidRDefault="00000000">
            <w:pPr>
              <w:spacing w:line="240" w:lineRule="exact"/>
              <w:jc w:val="right"/>
              <w:rPr>
                <w:rFonts w:cs="宋体"/>
                <w:sz w:val="18"/>
                <w:szCs w:val="18"/>
              </w:rPr>
            </w:pPr>
            <w:r w:rsidRPr="0063248C">
              <w:rPr>
                <w:rFonts w:cs="宋体"/>
                <w:sz w:val="18"/>
                <w:szCs w:val="18"/>
              </w:rPr>
              <w:t>1,079,159,939.00</w:t>
            </w:r>
          </w:p>
        </w:tc>
        <w:tc>
          <w:tcPr>
            <w:tcW w:w="819" w:type="dxa"/>
            <w:tcBorders>
              <w:top w:val="single" w:sz="2" w:space="0" w:color="auto"/>
              <w:left w:val="single" w:sz="2" w:space="0" w:color="auto"/>
              <w:bottom w:val="single" w:sz="2" w:space="0" w:color="auto"/>
              <w:right w:val="single" w:sz="2" w:space="0" w:color="auto"/>
            </w:tcBorders>
            <w:vAlign w:val="center"/>
          </w:tcPr>
          <w:p w14:paraId="60920D8B"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5E1E6742"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4F6C400B" w14:textId="77777777" w:rsidR="007B3DB2" w:rsidRPr="0063248C" w:rsidRDefault="00000000">
            <w:pPr>
              <w:spacing w:line="240" w:lineRule="exact"/>
              <w:jc w:val="right"/>
              <w:rPr>
                <w:rFonts w:cs="宋体"/>
                <w:sz w:val="18"/>
                <w:szCs w:val="18"/>
              </w:rPr>
            </w:pPr>
            <w:r w:rsidRPr="0063248C">
              <w:rPr>
                <w:rFonts w:cs="宋体"/>
                <w:sz w:val="18"/>
                <w:szCs w:val="18"/>
              </w:rPr>
              <w:t>171,570,700.63</w:t>
            </w:r>
          </w:p>
        </w:tc>
        <w:tc>
          <w:tcPr>
            <w:tcW w:w="820" w:type="dxa"/>
            <w:tcBorders>
              <w:top w:val="single" w:sz="2" w:space="0" w:color="auto"/>
              <w:left w:val="single" w:sz="2" w:space="0" w:color="auto"/>
              <w:bottom w:val="single" w:sz="2" w:space="0" w:color="auto"/>
              <w:right w:val="single" w:sz="2" w:space="0" w:color="auto"/>
            </w:tcBorders>
            <w:vAlign w:val="center"/>
          </w:tcPr>
          <w:p w14:paraId="06E1C383" w14:textId="77777777" w:rsidR="007B3DB2" w:rsidRPr="0063248C" w:rsidRDefault="00000000">
            <w:pPr>
              <w:spacing w:line="240" w:lineRule="exact"/>
              <w:jc w:val="right"/>
              <w:rPr>
                <w:rFonts w:cs="宋体"/>
                <w:sz w:val="18"/>
                <w:szCs w:val="18"/>
              </w:rPr>
            </w:pPr>
            <w:r w:rsidRPr="0063248C">
              <w:rPr>
                <w:rFonts w:cs="宋体"/>
                <w:sz w:val="18"/>
                <w:szCs w:val="18"/>
              </w:rPr>
              <w:t>824,958,540.69</w:t>
            </w:r>
          </w:p>
        </w:tc>
        <w:tc>
          <w:tcPr>
            <w:tcW w:w="820" w:type="dxa"/>
            <w:tcBorders>
              <w:top w:val="single" w:sz="2" w:space="0" w:color="auto"/>
              <w:left w:val="single" w:sz="2" w:space="0" w:color="auto"/>
              <w:bottom w:val="single" w:sz="2" w:space="0" w:color="auto"/>
              <w:right w:val="single" w:sz="2" w:space="0" w:color="auto"/>
            </w:tcBorders>
            <w:vAlign w:val="center"/>
          </w:tcPr>
          <w:p w14:paraId="1E162014"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c>
          <w:tcPr>
            <w:tcW w:w="820" w:type="dxa"/>
            <w:tcBorders>
              <w:top w:val="single" w:sz="2" w:space="0" w:color="auto"/>
              <w:left w:val="single" w:sz="2" w:space="0" w:color="auto"/>
              <w:bottom w:val="single" w:sz="2" w:space="0" w:color="auto"/>
              <w:right w:val="single" w:sz="2" w:space="0" w:color="auto"/>
            </w:tcBorders>
            <w:vAlign w:val="center"/>
          </w:tcPr>
          <w:p w14:paraId="51D96E8A"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c>
          <w:tcPr>
            <w:tcW w:w="820" w:type="dxa"/>
            <w:tcBorders>
              <w:top w:val="single" w:sz="2" w:space="0" w:color="auto"/>
              <w:left w:val="single" w:sz="2" w:space="0" w:color="auto"/>
              <w:bottom w:val="single" w:sz="2" w:space="0" w:color="auto"/>
              <w:right w:val="single" w:sz="2" w:space="0" w:color="auto"/>
            </w:tcBorders>
            <w:vAlign w:val="center"/>
          </w:tcPr>
          <w:p w14:paraId="1D7284B8"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4D5A3F7D"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820" w:type="dxa"/>
            <w:tcBorders>
              <w:top w:val="single" w:sz="2" w:space="0" w:color="auto"/>
              <w:left w:val="single" w:sz="2" w:space="0" w:color="auto"/>
              <w:bottom w:val="single" w:sz="2" w:space="0" w:color="auto"/>
              <w:right w:val="single" w:sz="2" w:space="0" w:color="auto"/>
            </w:tcBorders>
            <w:vAlign w:val="center"/>
          </w:tcPr>
          <w:p w14:paraId="1A42848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20" w:type="dxa"/>
            <w:tcBorders>
              <w:top w:val="single" w:sz="2" w:space="0" w:color="auto"/>
              <w:left w:val="single" w:sz="2" w:space="0" w:color="auto"/>
              <w:bottom w:val="single" w:sz="2" w:space="0" w:color="auto"/>
              <w:right w:val="single" w:sz="2" w:space="0" w:color="auto"/>
            </w:tcBorders>
            <w:vAlign w:val="center"/>
          </w:tcPr>
          <w:p w14:paraId="04E36BB7" w14:textId="77777777" w:rsidR="007B3DB2" w:rsidRPr="0063248C" w:rsidRDefault="00000000">
            <w:pPr>
              <w:spacing w:line="240" w:lineRule="exact"/>
              <w:jc w:val="right"/>
              <w:rPr>
                <w:rFonts w:cs="宋体"/>
                <w:sz w:val="18"/>
                <w:szCs w:val="18"/>
              </w:rPr>
            </w:pPr>
            <w:r w:rsidRPr="0063248C">
              <w:rPr>
                <w:rFonts w:cs="宋体"/>
                <w:sz w:val="18"/>
                <w:szCs w:val="18"/>
              </w:rPr>
              <w:t>-457,146,752.15</w:t>
            </w:r>
          </w:p>
        </w:tc>
        <w:tc>
          <w:tcPr>
            <w:tcW w:w="820" w:type="dxa"/>
            <w:tcBorders>
              <w:top w:val="single" w:sz="2" w:space="0" w:color="auto"/>
              <w:left w:val="single" w:sz="2" w:space="0" w:color="auto"/>
              <w:bottom w:val="single" w:sz="2" w:space="0" w:color="auto"/>
              <w:right w:val="single" w:sz="2" w:space="0" w:color="auto"/>
            </w:tcBorders>
            <w:vAlign w:val="center"/>
          </w:tcPr>
          <w:p w14:paraId="23A80D32" w14:textId="77777777" w:rsidR="007B3DB2" w:rsidRPr="0063248C" w:rsidRDefault="007B3DB2">
            <w:pPr>
              <w:spacing w:line="240" w:lineRule="exact"/>
              <w:jc w:val="right"/>
              <w:rPr>
                <w:rFonts w:cs="宋体"/>
                <w:sz w:val="18"/>
                <w:szCs w:val="18"/>
              </w:rPr>
            </w:pPr>
          </w:p>
        </w:tc>
        <w:tc>
          <w:tcPr>
            <w:tcW w:w="820" w:type="dxa"/>
            <w:tcBorders>
              <w:top w:val="single" w:sz="2" w:space="0" w:color="auto"/>
              <w:left w:val="single" w:sz="2" w:space="0" w:color="auto"/>
              <w:bottom w:val="single" w:sz="2" w:space="0" w:color="auto"/>
              <w:right w:val="single" w:sz="2" w:space="0" w:color="auto"/>
            </w:tcBorders>
            <w:vAlign w:val="center"/>
          </w:tcPr>
          <w:p w14:paraId="010EF61C" w14:textId="77777777" w:rsidR="007B3DB2" w:rsidRPr="0063248C" w:rsidRDefault="00000000">
            <w:pPr>
              <w:spacing w:line="240" w:lineRule="exact"/>
              <w:jc w:val="right"/>
              <w:rPr>
                <w:rFonts w:cs="宋体"/>
                <w:sz w:val="18"/>
                <w:szCs w:val="18"/>
              </w:rPr>
            </w:pPr>
            <w:r w:rsidRPr="0063248C">
              <w:rPr>
                <w:rFonts w:cs="宋体"/>
                <w:sz w:val="18"/>
                <w:szCs w:val="18"/>
              </w:rPr>
              <w:t>1,540,135,274.04</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36043377" w14:textId="77777777" w:rsidR="007B3DB2" w:rsidRPr="0063248C" w:rsidRDefault="00000000">
            <w:pPr>
              <w:spacing w:line="240" w:lineRule="exact"/>
              <w:jc w:val="right"/>
              <w:rPr>
                <w:rFonts w:cs="宋体"/>
                <w:sz w:val="18"/>
                <w:szCs w:val="18"/>
              </w:rPr>
            </w:pPr>
            <w:r w:rsidRPr="0063248C">
              <w:rPr>
                <w:rFonts w:cs="宋体"/>
                <w:sz w:val="18"/>
                <w:szCs w:val="18"/>
              </w:rPr>
              <w:t>180,387,140.70</w:t>
            </w:r>
          </w:p>
        </w:tc>
        <w:tc>
          <w:tcPr>
            <w:tcW w:w="820" w:type="dxa"/>
            <w:gridSpan w:val="2"/>
            <w:tcBorders>
              <w:top w:val="single" w:sz="2" w:space="0" w:color="auto"/>
              <w:left w:val="single" w:sz="2" w:space="0" w:color="auto"/>
              <w:bottom w:val="single" w:sz="2" w:space="0" w:color="auto"/>
              <w:right w:val="single" w:sz="2" w:space="0" w:color="auto"/>
            </w:tcBorders>
            <w:vAlign w:val="center"/>
          </w:tcPr>
          <w:p w14:paraId="5A3724E9" w14:textId="77777777" w:rsidR="007B3DB2" w:rsidRPr="0063248C" w:rsidRDefault="00000000">
            <w:pPr>
              <w:spacing w:line="240" w:lineRule="exact"/>
              <w:jc w:val="right"/>
              <w:rPr>
                <w:rFonts w:cs="宋体"/>
                <w:sz w:val="18"/>
                <w:szCs w:val="18"/>
              </w:rPr>
            </w:pPr>
            <w:r w:rsidRPr="0063248C">
              <w:rPr>
                <w:rFonts w:cs="宋体"/>
                <w:sz w:val="18"/>
                <w:szCs w:val="18"/>
              </w:rPr>
              <w:t>1,720,522,414.74</w:t>
            </w:r>
          </w:p>
        </w:tc>
      </w:tr>
    </w:tbl>
    <w:p w14:paraId="7C425E41" w14:textId="77777777" w:rsidR="007B3DB2" w:rsidRPr="0063248C" w:rsidRDefault="00000000">
      <w:pPr>
        <w:spacing w:before="100" w:after="100" w:line="240" w:lineRule="exact"/>
        <w:rPr>
          <w:rFonts w:cs="宋体"/>
          <w:sz w:val="18"/>
          <w:szCs w:val="18"/>
        </w:rPr>
      </w:pPr>
      <w:r w:rsidRPr="0063248C">
        <w:rPr>
          <w:rFonts w:cs="宋体"/>
          <w:sz w:val="18"/>
          <w:szCs w:val="18"/>
        </w:rPr>
        <w:t>上年金额</w:t>
      </w:r>
    </w:p>
    <w:p w14:paraId="1926E4CB"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14034"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744"/>
        <w:gridCol w:w="818"/>
        <w:gridCol w:w="818"/>
        <w:gridCol w:w="818"/>
        <w:gridCol w:w="818"/>
        <w:gridCol w:w="819"/>
        <w:gridCol w:w="819"/>
        <w:gridCol w:w="819"/>
        <w:gridCol w:w="819"/>
        <w:gridCol w:w="819"/>
        <w:gridCol w:w="819"/>
        <w:gridCol w:w="819"/>
        <w:gridCol w:w="819"/>
        <w:gridCol w:w="819"/>
        <w:gridCol w:w="10"/>
        <w:gridCol w:w="809"/>
        <w:gridCol w:w="10"/>
        <w:gridCol w:w="818"/>
      </w:tblGrid>
      <w:tr w:rsidR="007B3DB2" w:rsidRPr="0063248C" w14:paraId="720E0951" w14:textId="77777777" w:rsidTr="00E92CF1">
        <w:trPr>
          <w:trHeight w:val="228"/>
        </w:trPr>
        <w:tc>
          <w:tcPr>
            <w:tcW w:w="174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23F8EC"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2290" w:type="dxa"/>
            <w:gridSpan w:val="17"/>
            <w:tcBorders>
              <w:top w:val="single" w:sz="2" w:space="0" w:color="auto"/>
              <w:left w:val="single" w:sz="2" w:space="0" w:color="auto"/>
              <w:bottom w:val="single" w:sz="2" w:space="0" w:color="auto"/>
              <w:right w:val="single" w:sz="2" w:space="0" w:color="auto"/>
            </w:tcBorders>
            <w:shd w:val="clear" w:color="auto" w:fill="D3D3D3"/>
            <w:vAlign w:val="center"/>
          </w:tcPr>
          <w:p w14:paraId="7311198C" w14:textId="77777777" w:rsidR="007B3DB2" w:rsidRPr="0063248C" w:rsidRDefault="00000000">
            <w:pPr>
              <w:spacing w:before="40" w:after="40" w:line="240" w:lineRule="exact"/>
              <w:jc w:val="center"/>
              <w:rPr>
                <w:rFonts w:cs="宋体"/>
                <w:sz w:val="18"/>
                <w:szCs w:val="18"/>
              </w:rPr>
            </w:pPr>
            <w:r w:rsidRPr="0063248C">
              <w:rPr>
                <w:rFonts w:cs="宋体"/>
                <w:sz w:val="18"/>
                <w:szCs w:val="18"/>
              </w:rPr>
              <w:t>2023</w:t>
            </w:r>
            <w:r w:rsidRPr="0063248C">
              <w:rPr>
                <w:rFonts w:cs="宋体"/>
                <w:sz w:val="18"/>
                <w:szCs w:val="18"/>
              </w:rPr>
              <w:t>年半年度</w:t>
            </w:r>
          </w:p>
        </w:tc>
      </w:tr>
      <w:tr w:rsidR="007B3DB2" w:rsidRPr="0063248C" w14:paraId="590635CF" w14:textId="77777777" w:rsidTr="00E92CF1">
        <w:trPr>
          <w:trHeight w:val="228"/>
        </w:trPr>
        <w:tc>
          <w:tcPr>
            <w:tcW w:w="174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F885333" w14:textId="77777777" w:rsidR="007B3DB2" w:rsidRPr="0063248C" w:rsidRDefault="007B3DB2"/>
        </w:tc>
        <w:tc>
          <w:tcPr>
            <w:tcW w:w="10653" w:type="dxa"/>
            <w:gridSpan w:val="14"/>
            <w:tcBorders>
              <w:top w:val="single" w:sz="2" w:space="0" w:color="auto"/>
              <w:left w:val="single" w:sz="2" w:space="0" w:color="auto"/>
              <w:bottom w:val="single" w:sz="2" w:space="0" w:color="auto"/>
              <w:right w:val="single" w:sz="2" w:space="0" w:color="auto"/>
            </w:tcBorders>
            <w:shd w:val="clear" w:color="auto" w:fill="D3D3D3"/>
            <w:vAlign w:val="center"/>
          </w:tcPr>
          <w:p w14:paraId="4BEC9F39" w14:textId="77777777" w:rsidR="007B3DB2" w:rsidRPr="0063248C" w:rsidRDefault="00000000">
            <w:pPr>
              <w:spacing w:before="40" w:after="40" w:line="240" w:lineRule="exact"/>
              <w:jc w:val="center"/>
              <w:rPr>
                <w:rFonts w:cs="宋体"/>
                <w:sz w:val="18"/>
                <w:szCs w:val="18"/>
              </w:rPr>
            </w:pPr>
            <w:r w:rsidRPr="0063248C">
              <w:rPr>
                <w:rFonts w:cs="宋体"/>
                <w:sz w:val="18"/>
                <w:szCs w:val="18"/>
              </w:rPr>
              <w:t>归属于母公司所有者权益</w:t>
            </w:r>
          </w:p>
        </w:tc>
        <w:tc>
          <w:tcPr>
            <w:tcW w:w="8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FA5236D" w14:textId="77777777" w:rsidR="007B3DB2" w:rsidRPr="0063248C" w:rsidRDefault="00000000">
            <w:pPr>
              <w:spacing w:before="40" w:after="40" w:line="240" w:lineRule="exact"/>
              <w:jc w:val="center"/>
              <w:rPr>
                <w:rFonts w:cs="宋体"/>
                <w:sz w:val="18"/>
                <w:szCs w:val="18"/>
              </w:rPr>
            </w:pPr>
            <w:r w:rsidRPr="0063248C">
              <w:rPr>
                <w:rFonts w:cs="宋体"/>
                <w:sz w:val="18"/>
                <w:szCs w:val="18"/>
              </w:rPr>
              <w:t>少数股东权益</w:t>
            </w:r>
          </w:p>
        </w:tc>
        <w:tc>
          <w:tcPr>
            <w:tcW w:w="818" w:type="dxa"/>
            <w:tcBorders>
              <w:top w:val="single" w:sz="2" w:space="0" w:color="auto"/>
              <w:left w:val="single" w:sz="2" w:space="0" w:color="auto"/>
              <w:bottom w:val="single" w:sz="2" w:space="0" w:color="auto"/>
              <w:right w:val="single" w:sz="2" w:space="0" w:color="auto"/>
            </w:tcBorders>
            <w:shd w:val="clear" w:color="auto" w:fill="D3D3D3"/>
            <w:vAlign w:val="center"/>
          </w:tcPr>
          <w:p w14:paraId="0D4CDEA6" w14:textId="77777777" w:rsidR="007B3DB2" w:rsidRPr="0063248C" w:rsidRDefault="00000000">
            <w:pPr>
              <w:spacing w:before="40" w:after="40" w:line="240" w:lineRule="exact"/>
              <w:jc w:val="center"/>
              <w:rPr>
                <w:rFonts w:cs="宋体"/>
                <w:sz w:val="18"/>
                <w:szCs w:val="18"/>
              </w:rPr>
            </w:pPr>
            <w:r w:rsidRPr="0063248C">
              <w:rPr>
                <w:rFonts w:cs="宋体"/>
                <w:sz w:val="18"/>
                <w:szCs w:val="18"/>
              </w:rPr>
              <w:t>所有者权益合计</w:t>
            </w:r>
          </w:p>
        </w:tc>
      </w:tr>
      <w:tr w:rsidR="00E92CF1" w:rsidRPr="0063248C" w14:paraId="3724CC58" w14:textId="77777777" w:rsidTr="00E92CF1">
        <w:trPr>
          <w:trHeight w:val="228"/>
        </w:trPr>
        <w:tc>
          <w:tcPr>
            <w:tcW w:w="174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4B262E" w14:textId="77777777" w:rsidR="007B3DB2" w:rsidRPr="0063248C" w:rsidRDefault="007B3DB2"/>
        </w:tc>
        <w:tc>
          <w:tcPr>
            <w:tcW w:w="8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04A6B4" w14:textId="77777777" w:rsidR="007B3DB2" w:rsidRPr="0063248C" w:rsidRDefault="00000000">
            <w:pPr>
              <w:spacing w:before="40" w:after="40" w:line="240" w:lineRule="exact"/>
              <w:jc w:val="center"/>
              <w:rPr>
                <w:rFonts w:cs="宋体"/>
                <w:sz w:val="18"/>
                <w:szCs w:val="18"/>
              </w:rPr>
            </w:pPr>
            <w:r w:rsidRPr="0063248C">
              <w:rPr>
                <w:rFonts w:cs="宋体"/>
                <w:sz w:val="18"/>
                <w:szCs w:val="18"/>
              </w:rPr>
              <w:t>股本</w:t>
            </w:r>
          </w:p>
        </w:tc>
        <w:tc>
          <w:tcPr>
            <w:tcW w:w="245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17C01C3"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其他权益工具</w:t>
            </w:r>
          </w:p>
        </w:tc>
        <w:tc>
          <w:tcPr>
            <w:tcW w:w="81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D5C5C6C" w14:textId="77777777" w:rsidR="007B3DB2" w:rsidRPr="0063248C" w:rsidRDefault="00000000">
            <w:pPr>
              <w:spacing w:before="40" w:after="40" w:line="240" w:lineRule="exact"/>
              <w:jc w:val="center"/>
              <w:rPr>
                <w:rFonts w:cs="宋体"/>
                <w:sz w:val="18"/>
                <w:szCs w:val="18"/>
              </w:rPr>
            </w:pPr>
            <w:r w:rsidRPr="0063248C">
              <w:rPr>
                <w:rFonts w:cs="宋体"/>
                <w:sz w:val="18"/>
                <w:szCs w:val="18"/>
              </w:rPr>
              <w:t>资本公积</w:t>
            </w:r>
          </w:p>
        </w:tc>
        <w:tc>
          <w:tcPr>
            <w:tcW w:w="81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B52791E"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减：库存股</w:t>
            </w:r>
          </w:p>
        </w:tc>
        <w:tc>
          <w:tcPr>
            <w:tcW w:w="81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FD6497"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其他综合收益</w:t>
            </w:r>
          </w:p>
        </w:tc>
        <w:tc>
          <w:tcPr>
            <w:tcW w:w="81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508D5E2" w14:textId="77777777" w:rsidR="007B3DB2" w:rsidRPr="0063248C" w:rsidRDefault="00000000">
            <w:pPr>
              <w:spacing w:before="40" w:after="40" w:line="240" w:lineRule="exact"/>
              <w:rPr>
                <w:rFonts w:cs="宋体"/>
                <w:sz w:val="18"/>
                <w:szCs w:val="18"/>
              </w:rPr>
            </w:pPr>
            <w:r w:rsidRPr="0063248C">
              <w:rPr>
                <w:rFonts w:cs="宋体"/>
                <w:sz w:val="18"/>
                <w:szCs w:val="18"/>
              </w:rPr>
              <w:t>专项储备</w:t>
            </w:r>
          </w:p>
        </w:tc>
        <w:tc>
          <w:tcPr>
            <w:tcW w:w="81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0247EB" w14:textId="77777777" w:rsidR="007B3DB2" w:rsidRPr="0063248C" w:rsidRDefault="00000000">
            <w:pPr>
              <w:spacing w:before="40" w:after="40" w:line="240" w:lineRule="exact"/>
              <w:jc w:val="center"/>
              <w:rPr>
                <w:rFonts w:cs="宋体"/>
                <w:sz w:val="18"/>
                <w:szCs w:val="18"/>
              </w:rPr>
            </w:pPr>
            <w:r w:rsidRPr="0063248C">
              <w:rPr>
                <w:rFonts w:cs="宋体"/>
                <w:sz w:val="18"/>
                <w:szCs w:val="18"/>
              </w:rPr>
              <w:t>盈余公积</w:t>
            </w:r>
          </w:p>
        </w:tc>
        <w:tc>
          <w:tcPr>
            <w:tcW w:w="81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58DF649" w14:textId="77777777" w:rsidR="007B3DB2" w:rsidRPr="0063248C" w:rsidRDefault="00000000">
            <w:pPr>
              <w:spacing w:before="40" w:after="40" w:line="240" w:lineRule="exact"/>
              <w:jc w:val="center"/>
              <w:rPr>
                <w:rFonts w:cs="宋体"/>
                <w:sz w:val="18"/>
                <w:szCs w:val="18"/>
              </w:rPr>
            </w:pPr>
            <w:r w:rsidRPr="0063248C">
              <w:rPr>
                <w:rFonts w:cs="宋体"/>
                <w:sz w:val="18"/>
                <w:szCs w:val="18"/>
              </w:rPr>
              <w:t>一般风险准备</w:t>
            </w:r>
          </w:p>
        </w:tc>
        <w:tc>
          <w:tcPr>
            <w:tcW w:w="81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22E285B" w14:textId="77777777" w:rsidR="007B3DB2" w:rsidRPr="0063248C" w:rsidRDefault="00000000">
            <w:pPr>
              <w:spacing w:before="40" w:after="40" w:line="240" w:lineRule="exact"/>
              <w:jc w:val="center"/>
              <w:rPr>
                <w:rFonts w:cs="宋体"/>
                <w:sz w:val="18"/>
                <w:szCs w:val="18"/>
              </w:rPr>
            </w:pPr>
            <w:r w:rsidRPr="0063248C">
              <w:rPr>
                <w:rFonts w:cs="宋体"/>
                <w:sz w:val="18"/>
                <w:szCs w:val="18"/>
              </w:rPr>
              <w:t>未分配利润</w:t>
            </w:r>
          </w:p>
        </w:tc>
        <w:tc>
          <w:tcPr>
            <w:tcW w:w="81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CF2317"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81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8822941" w14:textId="77777777" w:rsidR="007B3DB2" w:rsidRPr="0063248C" w:rsidRDefault="00000000">
            <w:pPr>
              <w:spacing w:before="40" w:after="40" w:line="240" w:lineRule="exact"/>
              <w:jc w:val="center"/>
              <w:rPr>
                <w:rFonts w:cs="宋体"/>
                <w:sz w:val="18"/>
                <w:szCs w:val="18"/>
              </w:rPr>
            </w:pPr>
            <w:r w:rsidRPr="0063248C">
              <w:rPr>
                <w:rFonts w:cs="宋体"/>
                <w:sz w:val="18"/>
                <w:szCs w:val="18"/>
              </w:rPr>
              <w:t>小计</w:t>
            </w:r>
          </w:p>
        </w:tc>
        <w:tc>
          <w:tcPr>
            <w:tcW w:w="819"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475A537" w14:textId="77777777" w:rsidR="007B3DB2" w:rsidRPr="0063248C" w:rsidRDefault="007B3DB2"/>
        </w:tc>
        <w:tc>
          <w:tcPr>
            <w:tcW w:w="828"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04FF989" w14:textId="77777777" w:rsidR="007B3DB2" w:rsidRPr="0063248C" w:rsidRDefault="007B3DB2"/>
        </w:tc>
      </w:tr>
      <w:tr w:rsidR="00E92CF1" w:rsidRPr="0063248C" w14:paraId="39CBD534" w14:textId="77777777" w:rsidTr="00E92CF1">
        <w:trPr>
          <w:trHeight w:val="228"/>
        </w:trPr>
        <w:tc>
          <w:tcPr>
            <w:tcW w:w="174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9C02210" w14:textId="77777777" w:rsidR="007B3DB2" w:rsidRPr="0063248C" w:rsidRDefault="007B3DB2"/>
        </w:tc>
        <w:tc>
          <w:tcPr>
            <w:tcW w:w="8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AE78E56" w14:textId="77777777" w:rsidR="007B3DB2" w:rsidRPr="0063248C" w:rsidRDefault="007B3DB2"/>
        </w:tc>
        <w:tc>
          <w:tcPr>
            <w:tcW w:w="818" w:type="dxa"/>
            <w:tcBorders>
              <w:top w:val="single" w:sz="2" w:space="0" w:color="auto"/>
              <w:left w:val="single" w:sz="2" w:space="0" w:color="auto"/>
              <w:bottom w:val="single" w:sz="2" w:space="0" w:color="auto"/>
              <w:right w:val="single" w:sz="2" w:space="0" w:color="auto"/>
            </w:tcBorders>
            <w:shd w:val="clear" w:color="auto" w:fill="D3D3D3"/>
            <w:vAlign w:val="center"/>
          </w:tcPr>
          <w:p w14:paraId="204C60DF" w14:textId="77777777" w:rsidR="007B3DB2" w:rsidRPr="0063248C" w:rsidRDefault="00000000">
            <w:pPr>
              <w:spacing w:before="40" w:after="40" w:line="240" w:lineRule="exact"/>
              <w:jc w:val="center"/>
              <w:rPr>
                <w:rFonts w:cs="宋体"/>
                <w:sz w:val="18"/>
                <w:szCs w:val="18"/>
              </w:rPr>
            </w:pPr>
            <w:r w:rsidRPr="0063248C">
              <w:rPr>
                <w:rFonts w:cs="宋体"/>
                <w:sz w:val="18"/>
                <w:szCs w:val="18"/>
              </w:rPr>
              <w:t>优先股</w:t>
            </w:r>
          </w:p>
        </w:tc>
        <w:tc>
          <w:tcPr>
            <w:tcW w:w="818" w:type="dxa"/>
            <w:tcBorders>
              <w:top w:val="single" w:sz="2" w:space="0" w:color="auto"/>
              <w:left w:val="single" w:sz="2" w:space="0" w:color="auto"/>
              <w:bottom w:val="single" w:sz="2" w:space="0" w:color="auto"/>
              <w:right w:val="single" w:sz="2" w:space="0" w:color="auto"/>
            </w:tcBorders>
            <w:shd w:val="clear" w:color="auto" w:fill="D3D3D3"/>
            <w:vAlign w:val="center"/>
          </w:tcPr>
          <w:p w14:paraId="2D2D0695" w14:textId="77777777" w:rsidR="007B3DB2" w:rsidRPr="0063248C" w:rsidRDefault="00000000">
            <w:pPr>
              <w:spacing w:before="40" w:after="40" w:line="240" w:lineRule="exact"/>
              <w:jc w:val="center"/>
              <w:rPr>
                <w:rFonts w:cs="宋体"/>
                <w:sz w:val="18"/>
                <w:szCs w:val="18"/>
              </w:rPr>
            </w:pPr>
            <w:r w:rsidRPr="0063248C">
              <w:rPr>
                <w:rFonts w:cs="宋体"/>
                <w:sz w:val="18"/>
                <w:szCs w:val="18"/>
              </w:rPr>
              <w:t>永续债</w:t>
            </w:r>
          </w:p>
        </w:tc>
        <w:tc>
          <w:tcPr>
            <w:tcW w:w="818" w:type="dxa"/>
            <w:tcBorders>
              <w:top w:val="single" w:sz="2" w:space="0" w:color="auto"/>
              <w:left w:val="single" w:sz="2" w:space="0" w:color="auto"/>
              <w:bottom w:val="single" w:sz="2" w:space="0" w:color="auto"/>
              <w:right w:val="single" w:sz="2" w:space="0" w:color="auto"/>
            </w:tcBorders>
            <w:shd w:val="clear" w:color="auto" w:fill="D3D3D3"/>
            <w:vAlign w:val="center"/>
          </w:tcPr>
          <w:p w14:paraId="3362451E"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81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C025235" w14:textId="77777777" w:rsidR="007B3DB2" w:rsidRPr="0063248C" w:rsidRDefault="007B3DB2"/>
        </w:tc>
        <w:tc>
          <w:tcPr>
            <w:tcW w:w="81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018B1F0" w14:textId="77777777" w:rsidR="007B3DB2" w:rsidRPr="0063248C" w:rsidRDefault="007B3DB2"/>
        </w:tc>
        <w:tc>
          <w:tcPr>
            <w:tcW w:w="81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E6F399A" w14:textId="77777777" w:rsidR="007B3DB2" w:rsidRPr="0063248C" w:rsidRDefault="007B3DB2"/>
        </w:tc>
        <w:tc>
          <w:tcPr>
            <w:tcW w:w="819" w:type="dxa"/>
            <w:vMerge/>
            <w:tcBorders>
              <w:top w:val="single" w:sz="2" w:space="0" w:color="auto"/>
              <w:left w:val="single" w:sz="2" w:space="0" w:color="auto"/>
              <w:bottom w:val="single" w:sz="2" w:space="0" w:color="auto"/>
              <w:right w:val="single" w:sz="2" w:space="0" w:color="auto"/>
            </w:tcBorders>
            <w:vAlign w:val="center"/>
          </w:tcPr>
          <w:p w14:paraId="7C01949F" w14:textId="77777777" w:rsidR="007B3DB2" w:rsidRPr="0063248C" w:rsidRDefault="007B3DB2"/>
        </w:tc>
        <w:tc>
          <w:tcPr>
            <w:tcW w:w="81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3AF8322" w14:textId="77777777" w:rsidR="007B3DB2" w:rsidRPr="0063248C" w:rsidRDefault="007B3DB2"/>
        </w:tc>
        <w:tc>
          <w:tcPr>
            <w:tcW w:w="81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46946E" w14:textId="77777777" w:rsidR="007B3DB2" w:rsidRPr="0063248C" w:rsidRDefault="007B3DB2"/>
        </w:tc>
        <w:tc>
          <w:tcPr>
            <w:tcW w:w="81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1B91B13" w14:textId="77777777" w:rsidR="007B3DB2" w:rsidRPr="0063248C" w:rsidRDefault="007B3DB2"/>
        </w:tc>
        <w:tc>
          <w:tcPr>
            <w:tcW w:w="819" w:type="dxa"/>
            <w:vMerge/>
            <w:tcBorders>
              <w:top w:val="single" w:sz="2" w:space="0" w:color="auto"/>
              <w:left w:val="single" w:sz="2" w:space="0" w:color="auto"/>
              <w:bottom w:val="single" w:sz="2" w:space="0" w:color="auto"/>
              <w:right w:val="single" w:sz="2" w:space="0" w:color="auto"/>
            </w:tcBorders>
            <w:vAlign w:val="center"/>
          </w:tcPr>
          <w:p w14:paraId="25507CF3" w14:textId="77777777" w:rsidR="007B3DB2" w:rsidRPr="0063248C" w:rsidRDefault="007B3DB2"/>
        </w:tc>
        <w:tc>
          <w:tcPr>
            <w:tcW w:w="819" w:type="dxa"/>
            <w:vMerge/>
            <w:tcBorders>
              <w:top w:val="single" w:sz="2" w:space="0" w:color="auto"/>
              <w:left w:val="single" w:sz="2" w:space="0" w:color="auto"/>
              <w:bottom w:val="single" w:sz="2" w:space="0" w:color="auto"/>
              <w:right w:val="single" w:sz="2" w:space="0" w:color="auto"/>
            </w:tcBorders>
            <w:vAlign w:val="center"/>
          </w:tcPr>
          <w:p w14:paraId="1BD62FFA" w14:textId="77777777" w:rsidR="007B3DB2" w:rsidRPr="0063248C" w:rsidRDefault="007B3DB2"/>
        </w:tc>
        <w:tc>
          <w:tcPr>
            <w:tcW w:w="819"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02FB380E" w14:textId="77777777" w:rsidR="007B3DB2" w:rsidRPr="0063248C" w:rsidRDefault="007B3DB2"/>
        </w:tc>
        <w:tc>
          <w:tcPr>
            <w:tcW w:w="828"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7AA22755" w14:textId="77777777" w:rsidR="007B3DB2" w:rsidRPr="0063248C" w:rsidRDefault="007B3DB2"/>
        </w:tc>
      </w:tr>
      <w:tr w:rsidR="007B3DB2" w:rsidRPr="0063248C" w14:paraId="37B06C1C"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5BBEF6E4" w14:textId="77777777" w:rsidR="007B3DB2" w:rsidRPr="0063248C" w:rsidRDefault="00000000">
            <w:pPr>
              <w:spacing w:before="40" w:after="40" w:line="240" w:lineRule="exact"/>
              <w:rPr>
                <w:rFonts w:cs="宋体"/>
                <w:sz w:val="18"/>
                <w:szCs w:val="18"/>
              </w:rPr>
            </w:pPr>
            <w:r w:rsidRPr="0063248C">
              <w:rPr>
                <w:rFonts w:cs="宋体"/>
                <w:sz w:val="18"/>
                <w:szCs w:val="18"/>
              </w:rPr>
              <w:t>一、上年期末余额</w:t>
            </w:r>
          </w:p>
        </w:tc>
        <w:tc>
          <w:tcPr>
            <w:tcW w:w="818" w:type="dxa"/>
            <w:tcBorders>
              <w:top w:val="single" w:sz="2" w:space="0" w:color="auto"/>
              <w:left w:val="single" w:sz="2" w:space="0" w:color="auto"/>
              <w:bottom w:val="single" w:sz="2" w:space="0" w:color="auto"/>
              <w:right w:val="single" w:sz="2" w:space="0" w:color="auto"/>
            </w:tcBorders>
            <w:vAlign w:val="center"/>
          </w:tcPr>
          <w:p w14:paraId="48128236" w14:textId="77777777" w:rsidR="007B3DB2" w:rsidRPr="0063248C" w:rsidRDefault="00000000">
            <w:pPr>
              <w:spacing w:line="240" w:lineRule="exact"/>
              <w:jc w:val="right"/>
              <w:rPr>
                <w:rFonts w:cs="宋体"/>
                <w:sz w:val="18"/>
                <w:szCs w:val="18"/>
              </w:rPr>
            </w:pPr>
            <w:r w:rsidRPr="0063248C">
              <w:rPr>
                <w:rFonts w:cs="宋体"/>
                <w:sz w:val="18"/>
                <w:szCs w:val="18"/>
              </w:rPr>
              <w:t>1,079,128,488.00</w:t>
            </w:r>
          </w:p>
        </w:tc>
        <w:tc>
          <w:tcPr>
            <w:tcW w:w="818" w:type="dxa"/>
            <w:tcBorders>
              <w:top w:val="single" w:sz="2" w:space="0" w:color="auto"/>
              <w:left w:val="single" w:sz="2" w:space="0" w:color="auto"/>
              <w:bottom w:val="single" w:sz="2" w:space="0" w:color="auto"/>
              <w:right w:val="single" w:sz="2" w:space="0" w:color="auto"/>
            </w:tcBorders>
            <w:vAlign w:val="center"/>
          </w:tcPr>
          <w:p w14:paraId="091A355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8" w:type="dxa"/>
            <w:tcBorders>
              <w:top w:val="single" w:sz="2" w:space="0" w:color="auto"/>
              <w:left w:val="single" w:sz="2" w:space="0" w:color="auto"/>
              <w:bottom w:val="single" w:sz="2" w:space="0" w:color="auto"/>
              <w:right w:val="single" w:sz="2" w:space="0" w:color="auto"/>
            </w:tcBorders>
            <w:vAlign w:val="center"/>
          </w:tcPr>
          <w:p w14:paraId="4D7D681B"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8" w:type="dxa"/>
            <w:tcBorders>
              <w:top w:val="single" w:sz="2" w:space="0" w:color="auto"/>
              <w:left w:val="single" w:sz="2" w:space="0" w:color="auto"/>
              <w:bottom w:val="single" w:sz="2" w:space="0" w:color="auto"/>
              <w:right w:val="single" w:sz="2" w:space="0" w:color="auto"/>
            </w:tcBorders>
            <w:vAlign w:val="center"/>
          </w:tcPr>
          <w:p w14:paraId="5F0FA64E" w14:textId="77777777" w:rsidR="007B3DB2" w:rsidRPr="0063248C" w:rsidRDefault="00000000">
            <w:pPr>
              <w:spacing w:line="240" w:lineRule="exact"/>
              <w:jc w:val="right"/>
              <w:rPr>
                <w:rFonts w:cs="宋体"/>
                <w:sz w:val="18"/>
                <w:szCs w:val="18"/>
              </w:rPr>
            </w:pPr>
            <w:r w:rsidRPr="0063248C">
              <w:rPr>
                <w:rFonts w:cs="宋体"/>
                <w:sz w:val="18"/>
                <w:szCs w:val="18"/>
              </w:rPr>
              <w:t>171,571,679.93</w:t>
            </w:r>
          </w:p>
        </w:tc>
        <w:tc>
          <w:tcPr>
            <w:tcW w:w="819" w:type="dxa"/>
            <w:tcBorders>
              <w:top w:val="single" w:sz="2" w:space="0" w:color="auto"/>
              <w:left w:val="single" w:sz="2" w:space="0" w:color="auto"/>
              <w:bottom w:val="single" w:sz="2" w:space="0" w:color="auto"/>
              <w:right w:val="single" w:sz="2" w:space="0" w:color="auto"/>
            </w:tcBorders>
            <w:vAlign w:val="center"/>
          </w:tcPr>
          <w:p w14:paraId="766BD7A6" w14:textId="77777777" w:rsidR="007B3DB2" w:rsidRPr="0063248C" w:rsidRDefault="00000000">
            <w:pPr>
              <w:spacing w:line="240" w:lineRule="exact"/>
              <w:jc w:val="right"/>
              <w:rPr>
                <w:rFonts w:cs="宋体"/>
                <w:sz w:val="18"/>
                <w:szCs w:val="18"/>
              </w:rPr>
            </w:pPr>
            <w:r w:rsidRPr="0063248C">
              <w:rPr>
                <w:rFonts w:cs="宋体"/>
                <w:sz w:val="18"/>
                <w:szCs w:val="18"/>
              </w:rPr>
              <w:t>831,830,715.12</w:t>
            </w:r>
          </w:p>
        </w:tc>
        <w:tc>
          <w:tcPr>
            <w:tcW w:w="819" w:type="dxa"/>
            <w:tcBorders>
              <w:top w:val="single" w:sz="2" w:space="0" w:color="auto"/>
              <w:left w:val="single" w:sz="2" w:space="0" w:color="auto"/>
              <w:bottom w:val="single" w:sz="2" w:space="0" w:color="auto"/>
              <w:right w:val="single" w:sz="2" w:space="0" w:color="auto"/>
            </w:tcBorders>
            <w:vAlign w:val="center"/>
          </w:tcPr>
          <w:p w14:paraId="223CE8ED" w14:textId="77777777" w:rsidR="007B3DB2" w:rsidRPr="0063248C" w:rsidRDefault="00000000">
            <w:pPr>
              <w:spacing w:line="240" w:lineRule="exact"/>
              <w:jc w:val="right"/>
              <w:rPr>
                <w:rFonts w:cs="宋体"/>
                <w:sz w:val="18"/>
                <w:szCs w:val="18"/>
              </w:rPr>
            </w:pPr>
            <w:r w:rsidRPr="0063248C">
              <w:rPr>
                <w:rFonts w:cs="宋体"/>
                <w:sz w:val="18"/>
                <w:szCs w:val="18"/>
              </w:rPr>
              <w:t>37,244,672.24</w:t>
            </w:r>
          </w:p>
        </w:tc>
        <w:tc>
          <w:tcPr>
            <w:tcW w:w="819" w:type="dxa"/>
            <w:tcBorders>
              <w:top w:val="single" w:sz="2" w:space="0" w:color="auto"/>
              <w:left w:val="single" w:sz="2" w:space="0" w:color="auto"/>
              <w:bottom w:val="single" w:sz="2" w:space="0" w:color="auto"/>
              <w:right w:val="single" w:sz="2" w:space="0" w:color="auto"/>
            </w:tcBorders>
            <w:vAlign w:val="center"/>
          </w:tcPr>
          <w:p w14:paraId="15C09C0D" w14:textId="77777777" w:rsidR="007B3DB2" w:rsidRPr="0063248C" w:rsidRDefault="00000000">
            <w:pPr>
              <w:spacing w:line="240" w:lineRule="exact"/>
              <w:jc w:val="right"/>
              <w:rPr>
                <w:rFonts w:cs="宋体"/>
                <w:sz w:val="18"/>
                <w:szCs w:val="18"/>
              </w:rPr>
            </w:pPr>
            <w:r w:rsidRPr="0063248C">
              <w:rPr>
                <w:rFonts w:cs="宋体"/>
                <w:sz w:val="18"/>
                <w:szCs w:val="18"/>
              </w:rPr>
              <w:t>-11,777,820.33</w:t>
            </w:r>
          </w:p>
        </w:tc>
        <w:tc>
          <w:tcPr>
            <w:tcW w:w="819" w:type="dxa"/>
            <w:tcBorders>
              <w:top w:val="single" w:sz="2" w:space="0" w:color="auto"/>
              <w:left w:val="single" w:sz="2" w:space="0" w:color="auto"/>
              <w:bottom w:val="single" w:sz="2" w:space="0" w:color="auto"/>
              <w:right w:val="single" w:sz="2" w:space="0" w:color="auto"/>
            </w:tcBorders>
            <w:vAlign w:val="center"/>
          </w:tcPr>
          <w:p w14:paraId="192F4AEF"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465A6CBE"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819" w:type="dxa"/>
            <w:tcBorders>
              <w:top w:val="single" w:sz="2" w:space="0" w:color="auto"/>
              <w:left w:val="single" w:sz="2" w:space="0" w:color="auto"/>
              <w:bottom w:val="single" w:sz="2" w:space="0" w:color="auto"/>
              <w:right w:val="single" w:sz="2" w:space="0" w:color="auto"/>
            </w:tcBorders>
            <w:vAlign w:val="center"/>
          </w:tcPr>
          <w:p w14:paraId="160A9E86"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30704AEE" w14:textId="77777777" w:rsidR="007B3DB2" w:rsidRPr="0063248C" w:rsidRDefault="00000000">
            <w:pPr>
              <w:spacing w:line="240" w:lineRule="exact"/>
              <w:jc w:val="right"/>
              <w:rPr>
                <w:rFonts w:cs="宋体"/>
                <w:sz w:val="18"/>
                <w:szCs w:val="18"/>
              </w:rPr>
            </w:pPr>
            <w:r w:rsidRPr="0063248C">
              <w:rPr>
                <w:rFonts w:cs="宋体"/>
                <w:sz w:val="18"/>
                <w:szCs w:val="18"/>
              </w:rPr>
              <w:t>1,022,982,107.97</w:t>
            </w:r>
          </w:p>
        </w:tc>
        <w:tc>
          <w:tcPr>
            <w:tcW w:w="819" w:type="dxa"/>
            <w:tcBorders>
              <w:top w:val="single" w:sz="2" w:space="0" w:color="auto"/>
              <w:left w:val="single" w:sz="2" w:space="0" w:color="auto"/>
              <w:bottom w:val="single" w:sz="2" w:space="0" w:color="auto"/>
              <w:right w:val="single" w:sz="2" w:space="0" w:color="auto"/>
            </w:tcBorders>
            <w:vAlign w:val="center"/>
          </w:tcPr>
          <w:p w14:paraId="5EF7548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5173284B" w14:textId="77777777" w:rsidR="007B3DB2" w:rsidRPr="0063248C" w:rsidRDefault="00000000">
            <w:pPr>
              <w:spacing w:line="240" w:lineRule="exact"/>
              <w:jc w:val="right"/>
              <w:rPr>
                <w:rFonts w:cs="宋体"/>
                <w:sz w:val="18"/>
                <w:szCs w:val="18"/>
              </w:rPr>
            </w:pPr>
            <w:r w:rsidRPr="0063248C">
              <w:rPr>
                <w:rFonts w:cs="宋体"/>
                <w:sz w:val="18"/>
                <w:szCs w:val="18"/>
              </w:rPr>
              <w:t>3,320,208,427.61</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49DDB03E" w14:textId="77777777" w:rsidR="007B3DB2" w:rsidRPr="0063248C" w:rsidRDefault="00000000">
            <w:pPr>
              <w:spacing w:line="240" w:lineRule="exact"/>
              <w:jc w:val="right"/>
              <w:rPr>
                <w:rFonts w:cs="宋体"/>
                <w:sz w:val="18"/>
                <w:szCs w:val="18"/>
              </w:rPr>
            </w:pPr>
            <w:r w:rsidRPr="0063248C">
              <w:rPr>
                <w:rFonts w:cs="宋体"/>
                <w:sz w:val="18"/>
                <w:szCs w:val="18"/>
              </w:rPr>
              <w:t>183,512,363.61</w:t>
            </w: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58BF230C" w14:textId="77777777" w:rsidR="007B3DB2" w:rsidRPr="0063248C" w:rsidRDefault="00000000">
            <w:pPr>
              <w:spacing w:line="240" w:lineRule="exact"/>
              <w:jc w:val="right"/>
              <w:rPr>
                <w:rFonts w:cs="宋体"/>
                <w:sz w:val="18"/>
                <w:szCs w:val="18"/>
              </w:rPr>
            </w:pPr>
            <w:r w:rsidRPr="0063248C">
              <w:rPr>
                <w:rFonts w:cs="宋体"/>
                <w:sz w:val="18"/>
                <w:szCs w:val="18"/>
              </w:rPr>
              <w:t>3,503,720,791.22</w:t>
            </w:r>
          </w:p>
        </w:tc>
      </w:tr>
      <w:tr w:rsidR="007B3DB2" w:rsidRPr="0063248C" w14:paraId="73488E40"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06304578"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加：会计政策变更</w:t>
            </w:r>
          </w:p>
        </w:tc>
        <w:tc>
          <w:tcPr>
            <w:tcW w:w="818" w:type="dxa"/>
            <w:tcBorders>
              <w:top w:val="single" w:sz="2" w:space="0" w:color="auto"/>
              <w:left w:val="single" w:sz="2" w:space="0" w:color="auto"/>
              <w:bottom w:val="single" w:sz="2" w:space="0" w:color="auto"/>
              <w:right w:val="single" w:sz="2" w:space="0" w:color="auto"/>
            </w:tcBorders>
            <w:vAlign w:val="center"/>
          </w:tcPr>
          <w:p w14:paraId="04E5B12A"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7ACA3DF2"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3BB754C4"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033BB3C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46BB0B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266CF1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D22C2A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993383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FE0A03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76F896A"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CF7981F" w14:textId="77777777" w:rsidR="007B3DB2" w:rsidRPr="0063248C" w:rsidRDefault="00000000">
            <w:pPr>
              <w:spacing w:line="240" w:lineRule="exact"/>
              <w:jc w:val="right"/>
              <w:rPr>
                <w:rFonts w:cs="宋体"/>
                <w:sz w:val="18"/>
                <w:szCs w:val="18"/>
              </w:rPr>
            </w:pPr>
            <w:r w:rsidRPr="0063248C">
              <w:rPr>
                <w:rFonts w:cs="宋体"/>
                <w:sz w:val="18"/>
                <w:szCs w:val="18"/>
              </w:rPr>
              <w:t>72,221.95</w:t>
            </w:r>
          </w:p>
        </w:tc>
        <w:tc>
          <w:tcPr>
            <w:tcW w:w="819" w:type="dxa"/>
            <w:tcBorders>
              <w:top w:val="single" w:sz="2" w:space="0" w:color="auto"/>
              <w:left w:val="single" w:sz="2" w:space="0" w:color="auto"/>
              <w:bottom w:val="single" w:sz="2" w:space="0" w:color="auto"/>
              <w:right w:val="single" w:sz="2" w:space="0" w:color="auto"/>
            </w:tcBorders>
            <w:vAlign w:val="center"/>
          </w:tcPr>
          <w:p w14:paraId="7193DDB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0AC8FAA" w14:textId="77777777" w:rsidR="007B3DB2" w:rsidRPr="0063248C" w:rsidRDefault="00000000">
            <w:pPr>
              <w:spacing w:line="240" w:lineRule="exact"/>
              <w:jc w:val="right"/>
              <w:rPr>
                <w:rFonts w:cs="宋体"/>
                <w:sz w:val="18"/>
                <w:szCs w:val="18"/>
              </w:rPr>
            </w:pPr>
            <w:r w:rsidRPr="0063248C">
              <w:rPr>
                <w:rFonts w:cs="宋体"/>
                <w:sz w:val="18"/>
                <w:szCs w:val="18"/>
              </w:rPr>
              <w:t>72,221.95</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071047CD" w14:textId="77777777" w:rsidR="007B3DB2" w:rsidRPr="0063248C" w:rsidRDefault="00000000">
            <w:pPr>
              <w:spacing w:line="240" w:lineRule="exact"/>
              <w:jc w:val="right"/>
              <w:rPr>
                <w:rFonts w:cs="宋体"/>
                <w:sz w:val="18"/>
                <w:szCs w:val="18"/>
              </w:rPr>
            </w:pPr>
            <w:r w:rsidRPr="0063248C">
              <w:rPr>
                <w:rFonts w:cs="宋体"/>
                <w:sz w:val="18"/>
                <w:szCs w:val="18"/>
              </w:rPr>
              <w:t>1,004.82</w:t>
            </w: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169F2B30" w14:textId="77777777" w:rsidR="007B3DB2" w:rsidRPr="0063248C" w:rsidRDefault="00000000">
            <w:pPr>
              <w:spacing w:line="240" w:lineRule="exact"/>
              <w:jc w:val="right"/>
              <w:rPr>
                <w:rFonts w:cs="宋体"/>
                <w:sz w:val="18"/>
                <w:szCs w:val="18"/>
              </w:rPr>
            </w:pPr>
            <w:r w:rsidRPr="0063248C">
              <w:rPr>
                <w:rFonts w:cs="宋体"/>
                <w:sz w:val="18"/>
                <w:szCs w:val="18"/>
              </w:rPr>
              <w:t>73,226.77</w:t>
            </w:r>
          </w:p>
        </w:tc>
      </w:tr>
      <w:tr w:rsidR="007B3DB2" w:rsidRPr="0063248C" w14:paraId="0D4798ED"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418627D5"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前期差错更正</w:t>
            </w:r>
          </w:p>
        </w:tc>
        <w:tc>
          <w:tcPr>
            <w:tcW w:w="818" w:type="dxa"/>
            <w:tcBorders>
              <w:top w:val="single" w:sz="2" w:space="0" w:color="auto"/>
              <w:left w:val="single" w:sz="2" w:space="0" w:color="auto"/>
              <w:bottom w:val="single" w:sz="2" w:space="0" w:color="auto"/>
              <w:right w:val="single" w:sz="2" w:space="0" w:color="auto"/>
            </w:tcBorders>
            <w:vAlign w:val="center"/>
          </w:tcPr>
          <w:p w14:paraId="52B2F683"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36A7DB27"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608F3FA8"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7289FDB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2D79F6A"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50B6D1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263EA8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E2A516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882CEF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D49AF46"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ED5BAF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8735C5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CAA6D0B"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01260702"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2AE77A32"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5881BD50"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0EC26307"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其他</w:t>
            </w:r>
          </w:p>
        </w:tc>
        <w:tc>
          <w:tcPr>
            <w:tcW w:w="818" w:type="dxa"/>
            <w:tcBorders>
              <w:top w:val="single" w:sz="2" w:space="0" w:color="auto"/>
              <w:left w:val="single" w:sz="2" w:space="0" w:color="auto"/>
              <w:bottom w:val="single" w:sz="2" w:space="0" w:color="auto"/>
              <w:right w:val="single" w:sz="2" w:space="0" w:color="auto"/>
            </w:tcBorders>
            <w:vAlign w:val="center"/>
          </w:tcPr>
          <w:p w14:paraId="525DB1BC"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6F78659A"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78DEC778"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1597309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430F82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5AC2F4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99EAB74"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7247A3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D71CAE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182C75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126BF0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67C637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D018ADD"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7F391750"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4C40441C"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5663A5FF"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0448896C" w14:textId="77777777" w:rsidR="007B3DB2" w:rsidRPr="0063248C" w:rsidRDefault="00000000">
            <w:pPr>
              <w:spacing w:before="40" w:after="40" w:line="240" w:lineRule="exact"/>
              <w:rPr>
                <w:rFonts w:cs="宋体"/>
                <w:sz w:val="18"/>
                <w:szCs w:val="18"/>
              </w:rPr>
            </w:pPr>
            <w:r w:rsidRPr="0063248C">
              <w:rPr>
                <w:rFonts w:cs="宋体"/>
                <w:sz w:val="18"/>
                <w:szCs w:val="18"/>
              </w:rPr>
              <w:t>二、本年期初余额</w:t>
            </w:r>
          </w:p>
        </w:tc>
        <w:tc>
          <w:tcPr>
            <w:tcW w:w="818" w:type="dxa"/>
            <w:tcBorders>
              <w:top w:val="single" w:sz="2" w:space="0" w:color="auto"/>
              <w:left w:val="single" w:sz="2" w:space="0" w:color="auto"/>
              <w:bottom w:val="single" w:sz="2" w:space="0" w:color="auto"/>
              <w:right w:val="single" w:sz="2" w:space="0" w:color="auto"/>
            </w:tcBorders>
            <w:vAlign w:val="center"/>
          </w:tcPr>
          <w:p w14:paraId="6DCCA22A" w14:textId="77777777" w:rsidR="007B3DB2" w:rsidRPr="0063248C" w:rsidRDefault="00000000">
            <w:pPr>
              <w:spacing w:line="240" w:lineRule="exact"/>
              <w:jc w:val="right"/>
              <w:rPr>
                <w:rFonts w:cs="宋体"/>
                <w:sz w:val="18"/>
                <w:szCs w:val="18"/>
              </w:rPr>
            </w:pPr>
            <w:r w:rsidRPr="0063248C">
              <w:rPr>
                <w:rFonts w:cs="宋体"/>
                <w:sz w:val="18"/>
                <w:szCs w:val="18"/>
              </w:rPr>
              <w:t>1,079,128,488.00</w:t>
            </w:r>
          </w:p>
        </w:tc>
        <w:tc>
          <w:tcPr>
            <w:tcW w:w="818" w:type="dxa"/>
            <w:tcBorders>
              <w:top w:val="single" w:sz="2" w:space="0" w:color="auto"/>
              <w:left w:val="single" w:sz="2" w:space="0" w:color="auto"/>
              <w:bottom w:val="single" w:sz="2" w:space="0" w:color="auto"/>
              <w:right w:val="single" w:sz="2" w:space="0" w:color="auto"/>
            </w:tcBorders>
            <w:vAlign w:val="center"/>
          </w:tcPr>
          <w:p w14:paraId="5E760C5C"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8" w:type="dxa"/>
            <w:tcBorders>
              <w:top w:val="single" w:sz="2" w:space="0" w:color="auto"/>
              <w:left w:val="single" w:sz="2" w:space="0" w:color="auto"/>
              <w:bottom w:val="single" w:sz="2" w:space="0" w:color="auto"/>
              <w:right w:val="single" w:sz="2" w:space="0" w:color="auto"/>
            </w:tcBorders>
            <w:vAlign w:val="center"/>
          </w:tcPr>
          <w:p w14:paraId="71C4FCDC"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8" w:type="dxa"/>
            <w:tcBorders>
              <w:top w:val="single" w:sz="2" w:space="0" w:color="auto"/>
              <w:left w:val="single" w:sz="2" w:space="0" w:color="auto"/>
              <w:bottom w:val="single" w:sz="2" w:space="0" w:color="auto"/>
              <w:right w:val="single" w:sz="2" w:space="0" w:color="auto"/>
            </w:tcBorders>
            <w:vAlign w:val="center"/>
          </w:tcPr>
          <w:p w14:paraId="2D258327" w14:textId="77777777" w:rsidR="007B3DB2" w:rsidRPr="0063248C" w:rsidRDefault="00000000">
            <w:pPr>
              <w:spacing w:line="240" w:lineRule="exact"/>
              <w:jc w:val="right"/>
              <w:rPr>
                <w:rFonts w:cs="宋体"/>
                <w:sz w:val="18"/>
                <w:szCs w:val="18"/>
              </w:rPr>
            </w:pPr>
            <w:r w:rsidRPr="0063248C">
              <w:rPr>
                <w:rFonts w:cs="宋体"/>
                <w:sz w:val="18"/>
                <w:szCs w:val="18"/>
              </w:rPr>
              <w:t>171,571,679.93</w:t>
            </w:r>
          </w:p>
        </w:tc>
        <w:tc>
          <w:tcPr>
            <w:tcW w:w="819" w:type="dxa"/>
            <w:tcBorders>
              <w:top w:val="single" w:sz="2" w:space="0" w:color="auto"/>
              <w:left w:val="single" w:sz="2" w:space="0" w:color="auto"/>
              <w:bottom w:val="single" w:sz="2" w:space="0" w:color="auto"/>
              <w:right w:val="single" w:sz="2" w:space="0" w:color="auto"/>
            </w:tcBorders>
            <w:vAlign w:val="center"/>
          </w:tcPr>
          <w:p w14:paraId="13253322" w14:textId="77777777" w:rsidR="007B3DB2" w:rsidRPr="0063248C" w:rsidRDefault="00000000">
            <w:pPr>
              <w:spacing w:line="240" w:lineRule="exact"/>
              <w:jc w:val="right"/>
              <w:rPr>
                <w:rFonts w:cs="宋体"/>
                <w:sz w:val="18"/>
                <w:szCs w:val="18"/>
              </w:rPr>
            </w:pPr>
            <w:r w:rsidRPr="0063248C">
              <w:rPr>
                <w:rFonts w:cs="宋体"/>
                <w:sz w:val="18"/>
                <w:szCs w:val="18"/>
              </w:rPr>
              <w:t>831,830,715.12</w:t>
            </w:r>
          </w:p>
        </w:tc>
        <w:tc>
          <w:tcPr>
            <w:tcW w:w="819" w:type="dxa"/>
            <w:tcBorders>
              <w:top w:val="single" w:sz="2" w:space="0" w:color="auto"/>
              <w:left w:val="single" w:sz="2" w:space="0" w:color="auto"/>
              <w:bottom w:val="single" w:sz="2" w:space="0" w:color="auto"/>
              <w:right w:val="single" w:sz="2" w:space="0" w:color="auto"/>
            </w:tcBorders>
            <w:vAlign w:val="center"/>
          </w:tcPr>
          <w:p w14:paraId="1527492A" w14:textId="77777777" w:rsidR="007B3DB2" w:rsidRPr="0063248C" w:rsidRDefault="00000000">
            <w:pPr>
              <w:spacing w:line="240" w:lineRule="exact"/>
              <w:jc w:val="right"/>
              <w:rPr>
                <w:rFonts w:cs="宋体"/>
                <w:sz w:val="18"/>
                <w:szCs w:val="18"/>
              </w:rPr>
            </w:pPr>
            <w:r w:rsidRPr="0063248C">
              <w:rPr>
                <w:rFonts w:cs="宋体"/>
                <w:sz w:val="18"/>
                <w:szCs w:val="18"/>
              </w:rPr>
              <w:t>37,244,672.24</w:t>
            </w:r>
          </w:p>
        </w:tc>
        <w:tc>
          <w:tcPr>
            <w:tcW w:w="819" w:type="dxa"/>
            <w:tcBorders>
              <w:top w:val="single" w:sz="2" w:space="0" w:color="auto"/>
              <w:left w:val="single" w:sz="2" w:space="0" w:color="auto"/>
              <w:bottom w:val="single" w:sz="2" w:space="0" w:color="auto"/>
              <w:right w:val="single" w:sz="2" w:space="0" w:color="auto"/>
            </w:tcBorders>
            <w:vAlign w:val="center"/>
          </w:tcPr>
          <w:p w14:paraId="1F2E915F" w14:textId="77777777" w:rsidR="007B3DB2" w:rsidRPr="0063248C" w:rsidRDefault="00000000">
            <w:pPr>
              <w:spacing w:line="240" w:lineRule="exact"/>
              <w:jc w:val="right"/>
              <w:rPr>
                <w:rFonts w:cs="宋体"/>
                <w:sz w:val="18"/>
                <w:szCs w:val="18"/>
              </w:rPr>
            </w:pPr>
            <w:r w:rsidRPr="0063248C">
              <w:rPr>
                <w:rFonts w:cs="宋体"/>
                <w:sz w:val="18"/>
                <w:szCs w:val="18"/>
              </w:rPr>
              <w:t>-11,777,820.33</w:t>
            </w:r>
          </w:p>
        </w:tc>
        <w:tc>
          <w:tcPr>
            <w:tcW w:w="819" w:type="dxa"/>
            <w:tcBorders>
              <w:top w:val="single" w:sz="2" w:space="0" w:color="auto"/>
              <w:left w:val="single" w:sz="2" w:space="0" w:color="auto"/>
              <w:bottom w:val="single" w:sz="2" w:space="0" w:color="auto"/>
              <w:right w:val="single" w:sz="2" w:space="0" w:color="auto"/>
            </w:tcBorders>
            <w:vAlign w:val="center"/>
          </w:tcPr>
          <w:p w14:paraId="588BBD6E"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03EF0F96"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819" w:type="dxa"/>
            <w:tcBorders>
              <w:top w:val="single" w:sz="2" w:space="0" w:color="auto"/>
              <w:left w:val="single" w:sz="2" w:space="0" w:color="auto"/>
              <w:bottom w:val="single" w:sz="2" w:space="0" w:color="auto"/>
              <w:right w:val="single" w:sz="2" w:space="0" w:color="auto"/>
            </w:tcBorders>
            <w:vAlign w:val="center"/>
          </w:tcPr>
          <w:p w14:paraId="0535B32E"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78279C56" w14:textId="77777777" w:rsidR="007B3DB2" w:rsidRPr="0063248C" w:rsidRDefault="00000000">
            <w:pPr>
              <w:spacing w:line="240" w:lineRule="exact"/>
              <w:jc w:val="right"/>
              <w:rPr>
                <w:rFonts w:cs="宋体"/>
                <w:sz w:val="18"/>
                <w:szCs w:val="18"/>
              </w:rPr>
            </w:pPr>
            <w:r w:rsidRPr="0063248C">
              <w:rPr>
                <w:rFonts w:cs="宋体"/>
                <w:sz w:val="18"/>
                <w:szCs w:val="18"/>
              </w:rPr>
              <w:t>1,023,054,329.92</w:t>
            </w:r>
          </w:p>
        </w:tc>
        <w:tc>
          <w:tcPr>
            <w:tcW w:w="819" w:type="dxa"/>
            <w:tcBorders>
              <w:top w:val="single" w:sz="2" w:space="0" w:color="auto"/>
              <w:left w:val="single" w:sz="2" w:space="0" w:color="auto"/>
              <w:bottom w:val="single" w:sz="2" w:space="0" w:color="auto"/>
              <w:right w:val="single" w:sz="2" w:space="0" w:color="auto"/>
            </w:tcBorders>
            <w:vAlign w:val="center"/>
          </w:tcPr>
          <w:p w14:paraId="22A58B0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3D341B7" w14:textId="77777777" w:rsidR="007B3DB2" w:rsidRPr="0063248C" w:rsidRDefault="00000000">
            <w:pPr>
              <w:spacing w:line="240" w:lineRule="exact"/>
              <w:jc w:val="right"/>
              <w:rPr>
                <w:rFonts w:cs="宋体"/>
                <w:sz w:val="18"/>
                <w:szCs w:val="18"/>
              </w:rPr>
            </w:pPr>
            <w:r w:rsidRPr="0063248C">
              <w:rPr>
                <w:rFonts w:cs="宋体"/>
                <w:sz w:val="18"/>
                <w:szCs w:val="18"/>
              </w:rPr>
              <w:t>3,320,280,649.56</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1A8CEFD6" w14:textId="77777777" w:rsidR="007B3DB2" w:rsidRPr="0063248C" w:rsidRDefault="00000000">
            <w:pPr>
              <w:spacing w:line="240" w:lineRule="exact"/>
              <w:jc w:val="right"/>
              <w:rPr>
                <w:rFonts w:cs="宋体"/>
                <w:sz w:val="18"/>
                <w:szCs w:val="18"/>
              </w:rPr>
            </w:pPr>
            <w:r w:rsidRPr="0063248C">
              <w:rPr>
                <w:rFonts w:cs="宋体"/>
                <w:sz w:val="18"/>
                <w:szCs w:val="18"/>
              </w:rPr>
              <w:t>183,513,368.43</w:t>
            </w: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2BD99CDD" w14:textId="77777777" w:rsidR="007B3DB2" w:rsidRPr="0063248C" w:rsidRDefault="00000000">
            <w:pPr>
              <w:spacing w:line="240" w:lineRule="exact"/>
              <w:jc w:val="right"/>
              <w:rPr>
                <w:rFonts w:cs="宋体"/>
                <w:sz w:val="18"/>
                <w:szCs w:val="18"/>
              </w:rPr>
            </w:pPr>
            <w:r w:rsidRPr="0063248C">
              <w:rPr>
                <w:rFonts w:cs="宋体"/>
                <w:sz w:val="18"/>
                <w:szCs w:val="18"/>
              </w:rPr>
              <w:t>3,503,794,017.99</w:t>
            </w:r>
          </w:p>
        </w:tc>
      </w:tr>
      <w:tr w:rsidR="007B3DB2" w:rsidRPr="0063248C" w14:paraId="03105A16"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47E40E10" w14:textId="77777777" w:rsidR="007B3DB2" w:rsidRPr="0063248C" w:rsidRDefault="00000000">
            <w:pPr>
              <w:spacing w:before="40" w:after="40" w:line="240" w:lineRule="exact"/>
              <w:rPr>
                <w:rFonts w:cs="宋体"/>
                <w:sz w:val="18"/>
                <w:szCs w:val="18"/>
              </w:rPr>
            </w:pPr>
            <w:r w:rsidRPr="0063248C">
              <w:rPr>
                <w:rFonts w:cs="宋体"/>
                <w:sz w:val="18"/>
                <w:szCs w:val="18"/>
              </w:rPr>
              <w:t>三、本期增减变动金额（减少以</w:t>
            </w:r>
            <w:r w:rsidRPr="0063248C">
              <w:rPr>
                <w:rFonts w:cs="宋体"/>
                <w:sz w:val="18"/>
                <w:szCs w:val="18"/>
              </w:rPr>
              <w:t>“—”</w:t>
            </w:r>
            <w:r w:rsidRPr="0063248C">
              <w:rPr>
                <w:rFonts w:cs="宋体"/>
                <w:sz w:val="18"/>
                <w:szCs w:val="18"/>
              </w:rPr>
              <w:t>号填列）</w:t>
            </w:r>
          </w:p>
        </w:tc>
        <w:tc>
          <w:tcPr>
            <w:tcW w:w="818" w:type="dxa"/>
            <w:tcBorders>
              <w:top w:val="single" w:sz="2" w:space="0" w:color="auto"/>
              <w:left w:val="single" w:sz="2" w:space="0" w:color="auto"/>
              <w:bottom w:val="single" w:sz="2" w:space="0" w:color="auto"/>
              <w:right w:val="single" w:sz="2" w:space="0" w:color="auto"/>
            </w:tcBorders>
            <w:vAlign w:val="center"/>
          </w:tcPr>
          <w:p w14:paraId="12FC6145" w14:textId="77777777" w:rsidR="007B3DB2" w:rsidRPr="0063248C" w:rsidRDefault="00000000">
            <w:pPr>
              <w:spacing w:line="240" w:lineRule="exact"/>
              <w:jc w:val="right"/>
              <w:rPr>
                <w:rFonts w:cs="宋体"/>
                <w:sz w:val="18"/>
                <w:szCs w:val="18"/>
              </w:rPr>
            </w:pPr>
            <w:r w:rsidRPr="0063248C">
              <w:rPr>
                <w:rFonts w:cs="宋体"/>
                <w:sz w:val="18"/>
                <w:szCs w:val="18"/>
              </w:rPr>
              <w:t>31,237.00</w:t>
            </w:r>
          </w:p>
        </w:tc>
        <w:tc>
          <w:tcPr>
            <w:tcW w:w="818" w:type="dxa"/>
            <w:tcBorders>
              <w:top w:val="single" w:sz="2" w:space="0" w:color="auto"/>
              <w:left w:val="single" w:sz="2" w:space="0" w:color="auto"/>
              <w:bottom w:val="single" w:sz="2" w:space="0" w:color="auto"/>
              <w:right w:val="single" w:sz="2" w:space="0" w:color="auto"/>
            </w:tcBorders>
            <w:vAlign w:val="center"/>
          </w:tcPr>
          <w:p w14:paraId="772C454B"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8" w:type="dxa"/>
            <w:tcBorders>
              <w:top w:val="single" w:sz="2" w:space="0" w:color="auto"/>
              <w:left w:val="single" w:sz="2" w:space="0" w:color="auto"/>
              <w:bottom w:val="single" w:sz="2" w:space="0" w:color="auto"/>
              <w:right w:val="single" w:sz="2" w:space="0" w:color="auto"/>
            </w:tcBorders>
            <w:vAlign w:val="center"/>
          </w:tcPr>
          <w:p w14:paraId="786B350B"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8" w:type="dxa"/>
            <w:tcBorders>
              <w:top w:val="single" w:sz="2" w:space="0" w:color="auto"/>
              <w:left w:val="single" w:sz="2" w:space="0" w:color="auto"/>
              <w:bottom w:val="single" w:sz="2" w:space="0" w:color="auto"/>
              <w:right w:val="single" w:sz="2" w:space="0" w:color="auto"/>
            </w:tcBorders>
            <w:vAlign w:val="center"/>
          </w:tcPr>
          <w:p w14:paraId="43DEEF4A" w14:textId="77777777" w:rsidR="007B3DB2" w:rsidRPr="0063248C" w:rsidRDefault="00000000">
            <w:pPr>
              <w:spacing w:line="240" w:lineRule="exact"/>
              <w:jc w:val="right"/>
              <w:rPr>
                <w:rFonts w:cs="宋体"/>
                <w:sz w:val="18"/>
                <w:szCs w:val="18"/>
              </w:rPr>
            </w:pPr>
            <w:r w:rsidRPr="0063248C">
              <w:rPr>
                <w:rFonts w:cs="宋体"/>
                <w:sz w:val="18"/>
                <w:szCs w:val="18"/>
              </w:rPr>
              <w:t>-616.60</w:t>
            </w:r>
          </w:p>
        </w:tc>
        <w:tc>
          <w:tcPr>
            <w:tcW w:w="819" w:type="dxa"/>
            <w:tcBorders>
              <w:top w:val="single" w:sz="2" w:space="0" w:color="auto"/>
              <w:left w:val="single" w:sz="2" w:space="0" w:color="auto"/>
              <w:bottom w:val="single" w:sz="2" w:space="0" w:color="auto"/>
              <w:right w:val="single" w:sz="2" w:space="0" w:color="auto"/>
            </w:tcBorders>
            <w:vAlign w:val="center"/>
          </w:tcPr>
          <w:p w14:paraId="5A8ED34E" w14:textId="77777777" w:rsidR="007B3DB2" w:rsidRPr="0063248C" w:rsidRDefault="00000000">
            <w:pPr>
              <w:spacing w:line="240" w:lineRule="exact"/>
              <w:jc w:val="right"/>
              <w:rPr>
                <w:rFonts w:cs="宋体"/>
                <w:sz w:val="18"/>
                <w:szCs w:val="18"/>
              </w:rPr>
            </w:pPr>
            <w:r w:rsidRPr="0063248C">
              <w:rPr>
                <w:rFonts w:cs="宋体"/>
                <w:sz w:val="18"/>
                <w:szCs w:val="18"/>
              </w:rPr>
              <w:t>-2,442,984.26</w:t>
            </w:r>
          </w:p>
        </w:tc>
        <w:tc>
          <w:tcPr>
            <w:tcW w:w="819" w:type="dxa"/>
            <w:tcBorders>
              <w:top w:val="single" w:sz="2" w:space="0" w:color="auto"/>
              <w:left w:val="single" w:sz="2" w:space="0" w:color="auto"/>
              <w:bottom w:val="single" w:sz="2" w:space="0" w:color="auto"/>
              <w:right w:val="single" w:sz="2" w:space="0" w:color="auto"/>
            </w:tcBorders>
            <w:vAlign w:val="center"/>
          </w:tcPr>
          <w:p w14:paraId="344D46FB" w14:textId="77777777" w:rsidR="007B3DB2" w:rsidRPr="0063248C" w:rsidRDefault="00000000">
            <w:pPr>
              <w:spacing w:line="240" w:lineRule="exact"/>
              <w:jc w:val="right"/>
              <w:rPr>
                <w:rFonts w:cs="宋体"/>
                <w:sz w:val="18"/>
                <w:szCs w:val="18"/>
              </w:rPr>
            </w:pPr>
            <w:r w:rsidRPr="0063248C">
              <w:rPr>
                <w:rFonts w:cs="宋体"/>
                <w:sz w:val="18"/>
                <w:szCs w:val="18"/>
              </w:rPr>
              <w:t>61,768,604.49</w:t>
            </w:r>
          </w:p>
        </w:tc>
        <w:tc>
          <w:tcPr>
            <w:tcW w:w="819" w:type="dxa"/>
            <w:tcBorders>
              <w:top w:val="single" w:sz="2" w:space="0" w:color="auto"/>
              <w:left w:val="single" w:sz="2" w:space="0" w:color="auto"/>
              <w:bottom w:val="single" w:sz="2" w:space="0" w:color="auto"/>
              <w:right w:val="single" w:sz="2" w:space="0" w:color="auto"/>
            </w:tcBorders>
            <w:vAlign w:val="center"/>
          </w:tcPr>
          <w:p w14:paraId="13A8D764"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4F5BC06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0DF0847D"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5F175FD0"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1EC39571" w14:textId="77777777" w:rsidR="007B3DB2" w:rsidRPr="0063248C" w:rsidRDefault="00000000">
            <w:pPr>
              <w:spacing w:line="240" w:lineRule="exact"/>
              <w:jc w:val="right"/>
              <w:rPr>
                <w:rFonts w:cs="宋体"/>
                <w:sz w:val="18"/>
                <w:szCs w:val="18"/>
              </w:rPr>
            </w:pPr>
            <w:r w:rsidRPr="0063248C">
              <w:rPr>
                <w:rFonts w:cs="宋体"/>
                <w:sz w:val="18"/>
                <w:szCs w:val="18"/>
              </w:rPr>
              <w:t>-624,337,418.82</w:t>
            </w:r>
          </w:p>
        </w:tc>
        <w:tc>
          <w:tcPr>
            <w:tcW w:w="819" w:type="dxa"/>
            <w:tcBorders>
              <w:top w:val="single" w:sz="2" w:space="0" w:color="auto"/>
              <w:left w:val="single" w:sz="2" w:space="0" w:color="auto"/>
              <w:bottom w:val="single" w:sz="2" w:space="0" w:color="auto"/>
              <w:right w:val="single" w:sz="2" w:space="0" w:color="auto"/>
            </w:tcBorders>
            <w:vAlign w:val="center"/>
          </w:tcPr>
          <w:p w14:paraId="5048D296"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4C3A9B9" w14:textId="77777777" w:rsidR="007B3DB2" w:rsidRPr="0063248C" w:rsidRDefault="00000000">
            <w:pPr>
              <w:spacing w:line="240" w:lineRule="exact"/>
              <w:jc w:val="right"/>
              <w:rPr>
                <w:rFonts w:cs="宋体"/>
                <w:sz w:val="18"/>
                <w:szCs w:val="18"/>
              </w:rPr>
            </w:pPr>
            <w:r w:rsidRPr="0063248C">
              <w:rPr>
                <w:rFonts w:cs="宋体"/>
                <w:sz w:val="18"/>
                <w:szCs w:val="18"/>
              </w:rPr>
              <w:t>-688,518,387.17</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3152E0E5" w14:textId="77777777" w:rsidR="007B3DB2" w:rsidRPr="0063248C" w:rsidRDefault="00000000">
            <w:pPr>
              <w:spacing w:line="240" w:lineRule="exact"/>
              <w:jc w:val="right"/>
              <w:rPr>
                <w:rFonts w:cs="宋体"/>
                <w:sz w:val="18"/>
                <w:szCs w:val="18"/>
              </w:rPr>
            </w:pPr>
            <w:r w:rsidRPr="0063248C">
              <w:rPr>
                <w:rFonts w:cs="宋体"/>
                <w:sz w:val="18"/>
                <w:szCs w:val="18"/>
              </w:rPr>
              <w:t>-40,908,443.83</w:t>
            </w: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538A7DFE" w14:textId="77777777" w:rsidR="007B3DB2" w:rsidRPr="0063248C" w:rsidRDefault="00000000">
            <w:pPr>
              <w:spacing w:line="240" w:lineRule="exact"/>
              <w:jc w:val="right"/>
              <w:rPr>
                <w:rFonts w:cs="宋体"/>
                <w:sz w:val="18"/>
                <w:szCs w:val="18"/>
              </w:rPr>
            </w:pPr>
            <w:r w:rsidRPr="0063248C">
              <w:rPr>
                <w:rFonts w:cs="宋体"/>
                <w:sz w:val="18"/>
                <w:szCs w:val="18"/>
              </w:rPr>
              <w:t>-729,426,831.00</w:t>
            </w:r>
          </w:p>
        </w:tc>
      </w:tr>
      <w:tr w:rsidR="007B3DB2" w:rsidRPr="0063248C" w14:paraId="2FA43FBC"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255CA52F" w14:textId="77777777" w:rsidR="007B3DB2" w:rsidRPr="0063248C" w:rsidRDefault="00000000">
            <w:pPr>
              <w:spacing w:before="40" w:after="40" w:line="240" w:lineRule="exact"/>
              <w:rPr>
                <w:rFonts w:cs="宋体"/>
                <w:sz w:val="18"/>
                <w:szCs w:val="18"/>
              </w:rPr>
            </w:pPr>
            <w:r w:rsidRPr="0063248C">
              <w:rPr>
                <w:rFonts w:cs="宋体"/>
                <w:sz w:val="18"/>
                <w:szCs w:val="18"/>
              </w:rPr>
              <w:t>（一）综合收益总额</w:t>
            </w:r>
          </w:p>
        </w:tc>
        <w:tc>
          <w:tcPr>
            <w:tcW w:w="818" w:type="dxa"/>
            <w:tcBorders>
              <w:top w:val="single" w:sz="2" w:space="0" w:color="auto"/>
              <w:left w:val="single" w:sz="2" w:space="0" w:color="auto"/>
              <w:bottom w:val="single" w:sz="2" w:space="0" w:color="auto"/>
              <w:right w:val="single" w:sz="2" w:space="0" w:color="auto"/>
            </w:tcBorders>
            <w:vAlign w:val="center"/>
          </w:tcPr>
          <w:p w14:paraId="6E39AF7A"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360DBD07"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481989FD"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16CF7D96"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111B2B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F0109E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5E63924"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5C2AD97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2E59DB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DDF8BF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409FF9D" w14:textId="77777777" w:rsidR="007B3DB2" w:rsidRPr="0063248C" w:rsidRDefault="00000000">
            <w:pPr>
              <w:spacing w:line="240" w:lineRule="exact"/>
              <w:jc w:val="right"/>
              <w:rPr>
                <w:rFonts w:cs="宋体"/>
                <w:sz w:val="18"/>
                <w:szCs w:val="18"/>
              </w:rPr>
            </w:pPr>
            <w:r w:rsidRPr="0063248C">
              <w:rPr>
                <w:rFonts w:cs="宋体"/>
                <w:sz w:val="18"/>
                <w:szCs w:val="18"/>
              </w:rPr>
              <w:t>-624,337,418.82</w:t>
            </w:r>
          </w:p>
        </w:tc>
        <w:tc>
          <w:tcPr>
            <w:tcW w:w="819" w:type="dxa"/>
            <w:tcBorders>
              <w:top w:val="single" w:sz="2" w:space="0" w:color="auto"/>
              <w:left w:val="single" w:sz="2" w:space="0" w:color="auto"/>
              <w:bottom w:val="single" w:sz="2" w:space="0" w:color="auto"/>
              <w:right w:val="single" w:sz="2" w:space="0" w:color="auto"/>
            </w:tcBorders>
            <w:vAlign w:val="center"/>
          </w:tcPr>
          <w:p w14:paraId="7EA0055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BFAF775" w14:textId="77777777" w:rsidR="007B3DB2" w:rsidRPr="0063248C" w:rsidRDefault="00000000">
            <w:pPr>
              <w:spacing w:line="240" w:lineRule="exact"/>
              <w:jc w:val="right"/>
              <w:rPr>
                <w:rFonts w:cs="宋体"/>
                <w:sz w:val="18"/>
                <w:szCs w:val="18"/>
              </w:rPr>
            </w:pPr>
            <w:r w:rsidRPr="0063248C">
              <w:rPr>
                <w:rFonts w:cs="宋体"/>
                <w:sz w:val="18"/>
                <w:szCs w:val="18"/>
              </w:rPr>
              <w:t>-624,337,418.82</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45F43DB6" w14:textId="77777777" w:rsidR="007B3DB2" w:rsidRPr="0063248C" w:rsidRDefault="00000000">
            <w:pPr>
              <w:spacing w:line="240" w:lineRule="exact"/>
              <w:jc w:val="right"/>
              <w:rPr>
                <w:rFonts w:cs="宋体"/>
                <w:sz w:val="18"/>
                <w:szCs w:val="18"/>
              </w:rPr>
            </w:pPr>
            <w:r w:rsidRPr="0063248C">
              <w:rPr>
                <w:rFonts w:cs="宋体"/>
                <w:sz w:val="18"/>
                <w:szCs w:val="18"/>
              </w:rPr>
              <w:t>-43,539,329.15</w:t>
            </w: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45F052C6" w14:textId="77777777" w:rsidR="007B3DB2" w:rsidRPr="0063248C" w:rsidRDefault="00000000">
            <w:pPr>
              <w:spacing w:line="240" w:lineRule="exact"/>
              <w:jc w:val="right"/>
              <w:rPr>
                <w:rFonts w:cs="宋体"/>
                <w:sz w:val="18"/>
                <w:szCs w:val="18"/>
              </w:rPr>
            </w:pPr>
            <w:r w:rsidRPr="0063248C">
              <w:rPr>
                <w:rFonts w:cs="宋体"/>
                <w:sz w:val="18"/>
                <w:szCs w:val="18"/>
              </w:rPr>
              <w:t>-667,876,747.97</w:t>
            </w:r>
          </w:p>
        </w:tc>
      </w:tr>
      <w:tr w:rsidR="007B3DB2" w:rsidRPr="0063248C" w14:paraId="308C6B2F"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4B2DE5EA" w14:textId="77777777" w:rsidR="007B3DB2" w:rsidRPr="0063248C" w:rsidRDefault="00000000">
            <w:pPr>
              <w:spacing w:before="40" w:after="40" w:line="240" w:lineRule="exact"/>
              <w:rPr>
                <w:rFonts w:cs="宋体"/>
                <w:sz w:val="18"/>
                <w:szCs w:val="18"/>
              </w:rPr>
            </w:pPr>
            <w:r w:rsidRPr="0063248C">
              <w:rPr>
                <w:rFonts w:cs="宋体"/>
                <w:sz w:val="18"/>
                <w:szCs w:val="18"/>
              </w:rPr>
              <w:t>（二）所有者投入和减少资本</w:t>
            </w:r>
          </w:p>
        </w:tc>
        <w:tc>
          <w:tcPr>
            <w:tcW w:w="818" w:type="dxa"/>
            <w:tcBorders>
              <w:top w:val="single" w:sz="2" w:space="0" w:color="auto"/>
              <w:left w:val="single" w:sz="2" w:space="0" w:color="auto"/>
              <w:bottom w:val="single" w:sz="2" w:space="0" w:color="auto"/>
              <w:right w:val="single" w:sz="2" w:space="0" w:color="auto"/>
            </w:tcBorders>
            <w:vAlign w:val="center"/>
          </w:tcPr>
          <w:p w14:paraId="3ADA1AF3" w14:textId="77777777" w:rsidR="007B3DB2" w:rsidRPr="0063248C" w:rsidRDefault="00000000">
            <w:pPr>
              <w:spacing w:line="240" w:lineRule="exact"/>
              <w:jc w:val="right"/>
              <w:rPr>
                <w:rFonts w:cs="宋体"/>
                <w:sz w:val="18"/>
                <w:szCs w:val="18"/>
              </w:rPr>
            </w:pPr>
            <w:r w:rsidRPr="0063248C">
              <w:rPr>
                <w:rFonts w:cs="宋体"/>
                <w:sz w:val="18"/>
                <w:szCs w:val="18"/>
              </w:rPr>
              <w:t>31,237.00</w:t>
            </w:r>
          </w:p>
        </w:tc>
        <w:tc>
          <w:tcPr>
            <w:tcW w:w="818" w:type="dxa"/>
            <w:tcBorders>
              <w:top w:val="single" w:sz="2" w:space="0" w:color="auto"/>
              <w:left w:val="single" w:sz="2" w:space="0" w:color="auto"/>
              <w:bottom w:val="single" w:sz="2" w:space="0" w:color="auto"/>
              <w:right w:val="single" w:sz="2" w:space="0" w:color="auto"/>
            </w:tcBorders>
            <w:vAlign w:val="center"/>
          </w:tcPr>
          <w:p w14:paraId="5C48A70E"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8" w:type="dxa"/>
            <w:tcBorders>
              <w:top w:val="single" w:sz="2" w:space="0" w:color="auto"/>
              <w:left w:val="single" w:sz="2" w:space="0" w:color="auto"/>
              <w:bottom w:val="single" w:sz="2" w:space="0" w:color="auto"/>
              <w:right w:val="single" w:sz="2" w:space="0" w:color="auto"/>
            </w:tcBorders>
            <w:vAlign w:val="center"/>
          </w:tcPr>
          <w:p w14:paraId="6A3DA890"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8" w:type="dxa"/>
            <w:tcBorders>
              <w:top w:val="single" w:sz="2" w:space="0" w:color="auto"/>
              <w:left w:val="single" w:sz="2" w:space="0" w:color="auto"/>
              <w:bottom w:val="single" w:sz="2" w:space="0" w:color="auto"/>
              <w:right w:val="single" w:sz="2" w:space="0" w:color="auto"/>
            </w:tcBorders>
            <w:vAlign w:val="center"/>
          </w:tcPr>
          <w:p w14:paraId="5A788C67" w14:textId="77777777" w:rsidR="007B3DB2" w:rsidRPr="0063248C" w:rsidRDefault="00000000">
            <w:pPr>
              <w:spacing w:line="240" w:lineRule="exact"/>
              <w:jc w:val="right"/>
              <w:rPr>
                <w:rFonts w:cs="宋体"/>
                <w:sz w:val="18"/>
                <w:szCs w:val="18"/>
              </w:rPr>
            </w:pPr>
            <w:r w:rsidRPr="0063248C">
              <w:rPr>
                <w:rFonts w:cs="宋体"/>
                <w:sz w:val="18"/>
                <w:szCs w:val="18"/>
              </w:rPr>
              <w:t>-616.60</w:t>
            </w:r>
          </w:p>
        </w:tc>
        <w:tc>
          <w:tcPr>
            <w:tcW w:w="819" w:type="dxa"/>
            <w:tcBorders>
              <w:top w:val="single" w:sz="2" w:space="0" w:color="auto"/>
              <w:left w:val="single" w:sz="2" w:space="0" w:color="auto"/>
              <w:bottom w:val="single" w:sz="2" w:space="0" w:color="auto"/>
              <w:right w:val="single" w:sz="2" w:space="0" w:color="auto"/>
            </w:tcBorders>
            <w:vAlign w:val="center"/>
          </w:tcPr>
          <w:p w14:paraId="5DAF416E" w14:textId="77777777" w:rsidR="007B3DB2" w:rsidRPr="0063248C" w:rsidRDefault="00000000">
            <w:pPr>
              <w:spacing w:line="240" w:lineRule="exact"/>
              <w:jc w:val="right"/>
              <w:rPr>
                <w:rFonts w:cs="宋体"/>
                <w:sz w:val="18"/>
                <w:szCs w:val="18"/>
              </w:rPr>
            </w:pPr>
            <w:r w:rsidRPr="0063248C">
              <w:rPr>
                <w:rFonts w:cs="宋体"/>
                <w:sz w:val="18"/>
                <w:szCs w:val="18"/>
              </w:rPr>
              <w:t>-2,442,984.26</w:t>
            </w:r>
          </w:p>
        </w:tc>
        <w:tc>
          <w:tcPr>
            <w:tcW w:w="819" w:type="dxa"/>
            <w:tcBorders>
              <w:top w:val="single" w:sz="2" w:space="0" w:color="auto"/>
              <w:left w:val="single" w:sz="2" w:space="0" w:color="auto"/>
              <w:bottom w:val="single" w:sz="2" w:space="0" w:color="auto"/>
              <w:right w:val="single" w:sz="2" w:space="0" w:color="auto"/>
            </w:tcBorders>
            <w:vAlign w:val="center"/>
          </w:tcPr>
          <w:p w14:paraId="276DF606" w14:textId="77777777" w:rsidR="007B3DB2" w:rsidRPr="0063248C" w:rsidRDefault="00000000">
            <w:pPr>
              <w:spacing w:line="240" w:lineRule="exact"/>
              <w:jc w:val="right"/>
              <w:rPr>
                <w:rFonts w:cs="宋体"/>
                <w:sz w:val="18"/>
                <w:szCs w:val="18"/>
              </w:rPr>
            </w:pPr>
            <w:r w:rsidRPr="0063248C">
              <w:rPr>
                <w:rFonts w:cs="宋体"/>
                <w:sz w:val="18"/>
                <w:szCs w:val="18"/>
              </w:rPr>
              <w:t>61,768,604.49</w:t>
            </w:r>
          </w:p>
        </w:tc>
        <w:tc>
          <w:tcPr>
            <w:tcW w:w="819" w:type="dxa"/>
            <w:tcBorders>
              <w:top w:val="single" w:sz="2" w:space="0" w:color="auto"/>
              <w:left w:val="single" w:sz="2" w:space="0" w:color="auto"/>
              <w:bottom w:val="single" w:sz="2" w:space="0" w:color="auto"/>
              <w:right w:val="single" w:sz="2" w:space="0" w:color="auto"/>
            </w:tcBorders>
            <w:vAlign w:val="center"/>
          </w:tcPr>
          <w:p w14:paraId="40840E95"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25305222"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49CB9A5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22EC2FEE"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59F785C4"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07D394E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B0466EA" w14:textId="77777777" w:rsidR="007B3DB2" w:rsidRPr="0063248C" w:rsidRDefault="00000000">
            <w:pPr>
              <w:spacing w:line="240" w:lineRule="exact"/>
              <w:jc w:val="right"/>
              <w:rPr>
                <w:rFonts w:cs="宋体"/>
                <w:sz w:val="18"/>
                <w:szCs w:val="18"/>
              </w:rPr>
            </w:pPr>
            <w:r w:rsidRPr="0063248C">
              <w:rPr>
                <w:rFonts w:cs="宋体"/>
                <w:sz w:val="18"/>
                <w:szCs w:val="18"/>
              </w:rPr>
              <w:t>-64,180,968.35</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52ED08A8" w14:textId="77777777" w:rsidR="007B3DB2" w:rsidRPr="0063248C" w:rsidRDefault="00000000">
            <w:pPr>
              <w:spacing w:line="240" w:lineRule="exact"/>
              <w:jc w:val="right"/>
              <w:rPr>
                <w:rFonts w:cs="宋体"/>
                <w:sz w:val="18"/>
                <w:szCs w:val="18"/>
              </w:rPr>
            </w:pPr>
            <w:r w:rsidRPr="0063248C">
              <w:rPr>
                <w:rFonts w:cs="宋体"/>
                <w:sz w:val="18"/>
                <w:szCs w:val="18"/>
              </w:rPr>
              <w:t>2,630,885.32</w:t>
            </w: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6A71F337" w14:textId="77777777" w:rsidR="007B3DB2" w:rsidRPr="0063248C" w:rsidRDefault="00000000">
            <w:pPr>
              <w:spacing w:line="240" w:lineRule="exact"/>
              <w:jc w:val="right"/>
              <w:rPr>
                <w:rFonts w:cs="宋体"/>
                <w:sz w:val="18"/>
                <w:szCs w:val="18"/>
              </w:rPr>
            </w:pPr>
            <w:r w:rsidRPr="0063248C">
              <w:rPr>
                <w:rFonts w:cs="宋体"/>
                <w:sz w:val="18"/>
                <w:szCs w:val="18"/>
              </w:rPr>
              <w:t>-61,550,083.03</w:t>
            </w:r>
          </w:p>
        </w:tc>
      </w:tr>
      <w:tr w:rsidR="007B3DB2" w:rsidRPr="0063248C" w14:paraId="0D2945B1"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15F8BAA0"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．所有者投入的普通股</w:t>
            </w:r>
          </w:p>
        </w:tc>
        <w:tc>
          <w:tcPr>
            <w:tcW w:w="818" w:type="dxa"/>
            <w:tcBorders>
              <w:top w:val="single" w:sz="2" w:space="0" w:color="auto"/>
              <w:left w:val="single" w:sz="2" w:space="0" w:color="auto"/>
              <w:bottom w:val="single" w:sz="2" w:space="0" w:color="auto"/>
              <w:right w:val="single" w:sz="2" w:space="0" w:color="auto"/>
            </w:tcBorders>
            <w:vAlign w:val="center"/>
          </w:tcPr>
          <w:p w14:paraId="021C49B8" w14:textId="77777777" w:rsidR="007B3DB2" w:rsidRPr="0063248C" w:rsidRDefault="00000000">
            <w:pPr>
              <w:spacing w:line="240" w:lineRule="exact"/>
              <w:jc w:val="right"/>
              <w:rPr>
                <w:rFonts w:cs="宋体"/>
                <w:sz w:val="18"/>
                <w:szCs w:val="18"/>
              </w:rPr>
            </w:pPr>
            <w:r w:rsidRPr="0063248C">
              <w:rPr>
                <w:rFonts w:cs="宋体"/>
                <w:sz w:val="18"/>
                <w:szCs w:val="18"/>
              </w:rPr>
              <w:t>31,237.00</w:t>
            </w:r>
          </w:p>
        </w:tc>
        <w:tc>
          <w:tcPr>
            <w:tcW w:w="818" w:type="dxa"/>
            <w:tcBorders>
              <w:top w:val="single" w:sz="2" w:space="0" w:color="auto"/>
              <w:left w:val="single" w:sz="2" w:space="0" w:color="auto"/>
              <w:bottom w:val="single" w:sz="2" w:space="0" w:color="auto"/>
              <w:right w:val="single" w:sz="2" w:space="0" w:color="auto"/>
            </w:tcBorders>
            <w:vAlign w:val="center"/>
          </w:tcPr>
          <w:p w14:paraId="1244D729"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75FF0607"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53972BF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97F3CAF" w14:textId="77777777" w:rsidR="007B3DB2" w:rsidRPr="0063248C" w:rsidRDefault="00000000">
            <w:pPr>
              <w:spacing w:line="240" w:lineRule="exact"/>
              <w:jc w:val="right"/>
              <w:rPr>
                <w:rFonts w:cs="宋体"/>
                <w:sz w:val="18"/>
                <w:szCs w:val="18"/>
              </w:rPr>
            </w:pPr>
            <w:r w:rsidRPr="0063248C">
              <w:rPr>
                <w:rFonts w:cs="宋体"/>
                <w:sz w:val="18"/>
                <w:szCs w:val="18"/>
              </w:rPr>
              <w:t>187,901.06</w:t>
            </w:r>
          </w:p>
        </w:tc>
        <w:tc>
          <w:tcPr>
            <w:tcW w:w="819" w:type="dxa"/>
            <w:tcBorders>
              <w:top w:val="single" w:sz="2" w:space="0" w:color="auto"/>
              <w:left w:val="single" w:sz="2" w:space="0" w:color="auto"/>
              <w:bottom w:val="single" w:sz="2" w:space="0" w:color="auto"/>
              <w:right w:val="single" w:sz="2" w:space="0" w:color="auto"/>
            </w:tcBorders>
            <w:vAlign w:val="center"/>
          </w:tcPr>
          <w:p w14:paraId="5147F31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046B52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3A1025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2E3CE0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8629C4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A125E8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DC1623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EE1DDE0" w14:textId="77777777" w:rsidR="007B3DB2" w:rsidRPr="0063248C" w:rsidRDefault="00000000">
            <w:pPr>
              <w:spacing w:line="240" w:lineRule="exact"/>
              <w:jc w:val="right"/>
              <w:rPr>
                <w:rFonts w:cs="宋体"/>
                <w:sz w:val="18"/>
                <w:szCs w:val="18"/>
              </w:rPr>
            </w:pPr>
            <w:r w:rsidRPr="0063248C">
              <w:rPr>
                <w:rFonts w:cs="宋体"/>
                <w:sz w:val="18"/>
                <w:szCs w:val="18"/>
              </w:rPr>
              <w:t>219,138.06</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3A09CAFE"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24BD4C6A" w14:textId="77777777" w:rsidR="007B3DB2" w:rsidRPr="0063248C" w:rsidRDefault="00000000">
            <w:pPr>
              <w:spacing w:line="240" w:lineRule="exact"/>
              <w:jc w:val="right"/>
              <w:rPr>
                <w:rFonts w:cs="宋体"/>
                <w:sz w:val="18"/>
                <w:szCs w:val="18"/>
              </w:rPr>
            </w:pPr>
            <w:r w:rsidRPr="0063248C">
              <w:rPr>
                <w:rFonts w:cs="宋体"/>
                <w:sz w:val="18"/>
                <w:szCs w:val="18"/>
              </w:rPr>
              <w:t>219,138.06</w:t>
            </w:r>
          </w:p>
        </w:tc>
      </w:tr>
      <w:tr w:rsidR="007B3DB2" w:rsidRPr="0063248C" w14:paraId="6D8A5965"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03636036"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．其他权益工具持有者投入资本</w:t>
            </w:r>
          </w:p>
        </w:tc>
        <w:tc>
          <w:tcPr>
            <w:tcW w:w="818" w:type="dxa"/>
            <w:tcBorders>
              <w:top w:val="single" w:sz="2" w:space="0" w:color="auto"/>
              <w:left w:val="single" w:sz="2" w:space="0" w:color="auto"/>
              <w:bottom w:val="single" w:sz="2" w:space="0" w:color="auto"/>
              <w:right w:val="single" w:sz="2" w:space="0" w:color="auto"/>
            </w:tcBorders>
            <w:vAlign w:val="center"/>
          </w:tcPr>
          <w:p w14:paraId="166EA0FB"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2D227ADA"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1ECFC37B"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238B07B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7B3127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BD8B1D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32BE8B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68C6DC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45B6FC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2DD4B36"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E9B4FE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75613F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C4793AF"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40F994F0"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41D39866"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4AC9D584"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6F945772"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．股份支付计入所有者权益的金额</w:t>
            </w:r>
          </w:p>
        </w:tc>
        <w:tc>
          <w:tcPr>
            <w:tcW w:w="818" w:type="dxa"/>
            <w:tcBorders>
              <w:top w:val="single" w:sz="2" w:space="0" w:color="auto"/>
              <w:left w:val="single" w:sz="2" w:space="0" w:color="auto"/>
              <w:bottom w:val="single" w:sz="2" w:space="0" w:color="auto"/>
              <w:right w:val="single" w:sz="2" w:space="0" w:color="auto"/>
            </w:tcBorders>
            <w:vAlign w:val="center"/>
          </w:tcPr>
          <w:p w14:paraId="28EBB603"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75B265D5"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57F986ED"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1ABA1754"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01DB43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E96FBB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142962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2885D9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47B65D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CFF9A5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4D1BBC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D1D7A9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EF5B139"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129CCFE5"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24E04528"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2696108B"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3C10F575" w14:textId="77777777" w:rsidR="007B3DB2" w:rsidRPr="0063248C" w:rsidRDefault="00000000">
            <w:pPr>
              <w:spacing w:before="40" w:after="40" w:line="240" w:lineRule="exact"/>
              <w:rPr>
                <w:rFonts w:cs="宋体"/>
                <w:sz w:val="18"/>
                <w:szCs w:val="18"/>
              </w:rPr>
            </w:pPr>
            <w:r w:rsidRPr="0063248C">
              <w:rPr>
                <w:rFonts w:cs="宋体"/>
                <w:sz w:val="18"/>
                <w:szCs w:val="18"/>
              </w:rPr>
              <w:t>4</w:t>
            </w:r>
            <w:r w:rsidRPr="0063248C">
              <w:rPr>
                <w:rFonts w:cs="宋体"/>
                <w:sz w:val="18"/>
                <w:szCs w:val="18"/>
              </w:rPr>
              <w:t>．其他</w:t>
            </w:r>
          </w:p>
        </w:tc>
        <w:tc>
          <w:tcPr>
            <w:tcW w:w="818" w:type="dxa"/>
            <w:tcBorders>
              <w:top w:val="single" w:sz="2" w:space="0" w:color="auto"/>
              <w:left w:val="single" w:sz="2" w:space="0" w:color="auto"/>
              <w:bottom w:val="single" w:sz="2" w:space="0" w:color="auto"/>
              <w:right w:val="single" w:sz="2" w:space="0" w:color="auto"/>
            </w:tcBorders>
            <w:vAlign w:val="center"/>
          </w:tcPr>
          <w:p w14:paraId="71A54E6F"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6DBEFCB8"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52F21D8C"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2D6463B2" w14:textId="77777777" w:rsidR="007B3DB2" w:rsidRPr="0063248C" w:rsidRDefault="00000000">
            <w:pPr>
              <w:spacing w:line="240" w:lineRule="exact"/>
              <w:jc w:val="right"/>
              <w:rPr>
                <w:rFonts w:cs="宋体"/>
                <w:sz w:val="18"/>
                <w:szCs w:val="18"/>
              </w:rPr>
            </w:pPr>
            <w:r w:rsidRPr="0063248C">
              <w:rPr>
                <w:rFonts w:cs="宋体"/>
                <w:sz w:val="18"/>
                <w:szCs w:val="18"/>
              </w:rPr>
              <w:t>-616.60</w:t>
            </w:r>
          </w:p>
        </w:tc>
        <w:tc>
          <w:tcPr>
            <w:tcW w:w="819" w:type="dxa"/>
            <w:tcBorders>
              <w:top w:val="single" w:sz="2" w:space="0" w:color="auto"/>
              <w:left w:val="single" w:sz="2" w:space="0" w:color="auto"/>
              <w:bottom w:val="single" w:sz="2" w:space="0" w:color="auto"/>
              <w:right w:val="single" w:sz="2" w:space="0" w:color="auto"/>
            </w:tcBorders>
            <w:vAlign w:val="center"/>
          </w:tcPr>
          <w:p w14:paraId="7F516359" w14:textId="77777777" w:rsidR="007B3DB2" w:rsidRPr="0063248C" w:rsidRDefault="00000000">
            <w:pPr>
              <w:spacing w:line="240" w:lineRule="exact"/>
              <w:jc w:val="right"/>
              <w:rPr>
                <w:rFonts w:cs="宋体"/>
                <w:sz w:val="18"/>
                <w:szCs w:val="18"/>
              </w:rPr>
            </w:pPr>
            <w:r w:rsidRPr="0063248C">
              <w:rPr>
                <w:rFonts w:cs="宋体"/>
                <w:sz w:val="18"/>
                <w:szCs w:val="18"/>
              </w:rPr>
              <w:t>-2,630,885.32</w:t>
            </w:r>
          </w:p>
        </w:tc>
        <w:tc>
          <w:tcPr>
            <w:tcW w:w="819" w:type="dxa"/>
            <w:tcBorders>
              <w:top w:val="single" w:sz="2" w:space="0" w:color="auto"/>
              <w:left w:val="single" w:sz="2" w:space="0" w:color="auto"/>
              <w:bottom w:val="single" w:sz="2" w:space="0" w:color="auto"/>
              <w:right w:val="single" w:sz="2" w:space="0" w:color="auto"/>
            </w:tcBorders>
            <w:vAlign w:val="center"/>
          </w:tcPr>
          <w:p w14:paraId="705D5CAB" w14:textId="77777777" w:rsidR="007B3DB2" w:rsidRPr="0063248C" w:rsidRDefault="00000000">
            <w:pPr>
              <w:spacing w:line="240" w:lineRule="exact"/>
              <w:jc w:val="right"/>
              <w:rPr>
                <w:rFonts w:cs="宋体"/>
                <w:sz w:val="18"/>
                <w:szCs w:val="18"/>
              </w:rPr>
            </w:pPr>
            <w:r w:rsidRPr="0063248C">
              <w:rPr>
                <w:rFonts w:cs="宋体"/>
                <w:sz w:val="18"/>
                <w:szCs w:val="18"/>
              </w:rPr>
              <w:t>61,768,604.49</w:t>
            </w:r>
          </w:p>
        </w:tc>
        <w:tc>
          <w:tcPr>
            <w:tcW w:w="819" w:type="dxa"/>
            <w:tcBorders>
              <w:top w:val="single" w:sz="2" w:space="0" w:color="auto"/>
              <w:left w:val="single" w:sz="2" w:space="0" w:color="auto"/>
              <w:bottom w:val="single" w:sz="2" w:space="0" w:color="auto"/>
              <w:right w:val="single" w:sz="2" w:space="0" w:color="auto"/>
            </w:tcBorders>
            <w:vAlign w:val="center"/>
          </w:tcPr>
          <w:p w14:paraId="48B8F864"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B1E004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8FE59F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0CF652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F694B8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582A41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FDE462D" w14:textId="77777777" w:rsidR="007B3DB2" w:rsidRPr="0063248C" w:rsidRDefault="00000000">
            <w:pPr>
              <w:spacing w:line="240" w:lineRule="exact"/>
              <w:jc w:val="right"/>
              <w:rPr>
                <w:rFonts w:cs="宋体"/>
                <w:sz w:val="18"/>
                <w:szCs w:val="18"/>
              </w:rPr>
            </w:pPr>
            <w:r w:rsidRPr="0063248C">
              <w:rPr>
                <w:rFonts w:cs="宋体"/>
                <w:sz w:val="18"/>
                <w:szCs w:val="18"/>
              </w:rPr>
              <w:t>-64,400,106.41</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5D36DFD2" w14:textId="77777777" w:rsidR="007B3DB2" w:rsidRPr="0063248C" w:rsidRDefault="00000000">
            <w:pPr>
              <w:spacing w:line="240" w:lineRule="exact"/>
              <w:jc w:val="right"/>
              <w:rPr>
                <w:rFonts w:cs="宋体"/>
                <w:sz w:val="18"/>
                <w:szCs w:val="18"/>
              </w:rPr>
            </w:pPr>
            <w:r w:rsidRPr="0063248C">
              <w:rPr>
                <w:rFonts w:cs="宋体"/>
                <w:sz w:val="18"/>
                <w:szCs w:val="18"/>
              </w:rPr>
              <w:t>2,630,885.32</w:t>
            </w: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1D357354" w14:textId="77777777" w:rsidR="007B3DB2" w:rsidRPr="0063248C" w:rsidRDefault="00000000">
            <w:pPr>
              <w:spacing w:line="240" w:lineRule="exact"/>
              <w:jc w:val="right"/>
              <w:rPr>
                <w:rFonts w:cs="宋体"/>
                <w:sz w:val="18"/>
                <w:szCs w:val="18"/>
              </w:rPr>
            </w:pPr>
            <w:r w:rsidRPr="0063248C">
              <w:rPr>
                <w:rFonts w:cs="宋体"/>
                <w:sz w:val="18"/>
                <w:szCs w:val="18"/>
              </w:rPr>
              <w:t>-61,769,221.09</w:t>
            </w:r>
          </w:p>
        </w:tc>
      </w:tr>
      <w:tr w:rsidR="007B3DB2" w:rsidRPr="0063248C" w14:paraId="68EA373F"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660572B8" w14:textId="77777777" w:rsidR="007B3DB2" w:rsidRPr="0063248C" w:rsidRDefault="00000000">
            <w:pPr>
              <w:spacing w:before="40" w:after="40" w:line="240" w:lineRule="exact"/>
              <w:rPr>
                <w:rFonts w:cs="宋体"/>
                <w:sz w:val="18"/>
                <w:szCs w:val="18"/>
              </w:rPr>
            </w:pPr>
            <w:r w:rsidRPr="0063248C">
              <w:rPr>
                <w:rFonts w:cs="宋体"/>
                <w:sz w:val="18"/>
                <w:szCs w:val="18"/>
              </w:rPr>
              <w:t>（三）利润分配</w:t>
            </w:r>
          </w:p>
        </w:tc>
        <w:tc>
          <w:tcPr>
            <w:tcW w:w="818" w:type="dxa"/>
            <w:tcBorders>
              <w:top w:val="single" w:sz="2" w:space="0" w:color="auto"/>
              <w:left w:val="single" w:sz="2" w:space="0" w:color="auto"/>
              <w:bottom w:val="single" w:sz="2" w:space="0" w:color="auto"/>
              <w:right w:val="single" w:sz="2" w:space="0" w:color="auto"/>
            </w:tcBorders>
            <w:vAlign w:val="center"/>
          </w:tcPr>
          <w:p w14:paraId="7A0EEEF5"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29F21F59"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48A95400"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2308667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44F63E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4B8871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624101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08B2BA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616C77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2EDF3B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DACBAF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68E0BC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2675811"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41AA5E8A"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3FF9B038" w14:textId="77777777" w:rsidR="007B3DB2" w:rsidRPr="0063248C" w:rsidRDefault="007B3DB2">
            <w:pPr>
              <w:spacing w:line="240" w:lineRule="exact"/>
              <w:jc w:val="right"/>
              <w:rPr>
                <w:rFonts w:cs="宋体"/>
                <w:sz w:val="18"/>
                <w:szCs w:val="18"/>
              </w:rPr>
            </w:pPr>
          </w:p>
        </w:tc>
      </w:tr>
      <w:tr w:rsidR="007B3DB2" w:rsidRPr="0063248C" w14:paraId="084A0EBC"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7C566318"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1</w:t>
            </w:r>
            <w:r w:rsidRPr="0063248C">
              <w:rPr>
                <w:rFonts w:cs="宋体"/>
                <w:sz w:val="18"/>
                <w:szCs w:val="18"/>
              </w:rPr>
              <w:t>．提取盈余公积</w:t>
            </w:r>
          </w:p>
        </w:tc>
        <w:tc>
          <w:tcPr>
            <w:tcW w:w="818" w:type="dxa"/>
            <w:tcBorders>
              <w:top w:val="single" w:sz="2" w:space="0" w:color="auto"/>
              <w:left w:val="single" w:sz="2" w:space="0" w:color="auto"/>
              <w:bottom w:val="single" w:sz="2" w:space="0" w:color="auto"/>
              <w:right w:val="single" w:sz="2" w:space="0" w:color="auto"/>
            </w:tcBorders>
            <w:vAlign w:val="center"/>
          </w:tcPr>
          <w:p w14:paraId="19248F8D"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2AA3C334"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67847775"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5FE7ADFA"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60A2DE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F90E2B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4559B5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334EF7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0D344B4"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3FF882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D16328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79E3FE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D05BA2F"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5FC48B4B"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12209D95" w14:textId="77777777" w:rsidR="007B3DB2" w:rsidRPr="0063248C" w:rsidRDefault="007B3DB2">
            <w:pPr>
              <w:spacing w:line="240" w:lineRule="exact"/>
              <w:jc w:val="right"/>
              <w:rPr>
                <w:rFonts w:cs="宋体"/>
                <w:sz w:val="18"/>
                <w:szCs w:val="18"/>
              </w:rPr>
            </w:pPr>
          </w:p>
        </w:tc>
      </w:tr>
      <w:tr w:rsidR="007B3DB2" w:rsidRPr="0063248C" w14:paraId="52399D51"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1C23FF37"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．提取一般风险准备</w:t>
            </w:r>
          </w:p>
        </w:tc>
        <w:tc>
          <w:tcPr>
            <w:tcW w:w="818" w:type="dxa"/>
            <w:tcBorders>
              <w:top w:val="single" w:sz="2" w:space="0" w:color="auto"/>
              <w:left w:val="single" w:sz="2" w:space="0" w:color="auto"/>
              <w:bottom w:val="single" w:sz="2" w:space="0" w:color="auto"/>
              <w:right w:val="single" w:sz="2" w:space="0" w:color="auto"/>
            </w:tcBorders>
            <w:vAlign w:val="center"/>
          </w:tcPr>
          <w:p w14:paraId="2C02AE4F"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7DE5D18E"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74A53203"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007C9FF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8129356"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BAB2FB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151A2B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3DC4BA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54E30B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3AF8C1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09D026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271F2E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88128D9"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5E08B508"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0F15CBD7" w14:textId="77777777" w:rsidR="007B3DB2" w:rsidRPr="0063248C" w:rsidRDefault="007B3DB2">
            <w:pPr>
              <w:spacing w:line="240" w:lineRule="exact"/>
              <w:jc w:val="right"/>
              <w:rPr>
                <w:rFonts w:cs="宋体"/>
                <w:sz w:val="18"/>
                <w:szCs w:val="18"/>
              </w:rPr>
            </w:pPr>
          </w:p>
        </w:tc>
      </w:tr>
      <w:tr w:rsidR="007B3DB2" w:rsidRPr="0063248C" w14:paraId="1AFFE792"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07551EB2"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．对所有者（或股东）的分配</w:t>
            </w:r>
          </w:p>
        </w:tc>
        <w:tc>
          <w:tcPr>
            <w:tcW w:w="818" w:type="dxa"/>
            <w:tcBorders>
              <w:top w:val="single" w:sz="2" w:space="0" w:color="auto"/>
              <w:left w:val="single" w:sz="2" w:space="0" w:color="auto"/>
              <w:bottom w:val="single" w:sz="2" w:space="0" w:color="auto"/>
              <w:right w:val="single" w:sz="2" w:space="0" w:color="auto"/>
            </w:tcBorders>
            <w:vAlign w:val="center"/>
          </w:tcPr>
          <w:p w14:paraId="67874636"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4B9D849F"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74F59D07"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0D960A8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01DE58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5FB771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B154BC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B0A077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ACDFE3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B9F03A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E5B54C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0CFA0C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858716C"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040428BC"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2E9B6860" w14:textId="77777777" w:rsidR="007B3DB2" w:rsidRPr="0063248C" w:rsidRDefault="007B3DB2">
            <w:pPr>
              <w:spacing w:line="240" w:lineRule="exact"/>
              <w:jc w:val="right"/>
              <w:rPr>
                <w:rFonts w:cs="宋体"/>
                <w:sz w:val="18"/>
                <w:szCs w:val="18"/>
              </w:rPr>
            </w:pPr>
          </w:p>
        </w:tc>
      </w:tr>
      <w:tr w:rsidR="007B3DB2" w:rsidRPr="0063248C" w14:paraId="3CEAC010"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66638475" w14:textId="77777777" w:rsidR="007B3DB2" w:rsidRPr="0063248C" w:rsidRDefault="00000000">
            <w:pPr>
              <w:spacing w:before="40" w:after="40" w:line="240" w:lineRule="exact"/>
              <w:rPr>
                <w:rFonts w:cs="宋体"/>
                <w:sz w:val="18"/>
                <w:szCs w:val="18"/>
              </w:rPr>
            </w:pPr>
            <w:r w:rsidRPr="0063248C">
              <w:rPr>
                <w:rFonts w:cs="宋体"/>
                <w:sz w:val="18"/>
                <w:szCs w:val="18"/>
              </w:rPr>
              <w:t>4</w:t>
            </w:r>
            <w:r w:rsidRPr="0063248C">
              <w:rPr>
                <w:rFonts w:cs="宋体"/>
                <w:sz w:val="18"/>
                <w:szCs w:val="18"/>
              </w:rPr>
              <w:t>．其他</w:t>
            </w:r>
          </w:p>
        </w:tc>
        <w:tc>
          <w:tcPr>
            <w:tcW w:w="818" w:type="dxa"/>
            <w:tcBorders>
              <w:top w:val="single" w:sz="2" w:space="0" w:color="auto"/>
              <w:left w:val="single" w:sz="2" w:space="0" w:color="auto"/>
              <w:bottom w:val="single" w:sz="2" w:space="0" w:color="auto"/>
              <w:right w:val="single" w:sz="2" w:space="0" w:color="auto"/>
            </w:tcBorders>
            <w:vAlign w:val="center"/>
          </w:tcPr>
          <w:p w14:paraId="12DD7418"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54BB6C4C"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35368690"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07D50BD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333320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E13465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47DF42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F0C951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0C0AF8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B19D66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942445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E45BC9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45FC82B"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698EC3CE"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24FA99CB" w14:textId="77777777" w:rsidR="007B3DB2" w:rsidRPr="0063248C" w:rsidRDefault="007B3DB2">
            <w:pPr>
              <w:spacing w:line="240" w:lineRule="exact"/>
              <w:jc w:val="right"/>
              <w:rPr>
                <w:rFonts w:cs="宋体"/>
                <w:sz w:val="18"/>
                <w:szCs w:val="18"/>
              </w:rPr>
            </w:pPr>
          </w:p>
        </w:tc>
      </w:tr>
      <w:tr w:rsidR="007B3DB2" w:rsidRPr="0063248C" w14:paraId="295FEFDD"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14D6EBF3" w14:textId="77777777" w:rsidR="007B3DB2" w:rsidRPr="0063248C" w:rsidRDefault="00000000">
            <w:pPr>
              <w:spacing w:before="40" w:after="40" w:line="240" w:lineRule="exact"/>
              <w:rPr>
                <w:rFonts w:cs="宋体"/>
                <w:sz w:val="18"/>
                <w:szCs w:val="18"/>
              </w:rPr>
            </w:pPr>
            <w:r w:rsidRPr="0063248C">
              <w:rPr>
                <w:rFonts w:cs="宋体"/>
                <w:sz w:val="18"/>
                <w:szCs w:val="18"/>
              </w:rPr>
              <w:t>（四）所有者权益内部结转</w:t>
            </w:r>
          </w:p>
        </w:tc>
        <w:tc>
          <w:tcPr>
            <w:tcW w:w="818" w:type="dxa"/>
            <w:tcBorders>
              <w:top w:val="single" w:sz="2" w:space="0" w:color="auto"/>
              <w:left w:val="single" w:sz="2" w:space="0" w:color="auto"/>
              <w:bottom w:val="single" w:sz="2" w:space="0" w:color="auto"/>
              <w:right w:val="single" w:sz="2" w:space="0" w:color="auto"/>
            </w:tcBorders>
            <w:vAlign w:val="center"/>
          </w:tcPr>
          <w:p w14:paraId="14267D5B"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23A3C8C1"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5D594C88"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45D9F4F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5988A3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7FB46E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DDD0854"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3955FA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482403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3E53AB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C0A710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79FA8C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31AEF2C"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6B56681D"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6CE5078F" w14:textId="77777777" w:rsidR="007B3DB2" w:rsidRPr="0063248C" w:rsidRDefault="007B3DB2">
            <w:pPr>
              <w:spacing w:line="240" w:lineRule="exact"/>
              <w:jc w:val="right"/>
              <w:rPr>
                <w:rFonts w:cs="宋体"/>
                <w:sz w:val="18"/>
                <w:szCs w:val="18"/>
              </w:rPr>
            </w:pPr>
          </w:p>
        </w:tc>
      </w:tr>
      <w:tr w:rsidR="007B3DB2" w:rsidRPr="0063248C" w14:paraId="4DEDA563"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6081AEF3"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．资本公积转增资本（或股本）</w:t>
            </w:r>
          </w:p>
        </w:tc>
        <w:tc>
          <w:tcPr>
            <w:tcW w:w="818" w:type="dxa"/>
            <w:tcBorders>
              <w:top w:val="single" w:sz="2" w:space="0" w:color="auto"/>
              <w:left w:val="single" w:sz="2" w:space="0" w:color="auto"/>
              <w:bottom w:val="single" w:sz="2" w:space="0" w:color="auto"/>
              <w:right w:val="single" w:sz="2" w:space="0" w:color="auto"/>
            </w:tcBorders>
            <w:vAlign w:val="center"/>
          </w:tcPr>
          <w:p w14:paraId="6A218CEC"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2428221D"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32B166FC"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5AC8B114"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03E3CC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EAFA44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33EBBF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8BCFF9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5A5308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D4440A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E711FB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4D94E5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F9E8026"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3EA6FBE9"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271AE5C6" w14:textId="77777777" w:rsidR="007B3DB2" w:rsidRPr="0063248C" w:rsidRDefault="007B3DB2">
            <w:pPr>
              <w:spacing w:line="240" w:lineRule="exact"/>
              <w:jc w:val="right"/>
              <w:rPr>
                <w:rFonts w:cs="宋体"/>
                <w:sz w:val="18"/>
                <w:szCs w:val="18"/>
              </w:rPr>
            </w:pPr>
          </w:p>
        </w:tc>
      </w:tr>
      <w:tr w:rsidR="007B3DB2" w:rsidRPr="0063248C" w14:paraId="27BEC6FE"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30EE933E"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．盈余公积转增资本（或股本）</w:t>
            </w:r>
          </w:p>
        </w:tc>
        <w:tc>
          <w:tcPr>
            <w:tcW w:w="818" w:type="dxa"/>
            <w:tcBorders>
              <w:top w:val="single" w:sz="2" w:space="0" w:color="auto"/>
              <w:left w:val="single" w:sz="2" w:space="0" w:color="auto"/>
              <w:bottom w:val="single" w:sz="2" w:space="0" w:color="auto"/>
              <w:right w:val="single" w:sz="2" w:space="0" w:color="auto"/>
            </w:tcBorders>
            <w:vAlign w:val="center"/>
          </w:tcPr>
          <w:p w14:paraId="4B9387EA"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75D20667"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154C9AED"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36E0332A"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217AD8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168AA4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759FD6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25C13F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175DA1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13D9B5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37E699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3A6D80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2B9264F"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03FF61EB"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775C3734" w14:textId="77777777" w:rsidR="007B3DB2" w:rsidRPr="0063248C" w:rsidRDefault="007B3DB2">
            <w:pPr>
              <w:spacing w:line="240" w:lineRule="exact"/>
              <w:jc w:val="right"/>
              <w:rPr>
                <w:rFonts w:cs="宋体"/>
                <w:sz w:val="18"/>
                <w:szCs w:val="18"/>
              </w:rPr>
            </w:pPr>
          </w:p>
        </w:tc>
      </w:tr>
      <w:tr w:rsidR="007B3DB2" w:rsidRPr="0063248C" w14:paraId="643C809A"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5CE4D6EA"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．盈余公积弥补亏损</w:t>
            </w:r>
          </w:p>
        </w:tc>
        <w:tc>
          <w:tcPr>
            <w:tcW w:w="818" w:type="dxa"/>
            <w:tcBorders>
              <w:top w:val="single" w:sz="2" w:space="0" w:color="auto"/>
              <w:left w:val="single" w:sz="2" w:space="0" w:color="auto"/>
              <w:bottom w:val="single" w:sz="2" w:space="0" w:color="auto"/>
              <w:right w:val="single" w:sz="2" w:space="0" w:color="auto"/>
            </w:tcBorders>
            <w:vAlign w:val="center"/>
          </w:tcPr>
          <w:p w14:paraId="5215A447"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234C0665"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369E18EC"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6A2EF37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63F255A"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F88B09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9EC0C0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F95C9E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06F4B3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8A5E5A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F67517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9AD30D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436EC63"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2A1774B9"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60E5A01E" w14:textId="77777777" w:rsidR="007B3DB2" w:rsidRPr="0063248C" w:rsidRDefault="007B3DB2">
            <w:pPr>
              <w:spacing w:line="240" w:lineRule="exact"/>
              <w:jc w:val="right"/>
              <w:rPr>
                <w:rFonts w:cs="宋体"/>
                <w:sz w:val="18"/>
                <w:szCs w:val="18"/>
              </w:rPr>
            </w:pPr>
          </w:p>
        </w:tc>
      </w:tr>
      <w:tr w:rsidR="007B3DB2" w:rsidRPr="0063248C" w14:paraId="6867FAFB"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001E8EC2" w14:textId="77777777" w:rsidR="007B3DB2" w:rsidRPr="0063248C" w:rsidRDefault="00000000">
            <w:pPr>
              <w:spacing w:before="40" w:after="40" w:line="240" w:lineRule="exact"/>
              <w:rPr>
                <w:rFonts w:cs="宋体"/>
                <w:sz w:val="18"/>
                <w:szCs w:val="18"/>
              </w:rPr>
            </w:pPr>
            <w:r w:rsidRPr="0063248C">
              <w:rPr>
                <w:rFonts w:cs="宋体"/>
                <w:sz w:val="18"/>
                <w:szCs w:val="18"/>
              </w:rPr>
              <w:t>4</w:t>
            </w:r>
            <w:r w:rsidRPr="0063248C">
              <w:rPr>
                <w:rFonts w:cs="宋体"/>
                <w:sz w:val="18"/>
                <w:szCs w:val="18"/>
              </w:rPr>
              <w:t>．设定受益计划变动额结转留存收益</w:t>
            </w:r>
          </w:p>
        </w:tc>
        <w:tc>
          <w:tcPr>
            <w:tcW w:w="818" w:type="dxa"/>
            <w:tcBorders>
              <w:top w:val="single" w:sz="2" w:space="0" w:color="auto"/>
              <w:left w:val="single" w:sz="2" w:space="0" w:color="auto"/>
              <w:bottom w:val="single" w:sz="2" w:space="0" w:color="auto"/>
              <w:right w:val="single" w:sz="2" w:space="0" w:color="auto"/>
            </w:tcBorders>
            <w:vAlign w:val="center"/>
          </w:tcPr>
          <w:p w14:paraId="2F5750CA"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43C32495"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305F5021"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5391E05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E579DE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2527BC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162F2E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C0D8CEA"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EE3D6A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5AEC93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D6A292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CBAC09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37C77B8"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59098D28"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5E792407" w14:textId="77777777" w:rsidR="007B3DB2" w:rsidRPr="0063248C" w:rsidRDefault="007B3DB2">
            <w:pPr>
              <w:spacing w:line="240" w:lineRule="exact"/>
              <w:jc w:val="right"/>
              <w:rPr>
                <w:rFonts w:cs="宋体"/>
                <w:sz w:val="18"/>
                <w:szCs w:val="18"/>
              </w:rPr>
            </w:pPr>
          </w:p>
        </w:tc>
      </w:tr>
      <w:tr w:rsidR="007B3DB2" w:rsidRPr="0063248C" w14:paraId="3D06A8B9"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7814523C" w14:textId="77777777" w:rsidR="007B3DB2" w:rsidRPr="0063248C" w:rsidRDefault="00000000">
            <w:pPr>
              <w:spacing w:before="40" w:after="40" w:line="240" w:lineRule="exact"/>
              <w:rPr>
                <w:rFonts w:cs="宋体"/>
                <w:sz w:val="18"/>
                <w:szCs w:val="18"/>
              </w:rPr>
            </w:pPr>
            <w:r w:rsidRPr="0063248C">
              <w:rPr>
                <w:rFonts w:cs="宋体"/>
                <w:sz w:val="18"/>
                <w:szCs w:val="18"/>
              </w:rPr>
              <w:t>5</w:t>
            </w:r>
            <w:r w:rsidRPr="0063248C">
              <w:rPr>
                <w:rFonts w:cs="宋体"/>
                <w:sz w:val="18"/>
                <w:szCs w:val="18"/>
              </w:rPr>
              <w:t>．其他综合收益结转留存收益</w:t>
            </w:r>
          </w:p>
        </w:tc>
        <w:tc>
          <w:tcPr>
            <w:tcW w:w="818" w:type="dxa"/>
            <w:tcBorders>
              <w:top w:val="single" w:sz="2" w:space="0" w:color="auto"/>
              <w:left w:val="single" w:sz="2" w:space="0" w:color="auto"/>
              <w:bottom w:val="single" w:sz="2" w:space="0" w:color="auto"/>
              <w:right w:val="single" w:sz="2" w:space="0" w:color="auto"/>
            </w:tcBorders>
            <w:vAlign w:val="center"/>
          </w:tcPr>
          <w:p w14:paraId="3EA3CCF2"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2CFA3136"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153EC188"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23933AE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2466D4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2DA343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8115D5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D36EA7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ECE780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1DE99D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3C111B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0D18B4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1D9B914"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389DFF45"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2056CD17" w14:textId="77777777" w:rsidR="007B3DB2" w:rsidRPr="0063248C" w:rsidRDefault="007B3DB2">
            <w:pPr>
              <w:spacing w:line="240" w:lineRule="exact"/>
              <w:jc w:val="right"/>
              <w:rPr>
                <w:rFonts w:cs="宋体"/>
                <w:sz w:val="18"/>
                <w:szCs w:val="18"/>
              </w:rPr>
            </w:pPr>
          </w:p>
        </w:tc>
      </w:tr>
      <w:tr w:rsidR="007B3DB2" w:rsidRPr="0063248C" w14:paraId="14ACB07B"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438391FB" w14:textId="77777777" w:rsidR="007B3DB2" w:rsidRPr="0063248C" w:rsidRDefault="00000000">
            <w:pPr>
              <w:spacing w:before="40" w:after="40" w:line="240" w:lineRule="exact"/>
              <w:rPr>
                <w:rFonts w:cs="宋体"/>
                <w:sz w:val="18"/>
                <w:szCs w:val="18"/>
              </w:rPr>
            </w:pPr>
            <w:r w:rsidRPr="0063248C">
              <w:rPr>
                <w:rFonts w:cs="宋体"/>
                <w:sz w:val="18"/>
                <w:szCs w:val="18"/>
              </w:rPr>
              <w:t>6</w:t>
            </w:r>
            <w:r w:rsidRPr="0063248C">
              <w:rPr>
                <w:rFonts w:cs="宋体"/>
                <w:sz w:val="18"/>
                <w:szCs w:val="18"/>
              </w:rPr>
              <w:t>．其他</w:t>
            </w:r>
          </w:p>
        </w:tc>
        <w:tc>
          <w:tcPr>
            <w:tcW w:w="818" w:type="dxa"/>
            <w:tcBorders>
              <w:top w:val="single" w:sz="2" w:space="0" w:color="auto"/>
              <w:left w:val="single" w:sz="2" w:space="0" w:color="auto"/>
              <w:bottom w:val="single" w:sz="2" w:space="0" w:color="auto"/>
              <w:right w:val="single" w:sz="2" w:space="0" w:color="auto"/>
            </w:tcBorders>
            <w:vAlign w:val="center"/>
          </w:tcPr>
          <w:p w14:paraId="29841CAE"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4C4D1886"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44B2BA4D"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17A1EBD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9E1AF6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21419B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82BDDB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5E4C96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510842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5AAF4C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A7C84A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5F8D945"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6B42287"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279D75A1"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5EB65A22" w14:textId="77777777" w:rsidR="007B3DB2" w:rsidRPr="0063248C" w:rsidRDefault="007B3DB2">
            <w:pPr>
              <w:spacing w:line="240" w:lineRule="exact"/>
              <w:jc w:val="right"/>
              <w:rPr>
                <w:rFonts w:cs="宋体"/>
                <w:sz w:val="18"/>
                <w:szCs w:val="18"/>
              </w:rPr>
            </w:pPr>
          </w:p>
        </w:tc>
      </w:tr>
      <w:tr w:rsidR="007B3DB2" w:rsidRPr="0063248C" w14:paraId="296BC5CD"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3FFB2843" w14:textId="77777777" w:rsidR="007B3DB2" w:rsidRPr="0063248C" w:rsidRDefault="00000000">
            <w:pPr>
              <w:spacing w:before="40" w:after="40" w:line="240" w:lineRule="exact"/>
              <w:rPr>
                <w:rFonts w:cs="宋体"/>
                <w:sz w:val="18"/>
                <w:szCs w:val="18"/>
              </w:rPr>
            </w:pPr>
            <w:r w:rsidRPr="0063248C">
              <w:rPr>
                <w:rFonts w:cs="宋体"/>
                <w:sz w:val="18"/>
                <w:szCs w:val="18"/>
              </w:rPr>
              <w:t>（五）专项储备</w:t>
            </w:r>
          </w:p>
        </w:tc>
        <w:tc>
          <w:tcPr>
            <w:tcW w:w="818" w:type="dxa"/>
            <w:tcBorders>
              <w:top w:val="single" w:sz="2" w:space="0" w:color="auto"/>
              <w:left w:val="single" w:sz="2" w:space="0" w:color="auto"/>
              <w:bottom w:val="single" w:sz="2" w:space="0" w:color="auto"/>
              <w:right w:val="single" w:sz="2" w:space="0" w:color="auto"/>
            </w:tcBorders>
            <w:vAlign w:val="center"/>
          </w:tcPr>
          <w:p w14:paraId="21447A6B"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5B1919CF"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6D000A37"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3594CF06"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8D6FA8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A554B8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54069D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32A36F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58BD9AD"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12ABF4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FF8E32F"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A30342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64C965B"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1330D5A9"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53817B80" w14:textId="77777777" w:rsidR="007B3DB2" w:rsidRPr="0063248C" w:rsidRDefault="007B3DB2">
            <w:pPr>
              <w:spacing w:line="240" w:lineRule="exact"/>
              <w:jc w:val="right"/>
              <w:rPr>
                <w:rFonts w:cs="宋体"/>
                <w:sz w:val="18"/>
                <w:szCs w:val="18"/>
              </w:rPr>
            </w:pPr>
          </w:p>
        </w:tc>
      </w:tr>
      <w:tr w:rsidR="007B3DB2" w:rsidRPr="0063248C" w14:paraId="2DAA3B62"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26901D52"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．本期提取</w:t>
            </w:r>
          </w:p>
        </w:tc>
        <w:tc>
          <w:tcPr>
            <w:tcW w:w="818" w:type="dxa"/>
            <w:tcBorders>
              <w:top w:val="single" w:sz="2" w:space="0" w:color="auto"/>
              <w:left w:val="single" w:sz="2" w:space="0" w:color="auto"/>
              <w:bottom w:val="single" w:sz="2" w:space="0" w:color="auto"/>
              <w:right w:val="single" w:sz="2" w:space="0" w:color="auto"/>
            </w:tcBorders>
            <w:vAlign w:val="center"/>
          </w:tcPr>
          <w:p w14:paraId="01C19016"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79C13F6E"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05AB5BF3"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19F31C9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E9BD5B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B62D506"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993379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FC7C79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E3FABF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BB4F599"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83EEABC"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0C02DC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7A7F776"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01CD6C79"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40C70226" w14:textId="77777777" w:rsidR="007B3DB2" w:rsidRPr="0063248C" w:rsidRDefault="007B3DB2">
            <w:pPr>
              <w:spacing w:line="240" w:lineRule="exact"/>
              <w:jc w:val="right"/>
              <w:rPr>
                <w:rFonts w:cs="宋体"/>
                <w:sz w:val="18"/>
                <w:szCs w:val="18"/>
              </w:rPr>
            </w:pPr>
          </w:p>
        </w:tc>
      </w:tr>
      <w:tr w:rsidR="007B3DB2" w:rsidRPr="0063248C" w14:paraId="2E066F0A"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76B4E555"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．本期使用</w:t>
            </w:r>
          </w:p>
        </w:tc>
        <w:tc>
          <w:tcPr>
            <w:tcW w:w="818" w:type="dxa"/>
            <w:tcBorders>
              <w:top w:val="single" w:sz="2" w:space="0" w:color="auto"/>
              <w:left w:val="single" w:sz="2" w:space="0" w:color="auto"/>
              <w:bottom w:val="single" w:sz="2" w:space="0" w:color="auto"/>
              <w:right w:val="single" w:sz="2" w:space="0" w:color="auto"/>
            </w:tcBorders>
            <w:vAlign w:val="center"/>
          </w:tcPr>
          <w:p w14:paraId="14CED9B4"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5E82908D"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51F059F9"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0CB87CC0"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C969CA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9058B4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4BC7131"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C4F3534"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5B8BB8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AFFB16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E461B4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2906E1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9DC74A0"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6972D2CC"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750DD08C" w14:textId="77777777" w:rsidR="007B3DB2" w:rsidRPr="0063248C" w:rsidRDefault="007B3DB2">
            <w:pPr>
              <w:spacing w:line="240" w:lineRule="exact"/>
              <w:jc w:val="right"/>
              <w:rPr>
                <w:rFonts w:cs="宋体"/>
                <w:sz w:val="18"/>
                <w:szCs w:val="18"/>
              </w:rPr>
            </w:pPr>
          </w:p>
        </w:tc>
      </w:tr>
      <w:tr w:rsidR="007B3DB2" w:rsidRPr="0063248C" w14:paraId="7DDD5D43"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47DEA6ED" w14:textId="77777777" w:rsidR="007B3DB2" w:rsidRPr="0063248C" w:rsidRDefault="00000000">
            <w:pPr>
              <w:spacing w:before="40" w:after="40" w:line="240" w:lineRule="exact"/>
              <w:rPr>
                <w:rFonts w:cs="宋体"/>
                <w:sz w:val="18"/>
                <w:szCs w:val="18"/>
              </w:rPr>
            </w:pPr>
            <w:r w:rsidRPr="0063248C">
              <w:rPr>
                <w:rFonts w:cs="宋体"/>
                <w:sz w:val="18"/>
                <w:szCs w:val="18"/>
              </w:rPr>
              <w:t>（六）其他</w:t>
            </w:r>
          </w:p>
        </w:tc>
        <w:tc>
          <w:tcPr>
            <w:tcW w:w="818" w:type="dxa"/>
            <w:tcBorders>
              <w:top w:val="single" w:sz="2" w:space="0" w:color="auto"/>
              <w:left w:val="single" w:sz="2" w:space="0" w:color="auto"/>
              <w:bottom w:val="single" w:sz="2" w:space="0" w:color="auto"/>
              <w:right w:val="single" w:sz="2" w:space="0" w:color="auto"/>
            </w:tcBorders>
            <w:vAlign w:val="center"/>
          </w:tcPr>
          <w:p w14:paraId="43B6B933"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53EBB0F8"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13F0F2F6" w14:textId="77777777" w:rsidR="007B3DB2" w:rsidRPr="0063248C" w:rsidRDefault="007B3DB2">
            <w:pPr>
              <w:spacing w:line="240" w:lineRule="exact"/>
              <w:jc w:val="right"/>
              <w:rPr>
                <w:rFonts w:cs="宋体"/>
                <w:sz w:val="18"/>
                <w:szCs w:val="18"/>
              </w:rPr>
            </w:pPr>
          </w:p>
        </w:tc>
        <w:tc>
          <w:tcPr>
            <w:tcW w:w="818" w:type="dxa"/>
            <w:tcBorders>
              <w:top w:val="single" w:sz="2" w:space="0" w:color="auto"/>
              <w:left w:val="single" w:sz="2" w:space="0" w:color="auto"/>
              <w:bottom w:val="single" w:sz="2" w:space="0" w:color="auto"/>
              <w:right w:val="single" w:sz="2" w:space="0" w:color="auto"/>
            </w:tcBorders>
            <w:vAlign w:val="center"/>
          </w:tcPr>
          <w:p w14:paraId="1DA58B2E"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72D925F2"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0F91A4A3"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165AE1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4D4C75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1F0B278"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9FB7937"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4F6601B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175D391B"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6E646FF0" w14:textId="77777777" w:rsidR="007B3DB2" w:rsidRPr="0063248C" w:rsidRDefault="007B3DB2">
            <w:pPr>
              <w:spacing w:line="240" w:lineRule="exact"/>
              <w:jc w:val="right"/>
              <w:rPr>
                <w:rFonts w:cs="宋体"/>
                <w:sz w:val="18"/>
                <w:szCs w:val="18"/>
              </w:rPr>
            </w:pP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1E272DB2" w14:textId="77777777" w:rsidR="007B3DB2" w:rsidRPr="0063248C" w:rsidRDefault="007B3DB2">
            <w:pPr>
              <w:spacing w:line="240" w:lineRule="exact"/>
              <w:jc w:val="right"/>
              <w:rPr>
                <w:rFonts w:cs="宋体"/>
                <w:sz w:val="18"/>
                <w:szCs w:val="18"/>
              </w:rPr>
            </w:pP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6010C188" w14:textId="77777777" w:rsidR="007B3DB2" w:rsidRPr="0063248C" w:rsidRDefault="007B3DB2">
            <w:pPr>
              <w:spacing w:line="240" w:lineRule="exact"/>
              <w:jc w:val="right"/>
              <w:rPr>
                <w:rFonts w:cs="宋体"/>
                <w:sz w:val="18"/>
                <w:szCs w:val="18"/>
              </w:rPr>
            </w:pPr>
          </w:p>
        </w:tc>
      </w:tr>
      <w:tr w:rsidR="007B3DB2" w:rsidRPr="0063248C" w14:paraId="541C1883" w14:textId="77777777" w:rsidTr="00E92CF1">
        <w:trPr>
          <w:trHeight w:val="228"/>
        </w:trPr>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304FD1E5" w14:textId="77777777" w:rsidR="007B3DB2" w:rsidRPr="0063248C" w:rsidRDefault="00000000">
            <w:pPr>
              <w:spacing w:before="40" w:after="40" w:line="240" w:lineRule="exact"/>
              <w:rPr>
                <w:rFonts w:cs="宋体"/>
                <w:sz w:val="18"/>
                <w:szCs w:val="18"/>
              </w:rPr>
            </w:pPr>
            <w:r w:rsidRPr="0063248C">
              <w:rPr>
                <w:rFonts w:cs="宋体"/>
                <w:sz w:val="18"/>
                <w:szCs w:val="18"/>
              </w:rPr>
              <w:t>四、本期期末余额</w:t>
            </w:r>
          </w:p>
        </w:tc>
        <w:tc>
          <w:tcPr>
            <w:tcW w:w="818" w:type="dxa"/>
            <w:tcBorders>
              <w:top w:val="single" w:sz="2" w:space="0" w:color="auto"/>
              <w:left w:val="single" w:sz="2" w:space="0" w:color="auto"/>
              <w:bottom w:val="single" w:sz="2" w:space="0" w:color="auto"/>
              <w:right w:val="single" w:sz="2" w:space="0" w:color="auto"/>
            </w:tcBorders>
            <w:vAlign w:val="center"/>
          </w:tcPr>
          <w:p w14:paraId="01341018" w14:textId="77777777" w:rsidR="007B3DB2" w:rsidRPr="0063248C" w:rsidRDefault="00000000">
            <w:pPr>
              <w:spacing w:line="240" w:lineRule="exact"/>
              <w:jc w:val="right"/>
              <w:rPr>
                <w:rFonts w:cs="宋体"/>
                <w:sz w:val="18"/>
                <w:szCs w:val="18"/>
              </w:rPr>
            </w:pPr>
            <w:r w:rsidRPr="0063248C">
              <w:rPr>
                <w:rFonts w:cs="宋体"/>
                <w:sz w:val="18"/>
                <w:szCs w:val="18"/>
              </w:rPr>
              <w:t>1,079,159,725.00</w:t>
            </w:r>
          </w:p>
        </w:tc>
        <w:tc>
          <w:tcPr>
            <w:tcW w:w="818" w:type="dxa"/>
            <w:tcBorders>
              <w:top w:val="single" w:sz="2" w:space="0" w:color="auto"/>
              <w:left w:val="single" w:sz="2" w:space="0" w:color="auto"/>
              <w:bottom w:val="single" w:sz="2" w:space="0" w:color="auto"/>
              <w:right w:val="single" w:sz="2" w:space="0" w:color="auto"/>
            </w:tcBorders>
            <w:vAlign w:val="center"/>
          </w:tcPr>
          <w:p w14:paraId="455A0A49"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8" w:type="dxa"/>
            <w:tcBorders>
              <w:top w:val="single" w:sz="2" w:space="0" w:color="auto"/>
              <w:left w:val="single" w:sz="2" w:space="0" w:color="auto"/>
              <w:bottom w:val="single" w:sz="2" w:space="0" w:color="auto"/>
              <w:right w:val="single" w:sz="2" w:space="0" w:color="auto"/>
            </w:tcBorders>
            <w:vAlign w:val="center"/>
          </w:tcPr>
          <w:p w14:paraId="2A497ABF"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8" w:type="dxa"/>
            <w:tcBorders>
              <w:top w:val="single" w:sz="2" w:space="0" w:color="auto"/>
              <w:left w:val="single" w:sz="2" w:space="0" w:color="auto"/>
              <w:bottom w:val="single" w:sz="2" w:space="0" w:color="auto"/>
              <w:right w:val="single" w:sz="2" w:space="0" w:color="auto"/>
            </w:tcBorders>
            <w:vAlign w:val="center"/>
          </w:tcPr>
          <w:p w14:paraId="5FF6C9BA" w14:textId="77777777" w:rsidR="007B3DB2" w:rsidRPr="0063248C" w:rsidRDefault="00000000">
            <w:pPr>
              <w:spacing w:line="240" w:lineRule="exact"/>
              <w:jc w:val="right"/>
              <w:rPr>
                <w:rFonts w:cs="宋体"/>
                <w:sz w:val="18"/>
                <w:szCs w:val="18"/>
              </w:rPr>
            </w:pPr>
            <w:r w:rsidRPr="0063248C">
              <w:rPr>
                <w:rFonts w:cs="宋体"/>
                <w:sz w:val="18"/>
                <w:szCs w:val="18"/>
              </w:rPr>
              <w:t>171,571,063.33</w:t>
            </w:r>
          </w:p>
        </w:tc>
        <w:tc>
          <w:tcPr>
            <w:tcW w:w="819" w:type="dxa"/>
            <w:tcBorders>
              <w:top w:val="single" w:sz="2" w:space="0" w:color="auto"/>
              <w:left w:val="single" w:sz="2" w:space="0" w:color="auto"/>
              <w:bottom w:val="single" w:sz="2" w:space="0" w:color="auto"/>
              <w:right w:val="single" w:sz="2" w:space="0" w:color="auto"/>
            </w:tcBorders>
            <w:vAlign w:val="center"/>
          </w:tcPr>
          <w:p w14:paraId="19A5C455" w14:textId="77777777" w:rsidR="007B3DB2" w:rsidRPr="0063248C" w:rsidRDefault="00000000">
            <w:pPr>
              <w:spacing w:line="240" w:lineRule="exact"/>
              <w:jc w:val="right"/>
              <w:rPr>
                <w:rFonts w:cs="宋体"/>
                <w:sz w:val="18"/>
                <w:szCs w:val="18"/>
              </w:rPr>
            </w:pPr>
            <w:r w:rsidRPr="0063248C">
              <w:rPr>
                <w:rFonts w:cs="宋体"/>
                <w:sz w:val="18"/>
                <w:szCs w:val="18"/>
              </w:rPr>
              <w:t>829,387,730.86</w:t>
            </w:r>
          </w:p>
        </w:tc>
        <w:tc>
          <w:tcPr>
            <w:tcW w:w="819" w:type="dxa"/>
            <w:tcBorders>
              <w:top w:val="single" w:sz="2" w:space="0" w:color="auto"/>
              <w:left w:val="single" w:sz="2" w:space="0" w:color="auto"/>
              <w:bottom w:val="single" w:sz="2" w:space="0" w:color="auto"/>
              <w:right w:val="single" w:sz="2" w:space="0" w:color="auto"/>
            </w:tcBorders>
            <w:vAlign w:val="center"/>
          </w:tcPr>
          <w:p w14:paraId="0769A99A" w14:textId="77777777" w:rsidR="007B3DB2" w:rsidRPr="0063248C" w:rsidRDefault="00000000">
            <w:pPr>
              <w:spacing w:line="240" w:lineRule="exact"/>
              <w:jc w:val="right"/>
              <w:rPr>
                <w:rFonts w:cs="宋体"/>
                <w:sz w:val="18"/>
                <w:szCs w:val="18"/>
              </w:rPr>
            </w:pPr>
            <w:r w:rsidRPr="0063248C">
              <w:rPr>
                <w:rFonts w:cs="宋体"/>
                <w:sz w:val="18"/>
                <w:szCs w:val="18"/>
              </w:rPr>
              <w:t>99,013,276.73</w:t>
            </w:r>
          </w:p>
        </w:tc>
        <w:tc>
          <w:tcPr>
            <w:tcW w:w="819" w:type="dxa"/>
            <w:tcBorders>
              <w:top w:val="single" w:sz="2" w:space="0" w:color="auto"/>
              <w:left w:val="single" w:sz="2" w:space="0" w:color="auto"/>
              <w:bottom w:val="single" w:sz="2" w:space="0" w:color="auto"/>
              <w:right w:val="single" w:sz="2" w:space="0" w:color="auto"/>
            </w:tcBorders>
            <w:vAlign w:val="center"/>
          </w:tcPr>
          <w:p w14:paraId="7B9C3FAD" w14:textId="77777777" w:rsidR="007B3DB2" w:rsidRPr="0063248C" w:rsidRDefault="00000000">
            <w:pPr>
              <w:spacing w:line="240" w:lineRule="exact"/>
              <w:jc w:val="right"/>
              <w:rPr>
                <w:rFonts w:cs="宋体"/>
                <w:sz w:val="18"/>
                <w:szCs w:val="18"/>
              </w:rPr>
            </w:pPr>
            <w:r w:rsidRPr="0063248C">
              <w:rPr>
                <w:rFonts w:cs="宋体"/>
                <w:sz w:val="18"/>
                <w:szCs w:val="18"/>
              </w:rPr>
              <w:t>-11,777,820.33</w:t>
            </w:r>
          </w:p>
        </w:tc>
        <w:tc>
          <w:tcPr>
            <w:tcW w:w="819" w:type="dxa"/>
            <w:tcBorders>
              <w:top w:val="single" w:sz="2" w:space="0" w:color="auto"/>
              <w:left w:val="single" w:sz="2" w:space="0" w:color="auto"/>
              <w:bottom w:val="single" w:sz="2" w:space="0" w:color="auto"/>
              <w:right w:val="single" w:sz="2" w:space="0" w:color="auto"/>
            </w:tcBorders>
            <w:vAlign w:val="center"/>
          </w:tcPr>
          <w:p w14:paraId="3443BBAC"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258377A6"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819" w:type="dxa"/>
            <w:tcBorders>
              <w:top w:val="single" w:sz="2" w:space="0" w:color="auto"/>
              <w:left w:val="single" w:sz="2" w:space="0" w:color="auto"/>
              <w:bottom w:val="single" w:sz="2" w:space="0" w:color="auto"/>
              <w:right w:val="single" w:sz="2" w:space="0" w:color="auto"/>
            </w:tcBorders>
            <w:vAlign w:val="center"/>
          </w:tcPr>
          <w:p w14:paraId="3F91DDB1"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19" w:type="dxa"/>
            <w:tcBorders>
              <w:top w:val="single" w:sz="2" w:space="0" w:color="auto"/>
              <w:left w:val="single" w:sz="2" w:space="0" w:color="auto"/>
              <w:bottom w:val="single" w:sz="2" w:space="0" w:color="auto"/>
              <w:right w:val="single" w:sz="2" w:space="0" w:color="auto"/>
            </w:tcBorders>
            <w:vAlign w:val="center"/>
          </w:tcPr>
          <w:p w14:paraId="59F2A697" w14:textId="77777777" w:rsidR="007B3DB2" w:rsidRPr="0063248C" w:rsidRDefault="00000000">
            <w:pPr>
              <w:spacing w:line="240" w:lineRule="exact"/>
              <w:jc w:val="right"/>
              <w:rPr>
                <w:rFonts w:cs="宋体"/>
                <w:sz w:val="18"/>
                <w:szCs w:val="18"/>
              </w:rPr>
            </w:pPr>
            <w:r w:rsidRPr="0063248C">
              <w:rPr>
                <w:rFonts w:cs="宋体"/>
                <w:sz w:val="18"/>
                <w:szCs w:val="18"/>
              </w:rPr>
              <w:t>398,716,911.10</w:t>
            </w:r>
          </w:p>
        </w:tc>
        <w:tc>
          <w:tcPr>
            <w:tcW w:w="819" w:type="dxa"/>
            <w:tcBorders>
              <w:top w:val="single" w:sz="2" w:space="0" w:color="auto"/>
              <w:left w:val="single" w:sz="2" w:space="0" w:color="auto"/>
              <w:bottom w:val="single" w:sz="2" w:space="0" w:color="auto"/>
              <w:right w:val="single" w:sz="2" w:space="0" w:color="auto"/>
            </w:tcBorders>
            <w:vAlign w:val="center"/>
          </w:tcPr>
          <w:p w14:paraId="4CEDE026" w14:textId="77777777" w:rsidR="007B3DB2" w:rsidRPr="0063248C" w:rsidRDefault="007B3DB2">
            <w:pPr>
              <w:spacing w:line="240" w:lineRule="exact"/>
              <w:jc w:val="right"/>
              <w:rPr>
                <w:rFonts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CBCDDDB" w14:textId="77777777" w:rsidR="007B3DB2" w:rsidRPr="0063248C" w:rsidRDefault="00000000">
            <w:pPr>
              <w:spacing w:line="240" w:lineRule="exact"/>
              <w:jc w:val="right"/>
              <w:rPr>
                <w:rFonts w:cs="宋体"/>
                <w:sz w:val="18"/>
                <w:szCs w:val="18"/>
              </w:rPr>
            </w:pPr>
            <w:r w:rsidRPr="0063248C">
              <w:rPr>
                <w:rFonts w:cs="宋体"/>
                <w:sz w:val="18"/>
                <w:szCs w:val="18"/>
              </w:rPr>
              <w:t>2,631,762,262.39</w:t>
            </w:r>
          </w:p>
        </w:tc>
        <w:tc>
          <w:tcPr>
            <w:tcW w:w="819" w:type="dxa"/>
            <w:gridSpan w:val="2"/>
            <w:tcBorders>
              <w:top w:val="single" w:sz="2" w:space="0" w:color="auto"/>
              <w:left w:val="single" w:sz="2" w:space="0" w:color="auto"/>
              <w:bottom w:val="single" w:sz="2" w:space="0" w:color="auto"/>
              <w:right w:val="single" w:sz="2" w:space="0" w:color="auto"/>
            </w:tcBorders>
            <w:vAlign w:val="center"/>
          </w:tcPr>
          <w:p w14:paraId="54980269" w14:textId="77777777" w:rsidR="007B3DB2" w:rsidRPr="0063248C" w:rsidRDefault="00000000">
            <w:pPr>
              <w:spacing w:line="240" w:lineRule="exact"/>
              <w:jc w:val="right"/>
              <w:rPr>
                <w:rFonts w:cs="宋体"/>
                <w:sz w:val="18"/>
                <w:szCs w:val="18"/>
              </w:rPr>
            </w:pPr>
            <w:r w:rsidRPr="0063248C">
              <w:rPr>
                <w:rFonts w:cs="宋体"/>
                <w:sz w:val="18"/>
                <w:szCs w:val="18"/>
              </w:rPr>
              <w:t>142,604,924.60</w:t>
            </w:r>
          </w:p>
        </w:tc>
        <w:tc>
          <w:tcPr>
            <w:tcW w:w="828" w:type="dxa"/>
            <w:gridSpan w:val="2"/>
            <w:tcBorders>
              <w:top w:val="single" w:sz="2" w:space="0" w:color="auto"/>
              <w:left w:val="single" w:sz="2" w:space="0" w:color="auto"/>
              <w:bottom w:val="single" w:sz="2" w:space="0" w:color="auto"/>
              <w:right w:val="single" w:sz="2" w:space="0" w:color="auto"/>
            </w:tcBorders>
            <w:vAlign w:val="center"/>
          </w:tcPr>
          <w:p w14:paraId="66A1468A" w14:textId="77777777" w:rsidR="007B3DB2" w:rsidRPr="0063248C" w:rsidRDefault="00000000">
            <w:pPr>
              <w:spacing w:line="240" w:lineRule="exact"/>
              <w:jc w:val="right"/>
              <w:rPr>
                <w:rFonts w:cs="宋体"/>
                <w:sz w:val="18"/>
                <w:szCs w:val="18"/>
              </w:rPr>
            </w:pPr>
            <w:r w:rsidRPr="0063248C">
              <w:rPr>
                <w:rFonts w:cs="宋体"/>
                <w:sz w:val="18"/>
                <w:szCs w:val="18"/>
              </w:rPr>
              <w:t>2,774,367,186.99</w:t>
            </w:r>
          </w:p>
        </w:tc>
      </w:tr>
    </w:tbl>
    <w:p w14:paraId="54E54782" w14:textId="77777777" w:rsidR="007B3DB2" w:rsidRPr="0063248C" w:rsidRDefault="00000000">
      <w:pPr>
        <w:pStyle w:val="3"/>
        <w:spacing w:line="280" w:lineRule="exact"/>
        <w:jc w:val="left"/>
        <w:rPr>
          <w:rFonts w:cs="宋体"/>
          <w:b/>
          <w:bCs/>
        </w:rPr>
      </w:pPr>
      <w:bookmarkStart w:id="111" w:name="_Toc989000"/>
      <w:r w:rsidRPr="0063248C">
        <w:rPr>
          <w:rFonts w:cs="宋体"/>
          <w:b/>
          <w:bCs/>
        </w:rPr>
        <w:t>8</w:t>
      </w:r>
      <w:r w:rsidRPr="0063248C">
        <w:rPr>
          <w:rFonts w:cs="宋体"/>
          <w:b/>
          <w:bCs/>
        </w:rPr>
        <w:t>、母公司所有者权益变动表</w:t>
      </w:r>
      <w:bookmarkEnd w:id="111"/>
    </w:p>
    <w:p w14:paraId="7AF531F8" w14:textId="77777777" w:rsidR="007B3DB2" w:rsidRPr="0063248C" w:rsidRDefault="00000000">
      <w:pPr>
        <w:spacing w:before="100" w:after="100" w:line="240" w:lineRule="exact"/>
        <w:rPr>
          <w:rFonts w:cs="宋体"/>
          <w:sz w:val="18"/>
          <w:szCs w:val="18"/>
        </w:rPr>
      </w:pPr>
      <w:r w:rsidRPr="0063248C">
        <w:rPr>
          <w:rFonts w:cs="宋体"/>
          <w:sz w:val="18"/>
          <w:szCs w:val="18"/>
        </w:rPr>
        <w:t>本期金额</w:t>
      </w:r>
    </w:p>
    <w:p w14:paraId="2B8AFEF1"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1391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730"/>
        <w:gridCol w:w="1014"/>
        <w:gridCol w:w="800"/>
        <w:gridCol w:w="851"/>
        <w:gridCol w:w="992"/>
        <w:gridCol w:w="992"/>
        <w:gridCol w:w="1134"/>
        <w:gridCol w:w="1134"/>
        <w:gridCol w:w="709"/>
        <w:gridCol w:w="992"/>
        <w:gridCol w:w="1134"/>
        <w:gridCol w:w="1276"/>
        <w:gridCol w:w="1146"/>
        <w:gridCol w:w="7"/>
      </w:tblGrid>
      <w:tr w:rsidR="007B3DB2" w:rsidRPr="0063248C" w14:paraId="6369CEA8" w14:textId="77777777" w:rsidTr="00E92CF1">
        <w:trPr>
          <w:trHeight w:val="241"/>
        </w:trPr>
        <w:tc>
          <w:tcPr>
            <w:tcW w:w="173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63232B" w14:textId="77777777" w:rsidR="007B3DB2" w:rsidRPr="0063248C" w:rsidRDefault="00000000">
            <w:pPr>
              <w:spacing w:before="40" w:after="40" w:line="240" w:lineRule="exact"/>
              <w:jc w:val="center"/>
              <w:rPr>
                <w:rFonts w:cs="宋体"/>
                <w:sz w:val="18"/>
                <w:szCs w:val="18"/>
              </w:rPr>
            </w:pPr>
            <w:r w:rsidRPr="0063248C">
              <w:rPr>
                <w:rFonts w:cs="宋体"/>
                <w:sz w:val="18"/>
                <w:szCs w:val="18"/>
              </w:rPr>
              <w:lastRenderedPageBreak/>
              <w:t>项目</w:t>
            </w:r>
          </w:p>
        </w:tc>
        <w:tc>
          <w:tcPr>
            <w:tcW w:w="12181"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0C48E444" w14:textId="77777777" w:rsidR="007B3DB2" w:rsidRPr="0063248C" w:rsidRDefault="00000000">
            <w:pPr>
              <w:spacing w:before="40" w:after="40" w:line="240" w:lineRule="exact"/>
              <w:jc w:val="center"/>
              <w:rPr>
                <w:rFonts w:cs="宋体"/>
                <w:sz w:val="18"/>
                <w:szCs w:val="18"/>
              </w:rPr>
            </w:pPr>
            <w:r w:rsidRPr="0063248C">
              <w:rPr>
                <w:rFonts w:cs="宋体"/>
                <w:sz w:val="18"/>
                <w:szCs w:val="18"/>
              </w:rPr>
              <w:t>2024</w:t>
            </w:r>
            <w:r w:rsidRPr="0063248C">
              <w:rPr>
                <w:rFonts w:cs="宋体"/>
                <w:sz w:val="18"/>
                <w:szCs w:val="18"/>
              </w:rPr>
              <w:t>年半年度</w:t>
            </w:r>
          </w:p>
        </w:tc>
      </w:tr>
      <w:tr w:rsidR="00E92CF1" w:rsidRPr="0063248C" w14:paraId="4D293B60" w14:textId="77777777" w:rsidTr="00E92CF1">
        <w:trPr>
          <w:gridAfter w:val="1"/>
          <w:wAfter w:w="7" w:type="dxa"/>
          <w:trHeight w:val="241"/>
        </w:trPr>
        <w:tc>
          <w:tcPr>
            <w:tcW w:w="173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D29E795" w14:textId="77777777" w:rsidR="007B3DB2" w:rsidRPr="0063248C" w:rsidRDefault="007B3DB2"/>
        </w:tc>
        <w:tc>
          <w:tcPr>
            <w:tcW w:w="101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BA63630" w14:textId="77777777" w:rsidR="007B3DB2" w:rsidRPr="0063248C" w:rsidRDefault="00000000">
            <w:pPr>
              <w:spacing w:before="40" w:after="40" w:line="240" w:lineRule="exact"/>
              <w:jc w:val="center"/>
              <w:rPr>
                <w:rFonts w:cs="宋体"/>
                <w:sz w:val="18"/>
                <w:szCs w:val="18"/>
              </w:rPr>
            </w:pPr>
            <w:r w:rsidRPr="0063248C">
              <w:rPr>
                <w:rFonts w:cs="宋体"/>
                <w:sz w:val="18"/>
                <w:szCs w:val="18"/>
              </w:rPr>
              <w:t>股本</w:t>
            </w:r>
          </w:p>
        </w:tc>
        <w:tc>
          <w:tcPr>
            <w:tcW w:w="264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279C168"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其他权益工具</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3FD70E7" w14:textId="77777777" w:rsidR="007B3DB2" w:rsidRPr="0063248C" w:rsidRDefault="00000000">
            <w:pPr>
              <w:spacing w:before="40" w:after="40" w:line="240" w:lineRule="exact"/>
              <w:jc w:val="center"/>
              <w:rPr>
                <w:rFonts w:cs="宋体"/>
                <w:sz w:val="18"/>
                <w:szCs w:val="18"/>
              </w:rPr>
            </w:pPr>
            <w:r w:rsidRPr="0063248C">
              <w:rPr>
                <w:rFonts w:cs="宋体"/>
                <w:sz w:val="18"/>
                <w:szCs w:val="18"/>
              </w:rPr>
              <w:t>资本公积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E0F149"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减：库存股</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C954D2B"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其他综合收益</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BE47AF" w14:textId="77777777" w:rsidR="007B3DB2" w:rsidRPr="0063248C" w:rsidRDefault="00000000">
            <w:pPr>
              <w:spacing w:before="40" w:after="40" w:line="240" w:lineRule="exact"/>
              <w:jc w:val="center"/>
              <w:rPr>
                <w:rFonts w:cs="宋体"/>
                <w:sz w:val="18"/>
                <w:szCs w:val="18"/>
              </w:rPr>
            </w:pPr>
            <w:r w:rsidRPr="0063248C">
              <w:rPr>
                <w:rFonts w:cs="宋体"/>
                <w:sz w:val="18"/>
                <w:szCs w:val="18"/>
              </w:rPr>
              <w:t>专项储备</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D0CEFB" w14:textId="77777777" w:rsidR="007B3DB2" w:rsidRPr="0063248C" w:rsidRDefault="00000000">
            <w:pPr>
              <w:spacing w:before="40" w:after="40" w:line="240" w:lineRule="exact"/>
              <w:jc w:val="center"/>
              <w:rPr>
                <w:rFonts w:cs="宋体"/>
                <w:sz w:val="18"/>
                <w:szCs w:val="18"/>
              </w:rPr>
            </w:pPr>
            <w:r w:rsidRPr="0063248C">
              <w:rPr>
                <w:rFonts w:cs="宋体"/>
                <w:sz w:val="18"/>
                <w:szCs w:val="18"/>
              </w:rPr>
              <w:t>盈余公积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1A134D3" w14:textId="77777777" w:rsidR="007B3DB2" w:rsidRPr="0063248C" w:rsidRDefault="00000000">
            <w:pPr>
              <w:spacing w:before="40" w:after="40" w:line="240" w:lineRule="exact"/>
              <w:jc w:val="center"/>
              <w:rPr>
                <w:rFonts w:cs="宋体"/>
                <w:sz w:val="18"/>
                <w:szCs w:val="18"/>
              </w:rPr>
            </w:pPr>
            <w:r w:rsidRPr="0063248C">
              <w:rPr>
                <w:rFonts w:cs="宋体"/>
                <w:sz w:val="18"/>
                <w:szCs w:val="18"/>
              </w:rPr>
              <w:t>未分配利润</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0743A9F"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114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5F9D9E7" w14:textId="77777777" w:rsidR="007B3DB2" w:rsidRPr="0063248C" w:rsidRDefault="00000000">
            <w:pPr>
              <w:spacing w:before="40" w:after="40" w:line="240" w:lineRule="exact"/>
              <w:jc w:val="center"/>
              <w:rPr>
                <w:rFonts w:cs="宋体"/>
                <w:sz w:val="18"/>
                <w:szCs w:val="18"/>
              </w:rPr>
            </w:pPr>
            <w:r w:rsidRPr="0063248C">
              <w:rPr>
                <w:rFonts w:cs="宋体"/>
                <w:sz w:val="18"/>
                <w:szCs w:val="18"/>
              </w:rPr>
              <w:t>所有者权益合计</w:t>
            </w:r>
          </w:p>
        </w:tc>
      </w:tr>
      <w:tr w:rsidR="00E92CF1" w:rsidRPr="0063248C" w14:paraId="6057FEFB" w14:textId="77777777" w:rsidTr="00E92CF1">
        <w:trPr>
          <w:gridAfter w:val="1"/>
          <w:wAfter w:w="7" w:type="dxa"/>
          <w:trHeight w:val="241"/>
        </w:trPr>
        <w:tc>
          <w:tcPr>
            <w:tcW w:w="173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1D79E27" w14:textId="77777777" w:rsidR="007B3DB2" w:rsidRPr="0063248C" w:rsidRDefault="007B3DB2"/>
        </w:tc>
        <w:tc>
          <w:tcPr>
            <w:tcW w:w="101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7DB1490" w14:textId="77777777" w:rsidR="007B3DB2" w:rsidRPr="0063248C" w:rsidRDefault="007B3DB2"/>
        </w:tc>
        <w:tc>
          <w:tcPr>
            <w:tcW w:w="800" w:type="dxa"/>
            <w:tcBorders>
              <w:top w:val="single" w:sz="2" w:space="0" w:color="auto"/>
              <w:left w:val="single" w:sz="2" w:space="0" w:color="auto"/>
              <w:bottom w:val="single" w:sz="2" w:space="0" w:color="auto"/>
              <w:right w:val="single" w:sz="2" w:space="0" w:color="auto"/>
            </w:tcBorders>
            <w:shd w:val="clear" w:color="auto" w:fill="D3D3D3"/>
            <w:vAlign w:val="center"/>
          </w:tcPr>
          <w:p w14:paraId="7AB09C58" w14:textId="77777777" w:rsidR="007B3DB2" w:rsidRPr="0063248C" w:rsidRDefault="00000000">
            <w:pPr>
              <w:spacing w:before="40" w:after="40" w:line="240" w:lineRule="exact"/>
              <w:jc w:val="center"/>
              <w:rPr>
                <w:rFonts w:cs="宋体"/>
                <w:sz w:val="18"/>
                <w:szCs w:val="18"/>
              </w:rPr>
            </w:pPr>
            <w:r w:rsidRPr="0063248C">
              <w:rPr>
                <w:rFonts w:cs="宋体"/>
                <w:sz w:val="18"/>
                <w:szCs w:val="18"/>
              </w:rPr>
              <w:t>优先股</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646AD979" w14:textId="77777777" w:rsidR="007B3DB2" w:rsidRPr="0063248C" w:rsidRDefault="00000000">
            <w:pPr>
              <w:spacing w:before="40" w:after="40" w:line="240" w:lineRule="exact"/>
              <w:jc w:val="center"/>
              <w:rPr>
                <w:rFonts w:cs="宋体"/>
                <w:sz w:val="18"/>
                <w:szCs w:val="18"/>
              </w:rPr>
            </w:pPr>
            <w:r w:rsidRPr="0063248C">
              <w:rPr>
                <w:rFonts w:cs="宋体"/>
                <w:sz w:val="18"/>
                <w:szCs w:val="18"/>
              </w:rPr>
              <w:t>永续债</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7225DA62"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137E33B" w14:textId="77777777" w:rsidR="007B3DB2" w:rsidRPr="0063248C" w:rsidRDefault="007B3DB2"/>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150B33" w14:textId="77777777" w:rsidR="007B3DB2" w:rsidRPr="0063248C" w:rsidRDefault="007B3DB2"/>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5B8947" w14:textId="77777777" w:rsidR="007B3DB2" w:rsidRPr="0063248C" w:rsidRDefault="007B3DB2"/>
        </w:tc>
        <w:tc>
          <w:tcPr>
            <w:tcW w:w="709" w:type="dxa"/>
            <w:vMerge/>
            <w:tcBorders>
              <w:top w:val="single" w:sz="2" w:space="0" w:color="auto"/>
              <w:left w:val="single" w:sz="2" w:space="0" w:color="auto"/>
              <w:bottom w:val="single" w:sz="2" w:space="0" w:color="auto"/>
              <w:right w:val="single" w:sz="2" w:space="0" w:color="auto"/>
            </w:tcBorders>
            <w:vAlign w:val="center"/>
          </w:tcPr>
          <w:p w14:paraId="54AE5C42" w14:textId="77777777" w:rsidR="007B3DB2" w:rsidRPr="0063248C" w:rsidRDefault="007B3DB2"/>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016264B" w14:textId="77777777" w:rsidR="007B3DB2" w:rsidRPr="0063248C" w:rsidRDefault="007B3DB2"/>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CC7EEAD" w14:textId="77777777" w:rsidR="007B3DB2" w:rsidRPr="0063248C" w:rsidRDefault="007B3DB2"/>
        </w:tc>
        <w:tc>
          <w:tcPr>
            <w:tcW w:w="1276" w:type="dxa"/>
            <w:vMerge/>
            <w:tcBorders>
              <w:top w:val="single" w:sz="2" w:space="0" w:color="auto"/>
              <w:left w:val="single" w:sz="2" w:space="0" w:color="auto"/>
              <w:bottom w:val="single" w:sz="2" w:space="0" w:color="auto"/>
              <w:right w:val="single" w:sz="2" w:space="0" w:color="auto"/>
            </w:tcBorders>
            <w:vAlign w:val="center"/>
          </w:tcPr>
          <w:p w14:paraId="0D1C3E1D" w14:textId="77777777" w:rsidR="007B3DB2" w:rsidRPr="0063248C" w:rsidRDefault="007B3DB2"/>
        </w:tc>
        <w:tc>
          <w:tcPr>
            <w:tcW w:w="114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F879B28" w14:textId="77777777" w:rsidR="007B3DB2" w:rsidRPr="0063248C" w:rsidRDefault="007B3DB2"/>
        </w:tc>
      </w:tr>
      <w:tr w:rsidR="00E92CF1" w:rsidRPr="0063248C" w14:paraId="3019D5D9"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2ADDDEE4" w14:textId="77777777" w:rsidR="007B3DB2" w:rsidRPr="0063248C" w:rsidRDefault="00000000">
            <w:pPr>
              <w:spacing w:before="40" w:after="40" w:line="240" w:lineRule="exact"/>
              <w:rPr>
                <w:rFonts w:cs="宋体"/>
                <w:sz w:val="18"/>
                <w:szCs w:val="18"/>
              </w:rPr>
            </w:pPr>
            <w:r w:rsidRPr="0063248C">
              <w:rPr>
                <w:rFonts w:cs="宋体"/>
                <w:sz w:val="18"/>
                <w:szCs w:val="18"/>
              </w:rPr>
              <w:t>一、上年期末余额</w:t>
            </w:r>
          </w:p>
        </w:tc>
        <w:tc>
          <w:tcPr>
            <w:tcW w:w="1014" w:type="dxa"/>
            <w:tcBorders>
              <w:top w:val="single" w:sz="2" w:space="0" w:color="auto"/>
              <w:left w:val="single" w:sz="2" w:space="0" w:color="auto"/>
              <w:bottom w:val="single" w:sz="2" w:space="0" w:color="auto"/>
              <w:right w:val="single" w:sz="2" w:space="0" w:color="auto"/>
            </w:tcBorders>
            <w:vAlign w:val="center"/>
          </w:tcPr>
          <w:p w14:paraId="1CBCA666" w14:textId="77777777" w:rsidR="007B3DB2" w:rsidRPr="0063248C" w:rsidRDefault="00000000">
            <w:pPr>
              <w:spacing w:line="240" w:lineRule="exact"/>
              <w:jc w:val="right"/>
              <w:rPr>
                <w:rFonts w:cs="宋体"/>
                <w:sz w:val="18"/>
                <w:szCs w:val="18"/>
              </w:rPr>
            </w:pPr>
            <w:r w:rsidRPr="0063248C">
              <w:rPr>
                <w:rFonts w:cs="宋体"/>
                <w:sz w:val="18"/>
                <w:szCs w:val="18"/>
              </w:rPr>
              <w:t>1,079,159,832.00</w:t>
            </w:r>
          </w:p>
        </w:tc>
        <w:tc>
          <w:tcPr>
            <w:tcW w:w="800" w:type="dxa"/>
            <w:tcBorders>
              <w:top w:val="single" w:sz="2" w:space="0" w:color="auto"/>
              <w:left w:val="single" w:sz="2" w:space="0" w:color="auto"/>
              <w:bottom w:val="single" w:sz="2" w:space="0" w:color="auto"/>
              <w:right w:val="single" w:sz="2" w:space="0" w:color="auto"/>
            </w:tcBorders>
            <w:vAlign w:val="center"/>
          </w:tcPr>
          <w:p w14:paraId="0C485B2B"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14:paraId="4EDE385E"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3E254D62" w14:textId="77777777" w:rsidR="007B3DB2" w:rsidRPr="0063248C" w:rsidRDefault="00000000">
            <w:pPr>
              <w:spacing w:line="240" w:lineRule="exact"/>
              <w:jc w:val="right"/>
              <w:rPr>
                <w:rFonts w:cs="宋体"/>
                <w:sz w:val="18"/>
                <w:szCs w:val="18"/>
              </w:rPr>
            </w:pPr>
            <w:r w:rsidRPr="0063248C">
              <w:rPr>
                <w:rFonts w:cs="宋体"/>
                <w:sz w:val="18"/>
                <w:szCs w:val="18"/>
              </w:rPr>
              <w:t>171,570,881.98</w:t>
            </w:r>
          </w:p>
        </w:tc>
        <w:tc>
          <w:tcPr>
            <w:tcW w:w="992" w:type="dxa"/>
            <w:tcBorders>
              <w:top w:val="single" w:sz="2" w:space="0" w:color="auto"/>
              <w:left w:val="single" w:sz="2" w:space="0" w:color="auto"/>
              <w:bottom w:val="single" w:sz="2" w:space="0" w:color="auto"/>
              <w:right w:val="single" w:sz="2" w:space="0" w:color="auto"/>
            </w:tcBorders>
            <w:vAlign w:val="center"/>
          </w:tcPr>
          <w:p w14:paraId="38167D45" w14:textId="77777777" w:rsidR="007B3DB2" w:rsidRPr="0063248C" w:rsidRDefault="00000000">
            <w:pPr>
              <w:spacing w:line="240" w:lineRule="exact"/>
              <w:jc w:val="right"/>
              <w:rPr>
                <w:rFonts w:cs="宋体"/>
                <w:sz w:val="18"/>
                <w:szCs w:val="18"/>
              </w:rPr>
            </w:pPr>
            <w:r w:rsidRPr="0063248C">
              <w:rPr>
                <w:rFonts w:cs="宋体"/>
                <w:sz w:val="18"/>
                <w:szCs w:val="18"/>
              </w:rPr>
              <w:t>830,435,511.92</w:t>
            </w:r>
          </w:p>
        </w:tc>
        <w:tc>
          <w:tcPr>
            <w:tcW w:w="1134" w:type="dxa"/>
            <w:tcBorders>
              <w:top w:val="single" w:sz="2" w:space="0" w:color="auto"/>
              <w:left w:val="single" w:sz="2" w:space="0" w:color="auto"/>
              <w:bottom w:val="single" w:sz="2" w:space="0" w:color="auto"/>
              <w:right w:val="single" w:sz="2" w:space="0" w:color="auto"/>
            </w:tcBorders>
            <w:vAlign w:val="center"/>
          </w:tcPr>
          <w:p w14:paraId="51D0A3A5"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c>
          <w:tcPr>
            <w:tcW w:w="1134" w:type="dxa"/>
            <w:tcBorders>
              <w:top w:val="single" w:sz="2" w:space="0" w:color="auto"/>
              <w:left w:val="single" w:sz="2" w:space="0" w:color="auto"/>
              <w:bottom w:val="single" w:sz="2" w:space="0" w:color="auto"/>
              <w:right w:val="single" w:sz="2" w:space="0" w:color="auto"/>
            </w:tcBorders>
            <w:vAlign w:val="center"/>
          </w:tcPr>
          <w:p w14:paraId="4C22DA24"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c>
          <w:tcPr>
            <w:tcW w:w="709" w:type="dxa"/>
            <w:tcBorders>
              <w:top w:val="single" w:sz="2" w:space="0" w:color="auto"/>
              <w:left w:val="single" w:sz="2" w:space="0" w:color="auto"/>
              <w:bottom w:val="single" w:sz="2" w:space="0" w:color="auto"/>
              <w:right w:val="single" w:sz="2" w:space="0" w:color="auto"/>
            </w:tcBorders>
            <w:vAlign w:val="center"/>
          </w:tcPr>
          <w:p w14:paraId="701771D0"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4E76377E"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1134" w:type="dxa"/>
            <w:tcBorders>
              <w:top w:val="single" w:sz="2" w:space="0" w:color="auto"/>
              <w:left w:val="single" w:sz="2" w:space="0" w:color="auto"/>
              <w:bottom w:val="single" w:sz="2" w:space="0" w:color="auto"/>
              <w:right w:val="single" w:sz="2" w:space="0" w:color="auto"/>
            </w:tcBorders>
            <w:vAlign w:val="center"/>
          </w:tcPr>
          <w:p w14:paraId="283BAB3A" w14:textId="77777777" w:rsidR="007B3DB2" w:rsidRPr="0063248C" w:rsidRDefault="00000000">
            <w:pPr>
              <w:spacing w:line="240" w:lineRule="exact"/>
              <w:jc w:val="right"/>
              <w:rPr>
                <w:rFonts w:cs="宋体"/>
                <w:sz w:val="18"/>
                <w:szCs w:val="18"/>
              </w:rPr>
            </w:pPr>
            <w:r w:rsidRPr="0063248C">
              <w:rPr>
                <w:rFonts w:cs="宋体"/>
                <w:sz w:val="18"/>
                <w:szCs w:val="18"/>
              </w:rPr>
              <w:t>-810,843,308.94</w:t>
            </w:r>
          </w:p>
        </w:tc>
        <w:tc>
          <w:tcPr>
            <w:tcW w:w="1276" w:type="dxa"/>
            <w:tcBorders>
              <w:top w:val="single" w:sz="2" w:space="0" w:color="auto"/>
              <w:left w:val="single" w:sz="2" w:space="0" w:color="auto"/>
              <w:bottom w:val="single" w:sz="2" w:space="0" w:color="auto"/>
              <w:right w:val="single" w:sz="2" w:space="0" w:color="auto"/>
            </w:tcBorders>
            <w:vAlign w:val="center"/>
          </w:tcPr>
          <w:p w14:paraId="14248A5E"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58DCF7C3" w14:textId="77777777" w:rsidR="007B3DB2" w:rsidRPr="0063248C" w:rsidRDefault="00000000">
            <w:pPr>
              <w:spacing w:line="240" w:lineRule="exact"/>
              <w:jc w:val="right"/>
              <w:rPr>
                <w:rFonts w:cs="宋体"/>
                <w:sz w:val="18"/>
                <w:szCs w:val="18"/>
              </w:rPr>
            </w:pPr>
            <w:r w:rsidRPr="0063248C">
              <w:rPr>
                <w:rFonts w:cs="宋体"/>
                <w:sz w:val="18"/>
                <w:szCs w:val="18"/>
              </w:rPr>
              <w:t>1,191,915,762.83</w:t>
            </w:r>
          </w:p>
        </w:tc>
      </w:tr>
      <w:tr w:rsidR="00E92CF1" w:rsidRPr="0063248C" w14:paraId="378383E3"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6A2DAFC9"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加：会计政策变更</w:t>
            </w:r>
          </w:p>
        </w:tc>
        <w:tc>
          <w:tcPr>
            <w:tcW w:w="1014" w:type="dxa"/>
            <w:tcBorders>
              <w:top w:val="single" w:sz="2" w:space="0" w:color="auto"/>
              <w:left w:val="single" w:sz="2" w:space="0" w:color="auto"/>
              <w:bottom w:val="single" w:sz="2" w:space="0" w:color="auto"/>
              <w:right w:val="single" w:sz="2" w:space="0" w:color="auto"/>
            </w:tcBorders>
            <w:vAlign w:val="center"/>
          </w:tcPr>
          <w:p w14:paraId="75BD9692"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0546561B"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661EF0C"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61C83C4"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EF7B8F7"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07FAF7F"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D7C9E2F"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0CD6570"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2B956F9"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B4A6DC4"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161D3D7"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3108BE91" w14:textId="77777777" w:rsidR="007B3DB2" w:rsidRPr="0063248C" w:rsidRDefault="007B3DB2">
            <w:pPr>
              <w:spacing w:line="240" w:lineRule="exact"/>
              <w:jc w:val="right"/>
              <w:rPr>
                <w:rFonts w:cs="宋体"/>
                <w:sz w:val="18"/>
                <w:szCs w:val="18"/>
              </w:rPr>
            </w:pPr>
          </w:p>
        </w:tc>
      </w:tr>
      <w:tr w:rsidR="00E92CF1" w:rsidRPr="0063248C" w14:paraId="2B56FFF9"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4B6772AE"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前期差错更正</w:t>
            </w:r>
          </w:p>
        </w:tc>
        <w:tc>
          <w:tcPr>
            <w:tcW w:w="1014" w:type="dxa"/>
            <w:tcBorders>
              <w:top w:val="single" w:sz="2" w:space="0" w:color="auto"/>
              <w:left w:val="single" w:sz="2" w:space="0" w:color="auto"/>
              <w:bottom w:val="single" w:sz="2" w:space="0" w:color="auto"/>
              <w:right w:val="single" w:sz="2" w:space="0" w:color="auto"/>
            </w:tcBorders>
            <w:vAlign w:val="center"/>
          </w:tcPr>
          <w:p w14:paraId="5AA76788"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633BC2F1"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6B27F08"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8C00377"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951B07D"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DEC9775"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87B3A7F"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A7FEF8F"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915F71F"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AB6469E"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DBFD386"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13227108" w14:textId="77777777" w:rsidR="007B3DB2" w:rsidRPr="0063248C" w:rsidRDefault="007B3DB2">
            <w:pPr>
              <w:spacing w:line="240" w:lineRule="exact"/>
              <w:jc w:val="right"/>
              <w:rPr>
                <w:rFonts w:cs="宋体"/>
                <w:sz w:val="18"/>
                <w:szCs w:val="18"/>
              </w:rPr>
            </w:pPr>
          </w:p>
        </w:tc>
      </w:tr>
      <w:tr w:rsidR="00E92CF1" w:rsidRPr="0063248C" w14:paraId="4E92898D"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43A6B28C"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其他</w:t>
            </w:r>
          </w:p>
        </w:tc>
        <w:tc>
          <w:tcPr>
            <w:tcW w:w="1014" w:type="dxa"/>
            <w:tcBorders>
              <w:top w:val="single" w:sz="2" w:space="0" w:color="auto"/>
              <w:left w:val="single" w:sz="2" w:space="0" w:color="auto"/>
              <w:bottom w:val="single" w:sz="2" w:space="0" w:color="auto"/>
              <w:right w:val="single" w:sz="2" w:space="0" w:color="auto"/>
            </w:tcBorders>
            <w:vAlign w:val="center"/>
          </w:tcPr>
          <w:p w14:paraId="6D1C7C73"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78DF2E93"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50AC5B3"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94F2717"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C9B66A2"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0BD476B"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869A34C"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7AA62C4"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E9BCFF8"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A8643F8"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BEA69FF"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3AF11A81" w14:textId="77777777" w:rsidR="007B3DB2" w:rsidRPr="0063248C" w:rsidRDefault="007B3DB2">
            <w:pPr>
              <w:spacing w:line="240" w:lineRule="exact"/>
              <w:jc w:val="right"/>
              <w:rPr>
                <w:rFonts w:cs="宋体"/>
                <w:sz w:val="18"/>
                <w:szCs w:val="18"/>
              </w:rPr>
            </w:pPr>
          </w:p>
        </w:tc>
      </w:tr>
      <w:tr w:rsidR="00E92CF1" w:rsidRPr="0063248C" w14:paraId="29BC82D0"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66B3B306" w14:textId="77777777" w:rsidR="007B3DB2" w:rsidRPr="0063248C" w:rsidRDefault="00000000">
            <w:pPr>
              <w:spacing w:before="40" w:after="40" w:line="240" w:lineRule="exact"/>
              <w:rPr>
                <w:rFonts w:cs="宋体"/>
                <w:sz w:val="18"/>
                <w:szCs w:val="18"/>
              </w:rPr>
            </w:pPr>
            <w:r w:rsidRPr="0063248C">
              <w:rPr>
                <w:rFonts w:cs="宋体"/>
                <w:sz w:val="18"/>
                <w:szCs w:val="18"/>
              </w:rPr>
              <w:t>二、本年期初余额</w:t>
            </w:r>
          </w:p>
        </w:tc>
        <w:tc>
          <w:tcPr>
            <w:tcW w:w="1014" w:type="dxa"/>
            <w:tcBorders>
              <w:top w:val="single" w:sz="2" w:space="0" w:color="auto"/>
              <w:left w:val="single" w:sz="2" w:space="0" w:color="auto"/>
              <w:bottom w:val="single" w:sz="2" w:space="0" w:color="auto"/>
              <w:right w:val="single" w:sz="2" w:space="0" w:color="auto"/>
            </w:tcBorders>
            <w:vAlign w:val="center"/>
          </w:tcPr>
          <w:p w14:paraId="16E7CDFD" w14:textId="77777777" w:rsidR="007B3DB2" w:rsidRPr="0063248C" w:rsidRDefault="00000000">
            <w:pPr>
              <w:spacing w:line="240" w:lineRule="exact"/>
              <w:jc w:val="right"/>
              <w:rPr>
                <w:rFonts w:cs="宋体"/>
                <w:sz w:val="18"/>
                <w:szCs w:val="18"/>
              </w:rPr>
            </w:pPr>
            <w:r w:rsidRPr="0063248C">
              <w:rPr>
                <w:rFonts w:cs="宋体"/>
                <w:sz w:val="18"/>
                <w:szCs w:val="18"/>
              </w:rPr>
              <w:t>1,079,159,832.00</w:t>
            </w:r>
          </w:p>
        </w:tc>
        <w:tc>
          <w:tcPr>
            <w:tcW w:w="800" w:type="dxa"/>
            <w:tcBorders>
              <w:top w:val="single" w:sz="2" w:space="0" w:color="auto"/>
              <w:left w:val="single" w:sz="2" w:space="0" w:color="auto"/>
              <w:bottom w:val="single" w:sz="2" w:space="0" w:color="auto"/>
              <w:right w:val="single" w:sz="2" w:space="0" w:color="auto"/>
            </w:tcBorders>
            <w:vAlign w:val="center"/>
          </w:tcPr>
          <w:p w14:paraId="55D63076"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14:paraId="150DF8A2"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5408298E" w14:textId="77777777" w:rsidR="007B3DB2" w:rsidRPr="0063248C" w:rsidRDefault="00000000">
            <w:pPr>
              <w:spacing w:line="240" w:lineRule="exact"/>
              <w:jc w:val="right"/>
              <w:rPr>
                <w:rFonts w:cs="宋体"/>
                <w:sz w:val="18"/>
                <w:szCs w:val="18"/>
              </w:rPr>
            </w:pPr>
            <w:r w:rsidRPr="0063248C">
              <w:rPr>
                <w:rFonts w:cs="宋体"/>
                <w:sz w:val="18"/>
                <w:szCs w:val="18"/>
              </w:rPr>
              <w:t>171,570,881.98</w:t>
            </w:r>
          </w:p>
        </w:tc>
        <w:tc>
          <w:tcPr>
            <w:tcW w:w="992" w:type="dxa"/>
            <w:tcBorders>
              <w:top w:val="single" w:sz="2" w:space="0" w:color="auto"/>
              <w:left w:val="single" w:sz="2" w:space="0" w:color="auto"/>
              <w:bottom w:val="single" w:sz="2" w:space="0" w:color="auto"/>
              <w:right w:val="single" w:sz="2" w:space="0" w:color="auto"/>
            </w:tcBorders>
            <w:vAlign w:val="center"/>
          </w:tcPr>
          <w:p w14:paraId="582F0A18" w14:textId="77777777" w:rsidR="007B3DB2" w:rsidRPr="0063248C" w:rsidRDefault="00000000">
            <w:pPr>
              <w:spacing w:line="240" w:lineRule="exact"/>
              <w:jc w:val="right"/>
              <w:rPr>
                <w:rFonts w:cs="宋体"/>
                <w:sz w:val="18"/>
                <w:szCs w:val="18"/>
              </w:rPr>
            </w:pPr>
            <w:r w:rsidRPr="0063248C">
              <w:rPr>
                <w:rFonts w:cs="宋体"/>
                <w:sz w:val="18"/>
                <w:szCs w:val="18"/>
              </w:rPr>
              <w:t>830,435,511.92</w:t>
            </w:r>
          </w:p>
        </w:tc>
        <w:tc>
          <w:tcPr>
            <w:tcW w:w="1134" w:type="dxa"/>
            <w:tcBorders>
              <w:top w:val="single" w:sz="2" w:space="0" w:color="auto"/>
              <w:left w:val="single" w:sz="2" w:space="0" w:color="auto"/>
              <w:bottom w:val="single" w:sz="2" w:space="0" w:color="auto"/>
              <w:right w:val="single" w:sz="2" w:space="0" w:color="auto"/>
            </w:tcBorders>
            <w:vAlign w:val="center"/>
          </w:tcPr>
          <w:p w14:paraId="1FA32EEF"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c>
          <w:tcPr>
            <w:tcW w:w="1134" w:type="dxa"/>
            <w:tcBorders>
              <w:top w:val="single" w:sz="2" w:space="0" w:color="auto"/>
              <w:left w:val="single" w:sz="2" w:space="0" w:color="auto"/>
              <w:bottom w:val="single" w:sz="2" w:space="0" w:color="auto"/>
              <w:right w:val="single" w:sz="2" w:space="0" w:color="auto"/>
            </w:tcBorders>
            <w:vAlign w:val="center"/>
          </w:tcPr>
          <w:p w14:paraId="524C5619"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c>
          <w:tcPr>
            <w:tcW w:w="709" w:type="dxa"/>
            <w:tcBorders>
              <w:top w:val="single" w:sz="2" w:space="0" w:color="auto"/>
              <w:left w:val="single" w:sz="2" w:space="0" w:color="auto"/>
              <w:bottom w:val="single" w:sz="2" w:space="0" w:color="auto"/>
              <w:right w:val="single" w:sz="2" w:space="0" w:color="auto"/>
            </w:tcBorders>
            <w:vAlign w:val="center"/>
          </w:tcPr>
          <w:p w14:paraId="558FDDA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0B37A1C5"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1134" w:type="dxa"/>
            <w:tcBorders>
              <w:top w:val="single" w:sz="2" w:space="0" w:color="auto"/>
              <w:left w:val="single" w:sz="2" w:space="0" w:color="auto"/>
              <w:bottom w:val="single" w:sz="2" w:space="0" w:color="auto"/>
              <w:right w:val="single" w:sz="2" w:space="0" w:color="auto"/>
            </w:tcBorders>
            <w:vAlign w:val="center"/>
          </w:tcPr>
          <w:p w14:paraId="7045C254" w14:textId="77777777" w:rsidR="007B3DB2" w:rsidRPr="0063248C" w:rsidRDefault="00000000">
            <w:pPr>
              <w:spacing w:line="240" w:lineRule="exact"/>
              <w:jc w:val="right"/>
              <w:rPr>
                <w:rFonts w:cs="宋体"/>
                <w:sz w:val="18"/>
                <w:szCs w:val="18"/>
              </w:rPr>
            </w:pPr>
            <w:r w:rsidRPr="0063248C">
              <w:rPr>
                <w:rFonts w:cs="宋体"/>
                <w:sz w:val="18"/>
                <w:szCs w:val="18"/>
              </w:rPr>
              <w:t>-810,843,308.94</w:t>
            </w:r>
          </w:p>
        </w:tc>
        <w:tc>
          <w:tcPr>
            <w:tcW w:w="1276" w:type="dxa"/>
            <w:tcBorders>
              <w:top w:val="single" w:sz="2" w:space="0" w:color="auto"/>
              <w:left w:val="single" w:sz="2" w:space="0" w:color="auto"/>
              <w:bottom w:val="single" w:sz="2" w:space="0" w:color="auto"/>
              <w:right w:val="single" w:sz="2" w:space="0" w:color="auto"/>
            </w:tcBorders>
            <w:vAlign w:val="center"/>
          </w:tcPr>
          <w:p w14:paraId="3F3D0075"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224770BB" w14:textId="77777777" w:rsidR="007B3DB2" w:rsidRPr="0063248C" w:rsidRDefault="00000000">
            <w:pPr>
              <w:spacing w:line="240" w:lineRule="exact"/>
              <w:jc w:val="right"/>
              <w:rPr>
                <w:rFonts w:cs="宋体"/>
                <w:sz w:val="18"/>
                <w:szCs w:val="18"/>
              </w:rPr>
            </w:pPr>
            <w:r w:rsidRPr="0063248C">
              <w:rPr>
                <w:rFonts w:cs="宋体"/>
                <w:sz w:val="18"/>
                <w:szCs w:val="18"/>
              </w:rPr>
              <w:t>1,191,915,762.83</w:t>
            </w:r>
          </w:p>
        </w:tc>
      </w:tr>
      <w:tr w:rsidR="00E92CF1" w:rsidRPr="0063248C" w14:paraId="4D916033"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3FF326FA" w14:textId="77777777" w:rsidR="007B3DB2" w:rsidRPr="0063248C" w:rsidRDefault="00000000">
            <w:pPr>
              <w:spacing w:before="40" w:after="40" w:line="240" w:lineRule="exact"/>
              <w:rPr>
                <w:rFonts w:cs="宋体"/>
                <w:sz w:val="18"/>
                <w:szCs w:val="18"/>
              </w:rPr>
            </w:pPr>
            <w:r w:rsidRPr="0063248C">
              <w:rPr>
                <w:rFonts w:cs="宋体"/>
                <w:sz w:val="18"/>
                <w:szCs w:val="18"/>
              </w:rPr>
              <w:t>三、本期增减变动金额（减少以</w:t>
            </w:r>
            <w:r w:rsidRPr="0063248C">
              <w:rPr>
                <w:rFonts w:cs="宋体"/>
                <w:sz w:val="18"/>
                <w:szCs w:val="18"/>
              </w:rPr>
              <w:t>“—”</w:t>
            </w:r>
            <w:r w:rsidRPr="0063248C">
              <w:rPr>
                <w:rFonts w:cs="宋体"/>
                <w:sz w:val="18"/>
                <w:szCs w:val="18"/>
              </w:rPr>
              <w:t>号填列）</w:t>
            </w:r>
          </w:p>
        </w:tc>
        <w:tc>
          <w:tcPr>
            <w:tcW w:w="1014" w:type="dxa"/>
            <w:tcBorders>
              <w:top w:val="single" w:sz="2" w:space="0" w:color="auto"/>
              <w:left w:val="single" w:sz="2" w:space="0" w:color="auto"/>
              <w:bottom w:val="single" w:sz="2" w:space="0" w:color="auto"/>
              <w:right w:val="single" w:sz="2" w:space="0" w:color="auto"/>
            </w:tcBorders>
            <w:vAlign w:val="center"/>
          </w:tcPr>
          <w:p w14:paraId="6E2B0E3F" w14:textId="77777777" w:rsidR="007B3DB2" w:rsidRPr="0063248C" w:rsidRDefault="00000000">
            <w:pPr>
              <w:spacing w:line="240" w:lineRule="exact"/>
              <w:jc w:val="right"/>
              <w:rPr>
                <w:rFonts w:cs="宋体"/>
                <w:sz w:val="18"/>
                <w:szCs w:val="18"/>
              </w:rPr>
            </w:pPr>
            <w:r w:rsidRPr="0063248C">
              <w:rPr>
                <w:rFonts w:cs="宋体"/>
                <w:sz w:val="18"/>
                <w:szCs w:val="18"/>
              </w:rPr>
              <w:t>107.00</w:t>
            </w:r>
          </w:p>
        </w:tc>
        <w:tc>
          <w:tcPr>
            <w:tcW w:w="800" w:type="dxa"/>
            <w:tcBorders>
              <w:top w:val="single" w:sz="2" w:space="0" w:color="auto"/>
              <w:left w:val="single" w:sz="2" w:space="0" w:color="auto"/>
              <w:bottom w:val="single" w:sz="2" w:space="0" w:color="auto"/>
              <w:right w:val="single" w:sz="2" w:space="0" w:color="auto"/>
            </w:tcBorders>
            <w:vAlign w:val="center"/>
          </w:tcPr>
          <w:p w14:paraId="04CE8765"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14:paraId="022CCE97"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0BFE205F" w14:textId="77777777" w:rsidR="007B3DB2" w:rsidRPr="0063248C" w:rsidRDefault="00000000">
            <w:pPr>
              <w:spacing w:line="240" w:lineRule="exact"/>
              <w:jc w:val="right"/>
              <w:rPr>
                <w:rFonts w:cs="宋体"/>
                <w:sz w:val="18"/>
                <w:szCs w:val="18"/>
              </w:rPr>
            </w:pPr>
            <w:r w:rsidRPr="0063248C">
              <w:rPr>
                <w:rFonts w:cs="宋体"/>
                <w:sz w:val="18"/>
                <w:szCs w:val="18"/>
              </w:rPr>
              <w:t>-181.35</w:t>
            </w:r>
          </w:p>
        </w:tc>
        <w:tc>
          <w:tcPr>
            <w:tcW w:w="992" w:type="dxa"/>
            <w:tcBorders>
              <w:top w:val="single" w:sz="2" w:space="0" w:color="auto"/>
              <w:left w:val="single" w:sz="2" w:space="0" w:color="auto"/>
              <w:bottom w:val="single" w:sz="2" w:space="0" w:color="auto"/>
              <w:right w:val="single" w:sz="2" w:space="0" w:color="auto"/>
            </w:tcBorders>
            <w:vAlign w:val="center"/>
          </w:tcPr>
          <w:p w14:paraId="2F2C81C1" w14:textId="77777777" w:rsidR="007B3DB2" w:rsidRPr="0063248C" w:rsidRDefault="00000000">
            <w:pPr>
              <w:spacing w:line="240" w:lineRule="exact"/>
              <w:jc w:val="right"/>
              <w:rPr>
                <w:rFonts w:cs="宋体"/>
                <w:sz w:val="18"/>
                <w:szCs w:val="18"/>
              </w:rPr>
            </w:pPr>
            <w:r w:rsidRPr="0063248C">
              <w:rPr>
                <w:rFonts w:cs="宋体"/>
                <w:sz w:val="18"/>
                <w:szCs w:val="18"/>
              </w:rPr>
              <w:t>1,119.05</w:t>
            </w:r>
          </w:p>
        </w:tc>
        <w:tc>
          <w:tcPr>
            <w:tcW w:w="1134" w:type="dxa"/>
            <w:tcBorders>
              <w:top w:val="single" w:sz="2" w:space="0" w:color="auto"/>
              <w:left w:val="single" w:sz="2" w:space="0" w:color="auto"/>
              <w:bottom w:val="single" w:sz="2" w:space="0" w:color="auto"/>
              <w:right w:val="single" w:sz="2" w:space="0" w:color="auto"/>
            </w:tcBorders>
            <w:vAlign w:val="center"/>
          </w:tcPr>
          <w:p w14:paraId="597A9E25"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5011E89D"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5A15B83C"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0E49B08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3C065056" w14:textId="77777777" w:rsidR="007B3DB2" w:rsidRPr="0063248C" w:rsidRDefault="00000000">
            <w:pPr>
              <w:spacing w:line="240" w:lineRule="exact"/>
              <w:jc w:val="right"/>
              <w:rPr>
                <w:rFonts w:cs="宋体"/>
                <w:sz w:val="18"/>
                <w:szCs w:val="18"/>
              </w:rPr>
            </w:pPr>
            <w:r w:rsidRPr="0063248C">
              <w:rPr>
                <w:rFonts w:cs="宋体"/>
                <w:sz w:val="18"/>
                <w:szCs w:val="18"/>
              </w:rPr>
              <w:t>14,634,459.37</w:t>
            </w:r>
          </w:p>
        </w:tc>
        <w:tc>
          <w:tcPr>
            <w:tcW w:w="1276" w:type="dxa"/>
            <w:tcBorders>
              <w:top w:val="single" w:sz="2" w:space="0" w:color="auto"/>
              <w:left w:val="single" w:sz="2" w:space="0" w:color="auto"/>
              <w:bottom w:val="single" w:sz="2" w:space="0" w:color="auto"/>
              <w:right w:val="single" w:sz="2" w:space="0" w:color="auto"/>
            </w:tcBorders>
            <w:vAlign w:val="center"/>
          </w:tcPr>
          <w:p w14:paraId="5944C18B"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3DC1C438" w14:textId="77777777" w:rsidR="007B3DB2" w:rsidRPr="0063248C" w:rsidRDefault="00000000">
            <w:pPr>
              <w:spacing w:line="240" w:lineRule="exact"/>
              <w:jc w:val="right"/>
              <w:rPr>
                <w:rFonts w:cs="宋体"/>
                <w:sz w:val="18"/>
                <w:szCs w:val="18"/>
              </w:rPr>
            </w:pPr>
            <w:r w:rsidRPr="0063248C">
              <w:rPr>
                <w:rFonts w:cs="宋体"/>
                <w:sz w:val="18"/>
                <w:szCs w:val="18"/>
              </w:rPr>
              <w:t>14,635,504.07</w:t>
            </w:r>
          </w:p>
        </w:tc>
      </w:tr>
      <w:tr w:rsidR="00E92CF1" w:rsidRPr="0063248C" w14:paraId="7FD2BC39"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5D2465C8" w14:textId="77777777" w:rsidR="007B3DB2" w:rsidRPr="0063248C" w:rsidRDefault="00000000">
            <w:pPr>
              <w:spacing w:before="40" w:after="40" w:line="240" w:lineRule="exact"/>
              <w:rPr>
                <w:rFonts w:cs="宋体"/>
                <w:sz w:val="18"/>
                <w:szCs w:val="18"/>
              </w:rPr>
            </w:pPr>
            <w:r w:rsidRPr="0063248C">
              <w:rPr>
                <w:rFonts w:cs="宋体"/>
                <w:sz w:val="18"/>
                <w:szCs w:val="18"/>
              </w:rPr>
              <w:t>（一）综合收益总额</w:t>
            </w:r>
          </w:p>
        </w:tc>
        <w:tc>
          <w:tcPr>
            <w:tcW w:w="1014" w:type="dxa"/>
            <w:tcBorders>
              <w:top w:val="single" w:sz="2" w:space="0" w:color="auto"/>
              <w:left w:val="single" w:sz="2" w:space="0" w:color="auto"/>
              <w:bottom w:val="single" w:sz="2" w:space="0" w:color="auto"/>
              <w:right w:val="single" w:sz="2" w:space="0" w:color="auto"/>
            </w:tcBorders>
            <w:vAlign w:val="center"/>
          </w:tcPr>
          <w:p w14:paraId="5861A104"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346AFDDB"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7998784"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7F074F9"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EC439C4"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8E8EEB7"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B1ACC80"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4E244B87"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1724BCA"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8D264BD" w14:textId="77777777" w:rsidR="007B3DB2" w:rsidRPr="0063248C" w:rsidRDefault="00000000">
            <w:pPr>
              <w:spacing w:line="240" w:lineRule="exact"/>
              <w:jc w:val="right"/>
              <w:rPr>
                <w:rFonts w:cs="宋体"/>
                <w:sz w:val="18"/>
                <w:szCs w:val="18"/>
              </w:rPr>
            </w:pPr>
            <w:r w:rsidRPr="0063248C">
              <w:rPr>
                <w:rFonts w:cs="宋体"/>
                <w:sz w:val="18"/>
                <w:szCs w:val="18"/>
              </w:rPr>
              <w:t>14,634,459.37</w:t>
            </w:r>
          </w:p>
        </w:tc>
        <w:tc>
          <w:tcPr>
            <w:tcW w:w="1276" w:type="dxa"/>
            <w:tcBorders>
              <w:top w:val="single" w:sz="2" w:space="0" w:color="auto"/>
              <w:left w:val="single" w:sz="2" w:space="0" w:color="auto"/>
              <w:bottom w:val="single" w:sz="2" w:space="0" w:color="auto"/>
              <w:right w:val="single" w:sz="2" w:space="0" w:color="auto"/>
            </w:tcBorders>
            <w:vAlign w:val="center"/>
          </w:tcPr>
          <w:p w14:paraId="3A6F9721"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66059930" w14:textId="77777777" w:rsidR="007B3DB2" w:rsidRPr="0063248C" w:rsidRDefault="00000000">
            <w:pPr>
              <w:spacing w:line="240" w:lineRule="exact"/>
              <w:jc w:val="right"/>
              <w:rPr>
                <w:rFonts w:cs="宋体"/>
                <w:sz w:val="18"/>
                <w:szCs w:val="18"/>
              </w:rPr>
            </w:pPr>
            <w:r w:rsidRPr="0063248C">
              <w:rPr>
                <w:rFonts w:cs="宋体"/>
                <w:sz w:val="18"/>
                <w:szCs w:val="18"/>
              </w:rPr>
              <w:t>14,634,459.37</w:t>
            </w:r>
          </w:p>
        </w:tc>
      </w:tr>
      <w:tr w:rsidR="00E92CF1" w:rsidRPr="0063248C" w14:paraId="42429846"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528BC53A" w14:textId="77777777" w:rsidR="007B3DB2" w:rsidRPr="0063248C" w:rsidRDefault="00000000">
            <w:pPr>
              <w:spacing w:before="40" w:after="40" w:line="240" w:lineRule="exact"/>
              <w:rPr>
                <w:rFonts w:cs="宋体"/>
                <w:sz w:val="18"/>
                <w:szCs w:val="18"/>
              </w:rPr>
            </w:pPr>
            <w:r w:rsidRPr="0063248C">
              <w:rPr>
                <w:rFonts w:cs="宋体"/>
                <w:sz w:val="18"/>
                <w:szCs w:val="18"/>
              </w:rPr>
              <w:t>（二）所有者投入和减少资本</w:t>
            </w:r>
          </w:p>
        </w:tc>
        <w:tc>
          <w:tcPr>
            <w:tcW w:w="1014" w:type="dxa"/>
            <w:tcBorders>
              <w:top w:val="single" w:sz="2" w:space="0" w:color="auto"/>
              <w:left w:val="single" w:sz="2" w:space="0" w:color="auto"/>
              <w:bottom w:val="single" w:sz="2" w:space="0" w:color="auto"/>
              <w:right w:val="single" w:sz="2" w:space="0" w:color="auto"/>
            </w:tcBorders>
            <w:vAlign w:val="center"/>
          </w:tcPr>
          <w:p w14:paraId="571A18E9" w14:textId="77777777" w:rsidR="007B3DB2" w:rsidRPr="0063248C" w:rsidRDefault="00000000">
            <w:pPr>
              <w:spacing w:line="240" w:lineRule="exact"/>
              <w:jc w:val="right"/>
              <w:rPr>
                <w:rFonts w:cs="宋体"/>
                <w:sz w:val="18"/>
                <w:szCs w:val="18"/>
              </w:rPr>
            </w:pPr>
            <w:r w:rsidRPr="0063248C">
              <w:rPr>
                <w:rFonts w:cs="宋体"/>
                <w:sz w:val="18"/>
                <w:szCs w:val="18"/>
              </w:rPr>
              <w:t>107.00</w:t>
            </w:r>
          </w:p>
        </w:tc>
        <w:tc>
          <w:tcPr>
            <w:tcW w:w="800" w:type="dxa"/>
            <w:tcBorders>
              <w:top w:val="single" w:sz="2" w:space="0" w:color="auto"/>
              <w:left w:val="single" w:sz="2" w:space="0" w:color="auto"/>
              <w:bottom w:val="single" w:sz="2" w:space="0" w:color="auto"/>
              <w:right w:val="single" w:sz="2" w:space="0" w:color="auto"/>
            </w:tcBorders>
            <w:vAlign w:val="center"/>
          </w:tcPr>
          <w:p w14:paraId="1F3A907E"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14:paraId="24C5F031"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589C470A" w14:textId="77777777" w:rsidR="007B3DB2" w:rsidRPr="0063248C" w:rsidRDefault="00000000">
            <w:pPr>
              <w:spacing w:line="240" w:lineRule="exact"/>
              <w:jc w:val="right"/>
              <w:rPr>
                <w:rFonts w:cs="宋体"/>
                <w:sz w:val="18"/>
                <w:szCs w:val="18"/>
              </w:rPr>
            </w:pPr>
            <w:r w:rsidRPr="0063248C">
              <w:rPr>
                <w:rFonts w:cs="宋体"/>
                <w:sz w:val="18"/>
                <w:szCs w:val="18"/>
              </w:rPr>
              <w:t>-181.35</w:t>
            </w:r>
          </w:p>
        </w:tc>
        <w:tc>
          <w:tcPr>
            <w:tcW w:w="992" w:type="dxa"/>
            <w:tcBorders>
              <w:top w:val="single" w:sz="2" w:space="0" w:color="auto"/>
              <w:left w:val="single" w:sz="2" w:space="0" w:color="auto"/>
              <w:bottom w:val="single" w:sz="2" w:space="0" w:color="auto"/>
              <w:right w:val="single" w:sz="2" w:space="0" w:color="auto"/>
            </w:tcBorders>
            <w:vAlign w:val="center"/>
          </w:tcPr>
          <w:p w14:paraId="7E5E3028" w14:textId="77777777" w:rsidR="007B3DB2" w:rsidRPr="0063248C" w:rsidRDefault="00000000">
            <w:pPr>
              <w:spacing w:line="240" w:lineRule="exact"/>
              <w:jc w:val="right"/>
              <w:rPr>
                <w:rFonts w:cs="宋体"/>
                <w:sz w:val="18"/>
                <w:szCs w:val="18"/>
              </w:rPr>
            </w:pPr>
            <w:r w:rsidRPr="0063248C">
              <w:rPr>
                <w:rFonts w:cs="宋体"/>
                <w:sz w:val="18"/>
                <w:szCs w:val="18"/>
              </w:rPr>
              <w:t>1,119.05</w:t>
            </w:r>
          </w:p>
        </w:tc>
        <w:tc>
          <w:tcPr>
            <w:tcW w:w="1134" w:type="dxa"/>
            <w:tcBorders>
              <w:top w:val="single" w:sz="2" w:space="0" w:color="auto"/>
              <w:left w:val="single" w:sz="2" w:space="0" w:color="auto"/>
              <w:bottom w:val="single" w:sz="2" w:space="0" w:color="auto"/>
              <w:right w:val="single" w:sz="2" w:space="0" w:color="auto"/>
            </w:tcBorders>
            <w:vAlign w:val="center"/>
          </w:tcPr>
          <w:p w14:paraId="7E6A737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54DC0BF8"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18C4196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360FB5B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13BA64B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70B6FF18"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37653F85" w14:textId="77777777" w:rsidR="007B3DB2" w:rsidRPr="0063248C" w:rsidRDefault="00000000">
            <w:pPr>
              <w:spacing w:line="240" w:lineRule="exact"/>
              <w:jc w:val="right"/>
              <w:rPr>
                <w:rFonts w:cs="宋体"/>
                <w:sz w:val="18"/>
                <w:szCs w:val="18"/>
              </w:rPr>
            </w:pPr>
            <w:r w:rsidRPr="0063248C">
              <w:rPr>
                <w:rFonts w:cs="宋体"/>
                <w:sz w:val="18"/>
                <w:szCs w:val="18"/>
              </w:rPr>
              <w:t>1,044.70</w:t>
            </w:r>
          </w:p>
        </w:tc>
      </w:tr>
      <w:tr w:rsidR="00E92CF1" w:rsidRPr="0063248C" w14:paraId="48E649C6"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0FD88FCC"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．所有者投入的普通股</w:t>
            </w:r>
          </w:p>
        </w:tc>
        <w:tc>
          <w:tcPr>
            <w:tcW w:w="1014" w:type="dxa"/>
            <w:tcBorders>
              <w:top w:val="single" w:sz="2" w:space="0" w:color="auto"/>
              <w:left w:val="single" w:sz="2" w:space="0" w:color="auto"/>
              <w:bottom w:val="single" w:sz="2" w:space="0" w:color="auto"/>
              <w:right w:val="single" w:sz="2" w:space="0" w:color="auto"/>
            </w:tcBorders>
            <w:vAlign w:val="center"/>
          </w:tcPr>
          <w:p w14:paraId="02113AD6" w14:textId="77777777" w:rsidR="007B3DB2" w:rsidRPr="0063248C" w:rsidRDefault="00000000">
            <w:pPr>
              <w:spacing w:line="240" w:lineRule="exact"/>
              <w:jc w:val="right"/>
              <w:rPr>
                <w:rFonts w:cs="宋体"/>
                <w:sz w:val="18"/>
                <w:szCs w:val="18"/>
              </w:rPr>
            </w:pPr>
            <w:r w:rsidRPr="0063248C">
              <w:rPr>
                <w:rFonts w:cs="宋体"/>
                <w:sz w:val="18"/>
                <w:szCs w:val="18"/>
              </w:rPr>
              <w:t>107.00</w:t>
            </w:r>
          </w:p>
        </w:tc>
        <w:tc>
          <w:tcPr>
            <w:tcW w:w="800" w:type="dxa"/>
            <w:tcBorders>
              <w:top w:val="single" w:sz="2" w:space="0" w:color="auto"/>
              <w:left w:val="single" w:sz="2" w:space="0" w:color="auto"/>
              <w:bottom w:val="single" w:sz="2" w:space="0" w:color="auto"/>
              <w:right w:val="single" w:sz="2" w:space="0" w:color="auto"/>
            </w:tcBorders>
            <w:vAlign w:val="center"/>
          </w:tcPr>
          <w:p w14:paraId="6A0AE048"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E4B215F"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34C039D"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6339086" w14:textId="77777777" w:rsidR="007B3DB2" w:rsidRPr="0063248C" w:rsidRDefault="00000000">
            <w:pPr>
              <w:spacing w:line="240" w:lineRule="exact"/>
              <w:jc w:val="right"/>
              <w:rPr>
                <w:rFonts w:cs="宋体"/>
                <w:sz w:val="18"/>
                <w:szCs w:val="18"/>
              </w:rPr>
            </w:pPr>
            <w:r w:rsidRPr="0063248C">
              <w:rPr>
                <w:rFonts w:cs="宋体"/>
                <w:sz w:val="18"/>
                <w:szCs w:val="18"/>
              </w:rPr>
              <w:t>1,119.05</w:t>
            </w:r>
          </w:p>
        </w:tc>
        <w:tc>
          <w:tcPr>
            <w:tcW w:w="1134" w:type="dxa"/>
            <w:tcBorders>
              <w:top w:val="single" w:sz="2" w:space="0" w:color="auto"/>
              <w:left w:val="single" w:sz="2" w:space="0" w:color="auto"/>
              <w:bottom w:val="single" w:sz="2" w:space="0" w:color="auto"/>
              <w:right w:val="single" w:sz="2" w:space="0" w:color="auto"/>
            </w:tcBorders>
            <w:vAlign w:val="center"/>
          </w:tcPr>
          <w:p w14:paraId="333C5380"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C5C21DA"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58B858E"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48F7EDD"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002BBCE"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3EB874F"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7DB2A163" w14:textId="77777777" w:rsidR="007B3DB2" w:rsidRPr="0063248C" w:rsidRDefault="00000000">
            <w:pPr>
              <w:spacing w:line="240" w:lineRule="exact"/>
              <w:jc w:val="right"/>
              <w:rPr>
                <w:rFonts w:cs="宋体"/>
                <w:sz w:val="18"/>
                <w:szCs w:val="18"/>
              </w:rPr>
            </w:pPr>
            <w:r w:rsidRPr="0063248C">
              <w:rPr>
                <w:rFonts w:cs="宋体"/>
                <w:sz w:val="18"/>
                <w:szCs w:val="18"/>
              </w:rPr>
              <w:t>1,226.05</w:t>
            </w:r>
          </w:p>
        </w:tc>
      </w:tr>
      <w:tr w:rsidR="00E92CF1" w:rsidRPr="0063248C" w14:paraId="67B6B18F"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45A90693"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．其他权益工具持有者投入资本</w:t>
            </w:r>
          </w:p>
        </w:tc>
        <w:tc>
          <w:tcPr>
            <w:tcW w:w="1014" w:type="dxa"/>
            <w:tcBorders>
              <w:top w:val="single" w:sz="2" w:space="0" w:color="auto"/>
              <w:left w:val="single" w:sz="2" w:space="0" w:color="auto"/>
              <w:bottom w:val="single" w:sz="2" w:space="0" w:color="auto"/>
              <w:right w:val="single" w:sz="2" w:space="0" w:color="auto"/>
            </w:tcBorders>
            <w:vAlign w:val="center"/>
          </w:tcPr>
          <w:p w14:paraId="006E007C"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171548AD"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691CE19"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29C4B5E"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10432C7"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91C9B04"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973AE0F"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5E97756"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8940678"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1C8F678"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5A4415F"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496CA304"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E92CF1" w:rsidRPr="0063248C" w14:paraId="2329FF59"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66C6A45F"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．股份支付计入所有者权益的金额</w:t>
            </w:r>
          </w:p>
        </w:tc>
        <w:tc>
          <w:tcPr>
            <w:tcW w:w="1014" w:type="dxa"/>
            <w:tcBorders>
              <w:top w:val="single" w:sz="2" w:space="0" w:color="auto"/>
              <w:left w:val="single" w:sz="2" w:space="0" w:color="auto"/>
              <w:bottom w:val="single" w:sz="2" w:space="0" w:color="auto"/>
              <w:right w:val="single" w:sz="2" w:space="0" w:color="auto"/>
            </w:tcBorders>
            <w:vAlign w:val="center"/>
          </w:tcPr>
          <w:p w14:paraId="6D9CC027"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31848ABC"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4CB1DCC"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F42EA3C"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520D272"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736204D"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2820F5A"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293C051"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945CE59"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60A0DE3"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AC3AA56"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2F6A7C29"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E92CF1" w:rsidRPr="0063248C" w14:paraId="35892AA2"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1D35B3A1" w14:textId="77777777" w:rsidR="007B3DB2" w:rsidRPr="0063248C" w:rsidRDefault="00000000">
            <w:pPr>
              <w:spacing w:before="40" w:after="40" w:line="240" w:lineRule="exact"/>
              <w:rPr>
                <w:rFonts w:cs="宋体"/>
                <w:sz w:val="18"/>
                <w:szCs w:val="18"/>
              </w:rPr>
            </w:pPr>
            <w:r w:rsidRPr="0063248C">
              <w:rPr>
                <w:rFonts w:cs="宋体"/>
                <w:sz w:val="18"/>
                <w:szCs w:val="18"/>
              </w:rPr>
              <w:t>4</w:t>
            </w:r>
            <w:r w:rsidRPr="0063248C">
              <w:rPr>
                <w:rFonts w:cs="宋体"/>
                <w:sz w:val="18"/>
                <w:szCs w:val="18"/>
              </w:rPr>
              <w:t>．其他</w:t>
            </w:r>
          </w:p>
        </w:tc>
        <w:tc>
          <w:tcPr>
            <w:tcW w:w="1014" w:type="dxa"/>
            <w:tcBorders>
              <w:top w:val="single" w:sz="2" w:space="0" w:color="auto"/>
              <w:left w:val="single" w:sz="2" w:space="0" w:color="auto"/>
              <w:bottom w:val="single" w:sz="2" w:space="0" w:color="auto"/>
              <w:right w:val="single" w:sz="2" w:space="0" w:color="auto"/>
            </w:tcBorders>
            <w:vAlign w:val="center"/>
          </w:tcPr>
          <w:p w14:paraId="3038E71B"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1206B274"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5F8D619"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63A3B46" w14:textId="77777777" w:rsidR="007B3DB2" w:rsidRPr="0063248C" w:rsidRDefault="00000000">
            <w:pPr>
              <w:spacing w:line="240" w:lineRule="exact"/>
              <w:jc w:val="right"/>
              <w:rPr>
                <w:rFonts w:cs="宋体"/>
                <w:sz w:val="18"/>
                <w:szCs w:val="18"/>
              </w:rPr>
            </w:pPr>
            <w:r w:rsidRPr="0063248C">
              <w:rPr>
                <w:rFonts w:cs="宋体"/>
                <w:sz w:val="18"/>
                <w:szCs w:val="18"/>
              </w:rPr>
              <w:t>-181.35</w:t>
            </w:r>
          </w:p>
        </w:tc>
        <w:tc>
          <w:tcPr>
            <w:tcW w:w="992" w:type="dxa"/>
            <w:tcBorders>
              <w:top w:val="single" w:sz="2" w:space="0" w:color="auto"/>
              <w:left w:val="single" w:sz="2" w:space="0" w:color="auto"/>
              <w:bottom w:val="single" w:sz="2" w:space="0" w:color="auto"/>
              <w:right w:val="single" w:sz="2" w:space="0" w:color="auto"/>
            </w:tcBorders>
            <w:vAlign w:val="center"/>
          </w:tcPr>
          <w:p w14:paraId="1300BD21"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E646685"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CBDB364"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497CA35"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E354D04"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DD84C4C"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DF3E223"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10375373" w14:textId="77777777" w:rsidR="007B3DB2" w:rsidRPr="0063248C" w:rsidRDefault="00000000">
            <w:pPr>
              <w:spacing w:line="240" w:lineRule="exact"/>
              <w:jc w:val="right"/>
              <w:rPr>
                <w:rFonts w:cs="宋体"/>
                <w:sz w:val="18"/>
                <w:szCs w:val="18"/>
              </w:rPr>
            </w:pPr>
            <w:r w:rsidRPr="0063248C">
              <w:rPr>
                <w:rFonts w:cs="宋体"/>
                <w:sz w:val="18"/>
                <w:szCs w:val="18"/>
              </w:rPr>
              <w:t>-181.35</w:t>
            </w:r>
          </w:p>
        </w:tc>
      </w:tr>
      <w:tr w:rsidR="00E92CF1" w:rsidRPr="0063248C" w14:paraId="067FE10A"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6A356A1B" w14:textId="77777777" w:rsidR="007B3DB2" w:rsidRPr="0063248C" w:rsidRDefault="00000000">
            <w:pPr>
              <w:spacing w:before="40" w:after="40" w:line="240" w:lineRule="exact"/>
              <w:rPr>
                <w:rFonts w:cs="宋体"/>
                <w:sz w:val="18"/>
                <w:szCs w:val="18"/>
              </w:rPr>
            </w:pPr>
            <w:r w:rsidRPr="0063248C">
              <w:rPr>
                <w:rFonts w:cs="宋体"/>
                <w:sz w:val="18"/>
                <w:szCs w:val="18"/>
              </w:rPr>
              <w:t>（三）利润分配</w:t>
            </w:r>
          </w:p>
        </w:tc>
        <w:tc>
          <w:tcPr>
            <w:tcW w:w="1014" w:type="dxa"/>
            <w:tcBorders>
              <w:top w:val="single" w:sz="2" w:space="0" w:color="auto"/>
              <w:left w:val="single" w:sz="2" w:space="0" w:color="auto"/>
              <w:bottom w:val="single" w:sz="2" w:space="0" w:color="auto"/>
              <w:right w:val="single" w:sz="2" w:space="0" w:color="auto"/>
            </w:tcBorders>
            <w:vAlign w:val="center"/>
          </w:tcPr>
          <w:p w14:paraId="1E34852C"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5FE5AA05"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8B87522"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77261BC"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A1C2E9A"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634CAD2"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255C450"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F590BB9"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623B02B"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22A341E"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81E3C37"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0AF8D13E" w14:textId="77777777" w:rsidR="007B3DB2" w:rsidRPr="0063248C" w:rsidRDefault="007B3DB2">
            <w:pPr>
              <w:spacing w:line="240" w:lineRule="exact"/>
              <w:jc w:val="right"/>
              <w:rPr>
                <w:rFonts w:cs="宋体"/>
                <w:sz w:val="18"/>
                <w:szCs w:val="18"/>
              </w:rPr>
            </w:pPr>
          </w:p>
        </w:tc>
      </w:tr>
      <w:tr w:rsidR="00E92CF1" w:rsidRPr="0063248C" w14:paraId="2A7735DE"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72E8E1DF"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．提取盈余公积</w:t>
            </w:r>
          </w:p>
        </w:tc>
        <w:tc>
          <w:tcPr>
            <w:tcW w:w="1014" w:type="dxa"/>
            <w:tcBorders>
              <w:top w:val="single" w:sz="2" w:space="0" w:color="auto"/>
              <w:left w:val="single" w:sz="2" w:space="0" w:color="auto"/>
              <w:bottom w:val="single" w:sz="2" w:space="0" w:color="auto"/>
              <w:right w:val="single" w:sz="2" w:space="0" w:color="auto"/>
            </w:tcBorders>
            <w:vAlign w:val="center"/>
          </w:tcPr>
          <w:p w14:paraId="6B2E0C6A"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609F27A1"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4C045B2"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F3EA151"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0BF9098"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01AEDE9"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425E38F"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C97853E"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BDF8061"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84CCF72"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5BF29D2"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71B43C38" w14:textId="77777777" w:rsidR="007B3DB2" w:rsidRPr="0063248C" w:rsidRDefault="007B3DB2">
            <w:pPr>
              <w:spacing w:line="240" w:lineRule="exact"/>
              <w:jc w:val="right"/>
              <w:rPr>
                <w:rFonts w:cs="宋体"/>
                <w:sz w:val="18"/>
                <w:szCs w:val="18"/>
              </w:rPr>
            </w:pPr>
          </w:p>
        </w:tc>
      </w:tr>
      <w:tr w:rsidR="00E92CF1" w:rsidRPr="0063248C" w14:paraId="1DE97CAD"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3A5A5380"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．对所有者（或股东）的分配</w:t>
            </w:r>
          </w:p>
        </w:tc>
        <w:tc>
          <w:tcPr>
            <w:tcW w:w="1014" w:type="dxa"/>
            <w:tcBorders>
              <w:top w:val="single" w:sz="2" w:space="0" w:color="auto"/>
              <w:left w:val="single" w:sz="2" w:space="0" w:color="auto"/>
              <w:bottom w:val="single" w:sz="2" w:space="0" w:color="auto"/>
              <w:right w:val="single" w:sz="2" w:space="0" w:color="auto"/>
            </w:tcBorders>
            <w:vAlign w:val="center"/>
          </w:tcPr>
          <w:p w14:paraId="364224C6"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2289A084"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14DFA09A"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220F3B5"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53256B3"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734D2BE"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08581F6"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CD7AA62"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8B060A4"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1787B47"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61E0479"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689E59D7" w14:textId="77777777" w:rsidR="007B3DB2" w:rsidRPr="0063248C" w:rsidRDefault="007B3DB2">
            <w:pPr>
              <w:spacing w:line="240" w:lineRule="exact"/>
              <w:jc w:val="right"/>
              <w:rPr>
                <w:rFonts w:cs="宋体"/>
                <w:sz w:val="18"/>
                <w:szCs w:val="18"/>
              </w:rPr>
            </w:pPr>
          </w:p>
        </w:tc>
      </w:tr>
      <w:tr w:rsidR="00E92CF1" w:rsidRPr="0063248C" w14:paraId="62FC9249"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2160BE15"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．其他</w:t>
            </w:r>
          </w:p>
        </w:tc>
        <w:tc>
          <w:tcPr>
            <w:tcW w:w="1014" w:type="dxa"/>
            <w:tcBorders>
              <w:top w:val="single" w:sz="2" w:space="0" w:color="auto"/>
              <w:left w:val="single" w:sz="2" w:space="0" w:color="auto"/>
              <w:bottom w:val="single" w:sz="2" w:space="0" w:color="auto"/>
              <w:right w:val="single" w:sz="2" w:space="0" w:color="auto"/>
            </w:tcBorders>
            <w:vAlign w:val="center"/>
          </w:tcPr>
          <w:p w14:paraId="1768FF2D"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32122921"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DC0B146"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45DC5E9"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C7E62AB"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79C30F6"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E0F0423"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11EAA74"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07DE1A9"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846C8BE"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E8FF6C7"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53FB190B" w14:textId="77777777" w:rsidR="007B3DB2" w:rsidRPr="0063248C" w:rsidRDefault="007B3DB2">
            <w:pPr>
              <w:spacing w:line="240" w:lineRule="exact"/>
              <w:jc w:val="right"/>
              <w:rPr>
                <w:rFonts w:cs="宋体"/>
                <w:sz w:val="18"/>
                <w:szCs w:val="18"/>
              </w:rPr>
            </w:pPr>
          </w:p>
        </w:tc>
      </w:tr>
      <w:tr w:rsidR="00E92CF1" w:rsidRPr="0063248C" w14:paraId="7D71900E"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0E84EBD0"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（四）所有者权益内部结转</w:t>
            </w:r>
          </w:p>
        </w:tc>
        <w:tc>
          <w:tcPr>
            <w:tcW w:w="1014" w:type="dxa"/>
            <w:tcBorders>
              <w:top w:val="single" w:sz="2" w:space="0" w:color="auto"/>
              <w:left w:val="single" w:sz="2" w:space="0" w:color="auto"/>
              <w:bottom w:val="single" w:sz="2" w:space="0" w:color="auto"/>
              <w:right w:val="single" w:sz="2" w:space="0" w:color="auto"/>
            </w:tcBorders>
            <w:vAlign w:val="center"/>
          </w:tcPr>
          <w:p w14:paraId="1C57569E"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5DA2ACE2"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4CF50DD"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05E044D"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1D7EBE5"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3817594"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88869E3"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452E901"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BC1A666"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F198B7F"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20944F5"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38A718DC" w14:textId="77777777" w:rsidR="007B3DB2" w:rsidRPr="0063248C" w:rsidRDefault="007B3DB2">
            <w:pPr>
              <w:spacing w:line="240" w:lineRule="exact"/>
              <w:jc w:val="right"/>
              <w:rPr>
                <w:rFonts w:cs="宋体"/>
                <w:sz w:val="18"/>
                <w:szCs w:val="18"/>
              </w:rPr>
            </w:pPr>
          </w:p>
        </w:tc>
      </w:tr>
      <w:tr w:rsidR="00E92CF1" w:rsidRPr="0063248C" w14:paraId="31A25F5F"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08B05BA8"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．资本公积转增资本（或股本）</w:t>
            </w:r>
          </w:p>
        </w:tc>
        <w:tc>
          <w:tcPr>
            <w:tcW w:w="1014" w:type="dxa"/>
            <w:tcBorders>
              <w:top w:val="single" w:sz="2" w:space="0" w:color="auto"/>
              <w:left w:val="single" w:sz="2" w:space="0" w:color="auto"/>
              <w:bottom w:val="single" w:sz="2" w:space="0" w:color="auto"/>
              <w:right w:val="single" w:sz="2" w:space="0" w:color="auto"/>
            </w:tcBorders>
            <w:vAlign w:val="center"/>
          </w:tcPr>
          <w:p w14:paraId="70B8E52A"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003C71C0"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9E47F09"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DEA3D29"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E391B4B"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FD8FE70"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2A5E1A2"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0CDE09D"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52EBBEE"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CEC6B95"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4E80FF6"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05B95299" w14:textId="77777777" w:rsidR="007B3DB2" w:rsidRPr="0063248C" w:rsidRDefault="007B3DB2">
            <w:pPr>
              <w:spacing w:line="240" w:lineRule="exact"/>
              <w:jc w:val="right"/>
              <w:rPr>
                <w:rFonts w:cs="宋体"/>
                <w:sz w:val="18"/>
                <w:szCs w:val="18"/>
              </w:rPr>
            </w:pPr>
          </w:p>
        </w:tc>
      </w:tr>
      <w:tr w:rsidR="00E92CF1" w:rsidRPr="0063248C" w14:paraId="15026AB6"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3D31844C"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．盈余公积转增资本（或股本）</w:t>
            </w:r>
          </w:p>
        </w:tc>
        <w:tc>
          <w:tcPr>
            <w:tcW w:w="1014" w:type="dxa"/>
            <w:tcBorders>
              <w:top w:val="single" w:sz="2" w:space="0" w:color="auto"/>
              <w:left w:val="single" w:sz="2" w:space="0" w:color="auto"/>
              <w:bottom w:val="single" w:sz="2" w:space="0" w:color="auto"/>
              <w:right w:val="single" w:sz="2" w:space="0" w:color="auto"/>
            </w:tcBorders>
            <w:vAlign w:val="center"/>
          </w:tcPr>
          <w:p w14:paraId="2FAD27B6"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20D92B44"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65D8161"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C39507D"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DD1949E"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C3F36A2"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01FB865"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BF1E8D6"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A7E3408"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69EEC06"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9D18934"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768986B9" w14:textId="77777777" w:rsidR="007B3DB2" w:rsidRPr="0063248C" w:rsidRDefault="007B3DB2">
            <w:pPr>
              <w:spacing w:line="240" w:lineRule="exact"/>
              <w:jc w:val="right"/>
              <w:rPr>
                <w:rFonts w:cs="宋体"/>
                <w:sz w:val="18"/>
                <w:szCs w:val="18"/>
              </w:rPr>
            </w:pPr>
          </w:p>
        </w:tc>
      </w:tr>
      <w:tr w:rsidR="00E92CF1" w:rsidRPr="0063248C" w14:paraId="5E9DF818"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18C47334"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．盈余公积弥补亏损</w:t>
            </w:r>
          </w:p>
        </w:tc>
        <w:tc>
          <w:tcPr>
            <w:tcW w:w="1014" w:type="dxa"/>
            <w:tcBorders>
              <w:top w:val="single" w:sz="2" w:space="0" w:color="auto"/>
              <w:left w:val="single" w:sz="2" w:space="0" w:color="auto"/>
              <w:bottom w:val="single" w:sz="2" w:space="0" w:color="auto"/>
              <w:right w:val="single" w:sz="2" w:space="0" w:color="auto"/>
            </w:tcBorders>
            <w:vAlign w:val="center"/>
          </w:tcPr>
          <w:p w14:paraId="43845660"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46F27B77"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F774EDC"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F192476"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298BB35"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85288F1"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15C513B"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DA52072"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2DA915A"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606FEAA"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56498D9"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3F48958C" w14:textId="77777777" w:rsidR="007B3DB2" w:rsidRPr="0063248C" w:rsidRDefault="007B3DB2">
            <w:pPr>
              <w:spacing w:line="240" w:lineRule="exact"/>
              <w:jc w:val="right"/>
              <w:rPr>
                <w:rFonts w:cs="宋体"/>
                <w:sz w:val="18"/>
                <w:szCs w:val="18"/>
              </w:rPr>
            </w:pPr>
          </w:p>
        </w:tc>
      </w:tr>
      <w:tr w:rsidR="00E92CF1" w:rsidRPr="0063248C" w14:paraId="08ADE338"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6D43A18F" w14:textId="77777777" w:rsidR="007B3DB2" w:rsidRPr="0063248C" w:rsidRDefault="00000000">
            <w:pPr>
              <w:spacing w:before="40" w:after="40" w:line="240" w:lineRule="exact"/>
              <w:rPr>
                <w:rFonts w:cs="宋体"/>
                <w:sz w:val="18"/>
                <w:szCs w:val="18"/>
              </w:rPr>
            </w:pPr>
            <w:r w:rsidRPr="0063248C">
              <w:rPr>
                <w:rFonts w:cs="宋体"/>
                <w:sz w:val="18"/>
                <w:szCs w:val="18"/>
              </w:rPr>
              <w:t>4</w:t>
            </w:r>
            <w:r w:rsidRPr="0063248C">
              <w:rPr>
                <w:rFonts w:cs="宋体"/>
                <w:sz w:val="18"/>
                <w:szCs w:val="18"/>
              </w:rPr>
              <w:t>．设定受益计划变动额结转留存收益</w:t>
            </w:r>
          </w:p>
        </w:tc>
        <w:tc>
          <w:tcPr>
            <w:tcW w:w="1014" w:type="dxa"/>
            <w:tcBorders>
              <w:top w:val="single" w:sz="2" w:space="0" w:color="auto"/>
              <w:left w:val="single" w:sz="2" w:space="0" w:color="auto"/>
              <w:bottom w:val="single" w:sz="2" w:space="0" w:color="auto"/>
              <w:right w:val="single" w:sz="2" w:space="0" w:color="auto"/>
            </w:tcBorders>
            <w:vAlign w:val="center"/>
          </w:tcPr>
          <w:p w14:paraId="5699D9EB"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6749E6A8"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1922B684"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3C0A69D"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0C4CBDE"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8CE06FF"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2EF4E83"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1A3C451"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2AF3145"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601CF5F"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E7D6F43"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5D2251ED" w14:textId="77777777" w:rsidR="007B3DB2" w:rsidRPr="0063248C" w:rsidRDefault="007B3DB2">
            <w:pPr>
              <w:spacing w:line="240" w:lineRule="exact"/>
              <w:jc w:val="right"/>
              <w:rPr>
                <w:rFonts w:cs="宋体"/>
                <w:sz w:val="18"/>
                <w:szCs w:val="18"/>
              </w:rPr>
            </w:pPr>
          </w:p>
        </w:tc>
      </w:tr>
      <w:tr w:rsidR="00E92CF1" w:rsidRPr="0063248C" w14:paraId="49635BF1"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11F280F6" w14:textId="77777777" w:rsidR="007B3DB2" w:rsidRPr="0063248C" w:rsidRDefault="00000000">
            <w:pPr>
              <w:spacing w:before="40" w:after="40" w:line="240" w:lineRule="exact"/>
              <w:rPr>
                <w:rFonts w:cs="宋体"/>
                <w:sz w:val="18"/>
                <w:szCs w:val="18"/>
              </w:rPr>
            </w:pPr>
            <w:r w:rsidRPr="0063248C">
              <w:rPr>
                <w:rFonts w:cs="宋体"/>
                <w:sz w:val="18"/>
                <w:szCs w:val="18"/>
              </w:rPr>
              <w:t>5</w:t>
            </w:r>
            <w:r w:rsidRPr="0063248C">
              <w:rPr>
                <w:rFonts w:cs="宋体"/>
                <w:sz w:val="18"/>
                <w:szCs w:val="18"/>
              </w:rPr>
              <w:t>．其他综合收益结转留存收益</w:t>
            </w:r>
          </w:p>
        </w:tc>
        <w:tc>
          <w:tcPr>
            <w:tcW w:w="1014" w:type="dxa"/>
            <w:tcBorders>
              <w:top w:val="single" w:sz="2" w:space="0" w:color="auto"/>
              <w:left w:val="single" w:sz="2" w:space="0" w:color="auto"/>
              <w:bottom w:val="single" w:sz="2" w:space="0" w:color="auto"/>
              <w:right w:val="single" w:sz="2" w:space="0" w:color="auto"/>
            </w:tcBorders>
            <w:vAlign w:val="center"/>
          </w:tcPr>
          <w:p w14:paraId="1F4A17E3"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788333FB"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C6E2030"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7D5C2F5"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EA4EB99"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7EF2813"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CE10C0F"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0988D43"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770403F"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85D82DD"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67200D3"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5E965C64" w14:textId="77777777" w:rsidR="007B3DB2" w:rsidRPr="0063248C" w:rsidRDefault="007B3DB2">
            <w:pPr>
              <w:spacing w:line="240" w:lineRule="exact"/>
              <w:jc w:val="right"/>
              <w:rPr>
                <w:rFonts w:cs="宋体"/>
                <w:sz w:val="18"/>
                <w:szCs w:val="18"/>
              </w:rPr>
            </w:pPr>
          </w:p>
        </w:tc>
      </w:tr>
      <w:tr w:rsidR="00E92CF1" w:rsidRPr="0063248C" w14:paraId="272C0347"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03CB10CF" w14:textId="77777777" w:rsidR="007B3DB2" w:rsidRPr="0063248C" w:rsidRDefault="00000000">
            <w:pPr>
              <w:spacing w:before="40" w:after="40" w:line="240" w:lineRule="exact"/>
              <w:rPr>
                <w:rFonts w:cs="宋体"/>
                <w:sz w:val="18"/>
                <w:szCs w:val="18"/>
              </w:rPr>
            </w:pPr>
            <w:r w:rsidRPr="0063248C">
              <w:rPr>
                <w:rFonts w:cs="宋体"/>
                <w:sz w:val="18"/>
                <w:szCs w:val="18"/>
              </w:rPr>
              <w:t>6</w:t>
            </w:r>
            <w:r w:rsidRPr="0063248C">
              <w:rPr>
                <w:rFonts w:cs="宋体"/>
                <w:sz w:val="18"/>
                <w:szCs w:val="18"/>
              </w:rPr>
              <w:t>．其他</w:t>
            </w:r>
          </w:p>
        </w:tc>
        <w:tc>
          <w:tcPr>
            <w:tcW w:w="1014" w:type="dxa"/>
            <w:tcBorders>
              <w:top w:val="single" w:sz="2" w:space="0" w:color="auto"/>
              <w:left w:val="single" w:sz="2" w:space="0" w:color="auto"/>
              <w:bottom w:val="single" w:sz="2" w:space="0" w:color="auto"/>
              <w:right w:val="single" w:sz="2" w:space="0" w:color="auto"/>
            </w:tcBorders>
            <w:vAlign w:val="center"/>
          </w:tcPr>
          <w:p w14:paraId="20508A07"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4CCBE431"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4FE07BD"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07BB2A1"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480A395"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6103D7B"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81373EC"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D52EF37"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1AFD996"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23B29B5"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2BBD2E8"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1A96D311" w14:textId="77777777" w:rsidR="007B3DB2" w:rsidRPr="0063248C" w:rsidRDefault="007B3DB2">
            <w:pPr>
              <w:spacing w:line="240" w:lineRule="exact"/>
              <w:jc w:val="right"/>
              <w:rPr>
                <w:rFonts w:cs="宋体"/>
                <w:sz w:val="18"/>
                <w:szCs w:val="18"/>
              </w:rPr>
            </w:pPr>
          </w:p>
        </w:tc>
      </w:tr>
      <w:tr w:rsidR="00E92CF1" w:rsidRPr="0063248C" w14:paraId="6CC9EF99"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5E8674F0" w14:textId="77777777" w:rsidR="007B3DB2" w:rsidRPr="0063248C" w:rsidRDefault="00000000">
            <w:pPr>
              <w:spacing w:before="40" w:after="40" w:line="240" w:lineRule="exact"/>
              <w:rPr>
                <w:rFonts w:cs="宋体"/>
                <w:sz w:val="18"/>
                <w:szCs w:val="18"/>
              </w:rPr>
            </w:pPr>
            <w:r w:rsidRPr="0063248C">
              <w:rPr>
                <w:rFonts w:cs="宋体"/>
                <w:sz w:val="18"/>
                <w:szCs w:val="18"/>
              </w:rPr>
              <w:t>（五）专项储备</w:t>
            </w:r>
          </w:p>
        </w:tc>
        <w:tc>
          <w:tcPr>
            <w:tcW w:w="1014" w:type="dxa"/>
            <w:tcBorders>
              <w:top w:val="single" w:sz="2" w:space="0" w:color="auto"/>
              <w:left w:val="single" w:sz="2" w:space="0" w:color="auto"/>
              <w:bottom w:val="single" w:sz="2" w:space="0" w:color="auto"/>
              <w:right w:val="single" w:sz="2" w:space="0" w:color="auto"/>
            </w:tcBorders>
            <w:vAlign w:val="center"/>
          </w:tcPr>
          <w:p w14:paraId="6740F33A"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41BFE252"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95A2CFE"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37CF7E0"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C3DF98F"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09BAABB"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EF1A238"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6E939D3"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C5C3AAD"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943F5C3"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F37F782"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111EFC83" w14:textId="77777777" w:rsidR="007B3DB2" w:rsidRPr="0063248C" w:rsidRDefault="007B3DB2">
            <w:pPr>
              <w:spacing w:line="240" w:lineRule="exact"/>
              <w:jc w:val="right"/>
              <w:rPr>
                <w:rFonts w:cs="宋体"/>
                <w:sz w:val="18"/>
                <w:szCs w:val="18"/>
              </w:rPr>
            </w:pPr>
          </w:p>
        </w:tc>
      </w:tr>
      <w:tr w:rsidR="00E92CF1" w:rsidRPr="0063248C" w14:paraId="0E548088"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19F9C1C3"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．本期提取</w:t>
            </w:r>
          </w:p>
        </w:tc>
        <w:tc>
          <w:tcPr>
            <w:tcW w:w="1014" w:type="dxa"/>
            <w:tcBorders>
              <w:top w:val="single" w:sz="2" w:space="0" w:color="auto"/>
              <w:left w:val="single" w:sz="2" w:space="0" w:color="auto"/>
              <w:bottom w:val="single" w:sz="2" w:space="0" w:color="auto"/>
              <w:right w:val="single" w:sz="2" w:space="0" w:color="auto"/>
            </w:tcBorders>
            <w:vAlign w:val="center"/>
          </w:tcPr>
          <w:p w14:paraId="1D8B0F03"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7ACBB044"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3361A29"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D9681AA"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1F950D2"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49E37B8"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4CC66DB"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092D7AC"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C689B7A"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42187CB"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5631C96"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164C75EB" w14:textId="77777777" w:rsidR="007B3DB2" w:rsidRPr="0063248C" w:rsidRDefault="007B3DB2">
            <w:pPr>
              <w:spacing w:line="240" w:lineRule="exact"/>
              <w:jc w:val="right"/>
              <w:rPr>
                <w:rFonts w:cs="宋体"/>
                <w:sz w:val="18"/>
                <w:szCs w:val="18"/>
              </w:rPr>
            </w:pPr>
          </w:p>
        </w:tc>
      </w:tr>
      <w:tr w:rsidR="00E92CF1" w:rsidRPr="0063248C" w14:paraId="239F1700"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5AD391CF"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．本期使用</w:t>
            </w:r>
          </w:p>
        </w:tc>
        <w:tc>
          <w:tcPr>
            <w:tcW w:w="1014" w:type="dxa"/>
            <w:tcBorders>
              <w:top w:val="single" w:sz="2" w:space="0" w:color="auto"/>
              <w:left w:val="single" w:sz="2" w:space="0" w:color="auto"/>
              <w:bottom w:val="single" w:sz="2" w:space="0" w:color="auto"/>
              <w:right w:val="single" w:sz="2" w:space="0" w:color="auto"/>
            </w:tcBorders>
            <w:vAlign w:val="center"/>
          </w:tcPr>
          <w:p w14:paraId="018D9914"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303656CE"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FACDBB4"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5755695"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1874737"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DC3EA33"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FFC872F"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5DAFC0D"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D0460CD"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C028FC3"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951E5E8"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55EDECB7" w14:textId="77777777" w:rsidR="007B3DB2" w:rsidRPr="0063248C" w:rsidRDefault="007B3DB2">
            <w:pPr>
              <w:spacing w:line="240" w:lineRule="exact"/>
              <w:jc w:val="right"/>
              <w:rPr>
                <w:rFonts w:cs="宋体"/>
                <w:sz w:val="18"/>
                <w:szCs w:val="18"/>
              </w:rPr>
            </w:pPr>
          </w:p>
        </w:tc>
      </w:tr>
      <w:tr w:rsidR="00E92CF1" w:rsidRPr="0063248C" w14:paraId="6594AC7D"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294231C5" w14:textId="77777777" w:rsidR="007B3DB2" w:rsidRPr="0063248C" w:rsidRDefault="00000000">
            <w:pPr>
              <w:spacing w:before="40" w:after="40" w:line="240" w:lineRule="exact"/>
              <w:rPr>
                <w:rFonts w:cs="宋体"/>
                <w:sz w:val="18"/>
                <w:szCs w:val="18"/>
              </w:rPr>
            </w:pPr>
            <w:r w:rsidRPr="0063248C">
              <w:rPr>
                <w:rFonts w:cs="宋体"/>
                <w:sz w:val="18"/>
                <w:szCs w:val="18"/>
              </w:rPr>
              <w:t>（六）其他</w:t>
            </w:r>
          </w:p>
        </w:tc>
        <w:tc>
          <w:tcPr>
            <w:tcW w:w="1014" w:type="dxa"/>
            <w:tcBorders>
              <w:top w:val="single" w:sz="2" w:space="0" w:color="auto"/>
              <w:left w:val="single" w:sz="2" w:space="0" w:color="auto"/>
              <w:bottom w:val="single" w:sz="2" w:space="0" w:color="auto"/>
              <w:right w:val="single" w:sz="2" w:space="0" w:color="auto"/>
            </w:tcBorders>
            <w:vAlign w:val="center"/>
          </w:tcPr>
          <w:p w14:paraId="6B7C1314" w14:textId="77777777" w:rsidR="007B3DB2" w:rsidRPr="0063248C" w:rsidRDefault="007B3DB2">
            <w:pPr>
              <w:spacing w:line="240" w:lineRule="exact"/>
              <w:jc w:val="right"/>
              <w:rPr>
                <w:rFonts w:cs="宋体"/>
                <w:sz w:val="18"/>
                <w:szCs w:val="18"/>
              </w:rPr>
            </w:pPr>
          </w:p>
        </w:tc>
        <w:tc>
          <w:tcPr>
            <w:tcW w:w="800" w:type="dxa"/>
            <w:tcBorders>
              <w:top w:val="single" w:sz="2" w:space="0" w:color="auto"/>
              <w:left w:val="single" w:sz="2" w:space="0" w:color="auto"/>
              <w:bottom w:val="single" w:sz="2" w:space="0" w:color="auto"/>
              <w:right w:val="single" w:sz="2" w:space="0" w:color="auto"/>
            </w:tcBorders>
            <w:vAlign w:val="center"/>
          </w:tcPr>
          <w:p w14:paraId="11F4CF2B"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7BC637C"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1417519"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7360D09"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F9EDAA7"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C36FDFA"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4BA3A55"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75CB8E7"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B2E5094"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AD635BA"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46D7F311" w14:textId="77777777" w:rsidR="007B3DB2" w:rsidRPr="0063248C" w:rsidRDefault="007B3DB2">
            <w:pPr>
              <w:spacing w:line="240" w:lineRule="exact"/>
              <w:jc w:val="right"/>
              <w:rPr>
                <w:rFonts w:cs="宋体"/>
                <w:sz w:val="18"/>
                <w:szCs w:val="18"/>
              </w:rPr>
            </w:pPr>
          </w:p>
        </w:tc>
      </w:tr>
      <w:tr w:rsidR="00E92CF1" w:rsidRPr="0063248C" w14:paraId="13323A25" w14:textId="77777777" w:rsidTr="00E92CF1">
        <w:trPr>
          <w:gridAfter w:val="1"/>
          <w:wAfter w:w="7" w:type="dxa"/>
          <w:trHeight w:val="241"/>
        </w:trPr>
        <w:tc>
          <w:tcPr>
            <w:tcW w:w="1730" w:type="dxa"/>
            <w:tcBorders>
              <w:top w:val="single" w:sz="2" w:space="0" w:color="auto"/>
              <w:left w:val="single" w:sz="2" w:space="0" w:color="auto"/>
              <w:bottom w:val="single" w:sz="2" w:space="0" w:color="auto"/>
              <w:right w:val="single" w:sz="2" w:space="0" w:color="auto"/>
            </w:tcBorders>
            <w:shd w:val="clear" w:color="auto" w:fill="D3D3D3"/>
            <w:vAlign w:val="center"/>
          </w:tcPr>
          <w:p w14:paraId="13AA2509" w14:textId="77777777" w:rsidR="007B3DB2" w:rsidRPr="0063248C" w:rsidRDefault="00000000">
            <w:pPr>
              <w:spacing w:before="40" w:after="40" w:line="240" w:lineRule="exact"/>
              <w:rPr>
                <w:rFonts w:cs="宋体"/>
                <w:sz w:val="18"/>
                <w:szCs w:val="18"/>
              </w:rPr>
            </w:pPr>
            <w:r w:rsidRPr="0063248C">
              <w:rPr>
                <w:rFonts w:cs="宋体"/>
                <w:sz w:val="18"/>
                <w:szCs w:val="18"/>
              </w:rPr>
              <w:t>四、本期期末余额</w:t>
            </w:r>
          </w:p>
        </w:tc>
        <w:tc>
          <w:tcPr>
            <w:tcW w:w="1014" w:type="dxa"/>
            <w:tcBorders>
              <w:top w:val="single" w:sz="2" w:space="0" w:color="auto"/>
              <w:left w:val="single" w:sz="2" w:space="0" w:color="auto"/>
              <w:bottom w:val="single" w:sz="2" w:space="0" w:color="auto"/>
              <w:right w:val="single" w:sz="2" w:space="0" w:color="auto"/>
            </w:tcBorders>
            <w:vAlign w:val="center"/>
          </w:tcPr>
          <w:p w14:paraId="015B73C9" w14:textId="77777777" w:rsidR="007B3DB2" w:rsidRPr="0063248C" w:rsidRDefault="00000000">
            <w:pPr>
              <w:spacing w:line="240" w:lineRule="exact"/>
              <w:jc w:val="right"/>
              <w:rPr>
                <w:rFonts w:cs="宋体"/>
                <w:sz w:val="18"/>
                <w:szCs w:val="18"/>
              </w:rPr>
            </w:pPr>
            <w:r w:rsidRPr="0063248C">
              <w:rPr>
                <w:rFonts w:cs="宋体"/>
                <w:sz w:val="18"/>
                <w:szCs w:val="18"/>
              </w:rPr>
              <w:t>1,079,159,939.00</w:t>
            </w:r>
          </w:p>
        </w:tc>
        <w:tc>
          <w:tcPr>
            <w:tcW w:w="800" w:type="dxa"/>
            <w:tcBorders>
              <w:top w:val="single" w:sz="2" w:space="0" w:color="auto"/>
              <w:left w:val="single" w:sz="2" w:space="0" w:color="auto"/>
              <w:bottom w:val="single" w:sz="2" w:space="0" w:color="auto"/>
              <w:right w:val="single" w:sz="2" w:space="0" w:color="auto"/>
            </w:tcBorders>
            <w:vAlign w:val="center"/>
          </w:tcPr>
          <w:p w14:paraId="2C758B4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14:paraId="346C4762"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38FB48DD" w14:textId="77777777" w:rsidR="007B3DB2" w:rsidRPr="0063248C" w:rsidRDefault="00000000">
            <w:pPr>
              <w:spacing w:line="240" w:lineRule="exact"/>
              <w:jc w:val="right"/>
              <w:rPr>
                <w:rFonts w:cs="宋体"/>
                <w:sz w:val="18"/>
                <w:szCs w:val="18"/>
              </w:rPr>
            </w:pPr>
            <w:r w:rsidRPr="0063248C">
              <w:rPr>
                <w:rFonts w:cs="宋体"/>
                <w:sz w:val="18"/>
                <w:szCs w:val="18"/>
              </w:rPr>
              <w:t>171,570,700.63</w:t>
            </w:r>
          </w:p>
        </w:tc>
        <w:tc>
          <w:tcPr>
            <w:tcW w:w="992" w:type="dxa"/>
            <w:tcBorders>
              <w:top w:val="single" w:sz="2" w:space="0" w:color="auto"/>
              <w:left w:val="single" w:sz="2" w:space="0" w:color="auto"/>
              <w:bottom w:val="single" w:sz="2" w:space="0" w:color="auto"/>
              <w:right w:val="single" w:sz="2" w:space="0" w:color="auto"/>
            </w:tcBorders>
            <w:vAlign w:val="center"/>
          </w:tcPr>
          <w:p w14:paraId="1B2728B5" w14:textId="77777777" w:rsidR="007B3DB2" w:rsidRPr="0063248C" w:rsidRDefault="00000000">
            <w:pPr>
              <w:spacing w:line="240" w:lineRule="exact"/>
              <w:jc w:val="right"/>
              <w:rPr>
                <w:rFonts w:cs="宋体"/>
                <w:sz w:val="18"/>
                <w:szCs w:val="18"/>
              </w:rPr>
            </w:pPr>
            <w:r w:rsidRPr="0063248C">
              <w:rPr>
                <w:rFonts w:cs="宋体"/>
                <w:sz w:val="18"/>
                <w:szCs w:val="18"/>
              </w:rPr>
              <w:t>830,436,630.97</w:t>
            </w:r>
          </w:p>
        </w:tc>
        <w:tc>
          <w:tcPr>
            <w:tcW w:w="1134" w:type="dxa"/>
            <w:tcBorders>
              <w:top w:val="single" w:sz="2" w:space="0" w:color="auto"/>
              <w:left w:val="single" w:sz="2" w:space="0" w:color="auto"/>
              <w:bottom w:val="single" w:sz="2" w:space="0" w:color="auto"/>
              <w:right w:val="single" w:sz="2" w:space="0" w:color="auto"/>
            </w:tcBorders>
            <w:vAlign w:val="center"/>
          </w:tcPr>
          <w:p w14:paraId="48515E74"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c>
          <w:tcPr>
            <w:tcW w:w="1134" w:type="dxa"/>
            <w:tcBorders>
              <w:top w:val="single" w:sz="2" w:space="0" w:color="auto"/>
              <w:left w:val="single" w:sz="2" w:space="0" w:color="auto"/>
              <w:bottom w:val="single" w:sz="2" w:space="0" w:color="auto"/>
              <w:right w:val="single" w:sz="2" w:space="0" w:color="auto"/>
            </w:tcBorders>
            <w:vAlign w:val="center"/>
          </w:tcPr>
          <w:p w14:paraId="74A1528B"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c>
          <w:tcPr>
            <w:tcW w:w="709" w:type="dxa"/>
            <w:tcBorders>
              <w:top w:val="single" w:sz="2" w:space="0" w:color="auto"/>
              <w:left w:val="single" w:sz="2" w:space="0" w:color="auto"/>
              <w:bottom w:val="single" w:sz="2" w:space="0" w:color="auto"/>
              <w:right w:val="single" w:sz="2" w:space="0" w:color="auto"/>
            </w:tcBorders>
            <w:vAlign w:val="center"/>
          </w:tcPr>
          <w:p w14:paraId="6BE8867F"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527C9478"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1134" w:type="dxa"/>
            <w:tcBorders>
              <w:top w:val="single" w:sz="2" w:space="0" w:color="auto"/>
              <w:left w:val="single" w:sz="2" w:space="0" w:color="auto"/>
              <w:bottom w:val="single" w:sz="2" w:space="0" w:color="auto"/>
              <w:right w:val="single" w:sz="2" w:space="0" w:color="auto"/>
            </w:tcBorders>
            <w:vAlign w:val="center"/>
          </w:tcPr>
          <w:p w14:paraId="1058B3D0" w14:textId="77777777" w:rsidR="007B3DB2" w:rsidRPr="0063248C" w:rsidRDefault="00000000">
            <w:pPr>
              <w:spacing w:line="240" w:lineRule="exact"/>
              <w:jc w:val="right"/>
              <w:rPr>
                <w:rFonts w:cs="宋体"/>
                <w:sz w:val="18"/>
                <w:szCs w:val="18"/>
              </w:rPr>
            </w:pPr>
            <w:r w:rsidRPr="0063248C">
              <w:rPr>
                <w:rFonts w:cs="宋体"/>
                <w:sz w:val="18"/>
                <w:szCs w:val="18"/>
              </w:rPr>
              <w:t>-796,208,849.57</w:t>
            </w:r>
          </w:p>
        </w:tc>
        <w:tc>
          <w:tcPr>
            <w:tcW w:w="1276" w:type="dxa"/>
            <w:tcBorders>
              <w:top w:val="single" w:sz="2" w:space="0" w:color="auto"/>
              <w:left w:val="single" w:sz="2" w:space="0" w:color="auto"/>
              <w:bottom w:val="single" w:sz="2" w:space="0" w:color="auto"/>
              <w:right w:val="single" w:sz="2" w:space="0" w:color="auto"/>
            </w:tcBorders>
            <w:vAlign w:val="center"/>
          </w:tcPr>
          <w:p w14:paraId="35F6DB79" w14:textId="77777777" w:rsidR="007B3DB2" w:rsidRPr="0063248C" w:rsidRDefault="007B3DB2">
            <w:pPr>
              <w:spacing w:line="240" w:lineRule="exact"/>
              <w:jc w:val="right"/>
              <w:rPr>
                <w:rFonts w:cs="宋体"/>
                <w:sz w:val="18"/>
                <w:szCs w:val="18"/>
              </w:rPr>
            </w:pPr>
          </w:p>
        </w:tc>
        <w:tc>
          <w:tcPr>
            <w:tcW w:w="1146" w:type="dxa"/>
            <w:tcBorders>
              <w:top w:val="single" w:sz="2" w:space="0" w:color="auto"/>
              <w:left w:val="single" w:sz="2" w:space="0" w:color="auto"/>
              <w:bottom w:val="single" w:sz="2" w:space="0" w:color="auto"/>
              <w:right w:val="single" w:sz="2" w:space="0" w:color="auto"/>
            </w:tcBorders>
            <w:vAlign w:val="center"/>
          </w:tcPr>
          <w:p w14:paraId="5A4E918A" w14:textId="77777777" w:rsidR="007B3DB2" w:rsidRPr="0063248C" w:rsidRDefault="00000000">
            <w:pPr>
              <w:spacing w:line="240" w:lineRule="exact"/>
              <w:jc w:val="right"/>
              <w:rPr>
                <w:rFonts w:cs="宋体"/>
                <w:sz w:val="18"/>
                <w:szCs w:val="18"/>
              </w:rPr>
            </w:pPr>
            <w:r w:rsidRPr="0063248C">
              <w:rPr>
                <w:rFonts w:cs="宋体"/>
                <w:sz w:val="18"/>
                <w:szCs w:val="18"/>
              </w:rPr>
              <w:t>1,206,551,266.90</w:t>
            </w:r>
          </w:p>
        </w:tc>
      </w:tr>
    </w:tbl>
    <w:p w14:paraId="08ED5D36" w14:textId="77777777" w:rsidR="007B3DB2" w:rsidRPr="0063248C" w:rsidRDefault="00000000">
      <w:pPr>
        <w:spacing w:before="100" w:after="100" w:line="240" w:lineRule="exact"/>
        <w:rPr>
          <w:rFonts w:cs="宋体"/>
          <w:sz w:val="18"/>
          <w:szCs w:val="18"/>
        </w:rPr>
      </w:pPr>
      <w:r w:rsidRPr="0063248C">
        <w:rPr>
          <w:rFonts w:cs="宋体"/>
          <w:sz w:val="18"/>
          <w:szCs w:val="18"/>
        </w:rPr>
        <w:t>上年金额</w:t>
      </w:r>
    </w:p>
    <w:p w14:paraId="151D83D6"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13892"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701"/>
        <w:gridCol w:w="993"/>
        <w:gridCol w:w="850"/>
        <w:gridCol w:w="861"/>
        <w:gridCol w:w="937"/>
        <w:gridCol w:w="1037"/>
        <w:gridCol w:w="992"/>
        <w:gridCol w:w="1276"/>
        <w:gridCol w:w="709"/>
        <w:gridCol w:w="992"/>
        <w:gridCol w:w="1164"/>
        <w:gridCol w:w="1246"/>
        <w:gridCol w:w="1134"/>
      </w:tblGrid>
      <w:tr w:rsidR="007B3DB2" w:rsidRPr="0063248C" w14:paraId="3F8BE412" w14:textId="77777777" w:rsidTr="00E92CF1">
        <w:trPr>
          <w:trHeight w:val="231"/>
        </w:trPr>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576A75"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2191"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3C9BC972" w14:textId="77777777" w:rsidR="007B3DB2" w:rsidRPr="0063248C" w:rsidRDefault="00000000">
            <w:pPr>
              <w:spacing w:before="40" w:after="40" w:line="240" w:lineRule="exact"/>
              <w:jc w:val="center"/>
              <w:rPr>
                <w:rFonts w:cs="宋体"/>
                <w:sz w:val="18"/>
                <w:szCs w:val="18"/>
              </w:rPr>
            </w:pPr>
            <w:r w:rsidRPr="0063248C">
              <w:rPr>
                <w:rFonts w:cs="宋体"/>
                <w:sz w:val="18"/>
                <w:szCs w:val="18"/>
              </w:rPr>
              <w:t>2023</w:t>
            </w:r>
            <w:r w:rsidRPr="0063248C">
              <w:rPr>
                <w:rFonts w:cs="宋体"/>
                <w:sz w:val="18"/>
                <w:szCs w:val="18"/>
              </w:rPr>
              <w:t>年半年度</w:t>
            </w:r>
          </w:p>
        </w:tc>
      </w:tr>
      <w:tr w:rsidR="00E92CF1" w:rsidRPr="0063248C" w14:paraId="3F6ADC2D" w14:textId="77777777" w:rsidTr="00E92CF1">
        <w:trPr>
          <w:trHeight w:val="231"/>
        </w:trPr>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4B94F37" w14:textId="77777777" w:rsidR="007B3DB2" w:rsidRPr="0063248C" w:rsidRDefault="007B3DB2"/>
        </w:tc>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20F888" w14:textId="77777777" w:rsidR="007B3DB2" w:rsidRPr="0063248C" w:rsidRDefault="00000000">
            <w:pPr>
              <w:spacing w:before="40" w:after="40" w:line="240" w:lineRule="exact"/>
              <w:jc w:val="center"/>
              <w:rPr>
                <w:rFonts w:cs="宋体"/>
                <w:sz w:val="18"/>
                <w:szCs w:val="18"/>
              </w:rPr>
            </w:pPr>
            <w:r w:rsidRPr="0063248C">
              <w:rPr>
                <w:rFonts w:cs="宋体"/>
                <w:sz w:val="18"/>
                <w:szCs w:val="18"/>
              </w:rPr>
              <w:t>股本</w:t>
            </w:r>
          </w:p>
        </w:tc>
        <w:tc>
          <w:tcPr>
            <w:tcW w:w="264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FEB1D25"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其他权益工具</w:t>
            </w:r>
          </w:p>
        </w:tc>
        <w:tc>
          <w:tcPr>
            <w:tcW w:w="103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9CA06EE" w14:textId="77777777" w:rsidR="007B3DB2" w:rsidRPr="0063248C" w:rsidRDefault="00000000">
            <w:pPr>
              <w:spacing w:before="40" w:after="40" w:line="240" w:lineRule="exact"/>
              <w:jc w:val="center"/>
              <w:rPr>
                <w:rFonts w:cs="宋体"/>
                <w:sz w:val="18"/>
                <w:szCs w:val="18"/>
              </w:rPr>
            </w:pPr>
            <w:r w:rsidRPr="0063248C">
              <w:rPr>
                <w:rFonts w:cs="宋体"/>
                <w:sz w:val="18"/>
                <w:szCs w:val="18"/>
              </w:rPr>
              <w:t>资本公积</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678C747"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减：库存股</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281E181"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其他综合收益</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BB51595" w14:textId="77777777" w:rsidR="007B3DB2" w:rsidRPr="0063248C" w:rsidRDefault="00000000">
            <w:pPr>
              <w:spacing w:before="40" w:after="40" w:line="240" w:lineRule="exact"/>
              <w:jc w:val="center"/>
              <w:rPr>
                <w:rFonts w:cs="宋体"/>
                <w:sz w:val="18"/>
                <w:szCs w:val="18"/>
              </w:rPr>
            </w:pPr>
            <w:r w:rsidRPr="0063248C">
              <w:rPr>
                <w:rFonts w:cs="宋体"/>
                <w:sz w:val="18"/>
                <w:szCs w:val="18"/>
              </w:rPr>
              <w:t>专项储备</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D0A01EB" w14:textId="77777777" w:rsidR="007B3DB2" w:rsidRPr="0063248C" w:rsidRDefault="00000000">
            <w:pPr>
              <w:spacing w:before="40" w:after="40" w:line="240" w:lineRule="exact"/>
              <w:jc w:val="center"/>
              <w:rPr>
                <w:rFonts w:cs="宋体"/>
                <w:sz w:val="18"/>
                <w:szCs w:val="18"/>
              </w:rPr>
            </w:pPr>
            <w:r w:rsidRPr="0063248C">
              <w:rPr>
                <w:rFonts w:cs="宋体"/>
                <w:sz w:val="18"/>
                <w:szCs w:val="18"/>
              </w:rPr>
              <w:t>盈余公积</w:t>
            </w:r>
          </w:p>
        </w:tc>
        <w:tc>
          <w:tcPr>
            <w:tcW w:w="11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3F879E6" w14:textId="77777777" w:rsidR="007B3DB2" w:rsidRPr="0063248C" w:rsidRDefault="00000000">
            <w:pPr>
              <w:spacing w:before="40" w:after="40" w:line="240" w:lineRule="exact"/>
              <w:jc w:val="center"/>
              <w:rPr>
                <w:rFonts w:cs="宋体"/>
                <w:sz w:val="18"/>
                <w:szCs w:val="18"/>
              </w:rPr>
            </w:pPr>
            <w:r w:rsidRPr="0063248C">
              <w:rPr>
                <w:rFonts w:cs="宋体"/>
                <w:sz w:val="18"/>
                <w:szCs w:val="18"/>
              </w:rPr>
              <w:t>未分配利润</w:t>
            </w:r>
          </w:p>
        </w:tc>
        <w:tc>
          <w:tcPr>
            <w:tcW w:w="124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E694B30"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8765A17" w14:textId="77777777" w:rsidR="007B3DB2" w:rsidRPr="0063248C" w:rsidRDefault="00000000">
            <w:pPr>
              <w:spacing w:before="40" w:after="40" w:line="240" w:lineRule="exact"/>
              <w:jc w:val="center"/>
              <w:rPr>
                <w:rFonts w:cs="宋体"/>
                <w:sz w:val="18"/>
                <w:szCs w:val="18"/>
              </w:rPr>
            </w:pPr>
            <w:r w:rsidRPr="0063248C">
              <w:rPr>
                <w:rFonts w:cs="宋体"/>
                <w:sz w:val="18"/>
                <w:szCs w:val="18"/>
              </w:rPr>
              <w:t>所有者权益合计</w:t>
            </w:r>
          </w:p>
        </w:tc>
      </w:tr>
      <w:tr w:rsidR="00E92CF1" w:rsidRPr="0063248C" w14:paraId="60B9AAC2" w14:textId="77777777" w:rsidTr="00E92CF1">
        <w:trPr>
          <w:trHeight w:val="231"/>
        </w:trPr>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8D908E" w14:textId="77777777" w:rsidR="007B3DB2" w:rsidRPr="0063248C" w:rsidRDefault="007B3DB2"/>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EEF41C6" w14:textId="77777777" w:rsidR="007B3DB2" w:rsidRPr="0063248C" w:rsidRDefault="007B3DB2"/>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2BBB0686" w14:textId="77777777" w:rsidR="007B3DB2" w:rsidRPr="0063248C" w:rsidRDefault="00000000">
            <w:pPr>
              <w:spacing w:before="40" w:after="40" w:line="240" w:lineRule="exact"/>
              <w:jc w:val="center"/>
              <w:rPr>
                <w:rFonts w:cs="宋体"/>
                <w:sz w:val="18"/>
                <w:szCs w:val="18"/>
              </w:rPr>
            </w:pPr>
            <w:r w:rsidRPr="0063248C">
              <w:rPr>
                <w:rFonts w:cs="宋体"/>
                <w:sz w:val="18"/>
                <w:szCs w:val="18"/>
              </w:rPr>
              <w:t>优先股</w:t>
            </w:r>
          </w:p>
        </w:tc>
        <w:tc>
          <w:tcPr>
            <w:tcW w:w="861" w:type="dxa"/>
            <w:tcBorders>
              <w:top w:val="single" w:sz="2" w:space="0" w:color="auto"/>
              <w:left w:val="single" w:sz="2" w:space="0" w:color="auto"/>
              <w:bottom w:val="single" w:sz="2" w:space="0" w:color="auto"/>
              <w:right w:val="single" w:sz="2" w:space="0" w:color="auto"/>
            </w:tcBorders>
            <w:shd w:val="clear" w:color="auto" w:fill="D3D3D3"/>
            <w:vAlign w:val="center"/>
          </w:tcPr>
          <w:p w14:paraId="40F60D7F" w14:textId="77777777" w:rsidR="007B3DB2" w:rsidRPr="0063248C" w:rsidRDefault="00000000">
            <w:pPr>
              <w:spacing w:before="40" w:after="40" w:line="240" w:lineRule="exact"/>
              <w:jc w:val="center"/>
              <w:rPr>
                <w:rFonts w:cs="宋体"/>
                <w:sz w:val="18"/>
                <w:szCs w:val="18"/>
              </w:rPr>
            </w:pPr>
            <w:r w:rsidRPr="0063248C">
              <w:rPr>
                <w:rFonts w:cs="宋体"/>
                <w:sz w:val="18"/>
                <w:szCs w:val="18"/>
              </w:rPr>
              <w:t>永续债</w:t>
            </w:r>
          </w:p>
        </w:tc>
        <w:tc>
          <w:tcPr>
            <w:tcW w:w="937" w:type="dxa"/>
            <w:tcBorders>
              <w:top w:val="single" w:sz="2" w:space="0" w:color="auto"/>
              <w:left w:val="single" w:sz="2" w:space="0" w:color="auto"/>
              <w:bottom w:val="single" w:sz="2" w:space="0" w:color="auto"/>
              <w:right w:val="single" w:sz="2" w:space="0" w:color="auto"/>
            </w:tcBorders>
            <w:shd w:val="clear" w:color="auto" w:fill="D3D3D3"/>
            <w:vAlign w:val="center"/>
          </w:tcPr>
          <w:p w14:paraId="3A7095EB"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103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C343330" w14:textId="77777777" w:rsidR="007B3DB2" w:rsidRPr="0063248C" w:rsidRDefault="007B3DB2"/>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9C719C" w14:textId="77777777" w:rsidR="007B3DB2" w:rsidRPr="0063248C" w:rsidRDefault="007B3DB2"/>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BF37DB" w14:textId="77777777" w:rsidR="007B3DB2" w:rsidRPr="0063248C" w:rsidRDefault="007B3DB2"/>
        </w:tc>
        <w:tc>
          <w:tcPr>
            <w:tcW w:w="709" w:type="dxa"/>
            <w:vMerge/>
            <w:tcBorders>
              <w:top w:val="single" w:sz="2" w:space="0" w:color="auto"/>
              <w:left w:val="single" w:sz="2" w:space="0" w:color="auto"/>
              <w:bottom w:val="single" w:sz="2" w:space="0" w:color="auto"/>
              <w:right w:val="single" w:sz="2" w:space="0" w:color="auto"/>
            </w:tcBorders>
            <w:vAlign w:val="center"/>
          </w:tcPr>
          <w:p w14:paraId="6FCE794A" w14:textId="77777777" w:rsidR="007B3DB2" w:rsidRPr="0063248C" w:rsidRDefault="007B3DB2"/>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0FF694" w14:textId="77777777" w:rsidR="007B3DB2" w:rsidRPr="0063248C" w:rsidRDefault="007B3DB2"/>
        </w:tc>
        <w:tc>
          <w:tcPr>
            <w:tcW w:w="116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737EC9" w14:textId="77777777" w:rsidR="007B3DB2" w:rsidRPr="0063248C" w:rsidRDefault="007B3DB2"/>
        </w:tc>
        <w:tc>
          <w:tcPr>
            <w:tcW w:w="1246" w:type="dxa"/>
            <w:vMerge/>
            <w:tcBorders>
              <w:top w:val="single" w:sz="2" w:space="0" w:color="auto"/>
              <w:left w:val="single" w:sz="2" w:space="0" w:color="auto"/>
              <w:bottom w:val="single" w:sz="2" w:space="0" w:color="auto"/>
              <w:right w:val="single" w:sz="2" w:space="0" w:color="auto"/>
            </w:tcBorders>
            <w:vAlign w:val="center"/>
          </w:tcPr>
          <w:p w14:paraId="23D39187" w14:textId="77777777" w:rsidR="007B3DB2" w:rsidRPr="0063248C" w:rsidRDefault="007B3DB2"/>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682BDD8" w14:textId="77777777" w:rsidR="007B3DB2" w:rsidRPr="0063248C" w:rsidRDefault="007B3DB2"/>
        </w:tc>
      </w:tr>
      <w:tr w:rsidR="00E92CF1" w:rsidRPr="0063248C" w14:paraId="0D865976"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DD8C385" w14:textId="77777777" w:rsidR="007B3DB2" w:rsidRPr="0063248C" w:rsidRDefault="00000000">
            <w:pPr>
              <w:spacing w:before="40" w:after="40" w:line="240" w:lineRule="exact"/>
              <w:rPr>
                <w:rFonts w:cs="宋体"/>
                <w:sz w:val="18"/>
                <w:szCs w:val="18"/>
              </w:rPr>
            </w:pPr>
            <w:r w:rsidRPr="0063248C">
              <w:rPr>
                <w:rFonts w:cs="宋体"/>
                <w:sz w:val="18"/>
                <w:szCs w:val="18"/>
              </w:rPr>
              <w:t>一、上年期末余额</w:t>
            </w:r>
          </w:p>
        </w:tc>
        <w:tc>
          <w:tcPr>
            <w:tcW w:w="993" w:type="dxa"/>
            <w:tcBorders>
              <w:top w:val="single" w:sz="2" w:space="0" w:color="auto"/>
              <w:left w:val="single" w:sz="2" w:space="0" w:color="auto"/>
              <w:bottom w:val="single" w:sz="2" w:space="0" w:color="auto"/>
              <w:right w:val="single" w:sz="2" w:space="0" w:color="auto"/>
            </w:tcBorders>
            <w:vAlign w:val="center"/>
          </w:tcPr>
          <w:p w14:paraId="0FD1A680" w14:textId="77777777" w:rsidR="007B3DB2" w:rsidRPr="0063248C" w:rsidRDefault="00000000">
            <w:pPr>
              <w:spacing w:line="240" w:lineRule="exact"/>
              <w:jc w:val="right"/>
              <w:rPr>
                <w:rFonts w:cs="宋体"/>
                <w:sz w:val="18"/>
                <w:szCs w:val="18"/>
              </w:rPr>
            </w:pPr>
            <w:r w:rsidRPr="0063248C">
              <w:rPr>
                <w:rFonts w:cs="宋体"/>
                <w:sz w:val="18"/>
                <w:szCs w:val="18"/>
              </w:rPr>
              <w:t>1,079,128,488.00</w:t>
            </w:r>
          </w:p>
        </w:tc>
        <w:tc>
          <w:tcPr>
            <w:tcW w:w="850" w:type="dxa"/>
            <w:tcBorders>
              <w:top w:val="single" w:sz="2" w:space="0" w:color="auto"/>
              <w:left w:val="single" w:sz="2" w:space="0" w:color="auto"/>
              <w:bottom w:val="single" w:sz="2" w:space="0" w:color="auto"/>
              <w:right w:val="single" w:sz="2" w:space="0" w:color="auto"/>
            </w:tcBorders>
            <w:vAlign w:val="center"/>
          </w:tcPr>
          <w:p w14:paraId="78ED4687"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61" w:type="dxa"/>
            <w:tcBorders>
              <w:top w:val="single" w:sz="2" w:space="0" w:color="auto"/>
              <w:left w:val="single" w:sz="2" w:space="0" w:color="auto"/>
              <w:bottom w:val="single" w:sz="2" w:space="0" w:color="auto"/>
              <w:right w:val="single" w:sz="2" w:space="0" w:color="auto"/>
            </w:tcBorders>
            <w:vAlign w:val="center"/>
          </w:tcPr>
          <w:p w14:paraId="41B79491"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37" w:type="dxa"/>
            <w:tcBorders>
              <w:top w:val="single" w:sz="2" w:space="0" w:color="auto"/>
              <w:left w:val="single" w:sz="2" w:space="0" w:color="auto"/>
              <w:bottom w:val="single" w:sz="2" w:space="0" w:color="auto"/>
              <w:right w:val="single" w:sz="2" w:space="0" w:color="auto"/>
            </w:tcBorders>
            <w:vAlign w:val="center"/>
          </w:tcPr>
          <w:p w14:paraId="3ACB4B54" w14:textId="77777777" w:rsidR="007B3DB2" w:rsidRPr="0063248C" w:rsidRDefault="00000000">
            <w:pPr>
              <w:spacing w:line="240" w:lineRule="exact"/>
              <w:jc w:val="right"/>
              <w:rPr>
                <w:rFonts w:cs="宋体"/>
                <w:sz w:val="18"/>
                <w:szCs w:val="18"/>
              </w:rPr>
            </w:pPr>
            <w:r w:rsidRPr="0063248C">
              <w:rPr>
                <w:rFonts w:cs="宋体"/>
                <w:sz w:val="18"/>
                <w:szCs w:val="18"/>
              </w:rPr>
              <w:t>171,571,679.93</w:t>
            </w:r>
          </w:p>
        </w:tc>
        <w:tc>
          <w:tcPr>
            <w:tcW w:w="1037" w:type="dxa"/>
            <w:tcBorders>
              <w:top w:val="single" w:sz="2" w:space="0" w:color="auto"/>
              <w:left w:val="single" w:sz="2" w:space="0" w:color="auto"/>
              <w:bottom w:val="single" w:sz="2" w:space="0" w:color="auto"/>
              <w:right w:val="single" w:sz="2" w:space="0" w:color="auto"/>
            </w:tcBorders>
            <w:vAlign w:val="center"/>
          </w:tcPr>
          <w:p w14:paraId="2415A863" w14:textId="77777777" w:rsidR="007B3DB2" w:rsidRPr="0063248C" w:rsidRDefault="00000000">
            <w:pPr>
              <w:spacing w:line="240" w:lineRule="exact"/>
              <w:jc w:val="right"/>
              <w:rPr>
                <w:rFonts w:cs="宋体"/>
                <w:sz w:val="18"/>
                <w:szCs w:val="18"/>
              </w:rPr>
            </w:pPr>
            <w:r w:rsidRPr="0063248C">
              <w:rPr>
                <w:rFonts w:cs="宋体"/>
                <w:sz w:val="18"/>
                <w:szCs w:val="18"/>
              </w:rPr>
              <w:t>830,246,509.95</w:t>
            </w:r>
          </w:p>
        </w:tc>
        <w:tc>
          <w:tcPr>
            <w:tcW w:w="992" w:type="dxa"/>
            <w:tcBorders>
              <w:top w:val="single" w:sz="2" w:space="0" w:color="auto"/>
              <w:left w:val="single" w:sz="2" w:space="0" w:color="auto"/>
              <w:bottom w:val="single" w:sz="2" w:space="0" w:color="auto"/>
              <w:right w:val="single" w:sz="2" w:space="0" w:color="auto"/>
            </w:tcBorders>
            <w:vAlign w:val="center"/>
          </w:tcPr>
          <w:p w14:paraId="6DE9B3C1" w14:textId="77777777" w:rsidR="007B3DB2" w:rsidRPr="0063248C" w:rsidRDefault="00000000">
            <w:pPr>
              <w:spacing w:line="240" w:lineRule="exact"/>
              <w:jc w:val="right"/>
              <w:rPr>
                <w:rFonts w:cs="宋体"/>
                <w:sz w:val="18"/>
                <w:szCs w:val="18"/>
              </w:rPr>
            </w:pPr>
            <w:r w:rsidRPr="0063248C">
              <w:rPr>
                <w:rFonts w:cs="宋体"/>
                <w:sz w:val="18"/>
                <w:szCs w:val="18"/>
              </w:rPr>
              <w:t>37,244,672.24</w:t>
            </w:r>
          </w:p>
        </w:tc>
        <w:tc>
          <w:tcPr>
            <w:tcW w:w="1276" w:type="dxa"/>
            <w:tcBorders>
              <w:top w:val="single" w:sz="2" w:space="0" w:color="auto"/>
              <w:left w:val="single" w:sz="2" w:space="0" w:color="auto"/>
              <w:bottom w:val="single" w:sz="2" w:space="0" w:color="auto"/>
              <w:right w:val="single" w:sz="2" w:space="0" w:color="auto"/>
            </w:tcBorders>
            <w:vAlign w:val="center"/>
          </w:tcPr>
          <w:p w14:paraId="39A1F27E" w14:textId="77777777" w:rsidR="007B3DB2" w:rsidRPr="0063248C" w:rsidRDefault="00000000">
            <w:pPr>
              <w:spacing w:line="240" w:lineRule="exact"/>
              <w:jc w:val="right"/>
              <w:rPr>
                <w:rFonts w:cs="宋体"/>
                <w:sz w:val="18"/>
                <w:szCs w:val="18"/>
              </w:rPr>
            </w:pPr>
            <w:r w:rsidRPr="0063248C">
              <w:rPr>
                <w:rFonts w:cs="宋体"/>
                <w:sz w:val="18"/>
                <w:szCs w:val="18"/>
              </w:rPr>
              <w:t>-11,777,820.33</w:t>
            </w:r>
          </w:p>
        </w:tc>
        <w:tc>
          <w:tcPr>
            <w:tcW w:w="709" w:type="dxa"/>
            <w:tcBorders>
              <w:top w:val="single" w:sz="2" w:space="0" w:color="auto"/>
              <w:left w:val="single" w:sz="2" w:space="0" w:color="auto"/>
              <w:bottom w:val="single" w:sz="2" w:space="0" w:color="auto"/>
              <w:right w:val="single" w:sz="2" w:space="0" w:color="auto"/>
            </w:tcBorders>
            <w:vAlign w:val="center"/>
          </w:tcPr>
          <w:p w14:paraId="14E09D86"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0807D7AE"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1164" w:type="dxa"/>
            <w:tcBorders>
              <w:top w:val="single" w:sz="2" w:space="0" w:color="auto"/>
              <w:left w:val="single" w:sz="2" w:space="0" w:color="auto"/>
              <w:bottom w:val="single" w:sz="2" w:space="0" w:color="auto"/>
              <w:right w:val="single" w:sz="2" w:space="0" w:color="auto"/>
            </w:tcBorders>
            <w:vAlign w:val="center"/>
          </w:tcPr>
          <w:p w14:paraId="2FE9D1F4" w14:textId="77777777" w:rsidR="007B3DB2" w:rsidRPr="0063248C" w:rsidRDefault="00000000">
            <w:pPr>
              <w:spacing w:line="240" w:lineRule="exact"/>
              <w:jc w:val="right"/>
              <w:rPr>
                <w:rFonts w:cs="宋体"/>
                <w:sz w:val="18"/>
                <w:szCs w:val="18"/>
              </w:rPr>
            </w:pPr>
            <w:r w:rsidRPr="0063248C">
              <w:rPr>
                <w:rFonts w:cs="宋体"/>
                <w:sz w:val="18"/>
                <w:szCs w:val="18"/>
              </w:rPr>
              <w:t>15,171,713.72</w:t>
            </w:r>
          </w:p>
        </w:tc>
        <w:tc>
          <w:tcPr>
            <w:tcW w:w="1246" w:type="dxa"/>
            <w:tcBorders>
              <w:top w:val="single" w:sz="2" w:space="0" w:color="auto"/>
              <w:left w:val="single" w:sz="2" w:space="0" w:color="auto"/>
              <w:bottom w:val="single" w:sz="2" w:space="0" w:color="auto"/>
              <w:right w:val="single" w:sz="2" w:space="0" w:color="auto"/>
            </w:tcBorders>
            <w:vAlign w:val="center"/>
          </w:tcPr>
          <w:p w14:paraId="382849C5"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CA2D305" w14:textId="77777777" w:rsidR="007B3DB2" w:rsidRPr="0063248C" w:rsidRDefault="00000000">
            <w:pPr>
              <w:spacing w:line="240" w:lineRule="exact"/>
              <w:jc w:val="right"/>
              <w:rPr>
                <w:rFonts w:cs="宋体"/>
                <w:sz w:val="18"/>
                <w:szCs w:val="18"/>
              </w:rPr>
            </w:pPr>
            <w:r w:rsidRPr="0063248C">
              <w:rPr>
                <w:rFonts w:cs="宋体"/>
                <w:sz w:val="18"/>
                <w:szCs w:val="18"/>
              </w:rPr>
              <w:t>2,310,813,828.19</w:t>
            </w:r>
          </w:p>
        </w:tc>
      </w:tr>
      <w:tr w:rsidR="00E92CF1" w:rsidRPr="0063248C" w14:paraId="0F23CE0F"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7622B40B"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加：会计政策变更</w:t>
            </w:r>
          </w:p>
        </w:tc>
        <w:tc>
          <w:tcPr>
            <w:tcW w:w="993" w:type="dxa"/>
            <w:tcBorders>
              <w:top w:val="single" w:sz="2" w:space="0" w:color="auto"/>
              <w:left w:val="single" w:sz="2" w:space="0" w:color="auto"/>
              <w:bottom w:val="single" w:sz="2" w:space="0" w:color="auto"/>
              <w:right w:val="single" w:sz="2" w:space="0" w:color="auto"/>
            </w:tcBorders>
            <w:vAlign w:val="center"/>
          </w:tcPr>
          <w:p w14:paraId="2C620255"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70045EE"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70878723"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1A583517"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44F97212"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099F7A7"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DBE96B7"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3A8A42D"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7AF26F1"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4575C82A" w14:textId="77777777" w:rsidR="007B3DB2" w:rsidRPr="0063248C" w:rsidRDefault="00000000">
            <w:pPr>
              <w:spacing w:line="240" w:lineRule="exact"/>
              <w:jc w:val="right"/>
              <w:rPr>
                <w:rFonts w:cs="宋体"/>
                <w:sz w:val="18"/>
                <w:szCs w:val="18"/>
              </w:rPr>
            </w:pPr>
            <w:r w:rsidRPr="0063248C">
              <w:rPr>
                <w:rFonts w:cs="宋体"/>
                <w:sz w:val="18"/>
                <w:szCs w:val="18"/>
              </w:rPr>
              <w:t>58,203.65</w:t>
            </w:r>
          </w:p>
        </w:tc>
        <w:tc>
          <w:tcPr>
            <w:tcW w:w="1246" w:type="dxa"/>
            <w:tcBorders>
              <w:top w:val="single" w:sz="2" w:space="0" w:color="auto"/>
              <w:left w:val="single" w:sz="2" w:space="0" w:color="auto"/>
              <w:bottom w:val="single" w:sz="2" w:space="0" w:color="auto"/>
              <w:right w:val="single" w:sz="2" w:space="0" w:color="auto"/>
            </w:tcBorders>
            <w:vAlign w:val="center"/>
          </w:tcPr>
          <w:p w14:paraId="528CBA37"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BD0AA57" w14:textId="77777777" w:rsidR="007B3DB2" w:rsidRPr="0063248C" w:rsidRDefault="00000000">
            <w:pPr>
              <w:spacing w:line="240" w:lineRule="exact"/>
              <w:jc w:val="right"/>
              <w:rPr>
                <w:rFonts w:cs="宋体"/>
                <w:sz w:val="18"/>
                <w:szCs w:val="18"/>
              </w:rPr>
            </w:pPr>
            <w:r w:rsidRPr="0063248C">
              <w:rPr>
                <w:rFonts w:cs="宋体"/>
                <w:sz w:val="18"/>
                <w:szCs w:val="18"/>
              </w:rPr>
              <w:t>58,203.65</w:t>
            </w:r>
          </w:p>
        </w:tc>
      </w:tr>
      <w:tr w:rsidR="00E92CF1" w:rsidRPr="0063248C" w14:paraId="60457735"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6BA4D210"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前期差错更正</w:t>
            </w:r>
          </w:p>
        </w:tc>
        <w:tc>
          <w:tcPr>
            <w:tcW w:w="993" w:type="dxa"/>
            <w:tcBorders>
              <w:top w:val="single" w:sz="2" w:space="0" w:color="auto"/>
              <w:left w:val="single" w:sz="2" w:space="0" w:color="auto"/>
              <w:bottom w:val="single" w:sz="2" w:space="0" w:color="auto"/>
              <w:right w:val="single" w:sz="2" w:space="0" w:color="auto"/>
            </w:tcBorders>
            <w:vAlign w:val="center"/>
          </w:tcPr>
          <w:p w14:paraId="2D1BADFE"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9EEBE9F"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771388F7"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437A5634"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4749E713"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932AA1A"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7B49E5C"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72BED16"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B3351A3"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0ACFC298"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5F68F5AB"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8A580A7" w14:textId="77777777" w:rsidR="007B3DB2" w:rsidRPr="0063248C" w:rsidRDefault="007B3DB2">
            <w:pPr>
              <w:spacing w:line="240" w:lineRule="exact"/>
              <w:jc w:val="right"/>
              <w:rPr>
                <w:rFonts w:cs="宋体"/>
                <w:sz w:val="18"/>
                <w:szCs w:val="18"/>
              </w:rPr>
            </w:pPr>
          </w:p>
        </w:tc>
      </w:tr>
      <w:tr w:rsidR="00E92CF1" w:rsidRPr="0063248C" w14:paraId="5A00C762"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63FB25B6"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lastRenderedPageBreak/>
              <w:t>其他</w:t>
            </w:r>
          </w:p>
        </w:tc>
        <w:tc>
          <w:tcPr>
            <w:tcW w:w="993" w:type="dxa"/>
            <w:tcBorders>
              <w:top w:val="single" w:sz="2" w:space="0" w:color="auto"/>
              <w:left w:val="single" w:sz="2" w:space="0" w:color="auto"/>
              <w:bottom w:val="single" w:sz="2" w:space="0" w:color="auto"/>
              <w:right w:val="single" w:sz="2" w:space="0" w:color="auto"/>
            </w:tcBorders>
            <w:vAlign w:val="center"/>
          </w:tcPr>
          <w:p w14:paraId="34E2A1D1"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5669B93"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7C6B4FA2"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3BDAF628"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5A22438E"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F86956B"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91F2D39"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C16A737"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C19DC11"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371C7861"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5A42F2FC"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5708DE7" w14:textId="77777777" w:rsidR="007B3DB2" w:rsidRPr="0063248C" w:rsidRDefault="007B3DB2">
            <w:pPr>
              <w:spacing w:line="240" w:lineRule="exact"/>
              <w:jc w:val="right"/>
              <w:rPr>
                <w:rFonts w:cs="宋体"/>
                <w:sz w:val="18"/>
                <w:szCs w:val="18"/>
              </w:rPr>
            </w:pPr>
          </w:p>
        </w:tc>
      </w:tr>
      <w:tr w:rsidR="00E92CF1" w:rsidRPr="0063248C" w14:paraId="26419512"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6AEDED17" w14:textId="77777777" w:rsidR="007B3DB2" w:rsidRPr="0063248C" w:rsidRDefault="00000000">
            <w:pPr>
              <w:spacing w:before="40" w:after="40" w:line="240" w:lineRule="exact"/>
              <w:rPr>
                <w:rFonts w:cs="宋体"/>
                <w:sz w:val="18"/>
                <w:szCs w:val="18"/>
              </w:rPr>
            </w:pPr>
            <w:r w:rsidRPr="0063248C">
              <w:rPr>
                <w:rFonts w:cs="宋体"/>
                <w:sz w:val="18"/>
                <w:szCs w:val="18"/>
              </w:rPr>
              <w:t>二、本年期初余额</w:t>
            </w:r>
          </w:p>
        </w:tc>
        <w:tc>
          <w:tcPr>
            <w:tcW w:w="993" w:type="dxa"/>
            <w:tcBorders>
              <w:top w:val="single" w:sz="2" w:space="0" w:color="auto"/>
              <w:left w:val="single" w:sz="2" w:space="0" w:color="auto"/>
              <w:bottom w:val="single" w:sz="2" w:space="0" w:color="auto"/>
              <w:right w:val="single" w:sz="2" w:space="0" w:color="auto"/>
            </w:tcBorders>
            <w:vAlign w:val="center"/>
          </w:tcPr>
          <w:p w14:paraId="44AD7A2D" w14:textId="77777777" w:rsidR="007B3DB2" w:rsidRPr="0063248C" w:rsidRDefault="00000000">
            <w:pPr>
              <w:spacing w:line="240" w:lineRule="exact"/>
              <w:jc w:val="right"/>
              <w:rPr>
                <w:rFonts w:cs="宋体"/>
                <w:sz w:val="18"/>
                <w:szCs w:val="18"/>
              </w:rPr>
            </w:pPr>
            <w:r w:rsidRPr="0063248C">
              <w:rPr>
                <w:rFonts w:cs="宋体"/>
                <w:sz w:val="18"/>
                <w:szCs w:val="18"/>
              </w:rPr>
              <w:t>1,079,128,488.00</w:t>
            </w:r>
          </w:p>
        </w:tc>
        <w:tc>
          <w:tcPr>
            <w:tcW w:w="850" w:type="dxa"/>
            <w:tcBorders>
              <w:top w:val="single" w:sz="2" w:space="0" w:color="auto"/>
              <w:left w:val="single" w:sz="2" w:space="0" w:color="auto"/>
              <w:bottom w:val="single" w:sz="2" w:space="0" w:color="auto"/>
              <w:right w:val="single" w:sz="2" w:space="0" w:color="auto"/>
            </w:tcBorders>
            <w:vAlign w:val="center"/>
          </w:tcPr>
          <w:p w14:paraId="4E34DCB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61" w:type="dxa"/>
            <w:tcBorders>
              <w:top w:val="single" w:sz="2" w:space="0" w:color="auto"/>
              <w:left w:val="single" w:sz="2" w:space="0" w:color="auto"/>
              <w:bottom w:val="single" w:sz="2" w:space="0" w:color="auto"/>
              <w:right w:val="single" w:sz="2" w:space="0" w:color="auto"/>
            </w:tcBorders>
            <w:vAlign w:val="center"/>
          </w:tcPr>
          <w:p w14:paraId="5D039C6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37" w:type="dxa"/>
            <w:tcBorders>
              <w:top w:val="single" w:sz="2" w:space="0" w:color="auto"/>
              <w:left w:val="single" w:sz="2" w:space="0" w:color="auto"/>
              <w:bottom w:val="single" w:sz="2" w:space="0" w:color="auto"/>
              <w:right w:val="single" w:sz="2" w:space="0" w:color="auto"/>
            </w:tcBorders>
            <w:vAlign w:val="center"/>
          </w:tcPr>
          <w:p w14:paraId="6E93683D" w14:textId="77777777" w:rsidR="007B3DB2" w:rsidRPr="0063248C" w:rsidRDefault="00000000">
            <w:pPr>
              <w:spacing w:line="240" w:lineRule="exact"/>
              <w:jc w:val="right"/>
              <w:rPr>
                <w:rFonts w:cs="宋体"/>
                <w:sz w:val="18"/>
                <w:szCs w:val="18"/>
              </w:rPr>
            </w:pPr>
            <w:r w:rsidRPr="0063248C">
              <w:rPr>
                <w:rFonts w:cs="宋体"/>
                <w:sz w:val="18"/>
                <w:szCs w:val="18"/>
              </w:rPr>
              <w:t>171,571,679.93</w:t>
            </w:r>
          </w:p>
        </w:tc>
        <w:tc>
          <w:tcPr>
            <w:tcW w:w="1037" w:type="dxa"/>
            <w:tcBorders>
              <w:top w:val="single" w:sz="2" w:space="0" w:color="auto"/>
              <w:left w:val="single" w:sz="2" w:space="0" w:color="auto"/>
              <w:bottom w:val="single" w:sz="2" w:space="0" w:color="auto"/>
              <w:right w:val="single" w:sz="2" w:space="0" w:color="auto"/>
            </w:tcBorders>
            <w:vAlign w:val="center"/>
          </w:tcPr>
          <w:p w14:paraId="2812EA0B" w14:textId="77777777" w:rsidR="007B3DB2" w:rsidRPr="0063248C" w:rsidRDefault="00000000">
            <w:pPr>
              <w:spacing w:line="240" w:lineRule="exact"/>
              <w:jc w:val="right"/>
              <w:rPr>
                <w:rFonts w:cs="宋体"/>
                <w:sz w:val="18"/>
                <w:szCs w:val="18"/>
              </w:rPr>
            </w:pPr>
            <w:r w:rsidRPr="0063248C">
              <w:rPr>
                <w:rFonts w:cs="宋体"/>
                <w:sz w:val="18"/>
                <w:szCs w:val="18"/>
              </w:rPr>
              <w:t>830,246,509.95</w:t>
            </w:r>
          </w:p>
        </w:tc>
        <w:tc>
          <w:tcPr>
            <w:tcW w:w="992" w:type="dxa"/>
            <w:tcBorders>
              <w:top w:val="single" w:sz="2" w:space="0" w:color="auto"/>
              <w:left w:val="single" w:sz="2" w:space="0" w:color="auto"/>
              <w:bottom w:val="single" w:sz="2" w:space="0" w:color="auto"/>
              <w:right w:val="single" w:sz="2" w:space="0" w:color="auto"/>
            </w:tcBorders>
            <w:vAlign w:val="center"/>
          </w:tcPr>
          <w:p w14:paraId="78A96177" w14:textId="77777777" w:rsidR="007B3DB2" w:rsidRPr="0063248C" w:rsidRDefault="00000000">
            <w:pPr>
              <w:spacing w:line="240" w:lineRule="exact"/>
              <w:jc w:val="right"/>
              <w:rPr>
                <w:rFonts w:cs="宋体"/>
                <w:sz w:val="18"/>
                <w:szCs w:val="18"/>
              </w:rPr>
            </w:pPr>
            <w:r w:rsidRPr="0063248C">
              <w:rPr>
                <w:rFonts w:cs="宋体"/>
                <w:sz w:val="18"/>
                <w:szCs w:val="18"/>
              </w:rPr>
              <w:t>37,244,672.24</w:t>
            </w:r>
          </w:p>
        </w:tc>
        <w:tc>
          <w:tcPr>
            <w:tcW w:w="1276" w:type="dxa"/>
            <w:tcBorders>
              <w:top w:val="single" w:sz="2" w:space="0" w:color="auto"/>
              <w:left w:val="single" w:sz="2" w:space="0" w:color="auto"/>
              <w:bottom w:val="single" w:sz="2" w:space="0" w:color="auto"/>
              <w:right w:val="single" w:sz="2" w:space="0" w:color="auto"/>
            </w:tcBorders>
            <w:vAlign w:val="center"/>
          </w:tcPr>
          <w:p w14:paraId="150CF849" w14:textId="77777777" w:rsidR="007B3DB2" w:rsidRPr="0063248C" w:rsidRDefault="00000000">
            <w:pPr>
              <w:spacing w:line="240" w:lineRule="exact"/>
              <w:jc w:val="right"/>
              <w:rPr>
                <w:rFonts w:cs="宋体"/>
                <w:sz w:val="18"/>
                <w:szCs w:val="18"/>
              </w:rPr>
            </w:pPr>
            <w:r w:rsidRPr="0063248C">
              <w:rPr>
                <w:rFonts w:cs="宋体"/>
                <w:sz w:val="18"/>
                <w:szCs w:val="18"/>
              </w:rPr>
              <w:t>-11,777,820.33</w:t>
            </w:r>
          </w:p>
        </w:tc>
        <w:tc>
          <w:tcPr>
            <w:tcW w:w="709" w:type="dxa"/>
            <w:tcBorders>
              <w:top w:val="single" w:sz="2" w:space="0" w:color="auto"/>
              <w:left w:val="single" w:sz="2" w:space="0" w:color="auto"/>
              <w:bottom w:val="single" w:sz="2" w:space="0" w:color="auto"/>
              <w:right w:val="single" w:sz="2" w:space="0" w:color="auto"/>
            </w:tcBorders>
            <w:vAlign w:val="center"/>
          </w:tcPr>
          <w:p w14:paraId="2D9DCB48"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198C5CEE"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1164" w:type="dxa"/>
            <w:tcBorders>
              <w:top w:val="single" w:sz="2" w:space="0" w:color="auto"/>
              <w:left w:val="single" w:sz="2" w:space="0" w:color="auto"/>
              <w:bottom w:val="single" w:sz="2" w:space="0" w:color="auto"/>
              <w:right w:val="single" w:sz="2" w:space="0" w:color="auto"/>
            </w:tcBorders>
            <w:vAlign w:val="center"/>
          </w:tcPr>
          <w:p w14:paraId="38D5CCC9" w14:textId="77777777" w:rsidR="007B3DB2" w:rsidRPr="0063248C" w:rsidRDefault="00000000">
            <w:pPr>
              <w:spacing w:line="240" w:lineRule="exact"/>
              <w:jc w:val="right"/>
              <w:rPr>
                <w:rFonts w:cs="宋体"/>
                <w:sz w:val="18"/>
                <w:szCs w:val="18"/>
              </w:rPr>
            </w:pPr>
            <w:r w:rsidRPr="0063248C">
              <w:rPr>
                <w:rFonts w:cs="宋体"/>
                <w:sz w:val="18"/>
                <w:szCs w:val="18"/>
              </w:rPr>
              <w:t>15,229,917.37</w:t>
            </w:r>
          </w:p>
        </w:tc>
        <w:tc>
          <w:tcPr>
            <w:tcW w:w="1246" w:type="dxa"/>
            <w:tcBorders>
              <w:top w:val="single" w:sz="2" w:space="0" w:color="auto"/>
              <w:left w:val="single" w:sz="2" w:space="0" w:color="auto"/>
              <w:bottom w:val="single" w:sz="2" w:space="0" w:color="auto"/>
              <w:right w:val="single" w:sz="2" w:space="0" w:color="auto"/>
            </w:tcBorders>
            <w:vAlign w:val="center"/>
          </w:tcPr>
          <w:p w14:paraId="7D1E08F1"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44A0229" w14:textId="77777777" w:rsidR="007B3DB2" w:rsidRPr="0063248C" w:rsidRDefault="00000000">
            <w:pPr>
              <w:spacing w:line="240" w:lineRule="exact"/>
              <w:jc w:val="right"/>
              <w:rPr>
                <w:rFonts w:cs="宋体"/>
                <w:sz w:val="18"/>
                <w:szCs w:val="18"/>
              </w:rPr>
            </w:pPr>
            <w:r w:rsidRPr="0063248C">
              <w:rPr>
                <w:rFonts w:cs="宋体"/>
                <w:sz w:val="18"/>
                <w:szCs w:val="18"/>
              </w:rPr>
              <w:t>2,310,872,031.84</w:t>
            </w:r>
          </w:p>
        </w:tc>
      </w:tr>
      <w:tr w:rsidR="00E92CF1" w:rsidRPr="0063248C" w14:paraId="5E2C0ED1"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D009387" w14:textId="77777777" w:rsidR="007B3DB2" w:rsidRPr="0063248C" w:rsidRDefault="00000000">
            <w:pPr>
              <w:spacing w:before="40" w:after="40" w:line="240" w:lineRule="exact"/>
              <w:rPr>
                <w:rFonts w:cs="宋体"/>
                <w:sz w:val="18"/>
                <w:szCs w:val="18"/>
              </w:rPr>
            </w:pPr>
            <w:r w:rsidRPr="0063248C">
              <w:rPr>
                <w:rFonts w:cs="宋体"/>
                <w:sz w:val="18"/>
                <w:szCs w:val="18"/>
              </w:rPr>
              <w:t>三、本期增减变动金额（减少以</w:t>
            </w:r>
            <w:r w:rsidRPr="0063248C">
              <w:rPr>
                <w:rFonts w:cs="宋体"/>
                <w:sz w:val="18"/>
                <w:szCs w:val="18"/>
              </w:rPr>
              <w:t>“—”</w:t>
            </w:r>
            <w:r w:rsidRPr="0063248C">
              <w:rPr>
                <w:rFonts w:cs="宋体"/>
                <w:sz w:val="18"/>
                <w:szCs w:val="18"/>
              </w:rPr>
              <w:t>号填列）</w:t>
            </w:r>
          </w:p>
        </w:tc>
        <w:tc>
          <w:tcPr>
            <w:tcW w:w="993" w:type="dxa"/>
            <w:tcBorders>
              <w:top w:val="single" w:sz="2" w:space="0" w:color="auto"/>
              <w:left w:val="single" w:sz="2" w:space="0" w:color="auto"/>
              <w:bottom w:val="single" w:sz="2" w:space="0" w:color="auto"/>
              <w:right w:val="single" w:sz="2" w:space="0" w:color="auto"/>
            </w:tcBorders>
            <w:vAlign w:val="center"/>
          </w:tcPr>
          <w:p w14:paraId="5A288087" w14:textId="77777777" w:rsidR="007B3DB2" w:rsidRPr="0063248C" w:rsidRDefault="00000000">
            <w:pPr>
              <w:spacing w:line="240" w:lineRule="exact"/>
              <w:jc w:val="right"/>
              <w:rPr>
                <w:rFonts w:cs="宋体"/>
                <w:sz w:val="18"/>
                <w:szCs w:val="18"/>
              </w:rPr>
            </w:pPr>
            <w:r w:rsidRPr="0063248C">
              <w:rPr>
                <w:rFonts w:cs="宋体"/>
                <w:sz w:val="18"/>
                <w:szCs w:val="18"/>
              </w:rPr>
              <w:t>31,237.00</w:t>
            </w:r>
          </w:p>
        </w:tc>
        <w:tc>
          <w:tcPr>
            <w:tcW w:w="850" w:type="dxa"/>
            <w:tcBorders>
              <w:top w:val="single" w:sz="2" w:space="0" w:color="auto"/>
              <w:left w:val="single" w:sz="2" w:space="0" w:color="auto"/>
              <w:bottom w:val="single" w:sz="2" w:space="0" w:color="auto"/>
              <w:right w:val="single" w:sz="2" w:space="0" w:color="auto"/>
            </w:tcBorders>
            <w:vAlign w:val="center"/>
          </w:tcPr>
          <w:p w14:paraId="5ED796C1"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61" w:type="dxa"/>
            <w:tcBorders>
              <w:top w:val="single" w:sz="2" w:space="0" w:color="auto"/>
              <w:left w:val="single" w:sz="2" w:space="0" w:color="auto"/>
              <w:bottom w:val="single" w:sz="2" w:space="0" w:color="auto"/>
              <w:right w:val="single" w:sz="2" w:space="0" w:color="auto"/>
            </w:tcBorders>
            <w:vAlign w:val="center"/>
          </w:tcPr>
          <w:p w14:paraId="0FBF508B"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37" w:type="dxa"/>
            <w:tcBorders>
              <w:top w:val="single" w:sz="2" w:space="0" w:color="auto"/>
              <w:left w:val="single" w:sz="2" w:space="0" w:color="auto"/>
              <w:bottom w:val="single" w:sz="2" w:space="0" w:color="auto"/>
              <w:right w:val="single" w:sz="2" w:space="0" w:color="auto"/>
            </w:tcBorders>
            <w:vAlign w:val="center"/>
          </w:tcPr>
          <w:p w14:paraId="3981A396" w14:textId="77777777" w:rsidR="007B3DB2" w:rsidRPr="0063248C" w:rsidRDefault="00000000">
            <w:pPr>
              <w:spacing w:line="240" w:lineRule="exact"/>
              <w:jc w:val="right"/>
              <w:rPr>
                <w:rFonts w:cs="宋体"/>
                <w:sz w:val="18"/>
                <w:szCs w:val="18"/>
              </w:rPr>
            </w:pPr>
            <w:r w:rsidRPr="0063248C">
              <w:rPr>
                <w:rFonts w:cs="宋体"/>
                <w:sz w:val="18"/>
                <w:szCs w:val="18"/>
              </w:rPr>
              <w:t>-616.60</w:t>
            </w:r>
          </w:p>
        </w:tc>
        <w:tc>
          <w:tcPr>
            <w:tcW w:w="1037" w:type="dxa"/>
            <w:tcBorders>
              <w:top w:val="single" w:sz="2" w:space="0" w:color="auto"/>
              <w:left w:val="single" w:sz="2" w:space="0" w:color="auto"/>
              <w:bottom w:val="single" w:sz="2" w:space="0" w:color="auto"/>
              <w:right w:val="single" w:sz="2" w:space="0" w:color="auto"/>
            </w:tcBorders>
            <w:vAlign w:val="center"/>
          </w:tcPr>
          <w:p w14:paraId="3D6D8915" w14:textId="77777777" w:rsidR="007B3DB2" w:rsidRPr="0063248C" w:rsidRDefault="00000000">
            <w:pPr>
              <w:spacing w:line="240" w:lineRule="exact"/>
              <w:jc w:val="right"/>
              <w:rPr>
                <w:rFonts w:cs="宋体"/>
                <w:sz w:val="18"/>
                <w:szCs w:val="18"/>
              </w:rPr>
            </w:pPr>
            <w:r w:rsidRPr="0063248C">
              <w:rPr>
                <w:rFonts w:cs="宋体"/>
                <w:sz w:val="18"/>
                <w:szCs w:val="18"/>
              </w:rPr>
              <w:t>187,901.06</w:t>
            </w:r>
          </w:p>
        </w:tc>
        <w:tc>
          <w:tcPr>
            <w:tcW w:w="992" w:type="dxa"/>
            <w:tcBorders>
              <w:top w:val="single" w:sz="2" w:space="0" w:color="auto"/>
              <w:left w:val="single" w:sz="2" w:space="0" w:color="auto"/>
              <w:bottom w:val="single" w:sz="2" w:space="0" w:color="auto"/>
              <w:right w:val="single" w:sz="2" w:space="0" w:color="auto"/>
            </w:tcBorders>
            <w:vAlign w:val="center"/>
          </w:tcPr>
          <w:p w14:paraId="2E30D16F" w14:textId="77777777" w:rsidR="007B3DB2" w:rsidRPr="0063248C" w:rsidRDefault="00000000">
            <w:pPr>
              <w:spacing w:line="240" w:lineRule="exact"/>
              <w:jc w:val="right"/>
              <w:rPr>
                <w:rFonts w:cs="宋体"/>
                <w:sz w:val="18"/>
                <w:szCs w:val="18"/>
              </w:rPr>
            </w:pPr>
            <w:r w:rsidRPr="0063248C">
              <w:rPr>
                <w:rFonts w:cs="宋体"/>
                <w:sz w:val="18"/>
                <w:szCs w:val="18"/>
              </w:rPr>
              <w:t>61,768,604.49</w:t>
            </w:r>
          </w:p>
        </w:tc>
        <w:tc>
          <w:tcPr>
            <w:tcW w:w="1276" w:type="dxa"/>
            <w:tcBorders>
              <w:top w:val="single" w:sz="2" w:space="0" w:color="auto"/>
              <w:left w:val="single" w:sz="2" w:space="0" w:color="auto"/>
              <w:bottom w:val="single" w:sz="2" w:space="0" w:color="auto"/>
              <w:right w:val="single" w:sz="2" w:space="0" w:color="auto"/>
            </w:tcBorders>
            <w:vAlign w:val="center"/>
          </w:tcPr>
          <w:p w14:paraId="21DF4AE5"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0E48F62E"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20190506"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164" w:type="dxa"/>
            <w:tcBorders>
              <w:top w:val="single" w:sz="2" w:space="0" w:color="auto"/>
              <w:left w:val="single" w:sz="2" w:space="0" w:color="auto"/>
              <w:bottom w:val="single" w:sz="2" w:space="0" w:color="auto"/>
              <w:right w:val="single" w:sz="2" w:space="0" w:color="auto"/>
            </w:tcBorders>
            <w:vAlign w:val="center"/>
          </w:tcPr>
          <w:p w14:paraId="7AE28780" w14:textId="77777777" w:rsidR="007B3DB2" w:rsidRPr="0063248C" w:rsidRDefault="00000000">
            <w:pPr>
              <w:spacing w:line="240" w:lineRule="exact"/>
              <w:jc w:val="right"/>
              <w:rPr>
                <w:rFonts w:cs="宋体"/>
                <w:sz w:val="18"/>
                <w:szCs w:val="18"/>
              </w:rPr>
            </w:pPr>
            <w:r w:rsidRPr="0063248C">
              <w:rPr>
                <w:rFonts w:cs="宋体"/>
                <w:sz w:val="18"/>
                <w:szCs w:val="18"/>
              </w:rPr>
              <w:t>-70,314,518.69</w:t>
            </w:r>
          </w:p>
        </w:tc>
        <w:tc>
          <w:tcPr>
            <w:tcW w:w="1246" w:type="dxa"/>
            <w:tcBorders>
              <w:top w:val="single" w:sz="2" w:space="0" w:color="auto"/>
              <w:left w:val="single" w:sz="2" w:space="0" w:color="auto"/>
              <w:bottom w:val="single" w:sz="2" w:space="0" w:color="auto"/>
              <w:right w:val="single" w:sz="2" w:space="0" w:color="auto"/>
            </w:tcBorders>
            <w:vAlign w:val="center"/>
          </w:tcPr>
          <w:p w14:paraId="5F752EE9"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D9592C3" w14:textId="77777777" w:rsidR="007B3DB2" w:rsidRPr="0063248C" w:rsidRDefault="00000000">
            <w:pPr>
              <w:spacing w:line="240" w:lineRule="exact"/>
              <w:jc w:val="right"/>
              <w:rPr>
                <w:rFonts w:cs="宋体"/>
                <w:sz w:val="18"/>
                <w:szCs w:val="18"/>
              </w:rPr>
            </w:pPr>
            <w:r w:rsidRPr="0063248C">
              <w:rPr>
                <w:rFonts w:cs="宋体"/>
                <w:sz w:val="18"/>
                <w:szCs w:val="18"/>
              </w:rPr>
              <w:t>-131,864,601.72</w:t>
            </w:r>
          </w:p>
        </w:tc>
      </w:tr>
      <w:tr w:rsidR="00E92CF1" w:rsidRPr="0063248C" w14:paraId="43879608"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B4148CF" w14:textId="77777777" w:rsidR="007B3DB2" w:rsidRPr="0063248C" w:rsidRDefault="00000000">
            <w:pPr>
              <w:spacing w:before="40" w:after="40" w:line="240" w:lineRule="exact"/>
              <w:rPr>
                <w:rFonts w:cs="宋体"/>
                <w:sz w:val="18"/>
                <w:szCs w:val="18"/>
              </w:rPr>
            </w:pPr>
            <w:r w:rsidRPr="0063248C">
              <w:rPr>
                <w:rFonts w:cs="宋体"/>
                <w:sz w:val="18"/>
                <w:szCs w:val="18"/>
              </w:rPr>
              <w:t>（一）综合收益总额</w:t>
            </w:r>
          </w:p>
        </w:tc>
        <w:tc>
          <w:tcPr>
            <w:tcW w:w="993" w:type="dxa"/>
            <w:tcBorders>
              <w:top w:val="single" w:sz="2" w:space="0" w:color="auto"/>
              <w:left w:val="single" w:sz="2" w:space="0" w:color="auto"/>
              <w:bottom w:val="single" w:sz="2" w:space="0" w:color="auto"/>
              <w:right w:val="single" w:sz="2" w:space="0" w:color="auto"/>
            </w:tcBorders>
            <w:vAlign w:val="center"/>
          </w:tcPr>
          <w:p w14:paraId="729301B7"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CB5C57E"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34661790"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4BA2D045"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401CC28E"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A60931C"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5F864A0"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35392498"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C3DA638"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141EABBB" w14:textId="77777777" w:rsidR="007B3DB2" w:rsidRPr="0063248C" w:rsidRDefault="00000000">
            <w:pPr>
              <w:spacing w:line="240" w:lineRule="exact"/>
              <w:jc w:val="right"/>
              <w:rPr>
                <w:rFonts w:cs="宋体"/>
                <w:sz w:val="18"/>
                <w:szCs w:val="18"/>
              </w:rPr>
            </w:pPr>
            <w:r w:rsidRPr="0063248C">
              <w:rPr>
                <w:rFonts w:cs="宋体"/>
                <w:sz w:val="18"/>
                <w:szCs w:val="18"/>
              </w:rPr>
              <w:t>-70,314,518.69</w:t>
            </w:r>
          </w:p>
        </w:tc>
        <w:tc>
          <w:tcPr>
            <w:tcW w:w="1246" w:type="dxa"/>
            <w:tcBorders>
              <w:top w:val="single" w:sz="2" w:space="0" w:color="auto"/>
              <w:left w:val="single" w:sz="2" w:space="0" w:color="auto"/>
              <w:bottom w:val="single" w:sz="2" w:space="0" w:color="auto"/>
              <w:right w:val="single" w:sz="2" w:space="0" w:color="auto"/>
            </w:tcBorders>
            <w:vAlign w:val="center"/>
          </w:tcPr>
          <w:p w14:paraId="77AEE24C"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B2C74C0" w14:textId="77777777" w:rsidR="007B3DB2" w:rsidRPr="0063248C" w:rsidRDefault="00000000">
            <w:pPr>
              <w:spacing w:line="240" w:lineRule="exact"/>
              <w:jc w:val="right"/>
              <w:rPr>
                <w:rFonts w:cs="宋体"/>
                <w:sz w:val="18"/>
                <w:szCs w:val="18"/>
              </w:rPr>
            </w:pPr>
            <w:r w:rsidRPr="0063248C">
              <w:rPr>
                <w:rFonts w:cs="宋体"/>
                <w:sz w:val="18"/>
                <w:szCs w:val="18"/>
              </w:rPr>
              <w:t>-70,314,518.69</w:t>
            </w:r>
          </w:p>
        </w:tc>
      </w:tr>
      <w:tr w:rsidR="00E92CF1" w:rsidRPr="0063248C" w14:paraId="22AC0928"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3939828" w14:textId="77777777" w:rsidR="007B3DB2" w:rsidRPr="0063248C" w:rsidRDefault="00000000">
            <w:pPr>
              <w:spacing w:before="40" w:after="40" w:line="240" w:lineRule="exact"/>
              <w:rPr>
                <w:rFonts w:cs="宋体"/>
                <w:sz w:val="18"/>
                <w:szCs w:val="18"/>
              </w:rPr>
            </w:pPr>
            <w:r w:rsidRPr="0063248C">
              <w:rPr>
                <w:rFonts w:cs="宋体"/>
                <w:sz w:val="18"/>
                <w:szCs w:val="18"/>
              </w:rPr>
              <w:t>（二）所有者投入和减少资本</w:t>
            </w:r>
          </w:p>
        </w:tc>
        <w:tc>
          <w:tcPr>
            <w:tcW w:w="993" w:type="dxa"/>
            <w:tcBorders>
              <w:top w:val="single" w:sz="2" w:space="0" w:color="auto"/>
              <w:left w:val="single" w:sz="2" w:space="0" w:color="auto"/>
              <w:bottom w:val="single" w:sz="2" w:space="0" w:color="auto"/>
              <w:right w:val="single" w:sz="2" w:space="0" w:color="auto"/>
            </w:tcBorders>
            <w:vAlign w:val="center"/>
          </w:tcPr>
          <w:p w14:paraId="10411BEA" w14:textId="77777777" w:rsidR="007B3DB2" w:rsidRPr="0063248C" w:rsidRDefault="00000000">
            <w:pPr>
              <w:spacing w:line="240" w:lineRule="exact"/>
              <w:jc w:val="right"/>
              <w:rPr>
                <w:rFonts w:cs="宋体"/>
                <w:sz w:val="18"/>
                <w:szCs w:val="18"/>
              </w:rPr>
            </w:pPr>
            <w:r w:rsidRPr="0063248C">
              <w:rPr>
                <w:rFonts w:cs="宋体"/>
                <w:sz w:val="18"/>
                <w:szCs w:val="18"/>
              </w:rPr>
              <w:t>31,237.00</w:t>
            </w:r>
          </w:p>
        </w:tc>
        <w:tc>
          <w:tcPr>
            <w:tcW w:w="850" w:type="dxa"/>
            <w:tcBorders>
              <w:top w:val="single" w:sz="2" w:space="0" w:color="auto"/>
              <w:left w:val="single" w:sz="2" w:space="0" w:color="auto"/>
              <w:bottom w:val="single" w:sz="2" w:space="0" w:color="auto"/>
              <w:right w:val="single" w:sz="2" w:space="0" w:color="auto"/>
            </w:tcBorders>
            <w:vAlign w:val="center"/>
          </w:tcPr>
          <w:p w14:paraId="2CD88A45"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61" w:type="dxa"/>
            <w:tcBorders>
              <w:top w:val="single" w:sz="2" w:space="0" w:color="auto"/>
              <w:left w:val="single" w:sz="2" w:space="0" w:color="auto"/>
              <w:bottom w:val="single" w:sz="2" w:space="0" w:color="auto"/>
              <w:right w:val="single" w:sz="2" w:space="0" w:color="auto"/>
            </w:tcBorders>
            <w:vAlign w:val="center"/>
          </w:tcPr>
          <w:p w14:paraId="0A3D3DA1"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37" w:type="dxa"/>
            <w:tcBorders>
              <w:top w:val="single" w:sz="2" w:space="0" w:color="auto"/>
              <w:left w:val="single" w:sz="2" w:space="0" w:color="auto"/>
              <w:bottom w:val="single" w:sz="2" w:space="0" w:color="auto"/>
              <w:right w:val="single" w:sz="2" w:space="0" w:color="auto"/>
            </w:tcBorders>
            <w:vAlign w:val="center"/>
          </w:tcPr>
          <w:p w14:paraId="6A7204AE" w14:textId="77777777" w:rsidR="007B3DB2" w:rsidRPr="0063248C" w:rsidRDefault="00000000">
            <w:pPr>
              <w:spacing w:line="240" w:lineRule="exact"/>
              <w:jc w:val="right"/>
              <w:rPr>
                <w:rFonts w:cs="宋体"/>
                <w:sz w:val="18"/>
                <w:szCs w:val="18"/>
              </w:rPr>
            </w:pPr>
            <w:r w:rsidRPr="0063248C">
              <w:rPr>
                <w:rFonts w:cs="宋体"/>
                <w:sz w:val="18"/>
                <w:szCs w:val="18"/>
              </w:rPr>
              <w:t>-616.60</w:t>
            </w:r>
          </w:p>
        </w:tc>
        <w:tc>
          <w:tcPr>
            <w:tcW w:w="1037" w:type="dxa"/>
            <w:tcBorders>
              <w:top w:val="single" w:sz="2" w:space="0" w:color="auto"/>
              <w:left w:val="single" w:sz="2" w:space="0" w:color="auto"/>
              <w:bottom w:val="single" w:sz="2" w:space="0" w:color="auto"/>
              <w:right w:val="single" w:sz="2" w:space="0" w:color="auto"/>
            </w:tcBorders>
            <w:vAlign w:val="center"/>
          </w:tcPr>
          <w:p w14:paraId="332A7415" w14:textId="77777777" w:rsidR="007B3DB2" w:rsidRPr="0063248C" w:rsidRDefault="00000000">
            <w:pPr>
              <w:spacing w:line="240" w:lineRule="exact"/>
              <w:jc w:val="right"/>
              <w:rPr>
                <w:rFonts w:cs="宋体"/>
                <w:sz w:val="18"/>
                <w:szCs w:val="18"/>
              </w:rPr>
            </w:pPr>
            <w:r w:rsidRPr="0063248C">
              <w:rPr>
                <w:rFonts w:cs="宋体"/>
                <w:sz w:val="18"/>
                <w:szCs w:val="18"/>
              </w:rPr>
              <w:t>187,901.06</w:t>
            </w:r>
          </w:p>
        </w:tc>
        <w:tc>
          <w:tcPr>
            <w:tcW w:w="992" w:type="dxa"/>
            <w:tcBorders>
              <w:top w:val="single" w:sz="2" w:space="0" w:color="auto"/>
              <w:left w:val="single" w:sz="2" w:space="0" w:color="auto"/>
              <w:bottom w:val="single" w:sz="2" w:space="0" w:color="auto"/>
              <w:right w:val="single" w:sz="2" w:space="0" w:color="auto"/>
            </w:tcBorders>
            <w:vAlign w:val="center"/>
          </w:tcPr>
          <w:p w14:paraId="7EB4208B" w14:textId="77777777" w:rsidR="007B3DB2" w:rsidRPr="0063248C" w:rsidRDefault="00000000">
            <w:pPr>
              <w:spacing w:line="240" w:lineRule="exact"/>
              <w:jc w:val="right"/>
              <w:rPr>
                <w:rFonts w:cs="宋体"/>
                <w:sz w:val="18"/>
                <w:szCs w:val="18"/>
              </w:rPr>
            </w:pPr>
            <w:r w:rsidRPr="0063248C">
              <w:rPr>
                <w:rFonts w:cs="宋体"/>
                <w:sz w:val="18"/>
                <w:szCs w:val="18"/>
              </w:rPr>
              <w:t>61,768,604.49</w:t>
            </w:r>
          </w:p>
        </w:tc>
        <w:tc>
          <w:tcPr>
            <w:tcW w:w="1276" w:type="dxa"/>
            <w:tcBorders>
              <w:top w:val="single" w:sz="2" w:space="0" w:color="auto"/>
              <w:left w:val="single" w:sz="2" w:space="0" w:color="auto"/>
              <w:bottom w:val="single" w:sz="2" w:space="0" w:color="auto"/>
              <w:right w:val="single" w:sz="2" w:space="0" w:color="auto"/>
            </w:tcBorders>
            <w:vAlign w:val="center"/>
          </w:tcPr>
          <w:p w14:paraId="5F51694F"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5141DC6E"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66B254E8"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164" w:type="dxa"/>
            <w:tcBorders>
              <w:top w:val="single" w:sz="2" w:space="0" w:color="auto"/>
              <w:left w:val="single" w:sz="2" w:space="0" w:color="auto"/>
              <w:bottom w:val="single" w:sz="2" w:space="0" w:color="auto"/>
              <w:right w:val="single" w:sz="2" w:space="0" w:color="auto"/>
            </w:tcBorders>
            <w:vAlign w:val="center"/>
          </w:tcPr>
          <w:p w14:paraId="6270262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246" w:type="dxa"/>
            <w:tcBorders>
              <w:top w:val="single" w:sz="2" w:space="0" w:color="auto"/>
              <w:left w:val="single" w:sz="2" w:space="0" w:color="auto"/>
              <w:bottom w:val="single" w:sz="2" w:space="0" w:color="auto"/>
              <w:right w:val="single" w:sz="2" w:space="0" w:color="auto"/>
            </w:tcBorders>
            <w:vAlign w:val="center"/>
          </w:tcPr>
          <w:p w14:paraId="037509F4"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C0B904F" w14:textId="77777777" w:rsidR="007B3DB2" w:rsidRPr="0063248C" w:rsidRDefault="00000000">
            <w:pPr>
              <w:spacing w:line="240" w:lineRule="exact"/>
              <w:jc w:val="right"/>
              <w:rPr>
                <w:rFonts w:cs="宋体"/>
                <w:sz w:val="18"/>
                <w:szCs w:val="18"/>
              </w:rPr>
            </w:pPr>
            <w:r w:rsidRPr="0063248C">
              <w:rPr>
                <w:rFonts w:cs="宋体"/>
                <w:sz w:val="18"/>
                <w:szCs w:val="18"/>
              </w:rPr>
              <w:t>-61,550,083.03</w:t>
            </w:r>
          </w:p>
        </w:tc>
      </w:tr>
      <w:tr w:rsidR="00E92CF1" w:rsidRPr="0063248C" w14:paraId="2A25A8D8"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CE810EF"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．所有者投入的普通股</w:t>
            </w:r>
          </w:p>
        </w:tc>
        <w:tc>
          <w:tcPr>
            <w:tcW w:w="993" w:type="dxa"/>
            <w:tcBorders>
              <w:top w:val="single" w:sz="2" w:space="0" w:color="auto"/>
              <w:left w:val="single" w:sz="2" w:space="0" w:color="auto"/>
              <w:bottom w:val="single" w:sz="2" w:space="0" w:color="auto"/>
              <w:right w:val="single" w:sz="2" w:space="0" w:color="auto"/>
            </w:tcBorders>
            <w:vAlign w:val="center"/>
          </w:tcPr>
          <w:p w14:paraId="2DDE6CA7" w14:textId="77777777" w:rsidR="007B3DB2" w:rsidRPr="0063248C" w:rsidRDefault="00000000">
            <w:pPr>
              <w:spacing w:line="240" w:lineRule="exact"/>
              <w:jc w:val="right"/>
              <w:rPr>
                <w:rFonts w:cs="宋体"/>
                <w:sz w:val="18"/>
                <w:szCs w:val="18"/>
              </w:rPr>
            </w:pPr>
            <w:r w:rsidRPr="0063248C">
              <w:rPr>
                <w:rFonts w:cs="宋体"/>
                <w:sz w:val="18"/>
                <w:szCs w:val="18"/>
              </w:rPr>
              <w:t>31,237.00</w:t>
            </w:r>
          </w:p>
        </w:tc>
        <w:tc>
          <w:tcPr>
            <w:tcW w:w="850" w:type="dxa"/>
            <w:tcBorders>
              <w:top w:val="single" w:sz="2" w:space="0" w:color="auto"/>
              <w:left w:val="single" w:sz="2" w:space="0" w:color="auto"/>
              <w:bottom w:val="single" w:sz="2" w:space="0" w:color="auto"/>
              <w:right w:val="single" w:sz="2" w:space="0" w:color="auto"/>
            </w:tcBorders>
            <w:vAlign w:val="center"/>
          </w:tcPr>
          <w:p w14:paraId="48FB159D"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637904CB"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34B9DB01"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5913877C" w14:textId="77777777" w:rsidR="007B3DB2" w:rsidRPr="0063248C" w:rsidRDefault="00000000">
            <w:pPr>
              <w:spacing w:line="240" w:lineRule="exact"/>
              <w:jc w:val="right"/>
              <w:rPr>
                <w:rFonts w:cs="宋体"/>
                <w:sz w:val="18"/>
                <w:szCs w:val="18"/>
              </w:rPr>
            </w:pPr>
            <w:r w:rsidRPr="0063248C">
              <w:rPr>
                <w:rFonts w:cs="宋体"/>
                <w:sz w:val="18"/>
                <w:szCs w:val="18"/>
              </w:rPr>
              <w:t>187,901.06</w:t>
            </w:r>
          </w:p>
        </w:tc>
        <w:tc>
          <w:tcPr>
            <w:tcW w:w="992" w:type="dxa"/>
            <w:tcBorders>
              <w:top w:val="single" w:sz="2" w:space="0" w:color="auto"/>
              <w:left w:val="single" w:sz="2" w:space="0" w:color="auto"/>
              <w:bottom w:val="single" w:sz="2" w:space="0" w:color="auto"/>
              <w:right w:val="single" w:sz="2" w:space="0" w:color="auto"/>
            </w:tcBorders>
            <w:vAlign w:val="center"/>
          </w:tcPr>
          <w:p w14:paraId="5D417CE2"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460C5F7"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F9762BA"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DB37D24"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19D4CCC9"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13C0F47E"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C704576" w14:textId="77777777" w:rsidR="007B3DB2" w:rsidRPr="0063248C" w:rsidRDefault="00000000">
            <w:pPr>
              <w:spacing w:line="240" w:lineRule="exact"/>
              <w:jc w:val="right"/>
              <w:rPr>
                <w:rFonts w:cs="宋体"/>
                <w:sz w:val="18"/>
                <w:szCs w:val="18"/>
              </w:rPr>
            </w:pPr>
            <w:r w:rsidRPr="0063248C">
              <w:rPr>
                <w:rFonts w:cs="宋体"/>
                <w:sz w:val="18"/>
                <w:szCs w:val="18"/>
              </w:rPr>
              <w:t>219,138.06</w:t>
            </w:r>
          </w:p>
        </w:tc>
      </w:tr>
      <w:tr w:rsidR="00E92CF1" w:rsidRPr="0063248C" w14:paraId="237A2232"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1CB2C62"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．其他权益工具持有者投入资本</w:t>
            </w:r>
          </w:p>
        </w:tc>
        <w:tc>
          <w:tcPr>
            <w:tcW w:w="993" w:type="dxa"/>
            <w:tcBorders>
              <w:top w:val="single" w:sz="2" w:space="0" w:color="auto"/>
              <w:left w:val="single" w:sz="2" w:space="0" w:color="auto"/>
              <w:bottom w:val="single" w:sz="2" w:space="0" w:color="auto"/>
              <w:right w:val="single" w:sz="2" w:space="0" w:color="auto"/>
            </w:tcBorders>
            <w:vAlign w:val="center"/>
          </w:tcPr>
          <w:p w14:paraId="6A724AC5"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DAB56FD"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7134F635"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17D64857"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12A1F977"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AEC051F"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B8D6D9F"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BB3543C"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9B37C28"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65AED5D5"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7F4E3B45"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744BFAC"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E92CF1" w:rsidRPr="0063248C" w14:paraId="481AF17F"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F7EA39F"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．股份支付计入所有者权益的金额</w:t>
            </w:r>
          </w:p>
        </w:tc>
        <w:tc>
          <w:tcPr>
            <w:tcW w:w="993" w:type="dxa"/>
            <w:tcBorders>
              <w:top w:val="single" w:sz="2" w:space="0" w:color="auto"/>
              <w:left w:val="single" w:sz="2" w:space="0" w:color="auto"/>
              <w:bottom w:val="single" w:sz="2" w:space="0" w:color="auto"/>
              <w:right w:val="single" w:sz="2" w:space="0" w:color="auto"/>
            </w:tcBorders>
            <w:vAlign w:val="center"/>
          </w:tcPr>
          <w:p w14:paraId="5857BADD"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8A8A1A7"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384E56B0"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306081AB"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015B4DE6"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6C81CB0"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6016540"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E96415F"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556B812"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2AE06D39"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7ECADFA5"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7F2C922"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E92CF1" w:rsidRPr="0063248C" w14:paraId="14FA3DC1"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CAF6E4D" w14:textId="77777777" w:rsidR="007B3DB2" w:rsidRPr="0063248C" w:rsidRDefault="00000000">
            <w:pPr>
              <w:spacing w:before="40" w:after="40" w:line="240" w:lineRule="exact"/>
              <w:rPr>
                <w:rFonts w:cs="宋体"/>
                <w:sz w:val="18"/>
                <w:szCs w:val="18"/>
              </w:rPr>
            </w:pPr>
            <w:r w:rsidRPr="0063248C">
              <w:rPr>
                <w:rFonts w:cs="宋体"/>
                <w:sz w:val="18"/>
                <w:szCs w:val="18"/>
              </w:rPr>
              <w:t>4</w:t>
            </w:r>
            <w:r w:rsidRPr="0063248C">
              <w:rPr>
                <w:rFonts w:cs="宋体"/>
                <w:sz w:val="18"/>
                <w:szCs w:val="18"/>
              </w:rPr>
              <w:t>．其他</w:t>
            </w:r>
          </w:p>
        </w:tc>
        <w:tc>
          <w:tcPr>
            <w:tcW w:w="993" w:type="dxa"/>
            <w:tcBorders>
              <w:top w:val="single" w:sz="2" w:space="0" w:color="auto"/>
              <w:left w:val="single" w:sz="2" w:space="0" w:color="auto"/>
              <w:bottom w:val="single" w:sz="2" w:space="0" w:color="auto"/>
              <w:right w:val="single" w:sz="2" w:space="0" w:color="auto"/>
            </w:tcBorders>
            <w:vAlign w:val="center"/>
          </w:tcPr>
          <w:p w14:paraId="01275FA9"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E8D8825"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76ACE4A8"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61CCF7F1" w14:textId="77777777" w:rsidR="007B3DB2" w:rsidRPr="0063248C" w:rsidRDefault="00000000">
            <w:pPr>
              <w:spacing w:line="240" w:lineRule="exact"/>
              <w:jc w:val="right"/>
              <w:rPr>
                <w:rFonts w:cs="宋体"/>
                <w:sz w:val="18"/>
                <w:szCs w:val="18"/>
              </w:rPr>
            </w:pPr>
            <w:r w:rsidRPr="0063248C">
              <w:rPr>
                <w:rFonts w:cs="宋体"/>
                <w:sz w:val="18"/>
                <w:szCs w:val="18"/>
              </w:rPr>
              <w:t>-616.60</w:t>
            </w:r>
          </w:p>
        </w:tc>
        <w:tc>
          <w:tcPr>
            <w:tcW w:w="1037" w:type="dxa"/>
            <w:tcBorders>
              <w:top w:val="single" w:sz="2" w:space="0" w:color="auto"/>
              <w:left w:val="single" w:sz="2" w:space="0" w:color="auto"/>
              <w:bottom w:val="single" w:sz="2" w:space="0" w:color="auto"/>
              <w:right w:val="single" w:sz="2" w:space="0" w:color="auto"/>
            </w:tcBorders>
            <w:vAlign w:val="center"/>
          </w:tcPr>
          <w:p w14:paraId="0F50BC95"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75F666A" w14:textId="77777777" w:rsidR="007B3DB2" w:rsidRPr="0063248C" w:rsidRDefault="00000000">
            <w:pPr>
              <w:spacing w:line="240" w:lineRule="exact"/>
              <w:jc w:val="right"/>
              <w:rPr>
                <w:rFonts w:cs="宋体"/>
                <w:sz w:val="18"/>
                <w:szCs w:val="18"/>
              </w:rPr>
            </w:pPr>
            <w:r w:rsidRPr="0063248C">
              <w:rPr>
                <w:rFonts w:cs="宋体"/>
                <w:sz w:val="18"/>
                <w:szCs w:val="18"/>
              </w:rPr>
              <w:t>61,768,604.49</w:t>
            </w:r>
          </w:p>
        </w:tc>
        <w:tc>
          <w:tcPr>
            <w:tcW w:w="1276" w:type="dxa"/>
            <w:tcBorders>
              <w:top w:val="single" w:sz="2" w:space="0" w:color="auto"/>
              <w:left w:val="single" w:sz="2" w:space="0" w:color="auto"/>
              <w:bottom w:val="single" w:sz="2" w:space="0" w:color="auto"/>
              <w:right w:val="single" w:sz="2" w:space="0" w:color="auto"/>
            </w:tcBorders>
            <w:vAlign w:val="center"/>
          </w:tcPr>
          <w:p w14:paraId="11E8B286"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7157322"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CEE9885"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685E16DB"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7C9FC92A"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8F548E5" w14:textId="77777777" w:rsidR="007B3DB2" w:rsidRPr="0063248C" w:rsidRDefault="00000000">
            <w:pPr>
              <w:spacing w:line="240" w:lineRule="exact"/>
              <w:jc w:val="right"/>
              <w:rPr>
                <w:rFonts w:cs="宋体"/>
                <w:sz w:val="18"/>
                <w:szCs w:val="18"/>
              </w:rPr>
            </w:pPr>
            <w:r w:rsidRPr="0063248C">
              <w:rPr>
                <w:rFonts w:cs="宋体"/>
                <w:sz w:val="18"/>
                <w:szCs w:val="18"/>
              </w:rPr>
              <w:t>-61,769,221.09</w:t>
            </w:r>
          </w:p>
        </w:tc>
      </w:tr>
      <w:tr w:rsidR="00E92CF1" w:rsidRPr="0063248C" w14:paraId="75659C53"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F1FD04E" w14:textId="77777777" w:rsidR="007B3DB2" w:rsidRPr="0063248C" w:rsidRDefault="00000000">
            <w:pPr>
              <w:spacing w:before="40" w:after="40" w:line="240" w:lineRule="exact"/>
              <w:rPr>
                <w:rFonts w:cs="宋体"/>
                <w:sz w:val="18"/>
                <w:szCs w:val="18"/>
              </w:rPr>
            </w:pPr>
            <w:r w:rsidRPr="0063248C">
              <w:rPr>
                <w:rFonts w:cs="宋体"/>
                <w:sz w:val="18"/>
                <w:szCs w:val="18"/>
              </w:rPr>
              <w:t>（三）利润分配</w:t>
            </w:r>
          </w:p>
        </w:tc>
        <w:tc>
          <w:tcPr>
            <w:tcW w:w="993" w:type="dxa"/>
            <w:tcBorders>
              <w:top w:val="single" w:sz="2" w:space="0" w:color="auto"/>
              <w:left w:val="single" w:sz="2" w:space="0" w:color="auto"/>
              <w:bottom w:val="single" w:sz="2" w:space="0" w:color="auto"/>
              <w:right w:val="single" w:sz="2" w:space="0" w:color="auto"/>
            </w:tcBorders>
            <w:vAlign w:val="center"/>
          </w:tcPr>
          <w:p w14:paraId="62872D34"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6DE212B"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42AB636F"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44127A0F"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13E15809"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6FB08CB"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78D1E14"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BC79FEF"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44F7647"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577975B5"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69A57A84"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C5A0B06" w14:textId="77777777" w:rsidR="007B3DB2" w:rsidRPr="0063248C" w:rsidRDefault="007B3DB2">
            <w:pPr>
              <w:spacing w:line="240" w:lineRule="exact"/>
              <w:jc w:val="right"/>
              <w:rPr>
                <w:rFonts w:cs="宋体"/>
                <w:sz w:val="18"/>
                <w:szCs w:val="18"/>
              </w:rPr>
            </w:pPr>
          </w:p>
        </w:tc>
      </w:tr>
      <w:tr w:rsidR="00E92CF1" w:rsidRPr="0063248C" w14:paraId="54A09D9F"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62B105D"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．提取盈余公积</w:t>
            </w:r>
          </w:p>
        </w:tc>
        <w:tc>
          <w:tcPr>
            <w:tcW w:w="993" w:type="dxa"/>
            <w:tcBorders>
              <w:top w:val="single" w:sz="2" w:space="0" w:color="auto"/>
              <w:left w:val="single" w:sz="2" w:space="0" w:color="auto"/>
              <w:bottom w:val="single" w:sz="2" w:space="0" w:color="auto"/>
              <w:right w:val="single" w:sz="2" w:space="0" w:color="auto"/>
            </w:tcBorders>
            <w:vAlign w:val="center"/>
          </w:tcPr>
          <w:p w14:paraId="4D1FB57F"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482B0B0"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34C12AD4"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7194C727"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73A90F96"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7C7E767"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B052247"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F00B8AF"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9BA08F0"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30F5A03A"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5A109E05"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A8B148F" w14:textId="77777777" w:rsidR="007B3DB2" w:rsidRPr="0063248C" w:rsidRDefault="007B3DB2">
            <w:pPr>
              <w:spacing w:line="240" w:lineRule="exact"/>
              <w:jc w:val="right"/>
              <w:rPr>
                <w:rFonts w:cs="宋体"/>
                <w:sz w:val="18"/>
                <w:szCs w:val="18"/>
              </w:rPr>
            </w:pPr>
          </w:p>
        </w:tc>
      </w:tr>
      <w:tr w:rsidR="00E92CF1" w:rsidRPr="0063248C" w14:paraId="636EC052"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0CBB747"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．对所有者（或股东）的分配</w:t>
            </w:r>
          </w:p>
        </w:tc>
        <w:tc>
          <w:tcPr>
            <w:tcW w:w="993" w:type="dxa"/>
            <w:tcBorders>
              <w:top w:val="single" w:sz="2" w:space="0" w:color="auto"/>
              <w:left w:val="single" w:sz="2" w:space="0" w:color="auto"/>
              <w:bottom w:val="single" w:sz="2" w:space="0" w:color="auto"/>
              <w:right w:val="single" w:sz="2" w:space="0" w:color="auto"/>
            </w:tcBorders>
            <w:vAlign w:val="center"/>
          </w:tcPr>
          <w:p w14:paraId="1242E275"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AF656CE"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476CEE6F"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3903EABF"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665173BB"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DD1BEAC"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28CC259"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D089F74"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EDA1E26"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20C37F22"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06F10157"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6CD0CBE" w14:textId="77777777" w:rsidR="007B3DB2" w:rsidRPr="0063248C" w:rsidRDefault="007B3DB2">
            <w:pPr>
              <w:spacing w:line="240" w:lineRule="exact"/>
              <w:jc w:val="right"/>
              <w:rPr>
                <w:rFonts w:cs="宋体"/>
                <w:sz w:val="18"/>
                <w:szCs w:val="18"/>
              </w:rPr>
            </w:pPr>
          </w:p>
        </w:tc>
      </w:tr>
      <w:tr w:rsidR="00E92CF1" w:rsidRPr="0063248C" w14:paraId="46227132"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AD4E7D3"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．其他</w:t>
            </w:r>
          </w:p>
        </w:tc>
        <w:tc>
          <w:tcPr>
            <w:tcW w:w="993" w:type="dxa"/>
            <w:tcBorders>
              <w:top w:val="single" w:sz="2" w:space="0" w:color="auto"/>
              <w:left w:val="single" w:sz="2" w:space="0" w:color="auto"/>
              <w:bottom w:val="single" w:sz="2" w:space="0" w:color="auto"/>
              <w:right w:val="single" w:sz="2" w:space="0" w:color="auto"/>
            </w:tcBorders>
            <w:vAlign w:val="center"/>
          </w:tcPr>
          <w:p w14:paraId="44CE61EB"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C8F4D29"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60900119"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0F8708CE"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4A698FD1"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EBF1B9E"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4935C4F"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449095B"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0F8CCEA"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53D9F35D"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6B5A2620"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C7596AD" w14:textId="77777777" w:rsidR="007B3DB2" w:rsidRPr="0063248C" w:rsidRDefault="007B3DB2">
            <w:pPr>
              <w:spacing w:line="240" w:lineRule="exact"/>
              <w:jc w:val="right"/>
              <w:rPr>
                <w:rFonts w:cs="宋体"/>
                <w:sz w:val="18"/>
                <w:szCs w:val="18"/>
              </w:rPr>
            </w:pPr>
          </w:p>
        </w:tc>
      </w:tr>
      <w:tr w:rsidR="00E92CF1" w:rsidRPr="0063248C" w14:paraId="298442A5"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25D58DE" w14:textId="77777777" w:rsidR="007B3DB2" w:rsidRPr="0063248C" w:rsidRDefault="00000000">
            <w:pPr>
              <w:spacing w:before="40" w:after="40" w:line="240" w:lineRule="exact"/>
              <w:rPr>
                <w:rFonts w:cs="宋体"/>
                <w:sz w:val="18"/>
                <w:szCs w:val="18"/>
              </w:rPr>
            </w:pPr>
            <w:r w:rsidRPr="0063248C">
              <w:rPr>
                <w:rFonts w:cs="宋体"/>
                <w:sz w:val="18"/>
                <w:szCs w:val="18"/>
              </w:rPr>
              <w:t>（四）所有者权益内部结转</w:t>
            </w:r>
          </w:p>
        </w:tc>
        <w:tc>
          <w:tcPr>
            <w:tcW w:w="993" w:type="dxa"/>
            <w:tcBorders>
              <w:top w:val="single" w:sz="2" w:space="0" w:color="auto"/>
              <w:left w:val="single" w:sz="2" w:space="0" w:color="auto"/>
              <w:bottom w:val="single" w:sz="2" w:space="0" w:color="auto"/>
              <w:right w:val="single" w:sz="2" w:space="0" w:color="auto"/>
            </w:tcBorders>
            <w:vAlign w:val="center"/>
          </w:tcPr>
          <w:p w14:paraId="4226FDFC"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CEA955E"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7E713BC5"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590EE1E3"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2AFC9BE8"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7F5CFF9"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C38623D"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A1DB5BF"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0D23654"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4B7B1B77"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4CD9943F"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21923EE" w14:textId="77777777" w:rsidR="007B3DB2" w:rsidRPr="0063248C" w:rsidRDefault="007B3DB2">
            <w:pPr>
              <w:spacing w:line="240" w:lineRule="exact"/>
              <w:jc w:val="right"/>
              <w:rPr>
                <w:rFonts w:cs="宋体"/>
                <w:sz w:val="18"/>
                <w:szCs w:val="18"/>
              </w:rPr>
            </w:pPr>
          </w:p>
        </w:tc>
      </w:tr>
      <w:tr w:rsidR="00E92CF1" w:rsidRPr="0063248C" w14:paraId="5B1EA816"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1FD7DF8"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．资本公积转增资本（或股本）</w:t>
            </w:r>
          </w:p>
        </w:tc>
        <w:tc>
          <w:tcPr>
            <w:tcW w:w="993" w:type="dxa"/>
            <w:tcBorders>
              <w:top w:val="single" w:sz="2" w:space="0" w:color="auto"/>
              <w:left w:val="single" w:sz="2" w:space="0" w:color="auto"/>
              <w:bottom w:val="single" w:sz="2" w:space="0" w:color="auto"/>
              <w:right w:val="single" w:sz="2" w:space="0" w:color="auto"/>
            </w:tcBorders>
            <w:vAlign w:val="center"/>
          </w:tcPr>
          <w:p w14:paraId="04D67E9F"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3C43FFA"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0AD725BA"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7ACF041E"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72DDF1E6"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7960043"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094DFFB"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A6191A0"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C1C811E"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0C921526"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5B41FD96"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DAA58D5" w14:textId="77777777" w:rsidR="007B3DB2" w:rsidRPr="0063248C" w:rsidRDefault="007B3DB2">
            <w:pPr>
              <w:spacing w:line="240" w:lineRule="exact"/>
              <w:jc w:val="right"/>
              <w:rPr>
                <w:rFonts w:cs="宋体"/>
                <w:sz w:val="18"/>
                <w:szCs w:val="18"/>
              </w:rPr>
            </w:pPr>
          </w:p>
        </w:tc>
      </w:tr>
      <w:tr w:rsidR="00E92CF1" w:rsidRPr="0063248C" w14:paraId="78D844C9"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223437C"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．盈余公积转增资本（或股本）</w:t>
            </w:r>
          </w:p>
        </w:tc>
        <w:tc>
          <w:tcPr>
            <w:tcW w:w="993" w:type="dxa"/>
            <w:tcBorders>
              <w:top w:val="single" w:sz="2" w:space="0" w:color="auto"/>
              <w:left w:val="single" w:sz="2" w:space="0" w:color="auto"/>
              <w:bottom w:val="single" w:sz="2" w:space="0" w:color="auto"/>
              <w:right w:val="single" w:sz="2" w:space="0" w:color="auto"/>
            </w:tcBorders>
            <w:vAlign w:val="center"/>
          </w:tcPr>
          <w:p w14:paraId="5DE0D0AD"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4B25484"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1861135D"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5F308E3B"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64CD5728"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4957EAF"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629E1A7"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FC2BAF4"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C8B0313"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1C01C10D"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0A57DEB3"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8073DBC" w14:textId="77777777" w:rsidR="007B3DB2" w:rsidRPr="0063248C" w:rsidRDefault="007B3DB2">
            <w:pPr>
              <w:spacing w:line="240" w:lineRule="exact"/>
              <w:jc w:val="right"/>
              <w:rPr>
                <w:rFonts w:cs="宋体"/>
                <w:sz w:val="18"/>
                <w:szCs w:val="18"/>
              </w:rPr>
            </w:pPr>
          </w:p>
        </w:tc>
      </w:tr>
      <w:tr w:rsidR="00E92CF1" w:rsidRPr="0063248C" w14:paraId="59409227"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BD3DE04"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．盈余公积弥补亏损</w:t>
            </w:r>
          </w:p>
        </w:tc>
        <w:tc>
          <w:tcPr>
            <w:tcW w:w="993" w:type="dxa"/>
            <w:tcBorders>
              <w:top w:val="single" w:sz="2" w:space="0" w:color="auto"/>
              <w:left w:val="single" w:sz="2" w:space="0" w:color="auto"/>
              <w:bottom w:val="single" w:sz="2" w:space="0" w:color="auto"/>
              <w:right w:val="single" w:sz="2" w:space="0" w:color="auto"/>
            </w:tcBorders>
            <w:vAlign w:val="center"/>
          </w:tcPr>
          <w:p w14:paraId="29F8F0D5"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E3BE9C1"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6B836ACD"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2BA52493"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7978D6AB"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BD051F6"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1E51D4F"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DA262D2"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9B60DB2"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383845CC"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61DA7EAC"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63A64FA" w14:textId="77777777" w:rsidR="007B3DB2" w:rsidRPr="0063248C" w:rsidRDefault="007B3DB2">
            <w:pPr>
              <w:spacing w:line="240" w:lineRule="exact"/>
              <w:jc w:val="right"/>
              <w:rPr>
                <w:rFonts w:cs="宋体"/>
                <w:sz w:val="18"/>
                <w:szCs w:val="18"/>
              </w:rPr>
            </w:pPr>
          </w:p>
        </w:tc>
      </w:tr>
      <w:tr w:rsidR="00E92CF1" w:rsidRPr="0063248C" w14:paraId="7B1071C7"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D33B903"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4</w:t>
            </w:r>
            <w:r w:rsidRPr="0063248C">
              <w:rPr>
                <w:rFonts w:cs="宋体"/>
                <w:sz w:val="18"/>
                <w:szCs w:val="18"/>
              </w:rPr>
              <w:t>．设定受益计划变动额结转留存收益</w:t>
            </w:r>
          </w:p>
        </w:tc>
        <w:tc>
          <w:tcPr>
            <w:tcW w:w="993" w:type="dxa"/>
            <w:tcBorders>
              <w:top w:val="single" w:sz="2" w:space="0" w:color="auto"/>
              <w:left w:val="single" w:sz="2" w:space="0" w:color="auto"/>
              <w:bottom w:val="single" w:sz="2" w:space="0" w:color="auto"/>
              <w:right w:val="single" w:sz="2" w:space="0" w:color="auto"/>
            </w:tcBorders>
            <w:vAlign w:val="center"/>
          </w:tcPr>
          <w:p w14:paraId="644D6F92"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9BE18D2"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5CCAEF87"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7053F391"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5FB40699"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86DFE6A"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EC5F263"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AF09D8E"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BD8FF0B"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6EBD1426"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66BAD6C3"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8CDD27B" w14:textId="77777777" w:rsidR="007B3DB2" w:rsidRPr="0063248C" w:rsidRDefault="007B3DB2">
            <w:pPr>
              <w:spacing w:line="240" w:lineRule="exact"/>
              <w:jc w:val="right"/>
              <w:rPr>
                <w:rFonts w:cs="宋体"/>
                <w:sz w:val="18"/>
                <w:szCs w:val="18"/>
              </w:rPr>
            </w:pPr>
          </w:p>
        </w:tc>
      </w:tr>
      <w:tr w:rsidR="00E92CF1" w:rsidRPr="0063248C" w14:paraId="62F9B85C"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0E9C8DE" w14:textId="77777777" w:rsidR="007B3DB2" w:rsidRPr="0063248C" w:rsidRDefault="00000000">
            <w:pPr>
              <w:spacing w:before="40" w:after="40" w:line="240" w:lineRule="exact"/>
              <w:rPr>
                <w:rFonts w:cs="宋体"/>
                <w:sz w:val="18"/>
                <w:szCs w:val="18"/>
              </w:rPr>
            </w:pPr>
            <w:r w:rsidRPr="0063248C">
              <w:rPr>
                <w:rFonts w:cs="宋体"/>
                <w:sz w:val="18"/>
                <w:szCs w:val="18"/>
              </w:rPr>
              <w:t>5</w:t>
            </w:r>
            <w:r w:rsidRPr="0063248C">
              <w:rPr>
                <w:rFonts w:cs="宋体"/>
                <w:sz w:val="18"/>
                <w:szCs w:val="18"/>
              </w:rPr>
              <w:t>．其他综合收益结转留存收益</w:t>
            </w:r>
          </w:p>
        </w:tc>
        <w:tc>
          <w:tcPr>
            <w:tcW w:w="993" w:type="dxa"/>
            <w:tcBorders>
              <w:top w:val="single" w:sz="2" w:space="0" w:color="auto"/>
              <w:left w:val="single" w:sz="2" w:space="0" w:color="auto"/>
              <w:bottom w:val="single" w:sz="2" w:space="0" w:color="auto"/>
              <w:right w:val="single" w:sz="2" w:space="0" w:color="auto"/>
            </w:tcBorders>
            <w:vAlign w:val="center"/>
          </w:tcPr>
          <w:p w14:paraId="63CBC3F0"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B28BF7B"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05469DBD"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011E1D27"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7B510B33"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F279FE8"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E2E80BD"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90DBD6F"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F291EF1"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4794F8AA"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391467ED"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EE3C497" w14:textId="77777777" w:rsidR="007B3DB2" w:rsidRPr="0063248C" w:rsidRDefault="007B3DB2">
            <w:pPr>
              <w:spacing w:line="240" w:lineRule="exact"/>
              <w:jc w:val="right"/>
              <w:rPr>
                <w:rFonts w:cs="宋体"/>
                <w:sz w:val="18"/>
                <w:szCs w:val="18"/>
              </w:rPr>
            </w:pPr>
          </w:p>
        </w:tc>
      </w:tr>
      <w:tr w:rsidR="00E92CF1" w:rsidRPr="0063248C" w14:paraId="26735D71"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12283A8" w14:textId="77777777" w:rsidR="007B3DB2" w:rsidRPr="0063248C" w:rsidRDefault="00000000">
            <w:pPr>
              <w:spacing w:before="40" w:after="40" w:line="240" w:lineRule="exact"/>
              <w:rPr>
                <w:rFonts w:cs="宋体"/>
                <w:sz w:val="18"/>
                <w:szCs w:val="18"/>
              </w:rPr>
            </w:pPr>
            <w:r w:rsidRPr="0063248C">
              <w:rPr>
                <w:rFonts w:cs="宋体"/>
                <w:sz w:val="18"/>
                <w:szCs w:val="18"/>
              </w:rPr>
              <w:t>6</w:t>
            </w:r>
            <w:r w:rsidRPr="0063248C">
              <w:rPr>
                <w:rFonts w:cs="宋体"/>
                <w:sz w:val="18"/>
                <w:szCs w:val="18"/>
              </w:rPr>
              <w:t>．其他</w:t>
            </w:r>
          </w:p>
        </w:tc>
        <w:tc>
          <w:tcPr>
            <w:tcW w:w="993" w:type="dxa"/>
            <w:tcBorders>
              <w:top w:val="single" w:sz="2" w:space="0" w:color="auto"/>
              <w:left w:val="single" w:sz="2" w:space="0" w:color="auto"/>
              <w:bottom w:val="single" w:sz="2" w:space="0" w:color="auto"/>
              <w:right w:val="single" w:sz="2" w:space="0" w:color="auto"/>
            </w:tcBorders>
            <w:vAlign w:val="center"/>
          </w:tcPr>
          <w:p w14:paraId="44217C87"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3B31F3C"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19C2129F"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45511EB9"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54148B8D"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33A9317"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9299E4A"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CAA5AEA"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E6EC1A3"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6A076327"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3873C04F"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BA57B2D" w14:textId="77777777" w:rsidR="007B3DB2" w:rsidRPr="0063248C" w:rsidRDefault="007B3DB2">
            <w:pPr>
              <w:spacing w:line="240" w:lineRule="exact"/>
              <w:jc w:val="right"/>
              <w:rPr>
                <w:rFonts w:cs="宋体"/>
                <w:sz w:val="18"/>
                <w:szCs w:val="18"/>
              </w:rPr>
            </w:pPr>
          </w:p>
        </w:tc>
      </w:tr>
      <w:tr w:rsidR="00E92CF1" w:rsidRPr="0063248C" w14:paraId="09E20839"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2D487B3" w14:textId="77777777" w:rsidR="007B3DB2" w:rsidRPr="0063248C" w:rsidRDefault="00000000">
            <w:pPr>
              <w:spacing w:before="40" w:after="40" w:line="240" w:lineRule="exact"/>
              <w:rPr>
                <w:rFonts w:cs="宋体"/>
                <w:sz w:val="18"/>
                <w:szCs w:val="18"/>
              </w:rPr>
            </w:pPr>
            <w:r w:rsidRPr="0063248C">
              <w:rPr>
                <w:rFonts w:cs="宋体"/>
                <w:sz w:val="18"/>
                <w:szCs w:val="18"/>
              </w:rPr>
              <w:t>（五）专项储备</w:t>
            </w:r>
          </w:p>
        </w:tc>
        <w:tc>
          <w:tcPr>
            <w:tcW w:w="993" w:type="dxa"/>
            <w:tcBorders>
              <w:top w:val="single" w:sz="2" w:space="0" w:color="auto"/>
              <w:left w:val="single" w:sz="2" w:space="0" w:color="auto"/>
              <w:bottom w:val="single" w:sz="2" w:space="0" w:color="auto"/>
              <w:right w:val="single" w:sz="2" w:space="0" w:color="auto"/>
            </w:tcBorders>
            <w:vAlign w:val="center"/>
          </w:tcPr>
          <w:p w14:paraId="1E66BB17"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6242BC2"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14AF997B"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2F9FBBA8"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1DEEE9CF"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18C7281"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411A391"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3BCD050"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D90505A"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44674484"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48BC6228"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E0E6913" w14:textId="77777777" w:rsidR="007B3DB2" w:rsidRPr="0063248C" w:rsidRDefault="007B3DB2">
            <w:pPr>
              <w:spacing w:line="240" w:lineRule="exact"/>
              <w:jc w:val="right"/>
              <w:rPr>
                <w:rFonts w:cs="宋体"/>
                <w:sz w:val="18"/>
                <w:szCs w:val="18"/>
              </w:rPr>
            </w:pPr>
          </w:p>
        </w:tc>
      </w:tr>
      <w:tr w:rsidR="00E92CF1" w:rsidRPr="0063248C" w14:paraId="7D84EC0A"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F62322C"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．本期提取</w:t>
            </w:r>
          </w:p>
        </w:tc>
        <w:tc>
          <w:tcPr>
            <w:tcW w:w="993" w:type="dxa"/>
            <w:tcBorders>
              <w:top w:val="single" w:sz="2" w:space="0" w:color="auto"/>
              <w:left w:val="single" w:sz="2" w:space="0" w:color="auto"/>
              <w:bottom w:val="single" w:sz="2" w:space="0" w:color="auto"/>
              <w:right w:val="single" w:sz="2" w:space="0" w:color="auto"/>
            </w:tcBorders>
            <w:vAlign w:val="center"/>
          </w:tcPr>
          <w:p w14:paraId="352B960E"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4286948"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7D5BD2F5"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46B8FF1C"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421FA39F"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2D4EB6B"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D584DD9"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FAF5FD6"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5FC8510"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13897502"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1B5A7810"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8BCC956" w14:textId="77777777" w:rsidR="007B3DB2" w:rsidRPr="0063248C" w:rsidRDefault="007B3DB2">
            <w:pPr>
              <w:spacing w:line="240" w:lineRule="exact"/>
              <w:jc w:val="right"/>
              <w:rPr>
                <w:rFonts w:cs="宋体"/>
                <w:sz w:val="18"/>
                <w:szCs w:val="18"/>
              </w:rPr>
            </w:pPr>
          </w:p>
        </w:tc>
      </w:tr>
      <w:tr w:rsidR="00E92CF1" w:rsidRPr="0063248C" w14:paraId="076EA335"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6F6028F3"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．本期使用</w:t>
            </w:r>
          </w:p>
        </w:tc>
        <w:tc>
          <w:tcPr>
            <w:tcW w:w="993" w:type="dxa"/>
            <w:tcBorders>
              <w:top w:val="single" w:sz="2" w:space="0" w:color="auto"/>
              <w:left w:val="single" w:sz="2" w:space="0" w:color="auto"/>
              <w:bottom w:val="single" w:sz="2" w:space="0" w:color="auto"/>
              <w:right w:val="single" w:sz="2" w:space="0" w:color="auto"/>
            </w:tcBorders>
            <w:vAlign w:val="center"/>
          </w:tcPr>
          <w:p w14:paraId="570FF314"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9ED2966"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3A59ED72"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26F6FB84"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6C1BCD45"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19EB380"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058EA7A"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E280DE9"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1AA5C70"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0FA928C1"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678D3573"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F48659A" w14:textId="77777777" w:rsidR="007B3DB2" w:rsidRPr="0063248C" w:rsidRDefault="007B3DB2">
            <w:pPr>
              <w:spacing w:line="240" w:lineRule="exact"/>
              <w:jc w:val="right"/>
              <w:rPr>
                <w:rFonts w:cs="宋体"/>
                <w:sz w:val="18"/>
                <w:szCs w:val="18"/>
              </w:rPr>
            </w:pPr>
          </w:p>
        </w:tc>
      </w:tr>
      <w:tr w:rsidR="00E92CF1" w:rsidRPr="0063248C" w14:paraId="627BDA03"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A77EF10" w14:textId="77777777" w:rsidR="007B3DB2" w:rsidRPr="0063248C" w:rsidRDefault="00000000">
            <w:pPr>
              <w:spacing w:before="40" w:after="40" w:line="240" w:lineRule="exact"/>
              <w:rPr>
                <w:rFonts w:cs="宋体"/>
                <w:sz w:val="18"/>
                <w:szCs w:val="18"/>
              </w:rPr>
            </w:pPr>
            <w:r w:rsidRPr="0063248C">
              <w:rPr>
                <w:rFonts w:cs="宋体"/>
                <w:sz w:val="18"/>
                <w:szCs w:val="18"/>
              </w:rPr>
              <w:t>（六）其他</w:t>
            </w:r>
          </w:p>
        </w:tc>
        <w:tc>
          <w:tcPr>
            <w:tcW w:w="993" w:type="dxa"/>
            <w:tcBorders>
              <w:top w:val="single" w:sz="2" w:space="0" w:color="auto"/>
              <w:left w:val="single" w:sz="2" w:space="0" w:color="auto"/>
              <w:bottom w:val="single" w:sz="2" w:space="0" w:color="auto"/>
              <w:right w:val="single" w:sz="2" w:space="0" w:color="auto"/>
            </w:tcBorders>
            <w:vAlign w:val="center"/>
          </w:tcPr>
          <w:p w14:paraId="261B053E"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5A4D97C" w14:textId="77777777" w:rsidR="007B3DB2" w:rsidRPr="0063248C" w:rsidRDefault="007B3DB2">
            <w:pPr>
              <w:spacing w:line="240" w:lineRule="exact"/>
              <w:jc w:val="right"/>
              <w:rPr>
                <w:rFonts w:cs="宋体"/>
                <w:sz w:val="18"/>
                <w:szCs w:val="18"/>
              </w:rPr>
            </w:pPr>
          </w:p>
        </w:tc>
        <w:tc>
          <w:tcPr>
            <w:tcW w:w="861" w:type="dxa"/>
            <w:tcBorders>
              <w:top w:val="single" w:sz="2" w:space="0" w:color="auto"/>
              <w:left w:val="single" w:sz="2" w:space="0" w:color="auto"/>
              <w:bottom w:val="single" w:sz="2" w:space="0" w:color="auto"/>
              <w:right w:val="single" w:sz="2" w:space="0" w:color="auto"/>
            </w:tcBorders>
            <w:vAlign w:val="center"/>
          </w:tcPr>
          <w:p w14:paraId="50387291" w14:textId="77777777" w:rsidR="007B3DB2" w:rsidRPr="0063248C" w:rsidRDefault="007B3DB2">
            <w:pPr>
              <w:spacing w:line="240" w:lineRule="exact"/>
              <w:jc w:val="right"/>
              <w:rPr>
                <w:rFonts w:cs="宋体"/>
                <w:sz w:val="18"/>
                <w:szCs w:val="18"/>
              </w:rPr>
            </w:pPr>
          </w:p>
        </w:tc>
        <w:tc>
          <w:tcPr>
            <w:tcW w:w="937" w:type="dxa"/>
            <w:tcBorders>
              <w:top w:val="single" w:sz="2" w:space="0" w:color="auto"/>
              <w:left w:val="single" w:sz="2" w:space="0" w:color="auto"/>
              <w:bottom w:val="single" w:sz="2" w:space="0" w:color="auto"/>
              <w:right w:val="single" w:sz="2" w:space="0" w:color="auto"/>
            </w:tcBorders>
            <w:vAlign w:val="center"/>
          </w:tcPr>
          <w:p w14:paraId="208FFCB8" w14:textId="77777777" w:rsidR="007B3DB2" w:rsidRPr="0063248C" w:rsidRDefault="007B3DB2">
            <w:pPr>
              <w:spacing w:line="240" w:lineRule="exact"/>
              <w:jc w:val="right"/>
              <w:rPr>
                <w:rFonts w:cs="宋体"/>
                <w:sz w:val="18"/>
                <w:szCs w:val="18"/>
              </w:rPr>
            </w:pPr>
          </w:p>
        </w:tc>
        <w:tc>
          <w:tcPr>
            <w:tcW w:w="1037" w:type="dxa"/>
            <w:tcBorders>
              <w:top w:val="single" w:sz="2" w:space="0" w:color="auto"/>
              <w:left w:val="single" w:sz="2" w:space="0" w:color="auto"/>
              <w:bottom w:val="single" w:sz="2" w:space="0" w:color="auto"/>
              <w:right w:val="single" w:sz="2" w:space="0" w:color="auto"/>
            </w:tcBorders>
            <w:vAlign w:val="center"/>
          </w:tcPr>
          <w:p w14:paraId="4EDEE2BA"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7ACE923"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F78CF50"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8B6039B"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9B53F73" w14:textId="77777777" w:rsidR="007B3DB2" w:rsidRPr="0063248C" w:rsidRDefault="007B3DB2">
            <w:pPr>
              <w:spacing w:line="240" w:lineRule="exact"/>
              <w:jc w:val="right"/>
              <w:rPr>
                <w:rFonts w:cs="宋体"/>
                <w:sz w:val="18"/>
                <w:szCs w:val="18"/>
              </w:rPr>
            </w:pPr>
          </w:p>
        </w:tc>
        <w:tc>
          <w:tcPr>
            <w:tcW w:w="1164" w:type="dxa"/>
            <w:tcBorders>
              <w:top w:val="single" w:sz="2" w:space="0" w:color="auto"/>
              <w:left w:val="single" w:sz="2" w:space="0" w:color="auto"/>
              <w:bottom w:val="single" w:sz="2" w:space="0" w:color="auto"/>
              <w:right w:val="single" w:sz="2" w:space="0" w:color="auto"/>
            </w:tcBorders>
            <w:vAlign w:val="center"/>
          </w:tcPr>
          <w:p w14:paraId="39501F94" w14:textId="77777777" w:rsidR="007B3DB2" w:rsidRPr="0063248C" w:rsidRDefault="007B3DB2">
            <w:pPr>
              <w:spacing w:line="240" w:lineRule="exact"/>
              <w:jc w:val="right"/>
              <w:rPr>
                <w:rFonts w:cs="宋体"/>
                <w:sz w:val="18"/>
                <w:szCs w:val="18"/>
              </w:rPr>
            </w:pPr>
          </w:p>
        </w:tc>
        <w:tc>
          <w:tcPr>
            <w:tcW w:w="1246" w:type="dxa"/>
            <w:tcBorders>
              <w:top w:val="single" w:sz="2" w:space="0" w:color="auto"/>
              <w:left w:val="single" w:sz="2" w:space="0" w:color="auto"/>
              <w:bottom w:val="single" w:sz="2" w:space="0" w:color="auto"/>
              <w:right w:val="single" w:sz="2" w:space="0" w:color="auto"/>
            </w:tcBorders>
            <w:vAlign w:val="center"/>
          </w:tcPr>
          <w:p w14:paraId="51D853E5"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3175DF1" w14:textId="77777777" w:rsidR="007B3DB2" w:rsidRPr="0063248C" w:rsidRDefault="007B3DB2">
            <w:pPr>
              <w:spacing w:line="240" w:lineRule="exact"/>
              <w:jc w:val="right"/>
              <w:rPr>
                <w:rFonts w:cs="宋体"/>
                <w:sz w:val="18"/>
                <w:szCs w:val="18"/>
              </w:rPr>
            </w:pPr>
          </w:p>
        </w:tc>
      </w:tr>
      <w:tr w:rsidR="00E92CF1" w:rsidRPr="0063248C" w14:paraId="35C1A1E3" w14:textId="77777777" w:rsidTr="00E92CF1">
        <w:trPr>
          <w:trHeight w:val="231"/>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4467A1D8" w14:textId="77777777" w:rsidR="007B3DB2" w:rsidRPr="0063248C" w:rsidRDefault="00000000">
            <w:pPr>
              <w:spacing w:before="40" w:after="40" w:line="240" w:lineRule="exact"/>
              <w:rPr>
                <w:rFonts w:cs="宋体"/>
                <w:sz w:val="18"/>
                <w:szCs w:val="18"/>
              </w:rPr>
            </w:pPr>
            <w:r w:rsidRPr="0063248C">
              <w:rPr>
                <w:rFonts w:cs="宋体"/>
                <w:sz w:val="18"/>
                <w:szCs w:val="18"/>
              </w:rPr>
              <w:t>四、本期期末余额</w:t>
            </w:r>
          </w:p>
        </w:tc>
        <w:tc>
          <w:tcPr>
            <w:tcW w:w="993" w:type="dxa"/>
            <w:tcBorders>
              <w:top w:val="single" w:sz="2" w:space="0" w:color="auto"/>
              <w:left w:val="single" w:sz="2" w:space="0" w:color="auto"/>
              <w:bottom w:val="single" w:sz="2" w:space="0" w:color="auto"/>
              <w:right w:val="single" w:sz="2" w:space="0" w:color="auto"/>
            </w:tcBorders>
            <w:vAlign w:val="center"/>
          </w:tcPr>
          <w:p w14:paraId="56B8C5DE" w14:textId="77777777" w:rsidR="007B3DB2" w:rsidRPr="0063248C" w:rsidRDefault="00000000">
            <w:pPr>
              <w:spacing w:line="240" w:lineRule="exact"/>
              <w:jc w:val="right"/>
              <w:rPr>
                <w:rFonts w:cs="宋体"/>
                <w:sz w:val="18"/>
                <w:szCs w:val="18"/>
              </w:rPr>
            </w:pPr>
            <w:r w:rsidRPr="0063248C">
              <w:rPr>
                <w:rFonts w:cs="宋体"/>
                <w:sz w:val="18"/>
                <w:szCs w:val="18"/>
              </w:rPr>
              <w:t>1,079,159,725.00</w:t>
            </w:r>
          </w:p>
        </w:tc>
        <w:tc>
          <w:tcPr>
            <w:tcW w:w="850" w:type="dxa"/>
            <w:tcBorders>
              <w:top w:val="single" w:sz="2" w:space="0" w:color="auto"/>
              <w:left w:val="single" w:sz="2" w:space="0" w:color="auto"/>
              <w:bottom w:val="single" w:sz="2" w:space="0" w:color="auto"/>
              <w:right w:val="single" w:sz="2" w:space="0" w:color="auto"/>
            </w:tcBorders>
            <w:vAlign w:val="center"/>
          </w:tcPr>
          <w:p w14:paraId="098BACCB"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61" w:type="dxa"/>
            <w:tcBorders>
              <w:top w:val="single" w:sz="2" w:space="0" w:color="auto"/>
              <w:left w:val="single" w:sz="2" w:space="0" w:color="auto"/>
              <w:bottom w:val="single" w:sz="2" w:space="0" w:color="auto"/>
              <w:right w:val="single" w:sz="2" w:space="0" w:color="auto"/>
            </w:tcBorders>
            <w:vAlign w:val="center"/>
          </w:tcPr>
          <w:p w14:paraId="4E70A4BD"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37" w:type="dxa"/>
            <w:tcBorders>
              <w:top w:val="single" w:sz="2" w:space="0" w:color="auto"/>
              <w:left w:val="single" w:sz="2" w:space="0" w:color="auto"/>
              <w:bottom w:val="single" w:sz="2" w:space="0" w:color="auto"/>
              <w:right w:val="single" w:sz="2" w:space="0" w:color="auto"/>
            </w:tcBorders>
            <w:vAlign w:val="center"/>
          </w:tcPr>
          <w:p w14:paraId="526CBAF4" w14:textId="77777777" w:rsidR="007B3DB2" w:rsidRPr="0063248C" w:rsidRDefault="00000000">
            <w:pPr>
              <w:spacing w:line="240" w:lineRule="exact"/>
              <w:jc w:val="right"/>
              <w:rPr>
                <w:rFonts w:cs="宋体"/>
                <w:sz w:val="18"/>
                <w:szCs w:val="18"/>
              </w:rPr>
            </w:pPr>
            <w:r w:rsidRPr="0063248C">
              <w:rPr>
                <w:rFonts w:cs="宋体"/>
                <w:sz w:val="18"/>
                <w:szCs w:val="18"/>
              </w:rPr>
              <w:t>171,571,063.33</w:t>
            </w:r>
          </w:p>
        </w:tc>
        <w:tc>
          <w:tcPr>
            <w:tcW w:w="1037" w:type="dxa"/>
            <w:tcBorders>
              <w:top w:val="single" w:sz="2" w:space="0" w:color="auto"/>
              <w:left w:val="single" w:sz="2" w:space="0" w:color="auto"/>
              <w:bottom w:val="single" w:sz="2" w:space="0" w:color="auto"/>
              <w:right w:val="single" w:sz="2" w:space="0" w:color="auto"/>
            </w:tcBorders>
            <w:vAlign w:val="center"/>
          </w:tcPr>
          <w:p w14:paraId="304D09BE" w14:textId="77777777" w:rsidR="007B3DB2" w:rsidRPr="0063248C" w:rsidRDefault="00000000">
            <w:pPr>
              <w:spacing w:line="240" w:lineRule="exact"/>
              <w:jc w:val="right"/>
              <w:rPr>
                <w:rFonts w:cs="宋体"/>
                <w:sz w:val="18"/>
                <w:szCs w:val="18"/>
              </w:rPr>
            </w:pPr>
            <w:r w:rsidRPr="0063248C">
              <w:rPr>
                <w:rFonts w:cs="宋体"/>
                <w:sz w:val="18"/>
                <w:szCs w:val="18"/>
              </w:rPr>
              <w:t>830,434,411.01</w:t>
            </w:r>
          </w:p>
        </w:tc>
        <w:tc>
          <w:tcPr>
            <w:tcW w:w="992" w:type="dxa"/>
            <w:tcBorders>
              <w:top w:val="single" w:sz="2" w:space="0" w:color="auto"/>
              <w:left w:val="single" w:sz="2" w:space="0" w:color="auto"/>
              <w:bottom w:val="single" w:sz="2" w:space="0" w:color="auto"/>
              <w:right w:val="single" w:sz="2" w:space="0" w:color="auto"/>
            </w:tcBorders>
            <w:vAlign w:val="center"/>
          </w:tcPr>
          <w:p w14:paraId="167B9578" w14:textId="77777777" w:rsidR="007B3DB2" w:rsidRPr="0063248C" w:rsidRDefault="00000000">
            <w:pPr>
              <w:spacing w:line="240" w:lineRule="exact"/>
              <w:jc w:val="right"/>
              <w:rPr>
                <w:rFonts w:cs="宋体"/>
                <w:sz w:val="18"/>
                <w:szCs w:val="18"/>
              </w:rPr>
            </w:pPr>
            <w:r w:rsidRPr="0063248C">
              <w:rPr>
                <w:rFonts w:cs="宋体"/>
                <w:sz w:val="18"/>
                <w:szCs w:val="18"/>
              </w:rPr>
              <w:t>99,013,276.73</w:t>
            </w:r>
          </w:p>
        </w:tc>
        <w:tc>
          <w:tcPr>
            <w:tcW w:w="1276" w:type="dxa"/>
            <w:tcBorders>
              <w:top w:val="single" w:sz="2" w:space="0" w:color="auto"/>
              <w:left w:val="single" w:sz="2" w:space="0" w:color="auto"/>
              <w:bottom w:val="single" w:sz="2" w:space="0" w:color="auto"/>
              <w:right w:val="single" w:sz="2" w:space="0" w:color="auto"/>
            </w:tcBorders>
            <w:vAlign w:val="center"/>
          </w:tcPr>
          <w:p w14:paraId="1E21CF19" w14:textId="77777777" w:rsidR="007B3DB2" w:rsidRPr="0063248C" w:rsidRDefault="00000000">
            <w:pPr>
              <w:spacing w:line="240" w:lineRule="exact"/>
              <w:jc w:val="right"/>
              <w:rPr>
                <w:rFonts w:cs="宋体"/>
                <w:sz w:val="18"/>
                <w:szCs w:val="18"/>
              </w:rPr>
            </w:pPr>
            <w:r w:rsidRPr="0063248C">
              <w:rPr>
                <w:rFonts w:cs="宋体"/>
                <w:sz w:val="18"/>
                <w:szCs w:val="18"/>
              </w:rPr>
              <w:t>-11,777,820.33</w:t>
            </w:r>
          </w:p>
        </w:tc>
        <w:tc>
          <w:tcPr>
            <w:tcW w:w="709" w:type="dxa"/>
            <w:tcBorders>
              <w:top w:val="single" w:sz="2" w:space="0" w:color="auto"/>
              <w:left w:val="single" w:sz="2" w:space="0" w:color="auto"/>
              <w:bottom w:val="single" w:sz="2" w:space="0" w:color="auto"/>
              <w:right w:val="single" w:sz="2" w:space="0" w:color="auto"/>
            </w:tcBorders>
            <w:vAlign w:val="center"/>
          </w:tcPr>
          <w:p w14:paraId="1212B5E5"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72D8D46D"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1164" w:type="dxa"/>
            <w:tcBorders>
              <w:top w:val="single" w:sz="2" w:space="0" w:color="auto"/>
              <w:left w:val="single" w:sz="2" w:space="0" w:color="auto"/>
              <w:bottom w:val="single" w:sz="2" w:space="0" w:color="auto"/>
              <w:right w:val="single" w:sz="2" w:space="0" w:color="auto"/>
            </w:tcBorders>
            <w:vAlign w:val="center"/>
          </w:tcPr>
          <w:p w14:paraId="035A4952" w14:textId="77777777" w:rsidR="007B3DB2" w:rsidRPr="0063248C" w:rsidRDefault="00000000">
            <w:pPr>
              <w:spacing w:line="240" w:lineRule="exact"/>
              <w:jc w:val="right"/>
              <w:rPr>
                <w:rFonts w:cs="宋体"/>
                <w:sz w:val="18"/>
                <w:szCs w:val="18"/>
              </w:rPr>
            </w:pPr>
            <w:r w:rsidRPr="0063248C">
              <w:rPr>
                <w:rFonts w:cs="宋体"/>
                <w:sz w:val="18"/>
                <w:szCs w:val="18"/>
              </w:rPr>
              <w:t>-55,084,601.32</w:t>
            </w:r>
          </w:p>
        </w:tc>
        <w:tc>
          <w:tcPr>
            <w:tcW w:w="1246" w:type="dxa"/>
            <w:tcBorders>
              <w:top w:val="single" w:sz="2" w:space="0" w:color="auto"/>
              <w:left w:val="single" w:sz="2" w:space="0" w:color="auto"/>
              <w:bottom w:val="single" w:sz="2" w:space="0" w:color="auto"/>
              <w:right w:val="single" w:sz="2" w:space="0" w:color="auto"/>
            </w:tcBorders>
            <w:vAlign w:val="center"/>
          </w:tcPr>
          <w:p w14:paraId="39BB7BAC" w14:textId="77777777" w:rsidR="007B3DB2" w:rsidRPr="0063248C" w:rsidRDefault="007B3DB2">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88447C1" w14:textId="77777777" w:rsidR="007B3DB2" w:rsidRPr="0063248C" w:rsidRDefault="00000000">
            <w:pPr>
              <w:spacing w:line="240" w:lineRule="exact"/>
              <w:jc w:val="right"/>
              <w:rPr>
                <w:rFonts w:cs="宋体"/>
                <w:sz w:val="18"/>
                <w:szCs w:val="18"/>
              </w:rPr>
            </w:pPr>
            <w:r w:rsidRPr="0063248C">
              <w:rPr>
                <w:rFonts w:cs="宋体"/>
                <w:sz w:val="18"/>
                <w:szCs w:val="18"/>
              </w:rPr>
              <w:t>2,179,007,430.12</w:t>
            </w:r>
          </w:p>
        </w:tc>
      </w:tr>
    </w:tbl>
    <w:p w14:paraId="65C00573" w14:textId="77777777" w:rsidR="00E92CF1" w:rsidRDefault="00E92CF1">
      <w:pPr>
        <w:pStyle w:val="2"/>
        <w:spacing w:before="300" w:after="300" w:line="320" w:lineRule="exact"/>
        <w:rPr>
          <w:rFonts w:cs="宋体"/>
          <w:b/>
          <w:bCs/>
          <w:sz w:val="24"/>
          <w:szCs w:val="24"/>
        </w:rPr>
        <w:sectPr w:rsidR="00E92CF1" w:rsidSect="00E92CF1">
          <w:pgSz w:w="16840" w:h="11905" w:orient="landscape"/>
          <w:pgMar w:top="1134" w:right="1440" w:bottom="1134" w:left="1440" w:header="850" w:footer="992" w:gutter="0"/>
          <w:cols w:space="720"/>
          <w:docGrid w:type="linesAndChars" w:linePitch="312"/>
        </w:sectPr>
      </w:pPr>
      <w:bookmarkStart w:id="112" w:name="_Toc989001"/>
    </w:p>
    <w:p w14:paraId="606C5515" w14:textId="77777777" w:rsidR="007B3DB2" w:rsidRPr="0063248C" w:rsidRDefault="00000000">
      <w:pPr>
        <w:pStyle w:val="2"/>
        <w:spacing w:before="300" w:after="300" w:line="320" w:lineRule="exact"/>
        <w:rPr>
          <w:rFonts w:cs="宋体"/>
          <w:b/>
          <w:bCs/>
          <w:sz w:val="24"/>
          <w:szCs w:val="24"/>
        </w:rPr>
      </w:pPr>
      <w:r w:rsidRPr="0063248C">
        <w:rPr>
          <w:rFonts w:cs="宋体"/>
          <w:b/>
          <w:bCs/>
          <w:sz w:val="24"/>
          <w:szCs w:val="24"/>
        </w:rPr>
        <w:lastRenderedPageBreak/>
        <w:t>三、公司基本情况</w:t>
      </w:r>
      <w:bookmarkEnd w:id="112"/>
    </w:p>
    <w:p w14:paraId="3708FBBE" w14:textId="77777777" w:rsidR="00517D34" w:rsidRPr="0063248C" w:rsidRDefault="00000000" w:rsidP="00C117DA">
      <w:pPr>
        <w:widowControl/>
        <w:spacing w:line="276" w:lineRule="auto"/>
        <w:ind w:firstLineChars="200" w:firstLine="360"/>
        <w:divId w:val="379938143"/>
        <w:rPr>
          <w:kern w:val="0"/>
          <w:sz w:val="18"/>
          <w:szCs w:val="18"/>
          <w14:ligatures w14:val="none"/>
        </w:rPr>
      </w:pPr>
      <w:r w:rsidRPr="0063248C">
        <w:rPr>
          <w:rFonts w:hint="eastAsia"/>
          <w:color w:val="000000"/>
          <w:sz w:val="18"/>
          <w:szCs w:val="18"/>
        </w:rPr>
        <w:t>山东龙大美食股份有限公司（以下简称</w:t>
      </w:r>
      <w:r w:rsidRPr="0063248C">
        <w:rPr>
          <w:rFonts w:cs="Times New Roman"/>
          <w:color w:val="000000"/>
          <w:sz w:val="18"/>
          <w:szCs w:val="18"/>
        </w:rPr>
        <w:t>“</w:t>
      </w:r>
      <w:r w:rsidRPr="0063248C">
        <w:rPr>
          <w:rFonts w:hint="eastAsia"/>
          <w:color w:val="000000"/>
          <w:sz w:val="18"/>
          <w:szCs w:val="18"/>
        </w:rPr>
        <w:t>本公司</w:t>
      </w:r>
      <w:r w:rsidRPr="0063248C">
        <w:rPr>
          <w:rFonts w:cs="Times New Roman"/>
          <w:color w:val="000000"/>
          <w:sz w:val="18"/>
          <w:szCs w:val="18"/>
        </w:rPr>
        <w:t>”</w:t>
      </w:r>
      <w:r w:rsidRPr="0063248C">
        <w:rPr>
          <w:rFonts w:hint="eastAsia"/>
          <w:color w:val="000000"/>
          <w:sz w:val="18"/>
          <w:szCs w:val="18"/>
        </w:rPr>
        <w:t>或</w:t>
      </w:r>
      <w:r w:rsidRPr="0063248C">
        <w:rPr>
          <w:rFonts w:cs="Times New Roman"/>
          <w:color w:val="000000"/>
          <w:sz w:val="18"/>
          <w:szCs w:val="18"/>
        </w:rPr>
        <w:t>“</w:t>
      </w:r>
      <w:r w:rsidRPr="0063248C">
        <w:rPr>
          <w:rFonts w:hint="eastAsia"/>
          <w:color w:val="000000"/>
          <w:sz w:val="18"/>
          <w:szCs w:val="18"/>
        </w:rPr>
        <w:t>公司</w:t>
      </w:r>
      <w:r w:rsidRPr="0063248C">
        <w:rPr>
          <w:rFonts w:cs="Times New Roman"/>
          <w:color w:val="000000"/>
          <w:sz w:val="18"/>
          <w:szCs w:val="18"/>
        </w:rPr>
        <w:t>”</w:t>
      </w:r>
      <w:r w:rsidRPr="0063248C">
        <w:rPr>
          <w:rFonts w:hint="eastAsia"/>
          <w:color w:val="000000"/>
          <w:sz w:val="18"/>
          <w:szCs w:val="18"/>
        </w:rPr>
        <w:t>）于</w:t>
      </w:r>
      <w:r w:rsidRPr="0063248C">
        <w:rPr>
          <w:rFonts w:hint="eastAsia"/>
          <w:color w:val="000000"/>
          <w:sz w:val="18"/>
          <w:szCs w:val="18"/>
        </w:rPr>
        <w:t xml:space="preserve"> </w:t>
      </w:r>
      <w:r w:rsidRPr="0063248C">
        <w:rPr>
          <w:rFonts w:cs="Times New Roman"/>
          <w:color w:val="000000"/>
          <w:sz w:val="18"/>
          <w:szCs w:val="18"/>
        </w:rPr>
        <w:t xml:space="preserve">2003 </w:t>
      </w:r>
      <w:r w:rsidRPr="0063248C">
        <w:rPr>
          <w:rFonts w:hint="eastAsia"/>
          <w:color w:val="000000"/>
          <w:sz w:val="18"/>
          <w:szCs w:val="18"/>
        </w:rPr>
        <w:t>年</w:t>
      </w:r>
      <w:r w:rsidRPr="0063248C">
        <w:rPr>
          <w:rFonts w:hint="eastAsia"/>
          <w:color w:val="000000"/>
          <w:sz w:val="18"/>
          <w:szCs w:val="18"/>
        </w:rPr>
        <w:t xml:space="preserve"> </w:t>
      </w:r>
      <w:r w:rsidRPr="0063248C">
        <w:rPr>
          <w:rFonts w:cs="Times New Roman"/>
          <w:color w:val="000000"/>
          <w:sz w:val="18"/>
          <w:szCs w:val="18"/>
        </w:rPr>
        <w:t xml:space="preserve">7 </w:t>
      </w:r>
      <w:r w:rsidRPr="0063248C">
        <w:rPr>
          <w:rFonts w:hint="eastAsia"/>
          <w:color w:val="000000"/>
          <w:sz w:val="18"/>
          <w:szCs w:val="18"/>
        </w:rPr>
        <w:t>月在山东省莱阳市食品工业</w:t>
      </w:r>
      <w:proofErr w:type="gramStart"/>
      <w:r w:rsidRPr="0063248C">
        <w:rPr>
          <w:rFonts w:hint="eastAsia"/>
          <w:color w:val="000000"/>
          <w:sz w:val="18"/>
          <w:szCs w:val="18"/>
        </w:rPr>
        <w:t>园注册</w:t>
      </w:r>
      <w:proofErr w:type="gramEnd"/>
      <w:r w:rsidRPr="0063248C">
        <w:rPr>
          <w:rFonts w:hint="eastAsia"/>
          <w:color w:val="000000"/>
          <w:sz w:val="18"/>
          <w:szCs w:val="18"/>
        </w:rPr>
        <w:t>成立。总部位于山东省莱阳市龙门东路</w:t>
      </w:r>
      <w:r w:rsidRPr="0063248C">
        <w:rPr>
          <w:rFonts w:hint="eastAsia"/>
          <w:color w:val="000000"/>
          <w:sz w:val="18"/>
          <w:szCs w:val="18"/>
        </w:rPr>
        <w:t xml:space="preserve"> </w:t>
      </w:r>
      <w:r w:rsidRPr="0063248C">
        <w:rPr>
          <w:rFonts w:cs="Times New Roman"/>
          <w:color w:val="000000"/>
          <w:sz w:val="18"/>
          <w:szCs w:val="18"/>
        </w:rPr>
        <w:t xml:space="preserve">99 </w:t>
      </w:r>
      <w:r w:rsidRPr="0063248C">
        <w:rPr>
          <w:rFonts w:hint="eastAsia"/>
          <w:color w:val="000000"/>
          <w:sz w:val="18"/>
          <w:szCs w:val="18"/>
        </w:rPr>
        <w:t>号。</w:t>
      </w:r>
      <w:r w:rsidRPr="0063248C">
        <w:rPr>
          <w:rFonts w:hint="eastAsia"/>
          <w:color w:val="000000"/>
          <w:sz w:val="18"/>
          <w:szCs w:val="18"/>
        </w:rPr>
        <w:t xml:space="preserve"> </w:t>
      </w:r>
    </w:p>
    <w:p w14:paraId="6EAE7E30" w14:textId="77777777" w:rsidR="00517D34" w:rsidRPr="0063248C" w:rsidRDefault="00000000" w:rsidP="00C117DA">
      <w:pPr>
        <w:spacing w:line="276" w:lineRule="auto"/>
        <w:ind w:firstLineChars="200" w:firstLine="360"/>
        <w:divId w:val="566887812"/>
        <w:rPr>
          <w:sz w:val="18"/>
          <w:szCs w:val="18"/>
        </w:rPr>
      </w:pPr>
      <w:r w:rsidRPr="0063248C">
        <w:rPr>
          <w:rFonts w:hint="eastAsia"/>
          <w:color w:val="000000"/>
          <w:sz w:val="18"/>
          <w:szCs w:val="18"/>
        </w:rPr>
        <w:t>本公司及各子公司（统称</w:t>
      </w:r>
      <w:r w:rsidRPr="0063248C">
        <w:rPr>
          <w:rFonts w:cs="Times New Roman"/>
          <w:color w:val="000000"/>
          <w:sz w:val="18"/>
          <w:szCs w:val="18"/>
        </w:rPr>
        <w:t>“</w:t>
      </w:r>
      <w:r w:rsidRPr="0063248C">
        <w:rPr>
          <w:rFonts w:hint="eastAsia"/>
          <w:color w:val="000000"/>
          <w:sz w:val="18"/>
          <w:szCs w:val="18"/>
        </w:rPr>
        <w:t>本集团</w:t>
      </w:r>
      <w:r w:rsidRPr="0063248C">
        <w:rPr>
          <w:rFonts w:cs="Times New Roman"/>
          <w:color w:val="000000"/>
          <w:sz w:val="18"/>
          <w:szCs w:val="18"/>
        </w:rPr>
        <w:t>”</w:t>
      </w:r>
      <w:r w:rsidRPr="0063248C">
        <w:rPr>
          <w:rFonts w:hint="eastAsia"/>
          <w:color w:val="000000"/>
          <w:sz w:val="18"/>
          <w:szCs w:val="18"/>
        </w:rPr>
        <w:t>）主要从事屠宰、肉类加工业及进口贸易。</w:t>
      </w:r>
      <w:r w:rsidRPr="0063248C">
        <w:rPr>
          <w:rFonts w:hint="eastAsia"/>
          <w:color w:val="000000"/>
          <w:sz w:val="18"/>
          <w:szCs w:val="18"/>
        </w:rPr>
        <w:t xml:space="preserve"> </w:t>
      </w:r>
    </w:p>
    <w:p w14:paraId="372BF34B" w14:textId="77777777" w:rsidR="00517D34" w:rsidRPr="0063248C" w:rsidRDefault="00000000" w:rsidP="00C117DA">
      <w:pPr>
        <w:spacing w:line="276" w:lineRule="auto"/>
        <w:ind w:firstLineChars="200" w:firstLine="360"/>
        <w:divId w:val="764226538"/>
        <w:rPr>
          <w:sz w:val="18"/>
          <w:szCs w:val="18"/>
        </w:rPr>
      </w:pPr>
      <w:r w:rsidRPr="0063248C">
        <w:rPr>
          <w:rFonts w:hint="eastAsia"/>
          <w:color w:val="000000"/>
          <w:sz w:val="18"/>
          <w:szCs w:val="18"/>
        </w:rPr>
        <w:t>本财务报表业经本公司董事会于</w:t>
      </w:r>
      <w:r w:rsidRPr="0063248C">
        <w:rPr>
          <w:rFonts w:hint="eastAsia"/>
          <w:color w:val="000000"/>
          <w:sz w:val="18"/>
          <w:szCs w:val="18"/>
        </w:rPr>
        <w:t xml:space="preserve"> </w:t>
      </w:r>
      <w:r w:rsidRPr="0063248C">
        <w:rPr>
          <w:rFonts w:cs="Times New Roman"/>
          <w:color w:val="000000"/>
          <w:sz w:val="18"/>
          <w:szCs w:val="18"/>
        </w:rPr>
        <w:t>2024</w:t>
      </w:r>
      <w:r w:rsidRPr="0063248C">
        <w:rPr>
          <w:rFonts w:hint="eastAsia"/>
          <w:color w:val="000000"/>
          <w:sz w:val="18"/>
          <w:szCs w:val="18"/>
        </w:rPr>
        <w:t>年</w:t>
      </w:r>
      <w:r w:rsidRPr="0063248C">
        <w:rPr>
          <w:rFonts w:hint="eastAsia"/>
          <w:color w:val="000000"/>
          <w:sz w:val="18"/>
          <w:szCs w:val="18"/>
        </w:rPr>
        <w:t xml:space="preserve"> </w:t>
      </w:r>
      <w:r w:rsidRPr="0063248C">
        <w:rPr>
          <w:rFonts w:cs="Times New Roman"/>
          <w:color w:val="000000"/>
          <w:sz w:val="18"/>
          <w:szCs w:val="18"/>
        </w:rPr>
        <w:t xml:space="preserve">8 </w:t>
      </w:r>
      <w:r w:rsidRPr="0063248C">
        <w:rPr>
          <w:rFonts w:hint="eastAsia"/>
          <w:color w:val="000000"/>
          <w:sz w:val="18"/>
          <w:szCs w:val="18"/>
        </w:rPr>
        <w:t>月</w:t>
      </w:r>
      <w:r w:rsidRPr="0063248C">
        <w:rPr>
          <w:rFonts w:hint="eastAsia"/>
          <w:color w:val="000000"/>
          <w:sz w:val="18"/>
          <w:szCs w:val="18"/>
        </w:rPr>
        <w:t xml:space="preserve"> </w:t>
      </w:r>
      <w:r w:rsidRPr="0063248C">
        <w:rPr>
          <w:rFonts w:cs="Times New Roman"/>
          <w:color w:val="000000"/>
          <w:sz w:val="18"/>
          <w:szCs w:val="18"/>
        </w:rPr>
        <w:t>29</w:t>
      </w:r>
      <w:r w:rsidRPr="0063248C">
        <w:rPr>
          <w:rFonts w:hint="eastAsia"/>
          <w:color w:val="000000"/>
          <w:sz w:val="18"/>
          <w:szCs w:val="18"/>
        </w:rPr>
        <w:t>日决议批准报出。</w:t>
      </w:r>
    </w:p>
    <w:p w14:paraId="2C2167D4" w14:textId="77777777" w:rsidR="00517D34" w:rsidRPr="0063248C" w:rsidRDefault="00000000" w:rsidP="00C117DA">
      <w:pPr>
        <w:spacing w:line="276" w:lineRule="auto"/>
        <w:ind w:firstLineChars="200" w:firstLine="360"/>
        <w:divId w:val="1380517684"/>
        <w:rPr>
          <w:sz w:val="18"/>
          <w:szCs w:val="18"/>
        </w:rPr>
      </w:pPr>
      <w:r w:rsidRPr="0063248C">
        <w:rPr>
          <w:rFonts w:hint="eastAsia"/>
          <w:color w:val="000000"/>
          <w:sz w:val="18"/>
          <w:szCs w:val="18"/>
        </w:rPr>
        <w:t>截至</w:t>
      </w:r>
      <w:r w:rsidRPr="0063248C">
        <w:rPr>
          <w:rFonts w:hint="eastAsia"/>
          <w:color w:val="000000"/>
          <w:sz w:val="18"/>
          <w:szCs w:val="18"/>
        </w:rPr>
        <w:t xml:space="preserve"> </w:t>
      </w:r>
      <w:r w:rsidRPr="0063248C">
        <w:rPr>
          <w:rFonts w:cs="Times New Roman"/>
          <w:color w:val="000000"/>
          <w:sz w:val="18"/>
          <w:szCs w:val="18"/>
        </w:rPr>
        <w:t>2024</w:t>
      </w:r>
      <w:r w:rsidRPr="0063248C">
        <w:rPr>
          <w:rFonts w:hint="eastAsia"/>
          <w:color w:val="000000"/>
          <w:sz w:val="18"/>
          <w:szCs w:val="18"/>
        </w:rPr>
        <w:t>年</w:t>
      </w:r>
      <w:r w:rsidRPr="0063248C">
        <w:rPr>
          <w:rFonts w:hint="eastAsia"/>
          <w:color w:val="000000"/>
          <w:sz w:val="18"/>
          <w:szCs w:val="18"/>
        </w:rPr>
        <w:t>06</w:t>
      </w:r>
      <w:r w:rsidRPr="0063248C">
        <w:rPr>
          <w:rFonts w:cs="Times New Roman"/>
          <w:color w:val="000000"/>
          <w:sz w:val="18"/>
          <w:szCs w:val="18"/>
        </w:rPr>
        <w:t> </w:t>
      </w:r>
      <w:r w:rsidRPr="0063248C">
        <w:rPr>
          <w:rFonts w:hint="eastAsia"/>
          <w:color w:val="000000"/>
          <w:sz w:val="18"/>
          <w:szCs w:val="18"/>
        </w:rPr>
        <w:t>月</w:t>
      </w:r>
      <w:r w:rsidRPr="0063248C">
        <w:rPr>
          <w:rFonts w:hint="eastAsia"/>
          <w:color w:val="000000"/>
          <w:sz w:val="18"/>
          <w:szCs w:val="18"/>
        </w:rPr>
        <w:t xml:space="preserve"> </w:t>
      </w:r>
      <w:r w:rsidRPr="0063248C">
        <w:rPr>
          <w:rFonts w:cs="Times New Roman"/>
          <w:color w:val="000000"/>
          <w:sz w:val="18"/>
          <w:szCs w:val="18"/>
        </w:rPr>
        <w:t xml:space="preserve">30 </w:t>
      </w:r>
      <w:r w:rsidRPr="0063248C">
        <w:rPr>
          <w:rFonts w:hint="eastAsia"/>
          <w:color w:val="000000"/>
          <w:sz w:val="18"/>
          <w:szCs w:val="18"/>
        </w:rPr>
        <w:t>日，本集团纳入合并范围的子公司共</w:t>
      </w:r>
      <w:r w:rsidRPr="0063248C">
        <w:rPr>
          <w:rFonts w:hint="eastAsia"/>
          <w:color w:val="000000"/>
          <w:sz w:val="18"/>
          <w:szCs w:val="18"/>
        </w:rPr>
        <w:t xml:space="preserve"> </w:t>
      </w:r>
      <w:r w:rsidRPr="0063248C">
        <w:rPr>
          <w:rFonts w:cs="Times New Roman"/>
          <w:color w:val="000000"/>
          <w:sz w:val="18"/>
          <w:szCs w:val="18"/>
        </w:rPr>
        <w:t xml:space="preserve">39 </w:t>
      </w:r>
      <w:r w:rsidRPr="0063248C">
        <w:rPr>
          <w:rFonts w:hint="eastAsia"/>
          <w:color w:val="000000"/>
          <w:sz w:val="18"/>
          <w:szCs w:val="18"/>
        </w:rPr>
        <w:t>户，详见本附注十“在其他主体中的权益”。</w:t>
      </w:r>
    </w:p>
    <w:p w14:paraId="1898F2DB" w14:textId="77777777" w:rsidR="007B3DB2" w:rsidRPr="0063248C" w:rsidRDefault="00000000">
      <w:pPr>
        <w:pStyle w:val="2"/>
        <w:spacing w:before="300" w:after="300" w:line="320" w:lineRule="exact"/>
        <w:rPr>
          <w:rFonts w:cs="宋体"/>
          <w:b/>
          <w:bCs/>
          <w:sz w:val="24"/>
          <w:szCs w:val="24"/>
        </w:rPr>
      </w:pPr>
      <w:bookmarkStart w:id="113" w:name="_Toc989002"/>
      <w:r w:rsidRPr="0063248C">
        <w:rPr>
          <w:rFonts w:cs="宋体"/>
          <w:b/>
          <w:bCs/>
          <w:sz w:val="24"/>
          <w:szCs w:val="24"/>
        </w:rPr>
        <w:t>四、财务报表的编制基础</w:t>
      </w:r>
      <w:bookmarkEnd w:id="113"/>
    </w:p>
    <w:p w14:paraId="3EA96FEF" w14:textId="77777777" w:rsidR="007B3DB2" w:rsidRPr="0063248C" w:rsidRDefault="00000000">
      <w:pPr>
        <w:pStyle w:val="3"/>
        <w:spacing w:line="280" w:lineRule="exact"/>
        <w:jc w:val="left"/>
        <w:rPr>
          <w:rFonts w:cs="宋体"/>
          <w:b/>
          <w:bCs/>
        </w:rPr>
      </w:pPr>
      <w:bookmarkStart w:id="114" w:name="_Toc989003"/>
      <w:r w:rsidRPr="0063248C">
        <w:rPr>
          <w:rFonts w:cs="宋体"/>
          <w:b/>
          <w:bCs/>
        </w:rPr>
        <w:t>1</w:t>
      </w:r>
      <w:r w:rsidRPr="0063248C">
        <w:rPr>
          <w:rFonts w:cs="宋体"/>
          <w:b/>
          <w:bCs/>
        </w:rPr>
        <w:t>、编制基础</w:t>
      </w:r>
      <w:bookmarkEnd w:id="114"/>
    </w:p>
    <w:p w14:paraId="0537FC65" w14:textId="77777777" w:rsidR="00517D34" w:rsidRPr="0063248C" w:rsidRDefault="00000000">
      <w:pPr>
        <w:pStyle w:val="a3"/>
        <w:spacing w:before="0" w:beforeAutospacing="0" w:after="0" w:afterAutospacing="0" w:line="273" w:lineRule="auto"/>
        <w:ind w:firstLine="360"/>
        <w:jc w:val="both"/>
        <w:divId w:val="1269191011"/>
        <w:rPr>
          <w:rFonts w:ascii="Times New Roman" w:hAnsi="Times New Roman"/>
        </w:rPr>
      </w:pPr>
      <w:r w:rsidRPr="0063248C">
        <w:rPr>
          <w:rFonts w:ascii="Times New Roman" w:hAnsi="Times New Roman" w:hint="eastAsia"/>
          <w:sz w:val="18"/>
          <w:szCs w:val="18"/>
        </w:rPr>
        <w:t>本集团财务报表以持续经营假设为基础，根据实际发生的交易和事项，按照财政部发布的《企业会计准则——基本准则》（财政部令第</w:t>
      </w:r>
      <w:r w:rsidRPr="0063248C">
        <w:rPr>
          <w:rFonts w:ascii="Times New Roman" w:hAnsi="Times New Roman" w:cs="Times New Roman"/>
          <w:sz w:val="18"/>
          <w:szCs w:val="18"/>
        </w:rPr>
        <w:t>33</w:t>
      </w:r>
      <w:r w:rsidRPr="0063248C">
        <w:rPr>
          <w:rFonts w:ascii="Times New Roman" w:hAnsi="Times New Roman" w:hint="eastAsia"/>
          <w:sz w:val="18"/>
          <w:szCs w:val="18"/>
        </w:rPr>
        <w:t>号发布、财政部令第</w:t>
      </w:r>
      <w:r w:rsidRPr="0063248C">
        <w:rPr>
          <w:rFonts w:ascii="Times New Roman" w:hAnsi="Times New Roman" w:cs="Times New Roman"/>
          <w:sz w:val="18"/>
          <w:szCs w:val="18"/>
        </w:rPr>
        <w:t>76</w:t>
      </w:r>
      <w:r w:rsidRPr="0063248C">
        <w:rPr>
          <w:rFonts w:ascii="Times New Roman" w:hAnsi="Times New Roman" w:hint="eastAsia"/>
          <w:sz w:val="18"/>
          <w:szCs w:val="18"/>
        </w:rPr>
        <w:t>号修订）、于</w:t>
      </w:r>
      <w:r w:rsidRPr="0063248C">
        <w:rPr>
          <w:rFonts w:ascii="Times New Roman" w:hAnsi="Times New Roman" w:cs="Times New Roman"/>
          <w:sz w:val="18"/>
          <w:szCs w:val="18"/>
        </w:rPr>
        <w:t>2006</w:t>
      </w:r>
      <w:r w:rsidRPr="0063248C">
        <w:rPr>
          <w:rFonts w:ascii="Times New Roman" w:hAnsi="Times New Roman" w:hint="eastAsia"/>
          <w:sz w:val="18"/>
          <w:szCs w:val="18"/>
        </w:rPr>
        <w:t>年</w:t>
      </w:r>
      <w:r w:rsidRPr="0063248C">
        <w:rPr>
          <w:rFonts w:ascii="Times New Roman" w:hAnsi="Times New Roman" w:cs="Times New Roman"/>
          <w:sz w:val="18"/>
          <w:szCs w:val="18"/>
        </w:rPr>
        <w:t>2</w:t>
      </w:r>
      <w:r w:rsidRPr="0063248C">
        <w:rPr>
          <w:rFonts w:ascii="Times New Roman" w:hAnsi="Times New Roman" w:hint="eastAsia"/>
          <w:sz w:val="18"/>
          <w:szCs w:val="18"/>
        </w:rPr>
        <w:t>月</w:t>
      </w:r>
      <w:r w:rsidRPr="0063248C">
        <w:rPr>
          <w:rFonts w:ascii="Times New Roman" w:hAnsi="Times New Roman" w:cs="Times New Roman"/>
          <w:sz w:val="18"/>
          <w:szCs w:val="18"/>
        </w:rPr>
        <w:t>15</w:t>
      </w:r>
      <w:r w:rsidRPr="0063248C">
        <w:rPr>
          <w:rFonts w:ascii="Times New Roman" w:hAnsi="Times New Roman" w:hint="eastAsia"/>
          <w:sz w:val="18"/>
          <w:szCs w:val="18"/>
        </w:rPr>
        <w:t>日及其后颁布和修订的</w:t>
      </w:r>
      <w:r w:rsidRPr="0063248C">
        <w:rPr>
          <w:rFonts w:ascii="Times New Roman" w:hAnsi="Times New Roman" w:cs="Times New Roman"/>
          <w:sz w:val="18"/>
          <w:szCs w:val="18"/>
        </w:rPr>
        <w:t>41</w:t>
      </w:r>
      <w:r w:rsidRPr="0063248C">
        <w:rPr>
          <w:rFonts w:ascii="Times New Roman" w:hAnsi="Times New Roman" w:hint="eastAsia"/>
          <w:sz w:val="18"/>
          <w:szCs w:val="18"/>
        </w:rPr>
        <w:t>项具体会计准则、企业会计准则应用指南、企业会计准则解释及其他相关规定（以下合称“企业会计准则”），以及中国证券监督管理委员会《公开发行证券的公司信息披露编报规则第</w:t>
      </w:r>
      <w:r w:rsidRPr="0063248C">
        <w:rPr>
          <w:rFonts w:ascii="Times New Roman" w:hAnsi="Times New Roman" w:cs="Times New Roman"/>
          <w:sz w:val="18"/>
          <w:szCs w:val="18"/>
        </w:rPr>
        <w:t>15</w:t>
      </w:r>
      <w:r w:rsidRPr="0063248C">
        <w:rPr>
          <w:rFonts w:ascii="Times New Roman" w:hAnsi="Times New Roman" w:hint="eastAsia"/>
          <w:sz w:val="18"/>
          <w:szCs w:val="18"/>
        </w:rPr>
        <w:t>号——财务报告的一般规定（</w:t>
      </w:r>
      <w:r w:rsidRPr="0063248C">
        <w:rPr>
          <w:rFonts w:ascii="Times New Roman" w:hAnsi="Times New Roman" w:cs="Times New Roman"/>
          <w:sz w:val="18"/>
          <w:szCs w:val="18"/>
        </w:rPr>
        <w:t>2023</w:t>
      </w:r>
      <w:r w:rsidRPr="0063248C">
        <w:rPr>
          <w:rFonts w:ascii="Times New Roman" w:hAnsi="Times New Roman" w:hint="eastAsia"/>
          <w:sz w:val="18"/>
          <w:szCs w:val="18"/>
        </w:rPr>
        <w:t>年修订）》的披露规定编制。</w:t>
      </w:r>
    </w:p>
    <w:p w14:paraId="4FDA56A1" w14:textId="77777777" w:rsidR="00517D34" w:rsidRPr="0063248C" w:rsidRDefault="00000000">
      <w:pPr>
        <w:pStyle w:val="a3"/>
        <w:spacing w:before="0" w:beforeAutospacing="0" w:after="0" w:afterAutospacing="0" w:line="273" w:lineRule="auto"/>
        <w:ind w:firstLine="360"/>
        <w:jc w:val="both"/>
        <w:divId w:val="1269191011"/>
        <w:rPr>
          <w:rFonts w:ascii="Times New Roman" w:hAnsi="Times New Roman"/>
        </w:rPr>
      </w:pPr>
      <w:r w:rsidRPr="0063248C">
        <w:rPr>
          <w:rFonts w:ascii="Times New Roman" w:hAnsi="Times New Roman" w:hint="eastAsia"/>
          <w:sz w:val="18"/>
          <w:szCs w:val="18"/>
        </w:rPr>
        <w:t>根据企业会计准则的相关规定，本集团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14:paraId="063A3137" w14:textId="77777777" w:rsidR="007B3DB2" w:rsidRPr="0063248C" w:rsidRDefault="00000000">
      <w:pPr>
        <w:pStyle w:val="3"/>
        <w:spacing w:line="280" w:lineRule="exact"/>
        <w:jc w:val="left"/>
        <w:rPr>
          <w:rFonts w:cs="宋体"/>
          <w:b/>
          <w:bCs/>
        </w:rPr>
      </w:pPr>
      <w:bookmarkStart w:id="115" w:name="_Toc989004"/>
      <w:r w:rsidRPr="0063248C">
        <w:rPr>
          <w:rFonts w:cs="宋体"/>
          <w:b/>
          <w:bCs/>
        </w:rPr>
        <w:t>2</w:t>
      </w:r>
      <w:r w:rsidRPr="0063248C">
        <w:rPr>
          <w:rFonts w:cs="宋体"/>
          <w:b/>
          <w:bCs/>
        </w:rPr>
        <w:t>、持续经营</w:t>
      </w:r>
      <w:bookmarkEnd w:id="115"/>
    </w:p>
    <w:p w14:paraId="017EAC7A" w14:textId="77777777" w:rsidR="00517D34" w:rsidRPr="0063248C" w:rsidRDefault="00000000">
      <w:pPr>
        <w:pStyle w:val="a3"/>
        <w:spacing w:before="0" w:beforeAutospacing="0" w:after="0" w:afterAutospacing="0" w:line="273" w:lineRule="auto"/>
        <w:ind w:firstLine="360"/>
        <w:jc w:val="both"/>
        <w:divId w:val="1870293015"/>
        <w:rPr>
          <w:rFonts w:ascii="Times New Roman" w:hAnsi="Times New Roman"/>
        </w:rPr>
      </w:pPr>
      <w:r w:rsidRPr="0063248C">
        <w:rPr>
          <w:rFonts w:ascii="Times New Roman" w:hAnsi="Times New Roman" w:hint="eastAsia"/>
          <w:sz w:val="18"/>
          <w:szCs w:val="18"/>
        </w:rPr>
        <w:t>经本公司评估，自本报告</w:t>
      </w:r>
      <w:proofErr w:type="gramStart"/>
      <w:r w:rsidRPr="0063248C">
        <w:rPr>
          <w:rFonts w:ascii="Times New Roman" w:hAnsi="Times New Roman" w:hint="eastAsia"/>
          <w:sz w:val="18"/>
          <w:szCs w:val="18"/>
        </w:rPr>
        <w:t>期末起</w:t>
      </w:r>
      <w:proofErr w:type="gramEnd"/>
      <w:r w:rsidRPr="0063248C">
        <w:rPr>
          <w:rFonts w:ascii="Times New Roman" w:hAnsi="Times New Roman" w:hint="eastAsia"/>
          <w:sz w:val="18"/>
          <w:szCs w:val="18"/>
        </w:rPr>
        <w:t>的</w:t>
      </w:r>
      <w:r w:rsidRPr="0063248C">
        <w:rPr>
          <w:rFonts w:ascii="Times New Roman" w:hAnsi="Times New Roman" w:cs="Times New Roman"/>
          <w:sz w:val="18"/>
          <w:szCs w:val="18"/>
        </w:rPr>
        <w:t>12</w:t>
      </w:r>
      <w:r w:rsidRPr="0063248C">
        <w:rPr>
          <w:rFonts w:ascii="Times New Roman" w:hAnsi="Times New Roman" w:hint="eastAsia"/>
          <w:sz w:val="18"/>
          <w:szCs w:val="18"/>
        </w:rPr>
        <w:t>个月内，本公司持续经营能力良好，不存在导致对本公司持续经营能力产生重大怀疑的因素。</w:t>
      </w:r>
    </w:p>
    <w:p w14:paraId="73AB7F36" w14:textId="77777777" w:rsidR="007B3DB2" w:rsidRPr="0063248C" w:rsidRDefault="00000000">
      <w:pPr>
        <w:pStyle w:val="2"/>
        <w:spacing w:before="300" w:after="300" w:line="560" w:lineRule="exact"/>
        <w:rPr>
          <w:rFonts w:cs="宋体"/>
          <w:b/>
          <w:bCs/>
          <w:sz w:val="24"/>
          <w:szCs w:val="24"/>
        </w:rPr>
      </w:pPr>
      <w:bookmarkStart w:id="116" w:name="_Toc989005"/>
      <w:r w:rsidRPr="0063248C">
        <w:rPr>
          <w:rFonts w:cs="宋体"/>
          <w:b/>
          <w:bCs/>
          <w:sz w:val="24"/>
          <w:szCs w:val="24"/>
        </w:rPr>
        <w:t>五、重要会计政策及会计估计</w:t>
      </w:r>
      <w:bookmarkEnd w:id="116"/>
    </w:p>
    <w:p w14:paraId="153C31FB" w14:textId="77777777" w:rsidR="007B3DB2" w:rsidRPr="0063248C" w:rsidRDefault="00000000">
      <w:pPr>
        <w:spacing w:before="100" w:after="100" w:line="240" w:lineRule="exact"/>
        <w:rPr>
          <w:rFonts w:cs="宋体"/>
          <w:sz w:val="18"/>
          <w:szCs w:val="18"/>
        </w:rPr>
      </w:pPr>
      <w:r w:rsidRPr="0063248C">
        <w:rPr>
          <w:rFonts w:cs="宋体"/>
          <w:sz w:val="18"/>
          <w:szCs w:val="18"/>
        </w:rPr>
        <w:t>公司需遵守《深圳证券交易所上市公司自律监管指引第</w:t>
      </w:r>
      <w:r w:rsidRPr="0063248C">
        <w:rPr>
          <w:rFonts w:cs="宋体"/>
          <w:sz w:val="18"/>
          <w:szCs w:val="18"/>
        </w:rPr>
        <w:t>3</w:t>
      </w:r>
      <w:r w:rsidRPr="0063248C">
        <w:rPr>
          <w:rFonts w:cs="宋体"/>
          <w:sz w:val="18"/>
          <w:szCs w:val="18"/>
        </w:rPr>
        <w:t>号</w:t>
      </w:r>
      <w:r w:rsidRPr="0063248C">
        <w:rPr>
          <w:rFonts w:cs="宋体"/>
          <w:sz w:val="18"/>
          <w:szCs w:val="18"/>
        </w:rPr>
        <w:t>——</w:t>
      </w:r>
      <w:r w:rsidRPr="0063248C">
        <w:rPr>
          <w:rFonts w:cs="宋体"/>
          <w:sz w:val="18"/>
          <w:szCs w:val="18"/>
        </w:rPr>
        <w:t>行业信息披露》中的</w:t>
      </w:r>
      <w:r w:rsidRPr="0063248C">
        <w:rPr>
          <w:rFonts w:cs="宋体"/>
          <w:sz w:val="18"/>
          <w:szCs w:val="18"/>
        </w:rPr>
        <w:t>“</w:t>
      </w:r>
      <w:r w:rsidRPr="0063248C">
        <w:rPr>
          <w:rFonts w:cs="宋体"/>
          <w:sz w:val="18"/>
          <w:szCs w:val="18"/>
        </w:rPr>
        <w:t>食品及酒制造相关业务</w:t>
      </w:r>
      <w:r w:rsidRPr="0063248C">
        <w:rPr>
          <w:rFonts w:cs="宋体"/>
          <w:sz w:val="18"/>
          <w:szCs w:val="18"/>
        </w:rPr>
        <w:t>”</w:t>
      </w:r>
      <w:r w:rsidRPr="0063248C">
        <w:rPr>
          <w:rFonts w:cs="宋体"/>
          <w:sz w:val="18"/>
          <w:szCs w:val="18"/>
        </w:rPr>
        <w:t>的披露要求</w:t>
      </w:r>
    </w:p>
    <w:p w14:paraId="415636D6" w14:textId="77777777" w:rsidR="00517D34" w:rsidRPr="0063248C" w:rsidRDefault="00000000">
      <w:pPr>
        <w:pStyle w:val="a3"/>
        <w:spacing w:before="0" w:beforeAutospacing="0" w:after="0" w:afterAutospacing="0" w:line="273" w:lineRule="auto"/>
        <w:ind w:firstLine="360"/>
        <w:jc w:val="both"/>
        <w:divId w:val="1787969283"/>
        <w:rPr>
          <w:rFonts w:ascii="Times New Roman" w:hAnsi="Times New Roman"/>
        </w:rPr>
      </w:pPr>
      <w:r w:rsidRPr="0063248C">
        <w:rPr>
          <w:rFonts w:ascii="Times New Roman" w:hAnsi="Times New Roman" w:hint="eastAsia"/>
          <w:sz w:val="18"/>
          <w:szCs w:val="18"/>
        </w:rPr>
        <w:t>本集团根据实际生产经营特点，依据相关企业会计准则的规定，对收入确认等交易和事项制定了若干项具体会计政策和会计估计，详见本附注五、</w:t>
      </w:r>
      <w:r w:rsidRPr="0063248C">
        <w:rPr>
          <w:rFonts w:ascii="Times New Roman" w:hAnsi="Times New Roman" w:cs="Times New Roman"/>
          <w:sz w:val="18"/>
          <w:szCs w:val="18"/>
        </w:rPr>
        <w:t>37</w:t>
      </w:r>
      <w:r w:rsidRPr="0063248C">
        <w:rPr>
          <w:rFonts w:ascii="Times New Roman" w:hAnsi="Times New Roman" w:hint="eastAsia"/>
          <w:sz w:val="18"/>
          <w:szCs w:val="18"/>
        </w:rPr>
        <w:t>“收入”各项描述。关于管理层所</w:t>
      </w:r>
      <w:proofErr w:type="gramStart"/>
      <w:r w:rsidRPr="0063248C">
        <w:rPr>
          <w:rFonts w:ascii="Times New Roman" w:hAnsi="Times New Roman" w:hint="eastAsia"/>
          <w:sz w:val="18"/>
          <w:szCs w:val="18"/>
        </w:rPr>
        <w:t>作出</w:t>
      </w:r>
      <w:proofErr w:type="gramEnd"/>
      <w:r w:rsidRPr="0063248C">
        <w:rPr>
          <w:rFonts w:ascii="Times New Roman" w:hAnsi="Times New Roman" w:hint="eastAsia"/>
          <w:sz w:val="18"/>
          <w:szCs w:val="18"/>
        </w:rPr>
        <w:t>的重大会计判断和估计的说明，请参阅附注五、</w:t>
      </w:r>
      <w:r w:rsidRPr="0063248C">
        <w:rPr>
          <w:rFonts w:ascii="Times New Roman" w:hAnsi="Times New Roman" w:cs="Times New Roman"/>
          <w:sz w:val="18"/>
          <w:szCs w:val="18"/>
        </w:rPr>
        <w:t>44</w:t>
      </w:r>
      <w:r w:rsidRPr="0063248C">
        <w:rPr>
          <w:rFonts w:ascii="Times New Roman" w:hAnsi="Times New Roman" w:hint="eastAsia"/>
          <w:sz w:val="18"/>
          <w:szCs w:val="18"/>
        </w:rPr>
        <w:t>“其他”。</w:t>
      </w:r>
    </w:p>
    <w:p w14:paraId="2382829D" w14:textId="77777777" w:rsidR="007B3DB2" w:rsidRPr="0063248C" w:rsidRDefault="00000000">
      <w:pPr>
        <w:pStyle w:val="3"/>
        <w:spacing w:line="280" w:lineRule="exact"/>
        <w:jc w:val="left"/>
        <w:rPr>
          <w:rFonts w:cs="宋体"/>
          <w:b/>
          <w:bCs/>
        </w:rPr>
      </w:pPr>
      <w:bookmarkStart w:id="117" w:name="_Toc989006"/>
      <w:r w:rsidRPr="0063248C">
        <w:rPr>
          <w:rFonts w:cs="宋体"/>
          <w:b/>
          <w:bCs/>
        </w:rPr>
        <w:t>1</w:t>
      </w:r>
      <w:r w:rsidRPr="0063248C">
        <w:rPr>
          <w:rFonts w:cs="宋体"/>
          <w:b/>
          <w:bCs/>
        </w:rPr>
        <w:t>、遵循企业会计准则的声明</w:t>
      </w:r>
      <w:bookmarkEnd w:id="117"/>
    </w:p>
    <w:p w14:paraId="60D996D4" w14:textId="77777777" w:rsidR="00517D34" w:rsidRPr="0063248C" w:rsidRDefault="00000000">
      <w:pPr>
        <w:pStyle w:val="a3"/>
        <w:spacing w:before="0" w:beforeAutospacing="0" w:after="0" w:afterAutospacing="0" w:line="273" w:lineRule="auto"/>
        <w:ind w:firstLine="360"/>
        <w:jc w:val="both"/>
        <w:divId w:val="2058552270"/>
        <w:rPr>
          <w:rFonts w:ascii="Times New Roman" w:hAnsi="Times New Roman"/>
        </w:rPr>
      </w:pPr>
      <w:r w:rsidRPr="0063248C">
        <w:rPr>
          <w:rFonts w:ascii="Times New Roman" w:hAnsi="Times New Roman" w:hint="eastAsia"/>
          <w:sz w:val="18"/>
          <w:szCs w:val="18"/>
        </w:rPr>
        <w:t>本公司编制的财务报表符合企业会计准则的要求，真实、完整地反映了本公司及本集团</w:t>
      </w:r>
      <w:r w:rsidRPr="0063248C">
        <w:rPr>
          <w:rFonts w:ascii="Times New Roman" w:hAnsi="Times New Roman" w:cs="Times New Roman"/>
          <w:sz w:val="18"/>
          <w:szCs w:val="18"/>
        </w:rPr>
        <w:t>2024</w:t>
      </w:r>
      <w:r w:rsidRPr="0063248C">
        <w:rPr>
          <w:rFonts w:ascii="Times New Roman" w:hAnsi="Times New Roman" w:hint="eastAsia"/>
          <w:sz w:val="18"/>
          <w:szCs w:val="18"/>
        </w:rPr>
        <w:t>年</w:t>
      </w:r>
      <w:r w:rsidRPr="0063248C">
        <w:rPr>
          <w:rFonts w:ascii="Times New Roman" w:hAnsi="Times New Roman" w:hint="eastAsia"/>
          <w:sz w:val="18"/>
          <w:szCs w:val="18"/>
        </w:rPr>
        <w:t>06</w:t>
      </w:r>
      <w:r w:rsidRPr="0063248C">
        <w:rPr>
          <w:rFonts w:ascii="Times New Roman" w:hAnsi="Times New Roman" w:hint="eastAsia"/>
          <w:sz w:val="18"/>
          <w:szCs w:val="18"/>
        </w:rPr>
        <w:t>月</w:t>
      </w:r>
      <w:r w:rsidRPr="0063248C">
        <w:rPr>
          <w:rFonts w:ascii="Times New Roman" w:hAnsi="Times New Roman" w:cs="Times New Roman"/>
          <w:sz w:val="18"/>
          <w:szCs w:val="18"/>
        </w:rPr>
        <w:t>30</w:t>
      </w:r>
      <w:r w:rsidRPr="0063248C">
        <w:rPr>
          <w:rFonts w:ascii="Times New Roman" w:hAnsi="Times New Roman" w:hint="eastAsia"/>
          <w:sz w:val="18"/>
          <w:szCs w:val="18"/>
        </w:rPr>
        <w:t>日的财务状况及</w:t>
      </w:r>
      <w:r w:rsidRPr="0063248C">
        <w:rPr>
          <w:rFonts w:ascii="Times New Roman" w:hAnsi="Times New Roman" w:cs="Times New Roman"/>
          <w:sz w:val="18"/>
          <w:szCs w:val="18"/>
        </w:rPr>
        <w:t>2024</w:t>
      </w:r>
      <w:r w:rsidRPr="0063248C">
        <w:rPr>
          <w:rFonts w:ascii="Times New Roman" w:hAnsi="Times New Roman" w:hint="eastAsia"/>
          <w:sz w:val="18"/>
          <w:szCs w:val="18"/>
        </w:rPr>
        <w:t>年度的经营成果和现金流量等有关信息。此外，本公司及本集团的财务报表在所有重大方面符合中国证券监督管理委员会</w:t>
      </w:r>
      <w:r w:rsidRPr="0063248C">
        <w:rPr>
          <w:rFonts w:ascii="Times New Roman" w:hAnsi="Times New Roman" w:cs="Times New Roman"/>
          <w:sz w:val="18"/>
          <w:szCs w:val="18"/>
        </w:rPr>
        <w:t>2023</w:t>
      </w:r>
      <w:r w:rsidRPr="0063248C">
        <w:rPr>
          <w:rFonts w:ascii="Times New Roman" w:hAnsi="Times New Roman" w:hint="eastAsia"/>
          <w:sz w:val="18"/>
          <w:szCs w:val="18"/>
        </w:rPr>
        <w:t>年修订的《公开发行证券的公司信息披露编报规则第</w:t>
      </w:r>
      <w:r w:rsidRPr="0063248C">
        <w:rPr>
          <w:rFonts w:ascii="Times New Roman" w:hAnsi="Times New Roman" w:cs="Times New Roman"/>
          <w:sz w:val="18"/>
          <w:szCs w:val="18"/>
        </w:rPr>
        <w:t>15</w:t>
      </w:r>
      <w:r w:rsidRPr="0063248C">
        <w:rPr>
          <w:rFonts w:ascii="Times New Roman" w:hAnsi="Times New Roman" w:hint="eastAsia"/>
          <w:sz w:val="18"/>
          <w:szCs w:val="18"/>
        </w:rPr>
        <w:t>号——财务报告的一般规定》有关财务报表及其附注的披露要求。</w:t>
      </w:r>
    </w:p>
    <w:p w14:paraId="167C1C09" w14:textId="77777777" w:rsidR="007B3DB2" w:rsidRPr="0063248C" w:rsidRDefault="00000000">
      <w:pPr>
        <w:pStyle w:val="3"/>
        <w:spacing w:line="280" w:lineRule="exact"/>
        <w:jc w:val="left"/>
        <w:rPr>
          <w:rFonts w:cs="宋体"/>
          <w:b/>
          <w:bCs/>
        </w:rPr>
      </w:pPr>
      <w:bookmarkStart w:id="118" w:name="_Toc989007"/>
      <w:r w:rsidRPr="0063248C">
        <w:rPr>
          <w:rFonts w:cs="宋体"/>
          <w:b/>
          <w:bCs/>
        </w:rPr>
        <w:lastRenderedPageBreak/>
        <w:t>2</w:t>
      </w:r>
      <w:r w:rsidRPr="0063248C">
        <w:rPr>
          <w:rFonts w:cs="宋体"/>
          <w:b/>
          <w:bCs/>
        </w:rPr>
        <w:t>、会计期间</w:t>
      </w:r>
      <w:bookmarkEnd w:id="118"/>
    </w:p>
    <w:p w14:paraId="324C30A7" w14:textId="77777777" w:rsidR="00517D34" w:rsidRPr="0063248C" w:rsidRDefault="00000000">
      <w:pPr>
        <w:pStyle w:val="a3"/>
        <w:spacing w:before="0" w:beforeAutospacing="0" w:after="0" w:afterAutospacing="0" w:line="273" w:lineRule="auto"/>
        <w:ind w:firstLine="360"/>
        <w:jc w:val="both"/>
        <w:divId w:val="157968788"/>
        <w:rPr>
          <w:rFonts w:ascii="Times New Roman" w:hAnsi="Times New Roman"/>
        </w:rPr>
      </w:pPr>
      <w:r w:rsidRPr="0063248C">
        <w:rPr>
          <w:rFonts w:ascii="Times New Roman" w:hAnsi="Times New Roman" w:hint="eastAsia"/>
          <w:sz w:val="18"/>
          <w:szCs w:val="18"/>
        </w:rPr>
        <w:t>本集团的会计期间分为年度和中期，会计中期指短于一个完整的会计年度的报告期间。本集团会计年度采用公历年度，即每年自</w:t>
      </w:r>
      <w:r w:rsidRPr="0063248C">
        <w:rPr>
          <w:rFonts w:ascii="Times New Roman" w:hAnsi="Times New Roman" w:cs="Times New Roman"/>
          <w:sz w:val="18"/>
          <w:szCs w:val="18"/>
        </w:rPr>
        <w:t>1</w:t>
      </w:r>
      <w:r w:rsidRPr="0063248C">
        <w:rPr>
          <w:rFonts w:ascii="Times New Roman" w:hAnsi="Times New Roman" w:hint="eastAsia"/>
          <w:sz w:val="18"/>
          <w:szCs w:val="18"/>
        </w:rPr>
        <w:t>月</w:t>
      </w:r>
      <w:r w:rsidRPr="0063248C">
        <w:rPr>
          <w:rFonts w:ascii="Times New Roman" w:hAnsi="Times New Roman" w:cs="Times New Roman"/>
          <w:sz w:val="18"/>
          <w:szCs w:val="18"/>
        </w:rPr>
        <w:t>1</w:t>
      </w:r>
      <w:r w:rsidRPr="0063248C">
        <w:rPr>
          <w:rFonts w:ascii="Times New Roman" w:hAnsi="Times New Roman" w:hint="eastAsia"/>
          <w:sz w:val="18"/>
          <w:szCs w:val="18"/>
        </w:rPr>
        <w:t>日起至</w:t>
      </w:r>
      <w:r w:rsidRPr="0063248C">
        <w:rPr>
          <w:rFonts w:ascii="Times New Roman" w:hAnsi="Times New Roman" w:cs="Times New Roman"/>
          <w:sz w:val="18"/>
          <w:szCs w:val="18"/>
        </w:rPr>
        <w:t>12</w:t>
      </w:r>
      <w:r w:rsidRPr="0063248C">
        <w:rPr>
          <w:rFonts w:ascii="Times New Roman" w:hAnsi="Times New Roman" w:hint="eastAsia"/>
          <w:sz w:val="18"/>
          <w:szCs w:val="18"/>
        </w:rPr>
        <w:t>月</w:t>
      </w:r>
      <w:r w:rsidRPr="0063248C">
        <w:rPr>
          <w:rFonts w:ascii="Times New Roman" w:hAnsi="Times New Roman" w:cs="Times New Roman"/>
          <w:sz w:val="18"/>
          <w:szCs w:val="18"/>
        </w:rPr>
        <w:t>31</w:t>
      </w:r>
      <w:r w:rsidRPr="0063248C">
        <w:rPr>
          <w:rFonts w:ascii="Times New Roman" w:hAnsi="Times New Roman" w:hint="eastAsia"/>
          <w:sz w:val="18"/>
          <w:szCs w:val="18"/>
        </w:rPr>
        <w:t>日止。</w:t>
      </w:r>
    </w:p>
    <w:p w14:paraId="2FF35707" w14:textId="77777777" w:rsidR="007B3DB2" w:rsidRPr="0063248C" w:rsidRDefault="00000000">
      <w:pPr>
        <w:pStyle w:val="3"/>
        <w:spacing w:line="280" w:lineRule="exact"/>
        <w:jc w:val="left"/>
        <w:rPr>
          <w:rFonts w:cs="宋体"/>
          <w:b/>
          <w:bCs/>
        </w:rPr>
      </w:pPr>
      <w:bookmarkStart w:id="119" w:name="_Toc989008"/>
      <w:r w:rsidRPr="0063248C">
        <w:rPr>
          <w:rFonts w:cs="宋体"/>
          <w:b/>
          <w:bCs/>
        </w:rPr>
        <w:t>3</w:t>
      </w:r>
      <w:r w:rsidRPr="0063248C">
        <w:rPr>
          <w:rFonts w:cs="宋体"/>
          <w:b/>
          <w:bCs/>
        </w:rPr>
        <w:t>、营业周期</w:t>
      </w:r>
      <w:bookmarkEnd w:id="119"/>
    </w:p>
    <w:p w14:paraId="255E71A6" w14:textId="77777777" w:rsidR="00517D34" w:rsidRPr="0063248C" w:rsidRDefault="00000000">
      <w:pPr>
        <w:pStyle w:val="a3"/>
        <w:spacing w:before="0" w:beforeAutospacing="0" w:after="0" w:afterAutospacing="0" w:line="273" w:lineRule="auto"/>
        <w:ind w:firstLine="360"/>
        <w:jc w:val="both"/>
        <w:divId w:val="1962300417"/>
        <w:rPr>
          <w:rFonts w:ascii="Times New Roman" w:hAnsi="Times New Roman"/>
        </w:rPr>
      </w:pPr>
      <w:r w:rsidRPr="0063248C">
        <w:rPr>
          <w:rFonts w:ascii="Times New Roman" w:hAnsi="Times New Roman" w:hint="eastAsia"/>
          <w:sz w:val="18"/>
          <w:szCs w:val="18"/>
        </w:rPr>
        <w:t>正常营业周期是指本集团从购买用于加工的资产起</w:t>
      </w:r>
      <w:proofErr w:type="gramStart"/>
      <w:r w:rsidRPr="0063248C">
        <w:rPr>
          <w:rFonts w:ascii="Times New Roman" w:hAnsi="Times New Roman" w:hint="eastAsia"/>
          <w:sz w:val="18"/>
          <w:szCs w:val="18"/>
        </w:rPr>
        <w:t>至实现</w:t>
      </w:r>
      <w:proofErr w:type="gramEnd"/>
      <w:r w:rsidRPr="0063248C">
        <w:rPr>
          <w:rFonts w:ascii="Times New Roman" w:hAnsi="Times New Roman" w:hint="eastAsia"/>
          <w:sz w:val="18"/>
          <w:szCs w:val="18"/>
        </w:rPr>
        <w:t>现金或现金等价物的期间。本集团以</w:t>
      </w:r>
      <w:r w:rsidRPr="0063248C">
        <w:rPr>
          <w:rFonts w:ascii="Times New Roman" w:hAnsi="Times New Roman" w:cs="Times New Roman"/>
          <w:sz w:val="18"/>
          <w:szCs w:val="18"/>
        </w:rPr>
        <w:t>12</w:t>
      </w:r>
      <w:r w:rsidRPr="0063248C">
        <w:rPr>
          <w:rFonts w:ascii="Times New Roman" w:hAnsi="Times New Roman" w:hint="eastAsia"/>
          <w:sz w:val="18"/>
          <w:szCs w:val="18"/>
        </w:rPr>
        <w:t>个月作为一个营业周期，并以其作为资产和负债的流动性划分标准。</w:t>
      </w:r>
    </w:p>
    <w:p w14:paraId="333AB96F" w14:textId="77777777" w:rsidR="007B3DB2" w:rsidRPr="0063248C" w:rsidRDefault="00000000">
      <w:pPr>
        <w:pStyle w:val="3"/>
        <w:spacing w:line="280" w:lineRule="exact"/>
        <w:jc w:val="left"/>
        <w:rPr>
          <w:rFonts w:cs="宋体"/>
          <w:b/>
          <w:bCs/>
        </w:rPr>
      </w:pPr>
      <w:bookmarkStart w:id="120" w:name="_Toc989009"/>
      <w:r w:rsidRPr="0063248C">
        <w:rPr>
          <w:rFonts w:cs="宋体"/>
          <w:b/>
          <w:bCs/>
        </w:rPr>
        <w:t>4</w:t>
      </w:r>
      <w:r w:rsidRPr="0063248C">
        <w:rPr>
          <w:rFonts w:cs="宋体"/>
          <w:b/>
          <w:bCs/>
        </w:rPr>
        <w:t>、记账本位币</w:t>
      </w:r>
      <w:bookmarkEnd w:id="120"/>
    </w:p>
    <w:p w14:paraId="6EE89FC7" w14:textId="77777777" w:rsidR="00517D34" w:rsidRPr="0063248C" w:rsidRDefault="00000000">
      <w:pPr>
        <w:pStyle w:val="a3"/>
        <w:spacing w:before="0" w:beforeAutospacing="0" w:after="0" w:afterAutospacing="0" w:line="273" w:lineRule="auto"/>
        <w:ind w:firstLine="360"/>
        <w:divId w:val="1496922963"/>
        <w:rPr>
          <w:rFonts w:ascii="Times New Roman" w:hAnsi="Times New Roman"/>
        </w:rPr>
      </w:pPr>
      <w:r w:rsidRPr="0063248C">
        <w:rPr>
          <w:rFonts w:ascii="Times New Roman" w:hAnsi="Times New Roman" w:hint="eastAsia"/>
          <w:sz w:val="18"/>
          <w:szCs w:val="18"/>
        </w:rPr>
        <w:t>人民币为本公司及境内子公司经营所处的主要经济环境中的货币，本公司及境内子公司以人民币为记账本位币。本集团编制本财务报表时所采用的货币为人民币。</w:t>
      </w:r>
    </w:p>
    <w:p w14:paraId="6D4687EE" w14:textId="77777777" w:rsidR="007B3DB2" w:rsidRPr="0063248C" w:rsidRDefault="00000000">
      <w:pPr>
        <w:pStyle w:val="3"/>
        <w:spacing w:line="280" w:lineRule="exact"/>
        <w:jc w:val="left"/>
        <w:rPr>
          <w:rFonts w:cs="宋体"/>
          <w:b/>
          <w:bCs/>
        </w:rPr>
      </w:pPr>
      <w:bookmarkStart w:id="121" w:name="_Toc989010"/>
      <w:r w:rsidRPr="0063248C">
        <w:rPr>
          <w:rFonts w:cs="宋体"/>
          <w:b/>
          <w:bCs/>
        </w:rPr>
        <w:t>5</w:t>
      </w:r>
      <w:r w:rsidRPr="0063248C">
        <w:rPr>
          <w:rFonts w:cs="宋体"/>
          <w:b/>
          <w:bCs/>
        </w:rPr>
        <w:t>、重要性标准确定方法和选择依据</w:t>
      </w:r>
      <w:bookmarkEnd w:id="121"/>
    </w:p>
    <w:p w14:paraId="45D9B25E" w14:textId="77777777" w:rsidR="007B3DB2" w:rsidRPr="0063248C" w:rsidRDefault="00000000">
      <w:pPr>
        <w:spacing w:before="100" w:after="10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7B3DB2" w:rsidRPr="0063248C" w14:paraId="59A138E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B9C9232"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0A15E08" w14:textId="77777777" w:rsidR="007B3DB2" w:rsidRPr="0063248C" w:rsidRDefault="00000000">
            <w:pPr>
              <w:spacing w:before="40" w:after="40" w:line="240" w:lineRule="exact"/>
              <w:jc w:val="center"/>
              <w:rPr>
                <w:rFonts w:cs="宋体"/>
                <w:sz w:val="18"/>
                <w:szCs w:val="18"/>
              </w:rPr>
            </w:pPr>
            <w:r w:rsidRPr="0063248C">
              <w:rPr>
                <w:rFonts w:cs="宋体"/>
                <w:sz w:val="18"/>
                <w:szCs w:val="18"/>
              </w:rPr>
              <w:t>重要性标准</w:t>
            </w:r>
          </w:p>
        </w:tc>
      </w:tr>
      <w:tr w:rsidR="007B3DB2" w:rsidRPr="0063248C" w14:paraId="5BD721F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9105075" w14:textId="77777777" w:rsidR="007B3DB2" w:rsidRPr="0063248C" w:rsidRDefault="00000000">
            <w:pPr>
              <w:spacing w:line="240" w:lineRule="exact"/>
              <w:rPr>
                <w:rFonts w:cs="宋体"/>
                <w:sz w:val="18"/>
                <w:szCs w:val="18"/>
              </w:rPr>
            </w:pPr>
            <w:r w:rsidRPr="0063248C">
              <w:rPr>
                <w:rFonts w:cs="宋体"/>
                <w:sz w:val="18"/>
                <w:szCs w:val="18"/>
              </w:rPr>
              <w:t>重要的单项计提坏账准备的应收款项</w:t>
            </w:r>
          </w:p>
        </w:tc>
        <w:tc>
          <w:tcPr>
            <w:tcW w:w="4820" w:type="dxa"/>
            <w:tcBorders>
              <w:top w:val="single" w:sz="2" w:space="0" w:color="auto"/>
              <w:left w:val="single" w:sz="2" w:space="0" w:color="auto"/>
              <w:bottom w:val="single" w:sz="2" w:space="0" w:color="auto"/>
              <w:right w:val="single" w:sz="2" w:space="0" w:color="auto"/>
            </w:tcBorders>
            <w:vAlign w:val="center"/>
          </w:tcPr>
          <w:p w14:paraId="21EB52E0" w14:textId="77777777" w:rsidR="007B3DB2" w:rsidRPr="0063248C" w:rsidRDefault="00000000">
            <w:pPr>
              <w:spacing w:line="240" w:lineRule="exact"/>
              <w:rPr>
                <w:rFonts w:cs="宋体"/>
                <w:sz w:val="18"/>
                <w:szCs w:val="18"/>
              </w:rPr>
            </w:pPr>
            <w:r w:rsidRPr="0063248C">
              <w:rPr>
                <w:rFonts w:cs="宋体"/>
                <w:sz w:val="18"/>
                <w:szCs w:val="18"/>
              </w:rPr>
              <w:t>等于或超过</w:t>
            </w:r>
            <w:r w:rsidRPr="0063248C">
              <w:rPr>
                <w:rFonts w:cs="宋体"/>
                <w:sz w:val="18"/>
                <w:szCs w:val="18"/>
              </w:rPr>
              <w:t>300</w:t>
            </w:r>
            <w:r w:rsidRPr="0063248C">
              <w:rPr>
                <w:rFonts w:cs="宋体"/>
                <w:sz w:val="18"/>
                <w:szCs w:val="18"/>
              </w:rPr>
              <w:t>万以上</w:t>
            </w:r>
          </w:p>
        </w:tc>
      </w:tr>
      <w:tr w:rsidR="007B3DB2" w:rsidRPr="0063248C" w14:paraId="63ACB99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73E91E3" w14:textId="77777777" w:rsidR="007B3DB2" w:rsidRPr="0063248C" w:rsidRDefault="00000000">
            <w:pPr>
              <w:spacing w:line="240" w:lineRule="exact"/>
              <w:rPr>
                <w:rFonts w:cs="宋体"/>
                <w:sz w:val="18"/>
                <w:szCs w:val="18"/>
              </w:rPr>
            </w:pPr>
            <w:r w:rsidRPr="0063248C">
              <w:rPr>
                <w:rFonts w:cs="宋体"/>
                <w:sz w:val="18"/>
                <w:szCs w:val="18"/>
              </w:rPr>
              <w:t>重要的非全资子公司</w:t>
            </w:r>
          </w:p>
        </w:tc>
        <w:tc>
          <w:tcPr>
            <w:tcW w:w="4820" w:type="dxa"/>
            <w:tcBorders>
              <w:top w:val="single" w:sz="2" w:space="0" w:color="auto"/>
              <w:left w:val="single" w:sz="2" w:space="0" w:color="auto"/>
              <w:bottom w:val="single" w:sz="2" w:space="0" w:color="auto"/>
              <w:right w:val="single" w:sz="2" w:space="0" w:color="auto"/>
            </w:tcBorders>
            <w:vAlign w:val="center"/>
          </w:tcPr>
          <w:p w14:paraId="666FA228" w14:textId="77777777" w:rsidR="007B3DB2" w:rsidRPr="0063248C" w:rsidRDefault="00000000">
            <w:pPr>
              <w:spacing w:line="240" w:lineRule="exact"/>
              <w:rPr>
                <w:rFonts w:cs="宋体"/>
                <w:sz w:val="18"/>
                <w:szCs w:val="18"/>
              </w:rPr>
            </w:pPr>
            <w:r w:rsidRPr="0063248C">
              <w:rPr>
                <w:rFonts w:cs="宋体"/>
                <w:sz w:val="18"/>
                <w:szCs w:val="18"/>
              </w:rPr>
              <w:t>非全资子公司收入金额占集团总收入</w:t>
            </w:r>
            <w:r w:rsidRPr="0063248C">
              <w:rPr>
                <w:rFonts w:cs="宋体"/>
                <w:sz w:val="18"/>
                <w:szCs w:val="18"/>
              </w:rPr>
              <w:t>10%</w:t>
            </w:r>
            <w:r w:rsidRPr="0063248C">
              <w:rPr>
                <w:rFonts w:cs="宋体"/>
                <w:sz w:val="18"/>
                <w:szCs w:val="18"/>
              </w:rPr>
              <w:t>以上或利润总额绝对值占集团利润总额</w:t>
            </w:r>
            <w:r w:rsidRPr="0063248C">
              <w:rPr>
                <w:rFonts w:cs="宋体"/>
                <w:sz w:val="18"/>
                <w:szCs w:val="18"/>
              </w:rPr>
              <w:t>5%</w:t>
            </w:r>
            <w:r w:rsidRPr="0063248C">
              <w:rPr>
                <w:rFonts w:cs="宋体"/>
                <w:sz w:val="18"/>
                <w:szCs w:val="18"/>
              </w:rPr>
              <w:t>以上</w:t>
            </w:r>
          </w:p>
        </w:tc>
      </w:tr>
      <w:tr w:rsidR="007B3DB2" w:rsidRPr="0063248C" w14:paraId="68D202F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457ABC4" w14:textId="77777777" w:rsidR="007B3DB2" w:rsidRPr="0063248C" w:rsidRDefault="00000000">
            <w:pPr>
              <w:spacing w:line="240" w:lineRule="exact"/>
              <w:rPr>
                <w:rFonts w:cs="宋体"/>
                <w:sz w:val="18"/>
                <w:szCs w:val="18"/>
              </w:rPr>
            </w:pPr>
            <w:r w:rsidRPr="0063248C">
              <w:rPr>
                <w:rFonts w:cs="宋体"/>
                <w:sz w:val="18"/>
                <w:szCs w:val="18"/>
              </w:rPr>
              <w:t>重要在建工程</w:t>
            </w:r>
          </w:p>
        </w:tc>
        <w:tc>
          <w:tcPr>
            <w:tcW w:w="4820" w:type="dxa"/>
            <w:tcBorders>
              <w:top w:val="single" w:sz="2" w:space="0" w:color="auto"/>
              <w:left w:val="single" w:sz="2" w:space="0" w:color="auto"/>
              <w:bottom w:val="single" w:sz="2" w:space="0" w:color="auto"/>
              <w:right w:val="single" w:sz="2" w:space="0" w:color="auto"/>
            </w:tcBorders>
            <w:vAlign w:val="center"/>
          </w:tcPr>
          <w:p w14:paraId="626571F7" w14:textId="77777777" w:rsidR="007B3DB2" w:rsidRPr="0063248C" w:rsidRDefault="00000000">
            <w:pPr>
              <w:spacing w:line="240" w:lineRule="exact"/>
              <w:rPr>
                <w:rFonts w:cs="宋体"/>
                <w:sz w:val="18"/>
                <w:szCs w:val="18"/>
              </w:rPr>
            </w:pPr>
            <w:r w:rsidRPr="0063248C">
              <w:rPr>
                <w:rFonts w:cs="宋体"/>
                <w:sz w:val="18"/>
                <w:szCs w:val="18"/>
              </w:rPr>
              <w:t>等于或超过</w:t>
            </w:r>
            <w:r w:rsidRPr="0063248C">
              <w:rPr>
                <w:rFonts w:cs="宋体"/>
                <w:sz w:val="18"/>
                <w:szCs w:val="18"/>
              </w:rPr>
              <w:t>100</w:t>
            </w:r>
            <w:r w:rsidRPr="0063248C">
              <w:rPr>
                <w:rFonts w:cs="宋体"/>
                <w:sz w:val="18"/>
                <w:szCs w:val="18"/>
              </w:rPr>
              <w:t>万以上</w:t>
            </w:r>
          </w:p>
        </w:tc>
      </w:tr>
    </w:tbl>
    <w:p w14:paraId="5BC9CA8D" w14:textId="77777777" w:rsidR="007B3DB2" w:rsidRPr="0063248C" w:rsidRDefault="00000000">
      <w:pPr>
        <w:pStyle w:val="3"/>
        <w:spacing w:line="280" w:lineRule="exact"/>
        <w:jc w:val="left"/>
        <w:rPr>
          <w:rFonts w:cs="宋体"/>
          <w:b/>
          <w:bCs/>
        </w:rPr>
      </w:pPr>
      <w:bookmarkStart w:id="122" w:name="_Toc989011"/>
      <w:r w:rsidRPr="0063248C">
        <w:rPr>
          <w:rFonts w:cs="宋体"/>
          <w:b/>
          <w:bCs/>
        </w:rPr>
        <w:t>6</w:t>
      </w:r>
      <w:r w:rsidRPr="0063248C">
        <w:rPr>
          <w:rFonts w:cs="宋体"/>
          <w:b/>
          <w:bCs/>
        </w:rPr>
        <w:t>、同</w:t>
      </w:r>
      <w:proofErr w:type="gramStart"/>
      <w:r w:rsidRPr="0063248C">
        <w:rPr>
          <w:rFonts w:cs="宋体"/>
          <w:b/>
          <w:bCs/>
        </w:rPr>
        <w:t>一控制</w:t>
      </w:r>
      <w:proofErr w:type="gramEnd"/>
      <w:r w:rsidRPr="0063248C">
        <w:rPr>
          <w:rFonts w:cs="宋体"/>
          <w:b/>
          <w:bCs/>
        </w:rPr>
        <w:t>下和非同</w:t>
      </w:r>
      <w:proofErr w:type="gramStart"/>
      <w:r w:rsidRPr="0063248C">
        <w:rPr>
          <w:rFonts w:cs="宋体"/>
          <w:b/>
          <w:bCs/>
        </w:rPr>
        <w:t>一控制</w:t>
      </w:r>
      <w:proofErr w:type="gramEnd"/>
      <w:r w:rsidRPr="0063248C">
        <w:rPr>
          <w:rFonts w:cs="宋体"/>
          <w:b/>
          <w:bCs/>
        </w:rPr>
        <w:t>下企业合并的会计处理方法</w:t>
      </w:r>
      <w:bookmarkEnd w:id="122"/>
    </w:p>
    <w:p w14:paraId="676C5BDC" w14:textId="77777777" w:rsidR="00517D34" w:rsidRPr="0063248C" w:rsidRDefault="00000000" w:rsidP="00B84D72">
      <w:pPr>
        <w:pStyle w:val="a3"/>
        <w:spacing w:before="0" w:beforeAutospacing="0" w:after="0" w:afterAutospacing="0" w:line="273" w:lineRule="auto"/>
        <w:ind w:firstLine="360"/>
        <w:jc w:val="both"/>
        <w:divId w:val="22219852"/>
        <w:rPr>
          <w:rFonts w:ascii="Times New Roman" w:hAnsi="Times New Roman"/>
          <w:sz w:val="21"/>
          <w:szCs w:val="21"/>
        </w:rPr>
      </w:pPr>
      <w:r w:rsidRPr="0063248C">
        <w:rPr>
          <w:rFonts w:ascii="Times New Roman" w:hAnsi="Times New Roman" w:hint="eastAsia"/>
          <w:sz w:val="18"/>
          <w:szCs w:val="18"/>
        </w:rPr>
        <w:t>企业合并，是指将两个或两个以上单独的企业合并形成一个报告主体的交易或事项。企业合并分为同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下企业合并和非同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下企业合并。</w:t>
      </w:r>
    </w:p>
    <w:p w14:paraId="430D028E" w14:textId="77777777" w:rsidR="00517D34" w:rsidRPr="0063248C" w:rsidRDefault="00000000" w:rsidP="00B84D72">
      <w:pPr>
        <w:pStyle w:val="a3"/>
        <w:spacing w:before="0" w:beforeAutospacing="0" w:after="0" w:afterAutospacing="0" w:line="273" w:lineRule="auto"/>
        <w:ind w:firstLine="360"/>
        <w:jc w:val="both"/>
        <w:divId w:val="22219852"/>
        <w:rPr>
          <w:rFonts w:ascii="Times New Roman" w:hAnsi="Times New Roman"/>
          <w:sz w:val="21"/>
          <w:szCs w:val="21"/>
        </w:rPr>
      </w:pPr>
      <w:r w:rsidRPr="0063248C">
        <w:rPr>
          <w:rFonts w:ascii="Times New Roman" w:hAnsi="Times New Roman" w:hint="eastAsia"/>
          <w:sz w:val="18"/>
          <w:szCs w:val="18"/>
        </w:rPr>
        <w:t>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下企业合并</w:t>
      </w:r>
    </w:p>
    <w:p w14:paraId="6527D02F" w14:textId="77777777" w:rsidR="00517D34" w:rsidRPr="0063248C" w:rsidRDefault="00000000" w:rsidP="00B84D72">
      <w:pPr>
        <w:pStyle w:val="a3"/>
        <w:spacing w:before="0" w:beforeAutospacing="0" w:after="0" w:afterAutospacing="0" w:line="273" w:lineRule="auto"/>
        <w:ind w:firstLine="360"/>
        <w:jc w:val="both"/>
        <w:divId w:val="22219852"/>
        <w:rPr>
          <w:rFonts w:ascii="Times New Roman" w:hAnsi="Times New Roman"/>
          <w:sz w:val="21"/>
          <w:szCs w:val="21"/>
        </w:rPr>
      </w:pPr>
      <w:r w:rsidRPr="0063248C">
        <w:rPr>
          <w:rFonts w:ascii="Times New Roman" w:hAnsi="Times New Roman" w:hint="eastAsia"/>
          <w:sz w:val="18"/>
          <w:szCs w:val="18"/>
        </w:rPr>
        <w:t>参与合并的企业在合并前后均受同一方或相同的多方最终控制，且</w:t>
      </w:r>
      <w:proofErr w:type="gramStart"/>
      <w:r w:rsidRPr="0063248C">
        <w:rPr>
          <w:rFonts w:ascii="Times New Roman" w:hAnsi="Times New Roman" w:hint="eastAsia"/>
          <w:sz w:val="18"/>
          <w:szCs w:val="18"/>
        </w:rPr>
        <w:t>该控制</w:t>
      </w:r>
      <w:proofErr w:type="gramEnd"/>
      <w:r w:rsidRPr="0063248C">
        <w:rPr>
          <w:rFonts w:ascii="Times New Roman" w:hAnsi="Times New Roman" w:hint="eastAsia"/>
          <w:sz w:val="18"/>
          <w:szCs w:val="18"/>
        </w:rPr>
        <w:t>并非暂时性的，为同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下的企业合并。同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下的企业合并，在</w:t>
      </w:r>
      <w:proofErr w:type="gramStart"/>
      <w:r w:rsidRPr="0063248C">
        <w:rPr>
          <w:rFonts w:ascii="Times New Roman" w:hAnsi="Times New Roman" w:hint="eastAsia"/>
          <w:sz w:val="18"/>
          <w:szCs w:val="18"/>
        </w:rPr>
        <w:t>合并日取得</w:t>
      </w:r>
      <w:proofErr w:type="gramEnd"/>
      <w:r w:rsidRPr="0063248C">
        <w:rPr>
          <w:rFonts w:ascii="Times New Roman" w:hAnsi="Times New Roman" w:hint="eastAsia"/>
          <w:sz w:val="18"/>
          <w:szCs w:val="18"/>
        </w:rPr>
        <w:t>对其他参与合并企业控制权的一方为合并方，参与合并的其他企业为被合并方。合并日，是指合并方实际取得对被合并方控制权的日期。</w:t>
      </w:r>
    </w:p>
    <w:p w14:paraId="436A89AB" w14:textId="77777777" w:rsidR="00517D34" w:rsidRPr="0063248C" w:rsidRDefault="00000000" w:rsidP="00B84D72">
      <w:pPr>
        <w:pStyle w:val="a3"/>
        <w:spacing w:before="0" w:beforeAutospacing="0" w:after="0" w:afterAutospacing="0" w:line="273" w:lineRule="auto"/>
        <w:ind w:firstLine="360"/>
        <w:jc w:val="both"/>
        <w:divId w:val="22219852"/>
        <w:rPr>
          <w:rFonts w:ascii="Times New Roman" w:hAnsi="Times New Roman"/>
          <w:sz w:val="21"/>
          <w:szCs w:val="21"/>
        </w:rPr>
      </w:pPr>
      <w:r w:rsidRPr="0063248C">
        <w:rPr>
          <w:rFonts w:ascii="Times New Roman" w:hAnsi="Times New Roman" w:hint="eastAsia"/>
          <w:sz w:val="18"/>
          <w:szCs w:val="18"/>
        </w:rPr>
        <w:t>合并方取得的资产和负债均按</w:t>
      </w:r>
      <w:proofErr w:type="gramStart"/>
      <w:r w:rsidRPr="0063248C">
        <w:rPr>
          <w:rFonts w:ascii="Times New Roman" w:hAnsi="Times New Roman" w:hint="eastAsia"/>
          <w:sz w:val="18"/>
          <w:szCs w:val="18"/>
        </w:rPr>
        <w:t>合并日</w:t>
      </w:r>
      <w:proofErr w:type="gramEnd"/>
      <w:r w:rsidRPr="0063248C">
        <w:rPr>
          <w:rFonts w:ascii="Times New Roman" w:hAnsi="Times New Roman" w:hint="eastAsia"/>
          <w:sz w:val="18"/>
          <w:szCs w:val="18"/>
        </w:rPr>
        <w:t>在被合并方的账面价值计量。合并方取得的净资产账面价值与支付的合并对价账面价值（或发行股份面值总额）的差额，调整资本公积（股本溢价）；资本公积（股本溢价）不足以冲减的，调整留存收益。</w:t>
      </w:r>
    </w:p>
    <w:p w14:paraId="693042DB" w14:textId="77777777" w:rsidR="00517D34" w:rsidRPr="0063248C" w:rsidRDefault="00000000" w:rsidP="00B84D72">
      <w:pPr>
        <w:pStyle w:val="a3"/>
        <w:spacing w:before="0" w:beforeAutospacing="0" w:after="0" w:afterAutospacing="0" w:line="273" w:lineRule="auto"/>
        <w:ind w:firstLine="360"/>
        <w:jc w:val="both"/>
        <w:divId w:val="22219852"/>
        <w:rPr>
          <w:rFonts w:ascii="Times New Roman" w:hAnsi="Times New Roman"/>
          <w:sz w:val="21"/>
          <w:szCs w:val="21"/>
        </w:rPr>
      </w:pPr>
      <w:r w:rsidRPr="0063248C">
        <w:rPr>
          <w:rFonts w:ascii="Times New Roman" w:hAnsi="Times New Roman" w:hint="eastAsia"/>
          <w:sz w:val="18"/>
          <w:szCs w:val="18"/>
        </w:rPr>
        <w:t>合并方为企业合并发生的审计、法律服务、评估咨询等中介费用以及其他相关管理费用，于发生时计入当期损益。</w:t>
      </w:r>
    </w:p>
    <w:p w14:paraId="7B81AE50" w14:textId="77777777" w:rsidR="00517D34" w:rsidRPr="0063248C" w:rsidRDefault="00000000" w:rsidP="00B84D72">
      <w:pPr>
        <w:pStyle w:val="a3"/>
        <w:spacing w:before="0" w:beforeAutospacing="0" w:after="0" w:afterAutospacing="0" w:line="273" w:lineRule="auto"/>
        <w:ind w:firstLine="360"/>
        <w:jc w:val="both"/>
        <w:divId w:val="22219852"/>
        <w:rPr>
          <w:rFonts w:ascii="Times New Roman" w:hAnsi="Times New Roman"/>
          <w:sz w:val="21"/>
          <w:szCs w:val="21"/>
        </w:rPr>
      </w:pPr>
      <w:r w:rsidRPr="0063248C">
        <w:rPr>
          <w:rFonts w:ascii="Times New Roman" w:hAnsi="Times New Roman" w:hint="eastAsia"/>
          <w:sz w:val="18"/>
          <w:szCs w:val="18"/>
        </w:rPr>
        <w:t>非同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下企业合并</w:t>
      </w:r>
    </w:p>
    <w:p w14:paraId="39091C56" w14:textId="77777777" w:rsidR="00517D34" w:rsidRPr="0063248C" w:rsidRDefault="00000000" w:rsidP="00B84D72">
      <w:pPr>
        <w:pStyle w:val="a3"/>
        <w:spacing w:before="0" w:beforeAutospacing="0" w:after="0" w:afterAutospacing="0" w:line="273" w:lineRule="auto"/>
        <w:ind w:firstLine="360"/>
        <w:jc w:val="both"/>
        <w:divId w:val="22219852"/>
        <w:rPr>
          <w:rFonts w:ascii="Times New Roman" w:hAnsi="Times New Roman"/>
          <w:sz w:val="21"/>
          <w:szCs w:val="21"/>
        </w:rPr>
      </w:pPr>
      <w:r w:rsidRPr="0063248C">
        <w:rPr>
          <w:rFonts w:ascii="Times New Roman" w:hAnsi="Times New Roman" w:hint="eastAsia"/>
          <w:sz w:val="18"/>
          <w:szCs w:val="18"/>
        </w:rPr>
        <w:t>参与合并的企业在合并前后不受同一方或相同的多方最终控制的，为非同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下的企业合并。非同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下的企业合并，在购买</w:t>
      </w:r>
      <w:proofErr w:type="gramStart"/>
      <w:r w:rsidRPr="0063248C">
        <w:rPr>
          <w:rFonts w:ascii="Times New Roman" w:hAnsi="Times New Roman" w:hint="eastAsia"/>
          <w:sz w:val="18"/>
          <w:szCs w:val="18"/>
        </w:rPr>
        <w:t>日取得</w:t>
      </w:r>
      <w:proofErr w:type="gramEnd"/>
      <w:r w:rsidRPr="0063248C">
        <w:rPr>
          <w:rFonts w:ascii="Times New Roman" w:hAnsi="Times New Roman" w:hint="eastAsia"/>
          <w:sz w:val="18"/>
          <w:szCs w:val="18"/>
        </w:rPr>
        <w:t>对其他参与合并企业控制权的一方为购买方，参与合并的其他企业为被购买方。购买日，是指为购买方实际取得对被购买方控制权的日期。</w:t>
      </w:r>
    </w:p>
    <w:p w14:paraId="2D90F106" w14:textId="77777777" w:rsidR="00517D34" w:rsidRPr="0063248C" w:rsidRDefault="00000000" w:rsidP="00B84D72">
      <w:pPr>
        <w:pStyle w:val="a3"/>
        <w:spacing w:before="0" w:beforeAutospacing="0" w:after="0" w:afterAutospacing="0" w:line="273" w:lineRule="auto"/>
        <w:ind w:firstLine="360"/>
        <w:jc w:val="both"/>
        <w:divId w:val="22219852"/>
        <w:rPr>
          <w:rFonts w:ascii="Times New Roman" w:hAnsi="Times New Roman"/>
          <w:sz w:val="21"/>
          <w:szCs w:val="21"/>
        </w:rPr>
      </w:pPr>
      <w:r w:rsidRPr="0063248C">
        <w:rPr>
          <w:rFonts w:ascii="Times New Roman" w:hAnsi="Times New Roman" w:hint="eastAsia"/>
          <w:sz w:val="18"/>
          <w:szCs w:val="18"/>
        </w:rPr>
        <w:t>对于非同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下的企业合并，合并成本包含购买</w:t>
      </w:r>
      <w:proofErr w:type="gramStart"/>
      <w:r w:rsidRPr="0063248C">
        <w:rPr>
          <w:rFonts w:ascii="Times New Roman" w:hAnsi="Times New Roman" w:hint="eastAsia"/>
          <w:sz w:val="18"/>
          <w:szCs w:val="18"/>
        </w:rPr>
        <w:t>日购买</w:t>
      </w:r>
      <w:proofErr w:type="gramEnd"/>
      <w:r w:rsidRPr="0063248C">
        <w:rPr>
          <w:rFonts w:ascii="Times New Roman" w:hAnsi="Times New Roman" w:hint="eastAsia"/>
          <w:sz w:val="18"/>
          <w:szCs w:val="18"/>
        </w:rPr>
        <w:t>方为取得对被购买方的控制权而付出的资产、发生或承担的负债以及发行的权益</w:t>
      </w:r>
      <w:proofErr w:type="gramStart"/>
      <w:r w:rsidRPr="0063248C">
        <w:rPr>
          <w:rFonts w:ascii="Times New Roman" w:hAnsi="Times New Roman" w:hint="eastAsia"/>
          <w:sz w:val="18"/>
          <w:szCs w:val="18"/>
        </w:rPr>
        <w:t>性证券</w:t>
      </w:r>
      <w:proofErr w:type="gramEnd"/>
      <w:r w:rsidRPr="0063248C">
        <w:rPr>
          <w:rFonts w:ascii="Times New Roman" w:hAnsi="Times New Roman" w:hint="eastAsia"/>
          <w:sz w:val="18"/>
          <w:szCs w:val="18"/>
        </w:rPr>
        <w:t>的公允价值，为企业合并发生的审计、法律服务、评估咨询等中介费用以及其他管理费用于发生时计入当期损益。购买方作为合并对价发行的权益</w:t>
      </w:r>
      <w:proofErr w:type="gramStart"/>
      <w:r w:rsidRPr="0063248C">
        <w:rPr>
          <w:rFonts w:ascii="Times New Roman" w:hAnsi="Times New Roman" w:hint="eastAsia"/>
          <w:sz w:val="18"/>
          <w:szCs w:val="18"/>
        </w:rPr>
        <w:t>性证券</w:t>
      </w:r>
      <w:proofErr w:type="gramEnd"/>
      <w:r w:rsidRPr="0063248C">
        <w:rPr>
          <w:rFonts w:ascii="Times New Roman" w:hAnsi="Times New Roman" w:hint="eastAsia"/>
          <w:sz w:val="18"/>
          <w:szCs w:val="18"/>
        </w:rPr>
        <w:t>或债务</w:t>
      </w:r>
      <w:proofErr w:type="gramStart"/>
      <w:r w:rsidRPr="0063248C">
        <w:rPr>
          <w:rFonts w:ascii="Times New Roman" w:hAnsi="Times New Roman" w:hint="eastAsia"/>
          <w:sz w:val="18"/>
          <w:szCs w:val="18"/>
        </w:rPr>
        <w:t>性证券</w:t>
      </w:r>
      <w:proofErr w:type="gramEnd"/>
      <w:r w:rsidRPr="0063248C">
        <w:rPr>
          <w:rFonts w:ascii="Times New Roman" w:hAnsi="Times New Roman" w:hint="eastAsia"/>
          <w:sz w:val="18"/>
          <w:szCs w:val="18"/>
        </w:rPr>
        <w:t>的交易费用，计入权益</w:t>
      </w:r>
      <w:proofErr w:type="gramStart"/>
      <w:r w:rsidRPr="0063248C">
        <w:rPr>
          <w:rFonts w:ascii="Times New Roman" w:hAnsi="Times New Roman" w:hint="eastAsia"/>
          <w:sz w:val="18"/>
          <w:szCs w:val="18"/>
        </w:rPr>
        <w:t>性证券</w:t>
      </w:r>
      <w:proofErr w:type="gramEnd"/>
      <w:r w:rsidRPr="0063248C">
        <w:rPr>
          <w:rFonts w:ascii="Times New Roman" w:hAnsi="Times New Roman" w:hint="eastAsia"/>
          <w:sz w:val="18"/>
          <w:szCs w:val="18"/>
        </w:rPr>
        <w:t>或债务</w:t>
      </w:r>
      <w:proofErr w:type="gramStart"/>
      <w:r w:rsidRPr="0063248C">
        <w:rPr>
          <w:rFonts w:ascii="Times New Roman" w:hAnsi="Times New Roman" w:hint="eastAsia"/>
          <w:sz w:val="18"/>
          <w:szCs w:val="18"/>
        </w:rPr>
        <w:t>性证</w:t>
      </w:r>
      <w:r w:rsidRPr="0063248C">
        <w:rPr>
          <w:rFonts w:ascii="Times New Roman" w:hAnsi="Times New Roman" w:hint="eastAsia"/>
          <w:sz w:val="18"/>
          <w:szCs w:val="18"/>
        </w:rPr>
        <w:lastRenderedPageBreak/>
        <w:t>券</w:t>
      </w:r>
      <w:proofErr w:type="gramEnd"/>
      <w:r w:rsidRPr="0063248C">
        <w:rPr>
          <w:rFonts w:ascii="Times New Roman" w:hAnsi="Times New Roman" w:hint="eastAsia"/>
          <w:sz w:val="18"/>
          <w:szCs w:val="18"/>
        </w:rPr>
        <w:t>的初始确认金额。所涉及的或有对价按其在购买日的公允价值计入合并成本，购买日后</w:t>
      </w:r>
      <w:r w:rsidRPr="0063248C">
        <w:rPr>
          <w:rFonts w:ascii="Times New Roman" w:hAnsi="Times New Roman" w:cs="Times New Roman"/>
          <w:sz w:val="18"/>
          <w:szCs w:val="18"/>
        </w:rPr>
        <w:t>12</w:t>
      </w:r>
      <w:r w:rsidRPr="0063248C">
        <w:rPr>
          <w:rFonts w:ascii="Times New Roman" w:hAnsi="Times New Roman" w:hint="eastAsia"/>
          <w:sz w:val="18"/>
          <w:szCs w:val="18"/>
        </w:rPr>
        <w:t>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w:t>
      </w:r>
      <w:proofErr w:type="gramStart"/>
      <w:r w:rsidRPr="0063248C">
        <w:rPr>
          <w:rFonts w:ascii="Times New Roman" w:hAnsi="Times New Roman" w:hint="eastAsia"/>
          <w:sz w:val="18"/>
          <w:szCs w:val="18"/>
        </w:rPr>
        <w:t>方各项</w:t>
      </w:r>
      <w:proofErr w:type="gramEnd"/>
      <w:r w:rsidRPr="0063248C">
        <w:rPr>
          <w:rFonts w:ascii="Times New Roman" w:hAnsi="Times New Roman" w:hint="eastAsia"/>
          <w:sz w:val="18"/>
          <w:szCs w:val="18"/>
        </w:rPr>
        <w:t>可辨认资产、负债及或有负债的公允价值以及合并成本的计量进行复核，复核后合并成本仍小于合并中取得的被购买方可辨认净资产公允价值份额的，其差额计入当期损益。</w:t>
      </w:r>
    </w:p>
    <w:p w14:paraId="2C7B4E98" w14:textId="77777777" w:rsidR="00517D34" w:rsidRPr="0063248C" w:rsidRDefault="00000000" w:rsidP="00B84D72">
      <w:pPr>
        <w:pStyle w:val="a3"/>
        <w:spacing w:before="0" w:beforeAutospacing="0" w:after="0" w:afterAutospacing="0" w:line="273" w:lineRule="auto"/>
        <w:ind w:firstLine="360"/>
        <w:jc w:val="both"/>
        <w:divId w:val="22219852"/>
        <w:rPr>
          <w:rFonts w:ascii="Times New Roman" w:hAnsi="Times New Roman"/>
          <w:sz w:val="21"/>
          <w:szCs w:val="21"/>
        </w:rPr>
      </w:pPr>
      <w:r w:rsidRPr="0063248C">
        <w:rPr>
          <w:rFonts w:ascii="Times New Roman" w:hAnsi="Times New Roman" w:hint="eastAsia"/>
          <w:sz w:val="18"/>
          <w:szCs w:val="18"/>
        </w:rPr>
        <w:t>购买方取得被购买方的可抵扣暂时性差异，在购买日因不符合递延所得税资产确认条件而未予确认的，在购买日后</w:t>
      </w:r>
      <w:r w:rsidRPr="0063248C">
        <w:rPr>
          <w:rFonts w:ascii="Times New Roman" w:hAnsi="Times New Roman" w:cs="Times New Roman"/>
          <w:sz w:val="18"/>
          <w:szCs w:val="18"/>
        </w:rPr>
        <w:t>12</w:t>
      </w:r>
      <w:r w:rsidRPr="0063248C">
        <w:rPr>
          <w:rFonts w:ascii="Times New Roman" w:hAnsi="Times New Roman" w:hint="eastAsia"/>
          <w:sz w:val="18"/>
          <w:szCs w:val="18"/>
        </w:rPr>
        <w:t>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14:paraId="1182E7C7" w14:textId="77777777" w:rsidR="00517D34" w:rsidRPr="0063248C" w:rsidRDefault="00000000" w:rsidP="00B84D72">
      <w:pPr>
        <w:pStyle w:val="a3"/>
        <w:spacing w:before="0" w:beforeAutospacing="0" w:after="0" w:afterAutospacing="0" w:line="273" w:lineRule="auto"/>
        <w:ind w:firstLine="360"/>
        <w:jc w:val="both"/>
        <w:divId w:val="22219852"/>
        <w:rPr>
          <w:rFonts w:ascii="Times New Roman" w:hAnsi="Times New Roman"/>
          <w:sz w:val="21"/>
          <w:szCs w:val="21"/>
        </w:rPr>
      </w:pPr>
      <w:r w:rsidRPr="0063248C">
        <w:rPr>
          <w:rFonts w:ascii="Times New Roman" w:hAnsi="Times New Roman" w:hint="eastAsia"/>
          <w:sz w:val="18"/>
          <w:szCs w:val="18"/>
        </w:rPr>
        <w:t>通过多次交易分步实现的非同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下企业合并，根据《财政部关于印发企业会计准则解释第</w:t>
      </w:r>
      <w:r w:rsidRPr="0063248C">
        <w:rPr>
          <w:rFonts w:ascii="Times New Roman" w:hAnsi="Times New Roman" w:cs="Times New Roman"/>
          <w:sz w:val="18"/>
          <w:szCs w:val="18"/>
        </w:rPr>
        <w:t>5</w:t>
      </w:r>
      <w:r w:rsidRPr="0063248C">
        <w:rPr>
          <w:rFonts w:ascii="Times New Roman" w:hAnsi="Times New Roman" w:hint="eastAsia"/>
          <w:sz w:val="18"/>
          <w:szCs w:val="18"/>
        </w:rPr>
        <w:t>号的通知》（财会</w:t>
      </w:r>
      <w:r w:rsidRPr="0063248C">
        <w:rPr>
          <w:rFonts w:ascii="Times New Roman" w:hAnsi="Times New Roman" w:cs="Times New Roman"/>
          <w:sz w:val="18"/>
          <w:szCs w:val="18"/>
        </w:rPr>
        <w:t>[2012]19</w:t>
      </w:r>
      <w:r w:rsidRPr="0063248C">
        <w:rPr>
          <w:rFonts w:ascii="Times New Roman" w:hAnsi="Times New Roman" w:hint="eastAsia"/>
          <w:sz w:val="18"/>
          <w:szCs w:val="18"/>
        </w:rPr>
        <w:t>号）和《企业会计准则第</w:t>
      </w:r>
      <w:r w:rsidRPr="0063248C">
        <w:rPr>
          <w:rFonts w:ascii="Times New Roman" w:hAnsi="Times New Roman" w:cs="Times New Roman"/>
          <w:sz w:val="18"/>
          <w:szCs w:val="18"/>
        </w:rPr>
        <w:t>33</w:t>
      </w:r>
      <w:r w:rsidRPr="0063248C">
        <w:rPr>
          <w:rFonts w:ascii="Times New Roman" w:hAnsi="Times New Roman" w:hint="eastAsia"/>
          <w:sz w:val="18"/>
          <w:szCs w:val="18"/>
        </w:rPr>
        <w:t>号——合并财务报表》第五十一条关于“一揽子交易”的判断标准（参见本附注五、</w:t>
      </w:r>
      <w:r w:rsidRPr="0063248C">
        <w:rPr>
          <w:rFonts w:ascii="Times New Roman" w:hAnsi="Times New Roman" w:cs="Times New Roman"/>
          <w:sz w:val="18"/>
          <w:szCs w:val="18"/>
        </w:rPr>
        <w:t>7</w:t>
      </w:r>
      <w:r w:rsidRPr="0063248C">
        <w:rPr>
          <w:rFonts w:ascii="Times New Roman" w:hAnsi="Times New Roman" w:hint="eastAsia"/>
          <w:sz w:val="18"/>
          <w:szCs w:val="18"/>
        </w:rPr>
        <w:t>“控制的判断标准和合并财务报表的编制方法”（</w:t>
      </w:r>
      <w:r w:rsidRPr="0063248C">
        <w:rPr>
          <w:rFonts w:ascii="Times New Roman" w:hAnsi="Times New Roman" w:cs="Times New Roman"/>
          <w:sz w:val="18"/>
          <w:szCs w:val="18"/>
        </w:rPr>
        <w:t>2</w:t>
      </w:r>
      <w:r w:rsidRPr="0063248C">
        <w:rPr>
          <w:rFonts w:ascii="Times New Roman" w:hAnsi="Times New Roman" w:hint="eastAsia"/>
          <w:sz w:val="18"/>
          <w:szCs w:val="18"/>
        </w:rPr>
        <w:t>）），判断</w:t>
      </w:r>
      <w:proofErr w:type="gramStart"/>
      <w:r w:rsidRPr="0063248C">
        <w:rPr>
          <w:rFonts w:ascii="Times New Roman" w:hAnsi="Times New Roman" w:hint="eastAsia"/>
          <w:sz w:val="18"/>
          <w:szCs w:val="18"/>
        </w:rPr>
        <w:t>该多次</w:t>
      </w:r>
      <w:proofErr w:type="gramEnd"/>
      <w:r w:rsidRPr="0063248C">
        <w:rPr>
          <w:rFonts w:ascii="Times New Roman" w:hAnsi="Times New Roman" w:hint="eastAsia"/>
          <w:sz w:val="18"/>
          <w:szCs w:val="18"/>
        </w:rPr>
        <w:t>交易是否属于“一揽子交易”。属于“一揽子交易”的，参考本部分前面各段描述及本附注五、</w:t>
      </w:r>
      <w:r w:rsidRPr="0063248C">
        <w:rPr>
          <w:rFonts w:ascii="Times New Roman" w:hAnsi="Times New Roman" w:cs="Times New Roman"/>
          <w:sz w:val="18"/>
          <w:szCs w:val="18"/>
        </w:rPr>
        <w:t>22</w:t>
      </w:r>
      <w:r w:rsidRPr="0063248C">
        <w:rPr>
          <w:rFonts w:ascii="Times New Roman" w:hAnsi="Times New Roman" w:hint="eastAsia"/>
          <w:sz w:val="18"/>
          <w:szCs w:val="18"/>
        </w:rPr>
        <w:t>“长期股权投资”进行会计处理；不属于“一揽子交易”的，区分个别财务报表和合并财务报表进行相关会计处理：</w:t>
      </w:r>
    </w:p>
    <w:p w14:paraId="66026680" w14:textId="77777777" w:rsidR="00517D34" w:rsidRPr="0063248C" w:rsidRDefault="00000000" w:rsidP="00B84D72">
      <w:pPr>
        <w:pStyle w:val="a3"/>
        <w:spacing w:before="0" w:beforeAutospacing="0" w:after="0" w:afterAutospacing="0" w:line="273" w:lineRule="auto"/>
        <w:ind w:firstLine="360"/>
        <w:jc w:val="both"/>
        <w:divId w:val="22219852"/>
        <w:rPr>
          <w:rFonts w:ascii="Times New Roman" w:hAnsi="Times New Roman"/>
          <w:sz w:val="21"/>
          <w:szCs w:val="21"/>
        </w:rPr>
      </w:pPr>
      <w:r w:rsidRPr="0063248C">
        <w:rPr>
          <w:rFonts w:ascii="Times New Roman" w:hAnsi="Times New Roman" w:hint="eastAsia"/>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w:t>
      </w:r>
    </w:p>
    <w:p w14:paraId="052338F6" w14:textId="77777777" w:rsidR="00517D34" w:rsidRPr="0063248C" w:rsidRDefault="00000000" w:rsidP="00B84D72">
      <w:pPr>
        <w:pStyle w:val="a3"/>
        <w:spacing w:before="0" w:beforeAutospacing="0" w:after="0" w:afterAutospacing="0" w:line="273" w:lineRule="auto"/>
        <w:ind w:firstLine="360"/>
        <w:jc w:val="both"/>
        <w:divId w:val="22219852"/>
        <w:rPr>
          <w:rFonts w:ascii="Times New Roman" w:hAnsi="Times New Roman"/>
          <w:sz w:val="21"/>
          <w:szCs w:val="21"/>
        </w:rPr>
      </w:pPr>
      <w:r w:rsidRPr="0063248C">
        <w:rPr>
          <w:rFonts w:ascii="Times New Roman" w:hAnsi="Times New Roman" w:hint="eastAsia"/>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w:t>
      </w:r>
    </w:p>
    <w:p w14:paraId="334CDD88" w14:textId="77777777" w:rsidR="007B3DB2" w:rsidRPr="0063248C" w:rsidRDefault="00000000">
      <w:pPr>
        <w:pStyle w:val="3"/>
        <w:spacing w:line="280" w:lineRule="exact"/>
        <w:jc w:val="left"/>
        <w:rPr>
          <w:rFonts w:cs="宋体"/>
          <w:b/>
          <w:bCs/>
        </w:rPr>
      </w:pPr>
      <w:bookmarkStart w:id="123" w:name="_Toc989012"/>
      <w:r w:rsidRPr="0063248C">
        <w:rPr>
          <w:rFonts w:cs="宋体"/>
          <w:b/>
          <w:bCs/>
        </w:rPr>
        <w:t>7</w:t>
      </w:r>
      <w:r w:rsidRPr="0063248C">
        <w:rPr>
          <w:rFonts w:cs="宋体"/>
          <w:b/>
          <w:bCs/>
        </w:rPr>
        <w:t>、控制的判断标准和合并财务报表的编制方法</w:t>
      </w:r>
      <w:bookmarkEnd w:id="123"/>
    </w:p>
    <w:p w14:paraId="26DB6BAC" w14:textId="77777777" w:rsidR="00517D34" w:rsidRPr="0063248C" w:rsidRDefault="00000000" w:rsidP="00B84D72">
      <w:pPr>
        <w:pStyle w:val="a3"/>
        <w:spacing w:before="0" w:beforeAutospacing="0" w:after="0" w:afterAutospacing="0" w:line="273" w:lineRule="auto"/>
        <w:ind w:firstLine="360"/>
        <w:jc w:val="both"/>
        <w:divId w:val="1038047420"/>
        <w:rPr>
          <w:rFonts w:ascii="Times New Roman" w:hAnsi="Times New Roman"/>
          <w:sz w:val="21"/>
          <w:szCs w:val="21"/>
        </w:rPr>
      </w:pPr>
      <w:r w:rsidRPr="0063248C">
        <w:rPr>
          <w:rFonts w:ascii="Times New Roman" w:hAnsi="Times New Roman" w:hint="eastAsia"/>
          <w:sz w:val="18"/>
          <w:szCs w:val="18"/>
        </w:rPr>
        <w:t>合并财务报表范围的确定原则</w:t>
      </w:r>
    </w:p>
    <w:p w14:paraId="4ABE60FA" w14:textId="77777777" w:rsidR="00517D34" w:rsidRPr="0063248C" w:rsidRDefault="00000000" w:rsidP="00B84D72">
      <w:pPr>
        <w:pStyle w:val="a3"/>
        <w:spacing w:before="0" w:beforeAutospacing="0" w:after="0" w:afterAutospacing="0" w:line="273" w:lineRule="auto"/>
        <w:ind w:firstLine="360"/>
        <w:jc w:val="both"/>
        <w:divId w:val="1038047420"/>
        <w:rPr>
          <w:rFonts w:ascii="Times New Roman" w:hAnsi="Times New Roman"/>
          <w:sz w:val="21"/>
          <w:szCs w:val="21"/>
        </w:rPr>
      </w:pPr>
      <w:r w:rsidRPr="0063248C">
        <w:rPr>
          <w:rFonts w:ascii="Times New Roman" w:hAnsi="Times New Roman" w:hint="eastAsia"/>
          <w:sz w:val="18"/>
          <w:szCs w:val="18"/>
        </w:rPr>
        <w:t>合并财务报表的合并范围以控制为基础予以确定。控制是指本集团拥有对被投资方的权力，通过参与被投资方的相关活动而享有可变回报，并且有能力运用对被投资方的权力影响该回报金额。合并范围包括本公司及全部子公司。子公司，是指被本集团控制的主体。</w:t>
      </w:r>
    </w:p>
    <w:p w14:paraId="049B3935" w14:textId="77777777" w:rsidR="00517D34" w:rsidRPr="0063248C" w:rsidRDefault="00000000" w:rsidP="00B84D72">
      <w:pPr>
        <w:pStyle w:val="a3"/>
        <w:spacing w:before="0" w:beforeAutospacing="0" w:after="0" w:afterAutospacing="0" w:line="273" w:lineRule="auto"/>
        <w:ind w:firstLine="360"/>
        <w:jc w:val="both"/>
        <w:divId w:val="1038047420"/>
        <w:rPr>
          <w:rFonts w:ascii="Times New Roman" w:hAnsi="Times New Roman"/>
          <w:sz w:val="21"/>
          <w:szCs w:val="21"/>
        </w:rPr>
      </w:pPr>
      <w:r w:rsidRPr="0063248C">
        <w:rPr>
          <w:rFonts w:ascii="Times New Roman" w:hAnsi="Times New Roman" w:hint="eastAsia"/>
          <w:sz w:val="18"/>
          <w:szCs w:val="18"/>
        </w:rPr>
        <w:t>一旦相关事实和情况的变化导致上述控制定义涉及的相关要素发生了变化，本集团将进行重新评估。</w:t>
      </w:r>
    </w:p>
    <w:p w14:paraId="51EE4653" w14:textId="77777777" w:rsidR="00517D34" w:rsidRPr="0063248C" w:rsidRDefault="00000000" w:rsidP="00B84D72">
      <w:pPr>
        <w:pStyle w:val="a3"/>
        <w:spacing w:before="0" w:beforeAutospacing="0" w:after="0" w:afterAutospacing="0" w:line="273" w:lineRule="auto"/>
        <w:ind w:firstLine="360"/>
        <w:jc w:val="both"/>
        <w:divId w:val="1038047420"/>
        <w:rPr>
          <w:rFonts w:ascii="Times New Roman" w:hAnsi="Times New Roman"/>
          <w:sz w:val="21"/>
          <w:szCs w:val="21"/>
        </w:rPr>
      </w:pPr>
      <w:r w:rsidRPr="0063248C">
        <w:rPr>
          <w:rFonts w:ascii="Times New Roman" w:hAnsi="Times New Roman" w:hint="eastAsia"/>
          <w:sz w:val="18"/>
          <w:szCs w:val="18"/>
        </w:rPr>
        <w:t>合并财务报表编制的方法</w:t>
      </w:r>
    </w:p>
    <w:p w14:paraId="3D0CAE1A" w14:textId="77777777" w:rsidR="00517D34" w:rsidRPr="0063248C" w:rsidRDefault="00000000" w:rsidP="00B84D72">
      <w:pPr>
        <w:pStyle w:val="a3"/>
        <w:spacing w:before="0" w:beforeAutospacing="0" w:after="0" w:afterAutospacing="0" w:line="273" w:lineRule="auto"/>
        <w:ind w:firstLine="360"/>
        <w:jc w:val="both"/>
        <w:divId w:val="1038047420"/>
        <w:rPr>
          <w:rFonts w:ascii="Times New Roman" w:hAnsi="Times New Roman"/>
          <w:sz w:val="21"/>
          <w:szCs w:val="21"/>
        </w:rPr>
      </w:pPr>
      <w:r w:rsidRPr="0063248C">
        <w:rPr>
          <w:rFonts w:ascii="Times New Roman" w:hAnsi="Times New Roman" w:hint="eastAsia"/>
          <w:sz w:val="18"/>
          <w:szCs w:val="18"/>
        </w:rPr>
        <w:t>从取得子公司的净资产和生产经营决策的实际控制权之日起，本集团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下企业合并增加的子公司，其购买日后的经营成果及现金流量已经适当地包括在合并利润表和合并现金流量表中，且不调整合并财务报表的期初数和对比数。同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下企业合并增加的子公司及吸收合并下的被合并方，其自合并当期期初至</w:t>
      </w:r>
      <w:proofErr w:type="gramStart"/>
      <w:r w:rsidRPr="0063248C">
        <w:rPr>
          <w:rFonts w:ascii="Times New Roman" w:hAnsi="Times New Roman" w:hint="eastAsia"/>
          <w:sz w:val="18"/>
          <w:szCs w:val="18"/>
        </w:rPr>
        <w:t>合并日</w:t>
      </w:r>
      <w:proofErr w:type="gramEnd"/>
      <w:r w:rsidRPr="0063248C">
        <w:rPr>
          <w:rFonts w:ascii="Times New Roman" w:hAnsi="Times New Roman" w:hint="eastAsia"/>
          <w:sz w:val="18"/>
          <w:szCs w:val="18"/>
        </w:rPr>
        <w:t>的经营成果和现金流量已经适当地包括在合并利润表和合并现金流量表中，并且同时调整合并财务报表的对比数。</w:t>
      </w:r>
    </w:p>
    <w:p w14:paraId="2A7FEE05" w14:textId="77777777" w:rsidR="00517D34" w:rsidRPr="0063248C" w:rsidRDefault="00000000" w:rsidP="00B84D72">
      <w:pPr>
        <w:pStyle w:val="a3"/>
        <w:spacing w:before="0" w:beforeAutospacing="0" w:after="0" w:afterAutospacing="0" w:line="273" w:lineRule="auto"/>
        <w:ind w:firstLine="360"/>
        <w:jc w:val="both"/>
        <w:divId w:val="1038047420"/>
        <w:rPr>
          <w:rFonts w:ascii="Times New Roman" w:hAnsi="Times New Roman"/>
          <w:sz w:val="21"/>
          <w:szCs w:val="21"/>
        </w:rPr>
      </w:pPr>
      <w:r w:rsidRPr="0063248C">
        <w:rPr>
          <w:rFonts w:ascii="Times New Roman" w:hAnsi="Times New Roman" w:hint="eastAsia"/>
          <w:sz w:val="18"/>
          <w:szCs w:val="18"/>
        </w:rPr>
        <w:t>在编制合并财务报表时，子公司与本公司采用的会计政策或会计期间不一致的，按照本公司的会计政策和会计期间对子公司财务报表进行必要的调整。对于非同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下企业合并取得的子公司，以购买日可辨认净资产公允价值为基础对其财务报表进行调整。</w:t>
      </w:r>
    </w:p>
    <w:p w14:paraId="08DAEFBD" w14:textId="77777777" w:rsidR="00517D34" w:rsidRPr="0063248C" w:rsidRDefault="00000000" w:rsidP="00B84D72">
      <w:pPr>
        <w:pStyle w:val="a3"/>
        <w:spacing w:before="0" w:beforeAutospacing="0" w:after="0" w:afterAutospacing="0" w:line="273" w:lineRule="auto"/>
        <w:ind w:firstLine="360"/>
        <w:jc w:val="both"/>
        <w:divId w:val="1038047420"/>
        <w:rPr>
          <w:rFonts w:ascii="Times New Roman" w:hAnsi="Times New Roman"/>
          <w:sz w:val="21"/>
          <w:szCs w:val="21"/>
        </w:rPr>
      </w:pPr>
      <w:r w:rsidRPr="0063248C">
        <w:rPr>
          <w:rFonts w:ascii="Times New Roman" w:hAnsi="Times New Roman" w:hint="eastAsia"/>
          <w:sz w:val="18"/>
          <w:szCs w:val="18"/>
        </w:rPr>
        <w:t>集团内所有重大往来余额、交易及未实现利润在合并财务报表编制时予以</w:t>
      </w:r>
      <w:proofErr w:type="gramStart"/>
      <w:r w:rsidRPr="0063248C">
        <w:rPr>
          <w:rFonts w:ascii="Times New Roman" w:hAnsi="Times New Roman" w:hint="eastAsia"/>
          <w:sz w:val="18"/>
          <w:szCs w:val="18"/>
        </w:rPr>
        <w:t>抵销</w:t>
      </w:r>
      <w:proofErr w:type="gramEnd"/>
      <w:r w:rsidRPr="0063248C">
        <w:rPr>
          <w:rFonts w:ascii="Times New Roman" w:hAnsi="Times New Roman" w:hint="eastAsia"/>
          <w:sz w:val="18"/>
          <w:szCs w:val="18"/>
        </w:rPr>
        <w:t>。</w:t>
      </w:r>
    </w:p>
    <w:p w14:paraId="522BE8CC" w14:textId="77777777" w:rsidR="00517D34" w:rsidRPr="0063248C" w:rsidRDefault="00000000" w:rsidP="00B84D72">
      <w:pPr>
        <w:pStyle w:val="a3"/>
        <w:spacing w:before="0" w:beforeAutospacing="0" w:after="0" w:afterAutospacing="0" w:line="273" w:lineRule="auto"/>
        <w:ind w:firstLine="360"/>
        <w:jc w:val="both"/>
        <w:divId w:val="1038047420"/>
        <w:rPr>
          <w:rFonts w:ascii="Times New Roman" w:hAnsi="Times New Roman"/>
          <w:sz w:val="21"/>
          <w:szCs w:val="21"/>
        </w:rPr>
      </w:pPr>
      <w:r w:rsidRPr="0063248C">
        <w:rPr>
          <w:rFonts w:ascii="Times New Roman" w:hAnsi="Times New Roman" w:hint="eastAsia"/>
          <w:sz w:val="18"/>
          <w:szCs w:val="18"/>
        </w:rPr>
        <w:lastRenderedPageBreak/>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w:t>
      </w:r>
      <w:proofErr w:type="gramStart"/>
      <w:r w:rsidRPr="0063248C">
        <w:rPr>
          <w:rFonts w:ascii="Times New Roman" w:hAnsi="Times New Roman" w:hint="eastAsia"/>
          <w:sz w:val="18"/>
          <w:szCs w:val="18"/>
        </w:rPr>
        <w:t>冲减少</w:t>
      </w:r>
      <w:proofErr w:type="gramEnd"/>
      <w:r w:rsidRPr="0063248C">
        <w:rPr>
          <w:rFonts w:ascii="Times New Roman" w:hAnsi="Times New Roman" w:hint="eastAsia"/>
          <w:sz w:val="18"/>
          <w:szCs w:val="18"/>
        </w:rPr>
        <w:t>数股东权益。</w:t>
      </w:r>
    </w:p>
    <w:p w14:paraId="798EAA5B" w14:textId="77777777" w:rsidR="00517D34" w:rsidRPr="0063248C" w:rsidRDefault="00000000" w:rsidP="00B84D72">
      <w:pPr>
        <w:pStyle w:val="a3"/>
        <w:spacing w:before="0" w:beforeAutospacing="0" w:after="0" w:afterAutospacing="0" w:line="273" w:lineRule="auto"/>
        <w:ind w:firstLine="360"/>
        <w:jc w:val="both"/>
        <w:divId w:val="1038047420"/>
        <w:rPr>
          <w:rFonts w:ascii="Times New Roman" w:hAnsi="Times New Roman"/>
          <w:sz w:val="21"/>
          <w:szCs w:val="21"/>
        </w:rPr>
      </w:pPr>
      <w:r w:rsidRPr="0063248C">
        <w:rPr>
          <w:rFonts w:ascii="Times New Roman" w:hAnsi="Times New Roman" w:hint="eastAsia"/>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该子公司直接处置相关资产或负债相同的基础进行会计处理。其后，对该部分剩余股权按照《企业会计准则第</w:t>
      </w:r>
      <w:r w:rsidRPr="0063248C">
        <w:rPr>
          <w:rFonts w:ascii="Times New Roman" w:hAnsi="Times New Roman" w:cs="Times New Roman"/>
          <w:sz w:val="18"/>
          <w:szCs w:val="18"/>
        </w:rPr>
        <w:t>2</w:t>
      </w:r>
      <w:r w:rsidRPr="0063248C">
        <w:rPr>
          <w:rFonts w:ascii="Times New Roman" w:hAnsi="Times New Roman" w:hint="eastAsia"/>
          <w:sz w:val="18"/>
          <w:szCs w:val="18"/>
        </w:rPr>
        <w:t>号——长期股权投资》或《企业会计准则第</w:t>
      </w:r>
      <w:r w:rsidRPr="0063248C">
        <w:rPr>
          <w:rFonts w:ascii="Times New Roman" w:hAnsi="Times New Roman" w:cs="Times New Roman"/>
          <w:sz w:val="18"/>
          <w:szCs w:val="18"/>
        </w:rPr>
        <w:t>22</w:t>
      </w:r>
      <w:r w:rsidRPr="0063248C">
        <w:rPr>
          <w:rFonts w:ascii="Times New Roman" w:hAnsi="Times New Roman" w:hint="eastAsia"/>
          <w:sz w:val="18"/>
          <w:szCs w:val="18"/>
        </w:rPr>
        <w:t>号——金融工具确认和计量》等相关规定进行后续计量，详见本附注五、</w:t>
      </w:r>
      <w:r w:rsidRPr="0063248C">
        <w:rPr>
          <w:rFonts w:ascii="Times New Roman" w:hAnsi="Times New Roman" w:cs="Times New Roman"/>
          <w:sz w:val="18"/>
          <w:szCs w:val="18"/>
        </w:rPr>
        <w:t>22</w:t>
      </w:r>
      <w:r w:rsidRPr="0063248C">
        <w:rPr>
          <w:rFonts w:ascii="Times New Roman" w:hAnsi="Times New Roman" w:hint="eastAsia"/>
          <w:sz w:val="18"/>
          <w:szCs w:val="18"/>
        </w:rPr>
        <w:t>“长期股权投资”或本附注五、</w:t>
      </w:r>
      <w:r w:rsidRPr="0063248C">
        <w:rPr>
          <w:rFonts w:ascii="Times New Roman" w:hAnsi="Times New Roman" w:cs="Times New Roman"/>
          <w:sz w:val="18"/>
          <w:szCs w:val="18"/>
        </w:rPr>
        <w:t>11</w:t>
      </w:r>
      <w:r w:rsidRPr="0063248C">
        <w:rPr>
          <w:rFonts w:ascii="Times New Roman" w:hAnsi="Times New Roman" w:hint="eastAsia"/>
          <w:sz w:val="18"/>
          <w:szCs w:val="18"/>
        </w:rPr>
        <w:t>“金融工具”。</w:t>
      </w:r>
    </w:p>
    <w:p w14:paraId="712A5380" w14:textId="77777777" w:rsidR="00517D34" w:rsidRPr="0063248C" w:rsidRDefault="00000000" w:rsidP="00B84D72">
      <w:pPr>
        <w:pStyle w:val="a3"/>
        <w:spacing w:before="0" w:beforeAutospacing="0" w:after="0" w:afterAutospacing="0" w:line="273" w:lineRule="auto"/>
        <w:ind w:firstLine="360"/>
        <w:jc w:val="both"/>
        <w:divId w:val="1038047420"/>
        <w:rPr>
          <w:rFonts w:ascii="Times New Roman" w:hAnsi="Times New Roman"/>
          <w:sz w:val="21"/>
          <w:szCs w:val="21"/>
        </w:rPr>
      </w:pPr>
      <w:r w:rsidRPr="0063248C">
        <w:rPr>
          <w:rFonts w:ascii="Times New Roman" w:hAnsi="Times New Roman" w:cs="Times New Roman"/>
          <w:sz w:val="18"/>
          <w:szCs w:val="18"/>
        </w:rPr>
        <w:t xml:space="preserve">  </w:t>
      </w:r>
      <w:r w:rsidRPr="0063248C">
        <w:rPr>
          <w:rFonts w:ascii="Times New Roman" w:hAnsi="Times New Roman" w:hint="eastAsia"/>
          <w:sz w:val="18"/>
          <w:szCs w:val="18"/>
        </w:rPr>
        <w:t>本集团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不丧失控制权的情况下部分处置对子公司的长期股权投资”（详见本附注五、</w:t>
      </w:r>
      <w:r w:rsidRPr="0063248C">
        <w:rPr>
          <w:rFonts w:ascii="Times New Roman" w:hAnsi="Times New Roman" w:cs="Times New Roman"/>
          <w:sz w:val="18"/>
          <w:szCs w:val="18"/>
        </w:rPr>
        <w:t>22</w:t>
      </w:r>
      <w:r w:rsidRPr="0063248C">
        <w:rPr>
          <w:rFonts w:ascii="Times New Roman" w:hAnsi="Times New Roman" w:hint="eastAsia"/>
          <w:sz w:val="18"/>
          <w:szCs w:val="18"/>
        </w:rPr>
        <w:t>“长期股权投资”（</w:t>
      </w:r>
      <w:r w:rsidRPr="0063248C">
        <w:rPr>
          <w:rFonts w:ascii="Times New Roman" w:hAnsi="Times New Roman" w:cs="Times New Roman"/>
          <w:sz w:val="18"/>
          <w:szCs w:val="18"/>
        </w:rPr>
        <w:t>2</w:t>
      </w:r>
      <w:r w:rsidRPr="0063248C">
        <w:rPr>
          <w:rFonts w:ascii="Times New Roman" w:hAnsi="Times New Roman" w:hint="eastAsia"/>
          <w:sz w:val="18"/>
          <w:szCs w:val="18"/>
        </w:rPr>
        <w:t>）④）和“因处置部分股权投资或其他原因丧失了对原有子公司的控制权”（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14:paraId="7FD24BCF" w14:textId="77777777" w:rsidR="007B3DB2" w:rsidRPr="0063248C" w:rsidRDefault="00000000">
      <w:pPr>
        <w:pStyle w:val="3"/>
        <w:spacing w:line="280" w:lineRule="exact"/>
        <w:jc w:val="left"/>
        <w:rPr>
          <w:rFonts w:cs="宋体"/>
          <w:b/>
          <w:bCs/>
        </w:rPr>
      </w:pPr>
      <w:bookmarkStart w:id="124" w:name="_Toc989013"/>
      <w:r w:rsidRPr="0063248C">
        <w:rPr>
          <w:rFonts w:cs="宋体"/>
          <w:b/>
          <w:bCs/>
        </w:rPr>
        <w:t>8</w:t>
      </w:r>
      <w:r w:rsidRPr="0063248C">
        <w:rPr>
          <w:rFonts w:cs="宋体"/>
          <w:b/>
          <w:bCs/>
        </w:rPr>
        <w:t>、合营安排分类及共同经营会计处理方法</w:t>
      </w:r>
      <w:bookmarkEnd w:id="124"/>
    </w:p>
    <w:p w14:paraId="41B33D35" w14:textId="77777777" w:rsidR="00517D34" w:rsidRPr="0063248C" w:rsidRDefault="00000000" w:rsidP="00B84D72">
      <w:pPr>
        <w:pStyle w:val="a3"/>
        <w:spacing w:before="0" w:beforeAutospacing="0" w:after="0" w:afterAutospacing="0" w:line="273" w:lineRule="auto"/>
        <w:ind w:firstLine="360"/>
        <w:jc w:val="both"/>
        <w:divId w:val="978076878"/>
        <w:rPr>
          <w:rFonts w:ascii="Times New Roman" w:hAnsi="Times New Roman"/>
        </w:rPr>
      </w:pPr>
      <w:r w:rsidRPr="0063248C">
        <w:rPr>
          <w:rFonts w:ascii="Times New Roman" w:hAnsi="Times New Roman" w:hint="eastAsia"/>
          <w:sz w:val="18"/>
          <w:szCs w:val="18"/>
        </w:rPr>
        <w:t>合营安排，是指一项由两个或两个以上的参与方共同控制的安排。本集团根据在合营安排中享有的权利和承担的义务，将合营安排分为共同经营和合营企业。共同经营，是指本集团享有该安排相关资产且承担该安排相关负债的合营安排。合营企业，是指本集团仅对该安排的净资产享有权利的合营安排。</w:t>
      </w:r>
    </w:p>
    <w:p w14:paraId="14400195" w14:textId="77777777" w:rsidR="00517D34" w:rsidRPr="0063248C" w:rsidRDefault="00000000" w:rsidP="00B84D72">
      <w:pPr>
        <w:pStyle w:val="a3"/>
        <w:spacing w:before="0" w:beforeAutospacing="0" w:after="0" w:afterAutospacing="0" w:line="273" w:lineRule="auto"/>
        <w:ind w:firstLine="360"/>
        <w:jc w:val="both"/>
        <w:divId w:val="978076878"/>
        <w:rPr>
          <w:rFonts w:ascii="Times New Roman" w:hAnsi="Times New Roman"/>
        </w:rPr>
      </w:pPr>
      <w:r w:rsidRPr="0063248C">
        <w:rPr>
          <w:rFonts w:ascii="Times New Roman" w:hAnsi="Times New Roman" w:hint="eastAsia"/>
          <w:sz w:val="18"/>
          <w:szCs w:val="18"/>
        </w:rPr>
        <w:t>本集团对合营企业的投资采用权益法核算，按照本附注五、</w:t>
      </w:r>
      <w:r w:rsidRPr="0063248C">
        <w:rPr>
          <w:rFonts w:ascii="Times New Roman" w:hAnsi="Times New Roman" w:cs="Times New Roman"/>
          <w:sz w:val="18"/>
          <w:szCs w:val="18"/>
        </w:rPr>
        <w:t>22</w:t>
      </w:r>
      <w:r w:rsidRPr="0063248C">
        <w:rPr>
          <w:rFonts w:ascii="Times New Roman" w:hAnsi="Times New Roman" w:hint="eastAsia"/>
          <w:sz w:val="18"/>
          <w:szCs w:val="18"/>
        </w:rPr>
        <w:t>“长期股权投资”（</w:t>
      </w:r>
      <w:r w:rsidRPr="0063248C">
        <w:rPr>
          <w:rFonts w:ascii="Times New Roman" w:hAnsi="Times New Roman" w:cs="Times New Roman"/>
          <w:sz w:val="18"/>
          <w:szCs w:val="18"/>
        </w:rPr>
        <w:t>2</w:t>
      </w:r>
      <w:r w:rsidRPr="0063248C">
        <w:rPr>
          <w:rFonts w:ascii="Times New Roman" w:hAnsi="Times New Roman" w:hint="eastAsia"/>
          <w:sz w:val="18"/>
          <w:szCs w:val="18"/>
        </w:rPr>
        <w:t>）②“权益法核算的长期股权投资”中所述的会计政策处理。</w:t>
      </w:r>
    </w:p>
    <w:p w14:paraId="7689771C" w14:textId="77777777" w:rsidR="00517D34" w:rsidRPr="0063248C" w:rsidRDefault="00000000" w:rsidP="00B84D72">
      <w:pPr>
        <w:pStyle w:val="a3"/>
        <w:spacing w:before="0" w:beforeAutospacing="0" w:after="0" w:afterAutospacing="0" w:line="273" w:lineRule="auto"/>
        <w:ind w:firstLine="360"/>
        <w:jc w:val="both"/>
        <w:divId w:val="978076878"/>
        <w:rPr>
          <w:rFonts w:ascii="Times New Roman" w:hAnsi="Times New Roman"/>
        </w:rPr>
      </w:pPr>
      <w:r w:rsidRPr="0063248C">
        <w:rPr>
          <w:rFonts w:ascii="Times New Roman" w:hAnsi="Times New Roman" w:hint="eastAsia"/>
          <w:sz w:val="18"/>
          <w:szCs w:val="18"/>
        </w:rPr>
        <w:t>本集团作为合营方对共同经营，确认本集团单独持有的资产、单独所承担的负债，以及按本集团份额确认共同持有的资产和共同承担的负债；确认出售本集团享有的共同经营产出份额所产生的收入；按本集团份额确认共同经营因出售产出所产生的收入；确认本集团单独所发生的费用，以及按本集团份额确认共同经营发生的费用。</w:t>
      </w:r>
    </w:p>
    <w:p w14:paraId="12AB600A" w14:textId="77777777" w:rsidR="00517D34" w:rsidRPr="0063248C" w:rsidRDefault="00000000" w:rsidP="00B84D72">
      <w:pPr>
        <w:pStyle w:val="a3"/>
        <w:spacing w:before="0" w:beforeAutospacing="0" w:after="0" w:afterAutospacing="0" w:line="273" w:lineRule="auto"/>
        <w:ind w:firstLine="360"/>
        <w:jc w:val="both"/>
        <w:divId w:val="978076878"/>
        <w:rPr>
          <w:rFonts w:ascii="Times New Roman" w:hAnsi="Times New Roman"/>
        </w:rPr>
      </w:pPr>
      <w:r w:rsidRPr="0063248C">
        <w:rPr>
          <w:rFonts w:ascii="Times New Roman" w:hAnsi="Times New Roman" w:hint="eastAsia"/>
          <w:sz w:val="18"/>
          <w:szCs w:val="18"/>
        </w:rPr>
        <w:t>当本集团作为合营方向共同经营投出或出售资产（该资产不构成业务，下同）、或者</w:t>
      </w:r>
      <w:proofErr w:type="gramStart"/>
      <w:r w:rsidRPr="0063248C">
        <w:rPr>
          <w:rFonts w:ascii="Times New Roman" w:hAnsi="Times New Roman" w:hint="eastAsia"/>
          <w:sz w:val="18"/>
          <w:szCs w:val="18"/>
        </w:rPr>
        <w:t>自共同</w:t>
      </w:r>
      <w:proofErr w:type="gramEnd"/>
      <w:r w:rsidRPr="0063248C">
        <w:rPr>
          <w:rFonts w:ascii="Times New Roman" w:hAnsi="Times New Roman" w:hint="eastAsia"/>
          <w:sz w:val="18"/>
          <w:szCs w:val="18"/>
        </w:rPr>
        <w:t>经营购买资产时，在该等资产出售给第三方之前，本集团仅</w:t>
      </w:r>
      <w:proofErr w:type="gramStart"/>
      <w:r w:rsidRPr="0063248C">
        <w:rPr>
          <w:rFonts w:ascii="Times New Roman" w:hAnsi="Times New Roman" w:hint="eastAsia"/>
          <w:sz w:val="18"/>
          <w:szCs w:val="18"/>
        </w:rPr>
        <w:t>确认因</w:t>
      </w:r>
      <w:proofErr w:type="gramEnd"/>
      <w:r w:rsidRPr="0063248C">
        <w:rPr>
          <w:rFonts w:ascii="Times New Roman" w:hAnsi="Times New Roman" w:hint="eastAsia"/>
          <w:sz w:val="18"/>
          <w:szCs w:val="18"/>
        </w:rPr>
        <w:t>该交易产生的损益中归属于共同经营其他参与方的部分。该等资产发生符合《企业会计准则第</w:t>
      </w:r>
      <w:r w:rsidRPr="0063248C">
        <w:rPr>
          <w:rFonts w:ascii="Times New Roman" w:hAnsi="Times New Roman" w:cs="Times New Roman"/>
          <w:sz w:val="18"/>
          <w:szCs w:val="18"/>
        </w:rPr>
        <w:t>8</w:t>
      </w:r>
      <w:r w:rsidRPr="0063248C">
        <w:rPr>
          <w:rFonts w:ascii="Times New Roman" w:hAnsi="Times New Roman" w:hint="eastAsia"/>
          <w:sz w:val="18"/>
          <w:szCs w:val="18"/>
        </w:rPr>
        <w:t>号——资产减值》等规定的资产减值损失的，对于由本集团向共同经营投出或出售资产的情况，本集团全额确认该损失；对于本集团</w:t>
      </w:r>
      <w:proofErr w:type="gramStart"/>
      <w:r w:rsidRPr="0063248C">
        <w:rPr>
          <w:rFonts w:ascii="Times New Roman" w:hAnsi="Times New Roman" w:hint="eastAsia"/>
          <w:sz w:val="18"/>
          <w:szCs w:val="18"/>
        </w:rPr>
        <w:t>自共同</w:t>
      </w:r>
      <w:proofErr w:type="gramEnd"/>
      <w:r w:rsidRPr="0063248C">
        <w:rPr>
          <w:rFonts w:ascii="Times New Roman" w:hAnsi="Times New Roman" w:hint="eastAsia"/>
          <w:sz w:val="18"/>
          <w:szCs w:val="18"/>
        </w:rPr>
        <w:t>经营购买资产的情况，本集团按承担的份额确认该损失。</w:t>
      </w:r>
    </w:p>
    <w:p w14:paraId="539024A4" w14:textId="77777777" w:rsidR="007B3DB2" w:rsidRPr="0063248C" w:rsidRDefault="00000000">
      <w:pPr>
        <w:pStyle w:val="3"/>
        <w:spacing w:line="280" w:lineRule="exact"/>
        <w:jc w:val="left"/>
        <w:rPr>
          <w:rFonts w:cs="宋体"/>
          <w:b/>
          <w:bCs/>
        </w:rPr>
      </w:pPr>
      <w:bookmarkStart w:id="125" w:name="_Toc989014"/>
      <w:r w:rsidRPr="0063248C">
        <w:rPr>
          <w:rFonts w:cs="宋体"/>
          <w:b/>
          <w:bCs/>
        </w:rPr>
        <w:t>9</w:t>
      </w:r>
      <w:r w:rsidRPr="0063248C">
        <w:rPr>
          <w:rFonts w:cs="宋体"/>
          <w:b/>
          <w:bCs/>
        </w:rPr>
        <w:t>、现金及现金等价物的确定标准</w:t>
      </w:r>
      <w:bookmarkEnd w:id="125"/>
    </w:p>
    <w:p w14:paraId="5BDA8C95" w14:textId="77777777" w:rsidR="00517D34" w:rsidRPr="0063248C" w:rsidRDefault="00000000">
      <w:pPr>
        <w:pStyle w:val="a3"/>
        <w:spacing w:before="0" w:beforeAutospacing="0" w:after="0" w:afterAutospacing="0" w:line="273" w:lineRule="auto"/>
        <w:ind w:firstLine="360"/>
        <w:jc w:val="both"/>
        <w:divId w:val="675765270"/>
        <w:rPr>
          <w:rFonts w:ascii="Times New Roman" w:hAnsi="Times New Roman"/>
        </w:rPr>
      </w:pPr>
      <w:r w:rsidRPr="0063248C">
        <w:rPr>
          <w:rFonts w:ascii="Times New Roman" w:hAnsi="Times New Roman" w:hint="eastAsia"/>
          <w:sz w:val="18"/>
          <w:szCs w:val="18"/>
        </w:rPr>
        <w:t>本集团现金及现金等价物包括库存现金、可以随时用于支付的存款以及本集团持有的期限短（一般为从购买日起三个月内到期）、流动性强、易于转换为已知金额现金、价值变动风险很小的投资。</w:t>
      </w:r>
    </w:p>
    <w:p w14:paraId="6A500445" w14:textId="77777777" w:rsidR="007B3DB2" w:rsidRPr="0063248C" w:rsidRDefault="00000000">
      <w:pPr>
        <w:pStyle w:val="3"/>
        <w:spacing w:line="280" w:lineRule="exact"/>
        <w:jc w:val="left"/>
        <w:rPr>
          <w:rFonts w:cs="宋体"/>
          <w:b/>
          <w:bCs/>
        </w:rPr>
      </w:pPr>
      <w:bookmarkStart w:id="126" w:name="_Toc989015"/>
      <w:r w:rsidRPr="0063248C">
        <w:rPr>
          <w:rFonts w:cs="宋体"/>
          <w:b/>
          <w:bCs/>
        </w:rPr>
        <w:lastRenderedPageBreak/>
        <w:t>10</w:t>
      </w:r>
      <w:r w:rsidRPr="0063248C">
        <w:rPr>
          <w:rFonts w:cs="宋体"/>
          <w:b/>
          <w:bCs/>
        </w:rPr>
        <w:t>、外币业务和外币报表折算</w:t>
      </w:r>
      <w:bookmarkEnd w:id="126"/>
    </w:p>
    <w:p w14:paraId="1AC0CA99" w14:textId="77777777" w:rsidR="00517D34" w:rsidRPr="0063248C" w:rsidRDefault="00000000" w:rsidP="00B84D72">
      <w:pPr>
        <w:pStyle w:val="a3"/>
        <w:spacing w:before="0" w:beforeAutospacing="0" w:after="0" w:afterAutospacing="0" w:line="273" w:lineRule="auto"/>
        <w:ind w:firstLine="360"/>
        <w:jc w:val="both"/>
        <w:divId w:val="1271888663"/>
        <w:rPr>
          <w:rFonts w:ascii="Times New Roman" w:hAnsi="Times New Roman"/>
          <w:sz w:val="21"/>
          <w:szCs w:val="21"/>
        </w:rPr>
      </w:pPr>
      <w:r w:rsidRPr="0063248C">
        <w:rPr>
          <w:rFonts w:ascii="Times New Roman" w:hAnsi="Times New Roman" w:hint="eastAsia"/>
          <w:sz w:val="18"/>
          <w:szCs w:val="18"/>
        </w:rPr>
        <w:t>外币交易的折算方法</w:t>
      </w:r>
    </w:p>
    <w:p w14:paraId="712908E6" w14:textId="77777777" w:rsidR="00517D34" w:rsidRPr="0063248C" w:rsidRDefault="00000000" w:rsidP="00B84D72">
      <w:pPr>
        <w:pStyle w:val="a3"/>
        <w:spacing w:before="0" w:beforeAutospacing="0" w:after="0" w:afterAutospacing="0" w:line="273" w:lineRule="auto"/>
        <w:ind w:firstLine="360"/>
        <w:jc w:val="both"/>
        <w:divId w:val="1271888663"/>
        <w:rPr>
          <w:rFonts w:ascii="Times New Roman" w:hAnsi="Times New Roman"/>
          <w:sz w:val="21"/>
          <w:szCs w:val="21"/>
        </w:rPr>
      </w:pPr>
      <w:r w:rsidRPr="0063248C">
        <w:rPr>
          <w:rFonts w:ascii="Times New Roman" w:hAnsi="Times New Roman" w:hint="eastAsia"/>
          <w:sz w:val="18"/>
          <w:szCs w:val="18"/>
        </w:rPr>
        <w:t>本集团发生的外币交易在初始确认时，按交易日的即期汇率（通常指中国人民银行公布的当日外汇牌价的中间价，下同）折算为记账本位币金额，但本集团发生的外币兑换业务或涉及外币兑换的交易事项，按照实际采用的汇率折算为记账本位币金额。</w:t>
      </w:r>
    </w:p>
    <w:p w14:paraId="4E475E08" w14:textId="77777777" w:rsidR="00517D34" w:rsidRPr="0063248C" w:rsidRDefault="00000000" w:rsidP="00B84D72">
      <w:pPr>
        <w:pStyle w:val="a3"/>
        <w:spacing w:before="0" w:beforeAutospacing="0" w:after="0" w:afterAutospacing="0" w:line="273" w:lineRule="auto"/>
        <w:ind w:firstLine="360"/>
        <w:jc w:val="both"/>
        <w:divId w:val="1271888663"/>
        <w:rPr>
          <w:rFonts w:ascii="Times New Roman" w:hAnsi="Times New Roman"/>
          <w:sz w:val="21"/>
          <w:szCs w:val="21"/>
        </w:rPr>
      </w:pPr>
      <w:r w:rsidRPr="0063248C">
        <w:rPr>
          <w:rFonts w:ascii="Times New Roman" w:hAnsi="Times New Roman" w:hint="eastAsia"/>
          <w:sz w:val="18"/>
          <w:szCs w:val="18"/>
        </w:rPr>
        <w:t>对于外币货币性项目和外币非货币性项目的折算方法</w:t>
      </w:r>
    </w:p>
    <w:p w14:paraId="22EF4A20" w14:textId="77777777" w:rsidR="00517D34" w:rsidRPr="0063248C" w:rsidRDefault="00000000" w:rsidP="00B84D72">
      <w:pPr>
        <w:pStyle w:val="a3"/>
        <w:spacing w:before="0" w:beforeAutospacing="0" w:after="0" w:afterAutospacing="0" w:line="273" w:lineRule="auto"/>
        <w:ind w:firstLine="360"/>
        <w:jc w:val="both"/>
        <w:divId w:val="1271888663"/>
        <w:rPr>
          <w:rFonts w:ascii="Times New Roman" w:hAnsi="Times New Roman"/>
          <w:sz w:val="21"/>
          <w:szCs w:val="21"/>
        </w:rPr>
      </w:pPr>
      <w:r w:rsidRPr="0063248C">
        <w:rPr>
          <w:rFonts w:ascii="Times New Roman" w:hAnsi="Times New Roman" w:hint="eastAsia"/>
          <w:sz w:val="18"/>
          <w:szCs w:val="18"/>
        </w:rPr>
        <w:t>资产负债表日，对于外币货币性项目采用资产负债表日即期汇率折算，由此产生的汇兑差额，除：①属于与购建符合资本化条件的资产相关的外币专门借款产生的汇兑差额按照借款费用资本化的原则处理；②分类为以公允价值计量且其变动计入其他综合收益的外币货币性项目，</w:t>
      </w:r>
      <w:proofErr w:type="gramStart"/>
      <w:r w:rsidRPr="0063248C">
        <w:rPr>
          <w:rFonts w:ascii="Times New Roman" w:hAnsi="Times New Roman" w:hint="eastAsia"/>
          <w:sz w:val="18"/>
          <w:szCs w:val="18"/>
        </w:rPr>
        <w:t>除摊余</w:t>
      </w:r>
      <w:proofErr w:type="gramEnd"/>
      <w:r w:rsidRPr="0063248C">
        <w:rPr>
          <w:rFonts w:ascii="Times New Roman" w:hAnsi="Times New Roman" w:hint="eastAsia"/>
          <w:sz w:val="18"/>
          <w:szCs w:val="18"/>
        </w:rPr>
        <w:t>成本（含减值）之外的其他账面余额变动产生的汇兑差额计入其他综合收益之外，均计入当期损益。</w:t>
      </w:r>
    </w:p>
    <w:p w14:paraId="50FB72B5" w14:textId="77777777" w:rsidR="00517D34" w:rsidRPr="0063248C" w:rsidRDefault="00000000" w:rsidP="00B84D72">
      <w:pPr>
        <w:pStyle w:val="a3"/>
        <w:spacing w:before="0" w:beforeAutospacing="0" w:after="0" w:afterAutospacing="0" w:line="273" w:lineRule="auto"/>
        <w:ind w:firstLine="360"/>
        <w:jc w:val="both"/>
        <w:divId w:val="1271888663"/>
        <w:rPr>
          <w:rFonts w:ascii="Times New Roman" w:hAnsi="Times New Roman"/>
          <w:sz w:val="21"/>
          <w:szCs w:val="21"/>
        </w:rPr>
      </w:pPr>
      <w:r w:rsidRPr="0063248C">
        <w:rPr>
          <w:rFonts w:ascii="Times New Roman" w:hAnsi="Times New Roman" w:hint="eastAsia"/>
          <w:sz w:val="18"/>
          <w:szCs w:val="18"/>
        </w:rPr>
        <w:t>以历史成本计量的外币非货币性项目，仍采用交易发生日的即期汇率折算的记账本位</w:t>
      </w:r>
      <w:proofErr w:type="gramStart"/>
      <w:r w:rsidRPr="0063248C">
        <w:rPr>
          <w:rFonts w:ascii="Times New Roman" w:hAnsi="Times New Roman" w:hint="eastAsia"/>
          <w:sz w:val="18"/>
          <w:szCs w:val="18"/>
        </w:rPr>
        <w:t>币金额</w:t>
      </w:r>
      <w:proofErr w:type="gramEnd"/>
      <w:r w:rsidRPr="0063248C">
        <w:rPr>
          <w:rFonts w:ascii="Times New Roman" w:hAnsi="Times New Roman" w:hint="eastAsia"/>
          <w:sz w:val="18"/>
          <w:szCs w:val="18"/>
        </w:rPr>
        <w:t>计量。以公允价值计量的外币非货币性项目，采用公允价值确定日的即期汇率折算，折算后的记账本位</w:t>
      </w:r>
      <w:proofErr w:type="gramStart"/>
      <w:r w:rsidRPr="0063248C">
        <w:rPr>
          <w:rFonts w:ascii="Times New Roman" w:hAnsi="Times New Roman" w:hint="eastAsia"/>
          <w:sz w:val="18"/>
          <w:szCs w:val="18"/>
        </w:rPr>
        <w:t>币金额</w:t>
      </w:r>
      <w:proofErr w:type="gramEnd"/>
      <w:r w:rsidRPr="0063248C">
        <w:rPr>
          <w:rFonts w:ascii="Times New Roman" w:hAnsi="Times New Roman" w:hint="eastAsia"/>
          <w:sz w:val="18"/>
          <w:szCs w:val="18"/>
        </w:rPr>
        <w:t>与原记账本位</w:t>
      </w:r>
      <w:proofErr w:type="gramStart"/>
      <w:r w:rsidRPr="0063248C">
        <w:rPr>
          <w:rFonts w:ascii="Times New Roman" w:hAnsi="Times New Roman" w:hint="eastAsia"/>
          <w:sz w:val="18"/>
          <w:szCs w:val="18"/>
        </w:rPr>
        <w:t>币金额</w:t>
      </w:r>
      <w:proofErr w:type="gramEnd"/>
      <w:r w:rsidRPr="0063248C">
        <w:rPr>
          <w:rFonts w:ascii="Times New Roman" w:hAnsi="Times New Roman" w:hint="eastAsia"/>
          <w:sz w:val="18"/>
          <w:szCs w:val="18"/>
        </w:rPr>
        <w:t>的差额，作为公允价值变动（含汇率变动）处理，计入当期损益或确认为其他综合收益。</w:t>
      </w:r>
    </w:p>
    <w:p w14:paraId="596C75B9" w14:textId="77777777" w:rsidR="00517D34" w:rsidRPr="0063248C" w:rsidRDefault="00000000" w:rsidP="00B84D72">
      <w:pPr>
        <w:pStyle w:val="a3"/>
        <w:spacing w:before="0" w:beforeAutospacing="0" w:after="0" w:afterAutospacing="0" w:line="273" w:lineRule="auto"/>
        <w:ind w:firstLine="360"/>
        <w:jc w:val="both"/>
        <w:divId w:val="1271888663"/>
        <w:rPr>
          <w:rFonts w:ascii="Times New Roman" w:hAnsi="Times New Roman"/>
          <w:sz w:val="21"/>
          <w:szCs w:val="21"/>
        </w:rPr>
      </w:pPr>
      <w:r w:rsidRPr="0063248C">
        <w:rPr>
          <w:rFonts w:ascii="Times New Roman" w:hAnsi="Times New Roman" w:hint="eastAsia"/>
          <w:sz w:val="18"/>
          <w:szCs w:val="18"/>
        </w:rPr>
        <w:t>外币财务报表的折算方法</w:t>
      </w:r>
    </w:p>
    <w:p w14:paraId="30ED3098" w14:textId="77777777" w:rsidR="00517D34" w:rsidRPr="0063248C" w:rsidRDefault="00000000" w:rsidP="00B84D72">
      <w:pPr>
        <w:pStyle w:val="a3"/>
        <w:spacing w:before="0" w:beforeAutospacing="0" w:after="0" w:afterAutospacing="0" w:line="273" w:lineRule="auto"/>
        <w:ind w:firstLine="360"/>
        <w:jc w:val="both"/>
        <w:divId w:val="1271888663"/>
        <w:rPr>
          <w:rFonts w:ascii="Times New Roman" w:hAnsi="Times New Roman"/>
          <w:sz w:val="21"/>
          <w:szCs w:val="21"/>
        </w:rPr>
      </w:pPr>
      <w:r w:rsidRPr="0063248C">
        <w:rPr>
          <w:rFonts w:ascii="Times New Roman" w:hAnsi="Times New Roman" w:hint="eastAsia"/>
          <w:sz w:val="18"/>
          <w:szCs w:val="18"/>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折算。年初未分配利润为上一年折算后的年末未分配利润；期末未分配利润按折算后的利润分配各项</w:t>
      </w:r>
      <w:proofErr w:type="gramStart"/>
      <w:r w:rsidRPr="0063248C">
        <w:rPr>
          <w:rFonts w:ascii="Times New Roman" w:hAnsi="Times New Roman" w:hint="eastAsia"/>
          <w:sz w:val="18"/>
          <w:szCs w:val="18"/>
        </w:rPr>
        <w:t>目计算</w:t>
      </w:r>
      <w:proofErr w:type="gramEnd"/>
      <w:r w:rsidRPr="0063248C">
        <w:rPr>
          <w:rFonts w:ascii="Times New Roman" w:hAnsi="Times New Roman" w:hint="eastAsia"/>
          <w:sz w:val="18"/>
          <w:szCs w:val="18"/>
        </w:rPr>
        <w:t>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14:paraId="166E10C3" w14:textId="77777777" w:rsidR="00517D34" w:rsidRPr="0063248C" w:rsidRDefault="00000000" w:rsidP="00B84D72">
      <w:pPr>
        <w:pStyle w:val="a3"/>
        <w:spacing w:before="0" w:beforeAutospacing="0" w:after="0" w:afterAutospacing="0" w:line="273" w:lineRule="auto"/>
        <w:ind w:firstLine="360"/>
        <w:jc w:val="both"/>
        <w:divId w:val="1271888663"/>
        <w:rPr>
          <w:rFonts w:ascii="Times New Roman" w:hAnsi="Times New Roman"/>
          <w:sz w:val="21"/>
          <w:szCs w:val="21"/>
        </w:rPr>
      </w:pPr>
      <w:r w:rsidRPr="0063248C">
        <w:rPr>
          <w:rFonts w:ascii="Times New Roman" w:hAnsi="Times New Roman" w:hint="eastAsia"/>
          <w:sz w:val="18"/>
          <w:szCs w:val="18"/>
        </w:rPr>
        <w:t>外币现金流量，采用现金流量发生日的即期汇率折算。汇率变动对现金的影响额作为调节项目，在现金流量表中单独列报。</w:t>
      </w:r>
    </w:p>
    <w:p w14:paraId="1785BEA4" w14:textId="77777777" w:rsidR="00517D34" w:rsidRPr="0063248C" w:rsidRDefault="00000000" w:rsidP="00B84D72">
      <w:pPr>
        <w:pStyle w:val="a3"/>
        <w:spacing w:before="0" w:beforeAutospacing="0" w:after="0" w:afterAutospacing="0" w:line="273" w:lineRule="auto"/>
        <w:ind w:firstLine="360"/>
        <w:jc w:val="both"/>
        <w:divId w:val="1271888663"/>
        <w:rPr>
          <w:rFonts w:ascii="Times New Roman" w:hAnsi="Times New Roman"/>
          <w:sz w:val="21"/>
          <w:szCs w:val="21"/>
        </w:rPr>
      </w:pPr>
      <w:r w:rsidRPr="0063248C">
        <w:rPr>
          <w:rFonts w:ascii="Times New Roman" w:hAnsi="Times New Roman" w:hint="eastAsia"/>
          <w:sz w:val="18"/>
          <w:szCs w:val="18"/>
        </w:rPr>
        <w:t>年初数和上年实际</w:t>
      </w:r>
      <w:proofErr w:type="gramStart"/>
      <w:r w:rsidRPr="0063248C">
        <w:rPr>
          <w:rFonts w:ascii="Times New Roman" w:hAnsi="Times New Roman" w:hint="eastAsia"/>
          <w:sz w:val="18"/>
          <w:szCs w:val="18"/>
        </w:rPr>
        <w:t>数按照</w:t>
      </w:r>
      <w:proofErr w:type="gramEnd"/>
      <w:r w:rsidRPr="0063248C">
        <w:rPr>
          <w:rFonts w:ascii="Times New Roman" w:hAnsi="Times New Roman" w:hint="eastAsia"/>
          <w:sz w:val="18"/>
          <w:szCs w:val="18"/>
        </w:rPr>
        <w:t>上年财务报表折算后的数额列示。</w:t>
      </w:r>
    </w:p>
    <w:p w14:paraId="00EF5D18" w14:textId="77777777" w:rsidR="00517D34" w:rsidRPr="0063248C" w:rsidRDefault="00000000" w:rsidP="00B84D72">
      <w:pPr>
        <w:pStyle w:val="a3"/>
        <w:spacing w:before="0" w:beforeAutospacing="0" w:after="0" w:afterAutospacing="0" w:line="273" w:lineRule="auto"/>
        <w:ind w:firstLine="360"/>
        <w:jc w:val="both"/>
        <w:divId w:val="1271888663"/>
        <w:rPr>
          <w:rFonts w:ascii="Times New Roman" w:hAnsi="Times New Roman"/>
          <w:sz w:val="21"/>
          <w:szCs w:val="21"/>
        </w:rPr>
      </w:pPr>
      <w:r w:rsidRPr="0063248C">
        <w:rPr>
          <w:rFonts w:ascii="Times New Roman" w:hAnsi="Times New Roman" w:hint="eastAsia"/>
          <w:sz w:val="18"/>
          <w:szCs w:val="18"/>
        </w:rPr>
        <w:t>在处置本集团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14:paraId="79D30814" w14:textId="77777777" w:rsidR="00517D34" w:rsidRPr="0063248C" w:rsidRDefault="00000000" w:rsidP="00B84D72">
      <w:pPr>
        <w:pStyle w:val="a3"/>
        <w:spacing w:before="0" w:beforeAutospacing="0" w:after="0" w:afterAutospacing="0" w:line="273" w:lineRule="auto"/>
        <w:ind w:firstLine="360"/>
        <w:jc w:val="both"/>
        <w:divId w:val="1271888663"/>
        <w:rPr>
          <w:rFonts w:ascii="Times New Roman" w:hAnsi="Times New Roman"/>
          <w:sz w:val="21"/>
          <w:szCs w:val="21"/>
        </w:rPr>
      </w:pPr>
      <w:r w:rsidRPr="0063248C">
        <w:rPr>
          <w:rFonts w:ascii="Times New Roman" w:hAnsi="Times New Roman" w:hint="eastAsia"/>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14:paraId="2FE9E778" w14:textId="77777777" w:rsidR="00517D34" w:rsidRPr="0063248C" w:rsidRDefault="00000000" w:rsidP="00B84D72">
      <w:pPr>
        <w:pStyle w:val="a3"/>
        <w:spacing w:before="0" w:beforeAutospacing="0" w:after="0" w:afterAutospacing="0" w:line="273" w:lineRule="auto"/>
        <w:ind w:firstLine="360"/>
        <w:jc w:val="both"/>
        <w:divId w:val="1271888663"/>
        <w:rPr>
          <w:rFonts w:ascii="Times New Roman" w:hAnsi="Times New Roman"/>
          <w:sz w:val="21"/>
          <w:szCs w:val="21"/>
        </w:rPr>
      </w:pPr>
      <w:r w:rsidRPr="0063248C">
        <w:rPr>
          <w:rFonts w:ascii="Times New Roman" w:hAnsi="Times New Roman" w:hint="eastAsia"/>
          <w:sz w:val="18"/>
          <w:szCs w:val="18"/>
        </w:rPr>
        <w:t>如有实质上构成对境外经营净投资的外币货币性项目，在合并财务报表中，其因汇率变动而产生的汇兑差额，作为“外币报表折算差额”确认为其他综合收益；处置境外经营时，计入处置当期损益。</w:t>
      </w:r>
    </w:p>
    <w:p w14:paraId="3B61C3E1" w14:textId="77777777" w:rsidR="007B3DB2" w:rsidRPr="0063248C" w:rsidRDefault="00000000">
      <w:pPr>
        <w:pStyle w:val="3"/>
        <w:spacing w:line="280" w:lineRule="exact"/>
        <w:jc w:val="left"/>
        <w:rPr>
          <w:rFonts w:cs="宋体"/>
          <w:b/>
          <w:bCs/>
        </w:rPr>
      </w:pPr>
      <w:bookmarkStart w:id="127" w:name="_Toc989016"/>
      <w:r w:rsidRPr="0063248C">
        <w:rPr>
          <w:rFonts w:cs="宋体"/>
          <w:b/>
          <w:bCs/>
        </w:rPr>
        <w:t>11</w:t>
      </w:r>
      <w:r w:rsidRPr="0063248C">
        <w:rPr>
          <w:rFonts w:cs="宋体"/>
          <w:b/>
          <w:bCs/>
        </w:rPr>
        <w:t>、金融工具</w:t>
      </w:r>
      <w:bookmarkEnd w:id="127"/>
    </w:p>
    <w:p w14:paraId="30A46E0C"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在本集团成为金融工具合同的一方时确认一项金融资产或金融负债。</w:t>
      </w:r>
    </w:p>
    <w:p w14:paraId="2F1E9DFF"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金融资产的分类、确认和计量</w:t>
      </w:r>
    </w:p>
    <w:p w14:paraId="44A01F18"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本集团根据管理金融资产的业务模式和金融资产的合同现金流量特征，将金融资产划分为：以摊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计量的金融资产；以公允价值计量且其变动计入其他综合收益的金融资产；以公允价值计量且其变动计入当期损益的金融资产。</w:t>
      </w:r>
    </w:p>
    <w:p w14:paraId="4DD5C54B"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lastRenderedPageBreak/>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集团按照预期有权收取的对</w:t>
      </w:r>
      <w:proofErr w:type="gramStart"/>
      <w:r w:rsidRPr="0063248C">
        <w:rPr>
          <w:rFonts w:ascii="Times New Roman" w:hAnsi="Times New Roman" w:hint="eastAsia"/>
          <w:sz w:val="18"/>
          <w:szCs w:val="18"/>
        </w:rPr>
        <w:t>价金额</w:t>
      </w:r>
      <w:proofErr w:type="gramEnd"/>
      <w:r w:rsidRPr="0063248C">
        <w:rPr>
          <w:rFonts w:ascii="Times New Roman" w:hAnsi="Times New Roman" w:hint="eastAsia"/>
          <w:sz w:val="18"/>
          <w:szCs w:val="18"/>
        </w:rPr>
        <w:t>作为初始确认金额。</w:t>
      </w:r>
    </w:p>
    <w:p w14:paraId="1CFEA577"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①以摊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计量的金融资产</w:t>
      </w:r>
    </w:p>
    <w:p w14:paraId="701E8A30"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本集团管理以摊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计量的金融资产的业务模式为以收取合同现金流量为目标，且此类金融资产的合同现金流量特征与基本借贷安排相一致，即在特定日期产生的现金流量，仅为对本金和以</w:t>
      </w:r>
      <w:proofErr w:type="gramStart"/>
      <w:r w:rsidRPr="0063248C">
        <w:rPr>
          <w:rFonts w:ascii="Times New Roman" w:hAnsi="Times New Roman" w:hint="eastAsia"/>
          <w:sz w:val="18"/>
          <w:szCs w:val="18"/>
        </w:rPr>
        <w:t>未偿付本</w:t>
      </w:r>
      <w:proofErr w:type="gramEnd"/>
      <w:r w:rsidRPr="0063248C">
        <w:rPr>
          <w:rFonts w:ascii="Times New Roman" w:hAnsi="Times New Roman" w:hint="eastAsia"/>
          <w:sz w:val="18"/>
          <w:szCs w:val="18"/>
        </w:rPr>
        <w:t>金金额为基础的利息的支付。本集团对于此类金融资产，采用实际利率法，按照摊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进行后续计量，其摊销或减值产生的利得或损失，计入当期损益。</w:t>
      </w:r>
    </w:p>
    <w:p w14:paraId="5EA849F9"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②以公允价值计量且其变动计入其他综合收益的金融资产</w:t>
      </w:r>
    </w:p>
    <w:p w14:paraId="792ABD14"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本集团管理此类金融资产的业务模式为既以收取合同现金流量为目标又以出售为目标，且此类金融资产的合同现金流量特征与基本借贷安排相一致。本集团对此类金融资产按照公允价值计量且其变动计入其他综合收益，但减值损失或利得、汇兑损益和按照实际利率法计算的利息收入计入当期损益。</w:t>
      </w:r>
    </w:p>
    <w:p w14:paraId="77A4B07B"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当应收票据和应收账款同时满足以上条件时，本公司将其划分为以公允价值计量且其变动计入其他综合收益的金融资产，在报表中列示为应收款项融资。</w:t>
      </w:r>
    </w:p>
    <w:p w14:paraId="04136795"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此外，本集团将部分</w:t>
      </w:r>
      <w:proofErr w:type="gramStart"/>
      <w:r w:rsidRPr="0063248C">
        <w:rPr>
          <w:rFonts w:ascii="Times New Roman" w:hAnsi="Times New Roman" w:hint="eastAsia"/>
          <w:sz w:val="18"/>
          <w:szCs w:val="18"/>
        </w:rPr>
        <w:t>非交易</w:t>
      </w:r>
      <w:proofErr w:type="gramEnd"/>
      <w:r w:rsidRPr="0063248C">
        <w:rPr>
          <w:rFonts w:ascii="Times New Roman" w:hAnsi="Times New Roman" w:hint="eastAsia"/>
          <w:sz w:val="18"/>
          <w:szCs w:val="18"/>
        </w:rPr>
        <w:t>性权益工具投资指定为以公允价值计量且其变动计入其他综合收益的金融资产。本集团将该类金融资产的相关股利收入计入当期损益，公允价值变动计入其他综合收益。当该金融资产终止确认时，之前计入其他综合收益的累计利得或损失将从其他综合收益转入留存收益，不计入当期损益。</w:t>
      </w:r>
    </w:p>
    <w:p w14:paraId="77796D35"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③以公允价值计量且其变动计入当期损益的金融资产</w:t>
      </w:r>
    </w:p>
    <w:p w14:paraId="085F7F4C"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本集团将上述以摊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计量的金融资产和以公允价值计量且其变动计入其他综合收益的金融资产之外的金融资产，分类为以公允价值计量且其变动计入当期损益的金融资产。此外，在初始确认时，本集团为了消除或显著减少会计错配，将部分金融资产指定为以公允价值计量且其变动计入当期损益的金融资产。对于此类金融资产，本集团采用公允价值进行后续计量，公允价值变动计入当期损益。</w:t>
      </w:r>
    </w:p>
    <w:p w14:paraId="52A32F98"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金融负债的分类、确认和计量</w:t>
      </w:r>
    </w:p>
    <w:p w14:paraId="5965C1C5"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14:paraId="2FC77D75"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①以公允价值计量且其变动计入当期损益的金融负债</w:t>
      </w:r>
    </w:p>
    <w:p w14:paraId="1324B1A5"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以公允价值计量且其变动计入当期损益的金融负债，包括交易性金融负债（</w:t>
      </w:r>
      <w:proofErr w:type="gramStart"/>
      <w:r w:rsidRPr="0063248C">
        <w:rPr>
          <w:rFonts w:ascii="Times New Roman" w:hAnsi="Times New Roman" w:hint="eastAsia"/>
          <w:sz w:val="18"/>
          <w:szCs w:val="18"/>
        </w:rPr>
        <w:t>含属于</w:t>
      </w:r>
      <w:proofErr w:type="gramEnd"/>
      <w:r w:rsidRPr="0063248C">
        <w:rPr>
          <w:rFonts w:ascii="Times New Roman" w:hAnsi="Times New Roman" w:hint="eastAsia"/>
          <w:sz w:val="18"/>
          <w:szCs w:val="18"/>
        </w:rPr>
        <w:t>金融负债的衍生工具）和初始确认时指定为以公允价值计量且其变动计入当期损益的金融负债。</w:t>
      </w:r>
    </w:p>
    <w:p w14:paraId="01BFCD01"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交易性金融负债（</w:t>
      </w:r>
      <w:proofErr w:type="gramStart"/>
      <w:r w:rsidRPr="0063248C">
        <w:rPr>
          <w:rFonts w:ascii="Times New Roman" w:hAnsi="Times New Roman" w:hint="eastAsia"/>
          <w:sz w:val="18"/>
          <w:szCs w:val="18"/>
        </w:rPr>
        <w:t>含属于</w:t>
      </w:r>
      <w:proofErr w:type="gramEnd"/>
      <w:r w:rsidRPr="0063248C">
        <w:rPr>
          <w:rFonts w:ascii="Times New Roman" w:hAnsi="Times New Roman" w:hint="eastAsia"/>
          <w:sz w:val="18"/>
          <w:szCs w:val="18"/>
        </w:rPr>
        <w:t>金融负债的衍生工具），按照公允价值进行后续计量，除与套期会计有关外，公允价值变动计入当期损益。</w:t>
      </w:r>
    </w:p>
    <w:p w14:paraId="36284C79"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被指定为以公允价值计量且其变动计入当期损益的金融负债，该负债由本集团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集团将该金融负债的全部利得或损失（包括企业自身信用风险变动的影响金额）计入当期损益。</w:t>
      </w:r>
    </w:p>
    <w:p w14:paraId="430A7EC6"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②其他金融负债</w:t>
      </w:r>
    </w:p>
    <w:p w14:paraId="04AE40FC"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除金融资产转移不符合终止确认条件或继续涉入被转移金融资产所形成的金融负债、财务担保合同外的其他金融负债分类为以摊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计量的金融负债，</w:t>
      </w:r>
      <w:proofErr w:type="gramStart"/>
      <w:r w:rsidRPr="0063248C">
        <w:rPr>
          <w:rFonts w:ascii="Times New Roman" w:hAnsi="Times New Roman" w:hint="eastAsia"/>
          <w:sz w:val="18"/>
          <w:szCs w:val="18"/>
        </w:rPr>
        <w:t>按摊余成本</w:t>
      </w:r>
      <w:proofErr w:type="gramEnd"/>
      <w:r w:rsidRPr="0063248C">
        <w:rPr>
          <w:rFonts w:ascii="Times New Roman" w:hAnsi="Times New Roman" w:hint="eastAsia"/>
          <w:sz w:val="18"/>
          <w:szCs w:val="18"/>
        </w:rPr>
        <w:t>进行后续计量，终止确认或摊销产生的利得或损失计入当期损益。</w:t>
      </w:r>
    </w:p>
    <w:p w14:paraId="2BFFA8DD"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金融资产转移的确认依据和计量方法</w:t>
      </w:r>
    </w:p>
    <w:p w14:paraId="09FDEB4C"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满足下列条件之一的金融资产，予以终止确认：①收取该金融资产现金流量的合同权利终止；②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14:paraId="6D38813F"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lastRenderedPageBreak/>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14:paraId="2BC34865"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金融资产整体转移满足终止确认条件的，将所转移金融资产的账面价值及因转移而收到的对价与原计入其他综合收益的公允价值变动累计额之和的差额计入当期损益。</w:t>
      </w:r>
    </w:p>
    <w:p w14:paraId="7DBD23ED"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14:paraId="5C18481C"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本集团对采用附追索</w:t>
      </w:r>
      <w:proofErr w:type="gramStart"/>
      <w:r w:rsidRPr="0063248C">
        <w:rPr>
          <w:rFonts w:ascii="Times New Roman" w:hAnsi="Times New Roman" w:hint="eastAsia"/>
          <w:sz w:val="18"/>
          <w:szCs w:val="18"/>
        </w:rPr>
        <w:t>权方式</w:t>
      </w:r>
      <w:proofErr w:type="gramEnd"/>
      <w:r w:rsidRPr="0063248C">
        <w:rPr>
          <w:rFonts w:ascii="Times New Roman" w:hAnsi="Times New Roman" w:hint="eastAsia"/>
          <w:sz w:val="18"/>
          <w:szCs w:val="18"/>
        </w:rPr>
        <w:t>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14:paraId="2A9354AE"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金融负债的终止确认</w:t>
      </w:r>
    </w:p>
    <w:p w14:paraId="7124705F"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金融负债（或其一部分）的现时义务已经解除的，本集团终止确认该金融负债（或该部分金融负债）。本集团（借入方）与借出方签订协议，以承担新金融负债的方式替换原金融负债，且新金融负债与原金融负债的合同条款实质上不同的，终止确认原金融负债，同时确认一项新金融负债。本集团对原金融负债（或其一部分）的合同条款</w:t>
      </w:r>
      <w:proofErr w:type="gramStart"/>
      <w:r w:rsidRPr="0063248C">
        <w:rPr>
          <w:rFonts w:ascii="Times New Roman" w:hAnsi="Times New Roman" w:hint="eastAsia"/>
          <w:sz w:val="18"/>
          <w:szCs w:val="18"/>
        </w:rPr>
        <w:t>作出</w:t>
      </w:r>
      <w:proofErr w:type="gramEnd"/>
      <w:r w:rsidRPr="0063248C">
        <w:rPr>
          <w:rFonts w:ascii="Times New Roman" w:hAnsi="Times New Roman" w:hint="eastAsia"/>
          <w:sz w:val="18"/>
          <w:szCs w:val="18"/>
        </w:rPr>
        <w:t>实质性修改的，终止确认原金融负债，同时按照修改后的条款确认一项新金融负债。</w:t>
      </w:r>
    </w:p>
    <w:p w14:paraId="1DF7F290"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金融负债（或其一部分）终止确认的，本集团将其账面价值与支付的对价（包括转出的非现金资产或承担的负债）之间的差额，计入当期损益。</w:t>
      </w:r>
    </w:p>
    <w:p w14:paraId="4C213024"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金融资产和金融负债的</w:t>
      </w:r>
      <w:proofErr w:type="gramStart"/>
      <w:r w:rsidRPr="0063248C">
        <w:rPr>
          <w:rFonts w:ascii="Times New Roman" w:hAnsi="Times New Roman" w:hint="eastAsia"/>
          <w:sz w:val="18"/>
          <w:szCs w:val="18"/>
        </w:rPr>
        <w:t>抵销</w:t>
      </w:r>
      <w:proofErr w:type="gramEnd"/>
    </w:p>
    <w:p w14:paraId="3040A6E7"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当本集团具有</w:t>
      </w:r>
      <w:proofErr w:type="gramStart"/>
      <w:r w:rsidRPr="0063248C">
        <w:rPr>
          <w:rFonts w:ascii="Times New Roman" w:hAnsi="Times New Roman" w:hint="eastAsia"/>
          <w:sz w:val="18"/>
          <w:szCs w:val="18"/>
        </w:rPr>
        <w:t>抵销</w:t>
      </w:r>
      <w:proofErr w:type="gramEnd"/>
      <w:r w:rsidRPr="0063248C">
        <w:rPr>
          <w:rFonts w:ascii="Times New Roman" w:hAnsi="Times New Roman" w:hint="eastAsia"/>
          <w:sz w:val="18"/>
          <w:szCs w:val="18"/>
        </w:rPr>
        <w:t>已确认金额的金融资产和金融负债的法定权利，且该种法定权利是当前可执行的，同时本集团计划以净额结算或同时变现该金融资产和清偿该金融负债时，金融资产和金融负债以相互</w:t>
      </w:r>
      <w:proofErr w:type="gramStart"/>
      <w:r w:rsidRPr="0063248C">
        <w:rPr>
          <w:rFonts w:ascii="Times New Roman" w:hAnsi="Times New Roman" w:hint="eastAsia"/>
          <w:sz w:val="18"/>
          <w:szCs w:val="18"/>
        </w:rPr>
        <w:t>抵销</w:t>
      </w:r>
      <w:proofErr w:type="gramEnd"/>
      <w:r w:rsidRPr="0063248C">
        <w:rPr>
          <w:rFonts w:ascii="Times New Roman" w:hAnsi="Times New Roman" w:hint="eastAsia"/>
          <w:sz w:val="18"/>
          <w:szCs w:val="18"/>
        </w:rPr>
        <w:t>后的净额在资产负债表内列示。除此以外，金融资产和金融负债在资产负债表内分别列示，不予相互</w:t>
      </w:r>
      <w:proofErr w:type="gramStart"/>
      <w:r w:rsidRPr="0063248C">
        <w:rPr>
          <w:rFonts w:ascii="Times New Roman" w:hAnsi="Times New Roman" w:hint="eastAsia"/>
          <w:sz w:val="18"/>
          <w:szCs w:val="18"/>
        </w:rPr>
        <w:t>抵销</w:t>
      </w:r>
      <w:proofErr w:type="gramEnd"/>
      <w:r w:rsidRPr="0063248C">
        <w:rPr>
          <w:rFonts w:ascii="Times New Roman" w:hAnsi="Times New Roman" w:hint="eastAsia"/>
          <w:sz w:val="18"/>
          <w:szCs w:val="18"/>
        </w:rPr>
        <w:t>。</w:t>
      </w:r>
    </w:p>
    <w:p w14:paraId="3B4FACE2"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金融资产和金融负债的公允价值确定方法</w:t>
      </w:r>
    </w:p>
    <w:p w14:paraId="7AA82015"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公允价值，是指市场参与者在计量日发生的有序交易中，出售一项资产所能收到或者转移一项负债所需支付的价格。金融工具存在活跃市场的，本集团采用活跃市场中的报价确定其公允价值。活跃市场中的报价是指易于定期从交易所、经纪商、行业协会、定价服务机构等获得的价格，且代表了在公平交易中实际发生的市场交易的价格。金融工具不存在活跃市场的，本集团采用估值技术确定其公允价值。估值技术包括参考熟悉情况并自愿交易的各方最近进行的市场交易中使用的价格、参照实质上相同的其他金融工具当前的公允价值、现金流量折现法和期权定价模型等。在估值时，本集团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14:paraId="1EE3B87F"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权益工具</w:t>
      </w:r>
    </w:p>
    <w:p w14:paraId="2129A526"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权益工具是指能证明拥有本集团在扣除所有负债后的资产中的剩余权益的合同。本集团发行（</w:t>
      </w:r>
      <w:proofErr w:type="gramStart"/>
      <w:r w:rsidRPr="0063248C">
        <w:rPr>
          <w:rFonts w:ascii="Times New Roman" w:hAnsi="Times New Roman" w:hint="eastAsia"/>
          <w:sz w:val="18"/>
          <w:szCs w:val="18"/>
        </w:rPr>
        <w:t>含再融资</w:t>
      </w:r>
      <w:proofErr w:type="gramEnd"/>
      <w:r w:rsidRPr="0063248C">
        <w:rPr>
          <w:rFonts w:ascii="Times New Roman" w:hAnsi="Times New Roman" w:hint="eastAsia"/>
          <w:sz w:val="18"/>
          <w:szCs w:val="18"/>
        </w:rPr>
        <w:t>）、回购、出售或注销权益工具作为权益的变动处理，与权益性交易相关的交易费用从权益中扣减。本集团不确认权益工具的公允价值变动。</w:t>
      </w:r>
    </w:p>
    <w:p w14:paraId="55B16172"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本集团权益工具在存续期间分派股利（含分类为权益工具的工具所产生的“利息”）的，作为利润分配处理。</w:t>
      </w:r>
    </w:p>
    <w:p w14:paraId="10F42690"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cs="Times New Roman"/>
          <w:sz w:val="18"/>
          <w:szCs w:val="18"/>
        </w:rPr>
        <w:t> </w:t>
      </w:r>
      <w:r w:rsidRPr="0063248C">
        <w:rPr>
          <w:rFonts w:ascii="Times New Roman" w:hAnsi="Times New Roman" w:hint="eastAsia"/>
          <w:sz w:val="18"/>
          <w:szCs w:val="18"/>
        </w:rPr>
        <w:t>金融工具的减值</w:t>
      </w:r>
    </w:p>
    <w:p w14:paraId="0178151E"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减值项目</w:t>
      </w:r>
    </w:p>
    <w:p w14:paraId="76CED937"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本公司以预期信用损失为基础，对下列项目进行减值会计处理并确认损失准备：</w:t>
      </w:r>
    </w:p>
    <w:p w14:paraId="78701175"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cs="Times New Roman"/>
          <w:sz w:val="18"/>
          <w:szCs w:val="18"/>
        </w:rPr>
        <w:t>1</w:t>
      </w:r>
      <w:r w:rsidRPr="0063248C">
        <w:rPr>
          <w:rFonts w:ascii="Times New Roman" w:hAnsi="Times New Roman" w:hint="eastAsia"/>
          <w:sz w:val="18"/>
          <w:szCs w:val="18"/>
        </w:rPr>
        <w:t>）分类为以摊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计量的金融资产和分类为以公允价值计量且其变动计入其他综合收益的金融资产；</w:t>
      </w:r>
    </w:p>
    <w:p w14:paraId="7E5AB242"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cs="Times New Roman"/>
          <w:sz w:val="18"/>
          <w:szCs w:val="18"/>
        </w:rPr>
        <w:t>2</w:t>
      </w:r>
      <w:r w:rsidRPr="0063248C">
        <w:rPr>
          <w:rFonts w:ascii="Times New Roman" w:hAnsi="Times New Roman" w:hint="eastAsia"/>
          <w:sz w:val="18"/>
          <w:szCs w:val="18"/>
        </w:rPr>
        <w:t>）租赁应收款；</w:t>
      </w:r>
    </w:p>
    <w:p w14:paraId="78757872"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cs="Times New Roman"/>
          <w:sz w:val="18"/>
          <w:szCs w:val="18"/>
        </w:rPr>
        <w:t>3</w:t>
      </w:r>
      <w:r w:rsidRPr="0063248C">
        <w:rPr>
          <w:rFonts w:ascii="Times New Roman" w:hAnsi="Times New Roman" w:hint="eastAsia"/>
          <w:sz w:val="18"/>
          <w:szCs w:val="18"/>
        </w:rPr>
        <w:t>）贷款承诺和财务担保合同。</w:t>
      </w:r>
    </w:p>
    <w:p w14:paraId="4D9AB1F6"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lastRenderedPageBreak/>
        <w:t>本集团持有的其他以公允价值计量的金融资产不适用预期信用损失模型，包括以公允价值计量且其变动计入当期损益的金融资产，指定为以公允价值计量且其变动计入其他综合收益的金融资产（</w:t>
      </w:r>
      <w:proofErr w:type="gramStart"/>
      <w:r w:rsidRPr="0063248C">
        <w:rPr>
          <w:rFonts w:ascii="Times New Roman" w:hAnsi="Times New Roman" w:hint="eastAsia"/>
          <w:sz w:val="18"/>
          <w:szCs w:val="18"/>
        </w:rPr>
        <w:t>非交易</w:t>
      </w:r>
      <w:proofErr w:type="gramEnd"/>
      <w:r w:rsidRPr="0063248C">
        <w:rPr>
          <w:rFonts w:ascii="Times New Roman" w:hAnsi="Times New Roman" w:hint="eastAsia"/>
          <w:sz w:val="18"/>
          <w:szCs w:val="18"/>
        </w:rPr>
        <w:t>性权益工具投资），以及衍生金融资产。</w:t>
      </w:r>
    </w:p>
    <w:p w14:paraId="42AA10A5"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减值准备的确认和计量</w:t>
      </w:r>
    </w:p>
    <w:p w14:paraId="114D6176"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除了对于</w:t>
      </w:r>
      <w:proofErr w:type="gramStart"/>
      <w:r w:rsidRPr="0063248C">
        <w:rPr>
          <w:rFonts w:ascii="Times New Roman" w:hAnsi="Times New Roman" w:hint="eastAsia"/>
          <w:sz w:val="18"/>
          <w:szCs w:val="18"/>
        </w:rPr>
        <w:t>购买或源生</w:t>
      </w:r>
      <w:proofErr w:type="gramEnd"/>
      <w:r w:rsidRPr="0063248C">
        <w:rPr>
          <w:rFonts w:ascii="Times New Roman" w:hAnsi="Times New Roman" w:hint="eastAsia"/>
          <w:sz w:val="18"/>
          <w:szCs w:val="18"/>
        </w:rPr>
        <w:t>的已发生信用减值的金融资产以及始终按照相当于整个存续期内预期信用损失的金额计量损失准备的金融资产之外，本公司在每个资产负债表日评估相关金融工具的信用风险自初始确认后是否已显著增加，并按照下列情形分别计量其损失准备、确认预期信用损失及其变动：</w:t>
      </w:r>
    </w:p>
    <w:p w14:paraId="60A0A556"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如果该金融工具的信用风险自初始确认后并未显著增加，处于第一阶段，本公司按照相当于该金融工具未来</w:t>
      </w:r>
      <w:r w:rsidRPr="0063248C">
        <w:rPr>
          <w:rFonts w:ascii="Times New Roman" w:hAnsi="Times New Roman" w:cs="Times New Roman"/>
          <w:sz w:val="18"/>
          <w:szCs w:val="18"/>
        </w:rPr>
        <w:t>12</w:t>
      </w:r>
      <w:r w:rsidRPr="0063248C">
        <w:rPr>
          <w:rFonts w:ascii="Times New Roman" w:hAnsi="Times New Roman" w:hint="eastAsia"/>
          <w:sz w:val="18"/>
          <w:szCs w:val="18"/>
        </w:rPr>
        <w:t>个月内预期信用损失的金额计量其损失准备，无论本公司评估信用损失的基础是单项金融工具还是金融工具组合，由此形成的损失准备的增加或转回金额，作为减值损失或利得计入当期损益。</w:t>
      </w:r>
    </w:p>
    <w:p w14:paraId="0DF3BA4C"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如果该金融工具的信用风险自初始确认后已显著增加，处于第二阶段，本公司按照相当于该金融工具整个存续期内预期信用损失的金额计量其损失准备。无论本公司评估信用损失的基础是单项金融工具还是金融工具组合，由此形成的损失准备的增加或转回金额，作为减值损失或利得计入当期损益。</w:t>
      </w:r>
    </w:p>
    <w:p w14:paraId="5A3EB838"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对于已发生信用减值的金融资产，处于第三阶段，本公司在资产负债表日仅将自初始确认后整个存续期内预期信用损失的累计变动确认为损失准备。在每个资产负债表日，本公司将整个存续期内预期信用损失的变动金额作为减值损失或利得计入当期损益。即使该资产负债表日确定的整个存续期内预期信用损失小于初始确认时估计现金流量所反映的预期信用损失的金额，本公司也将预期信用损失的有利变动确认为减值利得。</w:t>
      </w:r>
    </w:p>
    <w:p w14:paraId="332E288B"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对于分类为以公允价值计量且其变动计入其他综合收益的金融资产（债务工具投资），本公司在其他综合收益中确认其损失准备，并将减值损失或利得计入当期损益，且不应减少该金融资产在资产负债表中列示的账面价值。</w:t>
      </w:r>
    </w:p>
    <w:p w14:paraId="0CD61B11"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本集团在前一会计期间已经按照相当于金融工具整个存续期内预期信用损失的金额计量了损失准备，但在当期资产负债表日，该金融工具已不再属于自初始确认后信用风险显著增加的情形的，本公司在当期资产负债表</w:t>
      </w:r>
      <w:proofErr w:type="gramStart"/>
      <w:r w:rsidRPr="0063248C">
        <w:rPr>
          <w:rFonts w:ascii="Times New Roman" w:hAnsi="Times New Roman" w:hint="eastAsia"/>
          <w:sz w:val="18"/>
          <w:szCs w:val="18"/>
        </w:rPr>
        <w:t>日按照</w:t>
      </w:r>
      <w:proofErr w:type="gramEnd"/>
      <w:r w:rsidRPr="0063248C">
        <w:rPr>
          <w:rFonts w:ascii="Times New Roman" w:hAnsi="Times New Roman" w:hint="eastAsia"/>
          <w:sz w:val="18"/>
          <w:szCs w:val="18"/>
        </w:rPr>
        <w:t>相当于未来</w:t>
      </w:r>
      <w:r w:rsidRPr="0063248C">
        <w:rPr>
          <w:rFonts w:ascii="Times New Roman" w:hAnsi="Times New Roman" w:cs="Times New Roman"/>
          <w:sz w:val="18"/>
          <w:szCs w:val="18"/>
        </w:rPr>
        <w:t>12</w:t>
      </w:r>
      <w:r w:rsidRPr="0063248C">
        <w:rPr>
          <w:rFonts w:ascii="Times New Roman" w:hAnsi="Times New Roman" w:hint="eastAsia"/>
          <w:sz w:val="18"/>
          <w:szCs w:val="18"/>
        </w:rPr>
        <w:t>个月内预期信用损失的金额计量该金融工具的损失准备，由此形成的损失准备的转回金额应当作为减值利得计入当期损益。</w:t>
      </w:r>
    </w:p>
    <w:p w14:paraId="0CD901FE"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本集团在单项工具层面无法以合理成本获得关于信用风险显著增加的充分证据时，本公司在组合基础上评估信用风险是否显著增加。</w:t>
      </w:r>
    </w:p>
    <w:p w14:paraId="7C2E2431"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对于适用本项政策有关金融工具减值规定的各类金融工具，本集团按照下列方法确定其信用损失：</w:t>
      </w:r>
    </w:p>
    <w:p w14:paraId="112F717A"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cs="Times New Roman"/>
          <w:sz w:val="18"/>
          <w:szCs w:val="18"/>
        </w:rPr>
        <w:t>1</w:t>
      </w:r>
      <w:r w:rsidRPr="0063248C">
        <w:rPr>
          <w:rFonts w:ascii="Times New Roman" w:hAnsi="Times New Roman" w:hint="eastAsia"/>
          <w:sz w:val="18"/>
          <w:szCs w:val="18"/>
        </w:rPr>
        <w:t>）对于金融资产，信用损失为本公司收取的合同现金流量与预期收取的现金流量之间差额的现值。</w:t>
      </w:r>
    </w:p>
    <w:p w14:paraId="64210A98"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cs="Times New Roman"/>
          <w:sz w:val="18"/>
          <w:szCs w:val="18"/>
        </w:rPr>
        <w:t>2</w:t>
      </w:r>
      <w:r w:rsidRPr="0063248C">
        <w:rPr>
          <w:rFonts w:ascii="Times New Roman" w:hAnsi="Times New Roman" w:hint="eastAsia"/>
          <w:sz w:val="18"/>
          <w:szCs w:val="18"/>
        </w:rPr>
        <w:t>）对于租赁应收款项，信用损失为本公司应收取的合同现金流量与预期收取的现金流量之间差额的现值。</w:t>
      </w:r>
    </w:p>
    <w:p w14:paraId="62A048AD"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cs="Times New Roman"/>
          <w:sz w:val="18"/>
          <w:szCs w:val="18"/>
        </w:rPr>
        <w:t>3</w:t>
      </w:r>
      <w:r w:rsidRPr="0063248C">
        <w:rPr>
          <w:rFonts w:ascii="Times New Roman" w:hAnsi="Times New Roman" w:hint="eastAsia"/>
          <w:sz w:val="18"/>
          <w:szCs w:val="18"/>
        </w:rPr>
        <w:t>）对于未提用的贷款承诺，信用损失应为在贷款承诺持有人提用相应贷款的情况下，本公司应收取的合同现金流量与预期收取的现金流量之间差额的现值。</w:t>
      </w:r>
    </w:p>
    <w:p w14:paraId="3A10FE6C"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cs="Times New Roman"/>
          <w:sz w:val="18"/>
          <w:szCs w:val="18"/>
        </w:rPr>
        <w:t>4</w:t>
      </w:r>
      <w:r w:rsidRPr="0063248C">
        <w:rPr>
          <w:rFonts w:ascii="Times New Roman" w:hAnsi="Times New Roman" w:hint="eastAsia"/>
          <w:sz w:val="18"/>
          <w:szCs w:val="18"/>
        </w:rPr>
        <w:t>）对于财务担保合同，信用损失应为本公司就该合同持有人发生的信用损失向其做出赔付的预计付款额，减去本公司预期向该合同持有人、债务人或任何其他方收取的金额之间差额的现值。</w:t>
      </w:r>
    </w:p>
    <w:p w14:paraId="38FD4C74"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cs="Times New Roman"/>
          <w:sz w:val="18"/>
          <w:szCs w:val="18"/>
        </w:rPr>
        <w:t>5</w:t>
      </w:r>
      <w:r w:rsidRPr="0063248C">
        <w:rPr>
          <w:rFonts w:ascii="Times New Roman" w:hAnsi="Times New Roman" w:hint="eastAsia"/>
          <w:sz w:val="18"/>
          <w:szCs w:val="18"/>
        </w:rPr>
        <w:t>）对于资产负债表日已发生信用减值但并非</w:t>
      </w:r>
      <w:proofErr w:type="gramStart"/>
      <w:r w:rsidRPr="0063248C">
        <w:rPr>
          <w:rFonts w:ascii="Times New Roman" w:hAnsi="Times New Roman" w:hint="eastAsia"/>
          <w:sz w:val="18"/>
          <w:szCs w:val="18"/>
        </w:rPr>
        <w:t>购买或源生</w:t>
      </w:r>
      <w:proofErr w:type="gramEnd"/>
      <w:r w:rsidRPr="0063248C">
        <w:rPr>
          <w:rFonts w:ascii="Times New Roman" w:hAnsi="Times New Roman" w:hint="eastAsia"/>
          <w:sz w:val="18"/>
          <w:szCs w:val="18"/>
        </w:rPr>
        <w:t>已发生信用减值的金融资产，信用损失为该金融资产账面余额与按</w:t>
      </w:r>
      <w:proofErr w:type="gramStart"/>
      <w:r w:rsidRPr="0063248C">
        <w:rPr>
          <w:rFonts w:ascii="Times New Roman" w:hAnsi="Times New Roman" w:hint="eastAsia"/>
          <w:sz w:val="18"/>
          <w:szCs w:val="18"/>
        </w:rPr>
        <w:t>原实际</w:t>
      </w:r>
      <w:proofErr w:type="gramEnd"/>
      <w:r w:rsidRPr="0063248C">
        <w:rPr>
          <w:rFonts w:ascii="Times New Roman" w:hAnsi="Times New Roman" w:hint="eastAsia"/>
          <w:sz w:val="18"/>
          <w:szCs w:val="18"/>
        </w:rPr>
        <w:t>利率折现的估计未来现金流量的现值之间的差额。</w:t>
      </w:r>
    </w:p>
    <w:p w14:paraId="686AC219"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信用风险显著增加</w:t>
      </w:r>
    </w:p>
    <w:p w14:paraId="62A52F9E"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本集团通过比较金融工具在初始确认时所确定的预计存续期内的违约概率和该工具在资产负债表日所确定的预计存续期内的违约概率，来判定金融工具信用风险是否显著增加。除特殊情形外，本集团采用未来</w:t>
      </w:r>
      <w:r w:rsidRPr="0063248C">
        <w:rPr>
          <w:rFonts w:ascii="Times New Roman" w:hAnsi="Times New Roman" w:cs="Times New Roman"/>
          <w:sz w:val="18"/>
          <w:szCs w:val="18"/>
        </w:rPr>
        <w:t>12</w:t>
      </w:r>
      <w:r w:rsidRPr="0063248C">
        <w:rPr>
          <w:rFonts w:ascii="Times New Roman" w:hAnsi="Times New Roman" w:hint="eastAsia"/>
          <w:sz w:val="18"/>
          <w:szCs w:val="18"/>
        </w:rPr>
        <w:t>个月内发生的违约风险的变化作为整个存续期内发生违约风险变化的合理估计，以确定自初始确认后信用风险是否已显著增加。</w:t>
      </w:r>
    </w:p>
    <w:p w14:paraId="7620A7DF"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本集团确定金融工具在资产负债表日只具有较低的信用风险的，可以假设该金融工具的信用风险自初始确认后并未显著增加。通常逾期超过</w:t>
      </w:r>
      <w:r w:rsidRPr="0063248C">
        <w:rPr>
          <w:rFonts w:ascii="Times New Roman" w:hAnsi="Times New Roman" w:cs="Times New Roman"/>
          <w:sz w:val="18"/>
          <w:szCs w:val="18"/>
        </w:rPr>
        <w:t>30</w:t>
      </w:r>
      <w:r w:rsidRPr="0063248C">
        <w:rPr>
          <w:rFonts w:ascii="Times New Roman" w:hAnsi="Times New Roman" w:hint="eastAsia"/>
          <w:sz w:val="18"/>
          <w:szCs w:val="18"/>
        </w:rPr>
        <w:t>日，本公司即认为该金融工具的信用风险已显著增加，除非有确凿证据证明该金融工具的信用风险自初始确认后并未显著增加。</w:t>
      </w:r>
    </w:p>
    <w:p w14:paraId="5DD5104B"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应收票据及应收账款减值</w:t>
      </w:r>
    </w:p>
    <w:p w14:paraId="51DEF7DE"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t>对于应收票据及应收账款，无论是否存在重大融资成分，本公司均按照整个存续期的预期信用损失计量损失准备。</w:t>
      </w:r>
    </w:p>
    <w:p w14:paraId="71D7EBB1" w14:textId="77777777" w:rsidR="00517D34" w:rsidRPr="0063248C" w:rsidRDefault="00000000" w:rsidP="00B84D72">
      <w:pPr>
        <w:pStyle w:val="a3"/>
        <w:spacing w:before="0" w:beforeAutospacing="0" w:after="0" w:afterAutospacing="0"/>
        <w:ind w:firstLine="360"/>
        <w:jc w:val="both"/>
        <w:divId w:val="144706661"/>
        <w:rPr>
          <w:rFonts w:ascii="Times New Roman" w:hAnsi="Times New Roman"/>
          <w:sz w:val="21"/>
          <w:szCs w:val="21"/>
        </w:rPr>
      </w:pPr>
      <w:r w:rsidRPr="0063248C">
        <w:rPr>
          <w:rFonts w:ascii="Times New Roman" w:hAnsi="Times New Roman" w:hint="eastAsia"/>
          <w:sz w:val="18"/>
          <w:szCs w:val="18"/>
        </w:rPr>
        <w:lastRenderedPageBreak/>
        <w:t>当单项应收票据及应收账款无法以合理成本评估预期信用损失的信息时，本集团依据信用风险特征将应收票据及应收账款划分为若干组合，在组合基础上计算预期信用损失。如果有客观证据表明某项应收票据及应收账款已经发生信用减值，则本公司对该应收票据及应收账款单项计提坏账准备并确认预期信用损失。对于划分为组合的应收票据及应收账款，本公司参考历史信用损失经验，结合当前状况以及对未来经济状况的预测，通过违约风险敞口和整个存续期预期信用损失率，计算预期信用损失。</w:t>
      </w:r>
      <w:proofErr w:type="gramStart"/>
      <w:r w:rsidRPr="0063248C">
        <w:rPr>
          <w:rFonts w:ascii="Times New Roman" w:hAnsi="Times New Roman" w:hint="eastAsia"/>
          <w:sz w:val="18"/>
          <w:szCs w:val="18"/>
        </w:rPr>
        <w:t>对于按账龄</w:t>
      </w:r>
      <w:proofErr w:type="gramEnd"/>
      <w:r w:rsidRPr="0063248C">
        <w:rPr>
          <w:rFonts w:ascii="Times New Roman" w:hAnsi="Times New Roman" w:hint="eastAsia"/>
          <w:sz w:val="18"/>
          <w:szCs w:val="18"/>
        </w:rPr>
        <w:t>划分组合的应收账款，账</w:t>
      </w:r>
      <w:proofErr w:type="gramStart"/>
      <w:r w:rsidRPr="0063248C">
        <w:rPr>
          <w:rFonts w:ascii="Times New Roman" w:hAnsi="Times New Roman" w:hint="eastAsia"/>
          <w:sz w:val="18"/>
          <w:szCs w:val="18"/>
        </w:rPr>
        <w:t>龄自确认</w:t>
      </w:r>
      <w:proofErr w:type="gramEnd"/>
      <w:r w:rsidRPr="0063248C">
        <w:rPr>
          <w:rFonts w:ascii="Times New Roman" w:hAnsi="Times New Roman" w:hint="eastAsia"/>
          <w:sz w:val="18"/>
          <w:szCs w:val="18"/>
        </w:rPr>
        <w:t>之日起计算。</w:t>
      </w:r>
    </w:p>
    <w:p w14:paraId="0379E2A9" w14:textId="77777777" w:rsidR="00517D34" w:rsidRPr="0063248C" w:rsidRDefault="00000000">
      <w:pPr>
        <w:pStyle w:val="a3"/>
        <w:spacing w:before="0" w:beforeAutospacing="0" w:after="0" w:afterAutospacing="0" w:line="460" w:lineRule="atLeast"/>
        <w:ind w:firstLine="360"/>
        <w:jc w:val="both"/>
        <w:divId w:val="144706661"/>
        <w:rPr>
          <w:rFonts w:ascii="Times New Roman" w:hAnsi="Times New Roman"/>
        </w:rPr>
      </w:pPr>
      <w:r w:rsidRPr="0063248C">
        <w:rPr>
          <w:rFonts w:ascii="Times New Roman" w:hAnsi="Times New Roman" w:hint="eastAsia"/>
          <w:sz w:val="18"/>
          <w:szCs w:val="18"/>
        </w:rPr>
        <w:t>应收票据及应收账款组合：</w:t>
      </w:r>
    </w:p>
    <w:tbl>
      <w:tblPr>
        <w:tblW w:w="5000" w:type="pct"/>
        <w:jc w:val="center"/>
        <w:tblCellMar>
          <w:top w:w="15" w:type="dxa"/>
          <w:left w:w="15" w:type="dxa"/>
          <w:bottom w:w="15" w:type="dxa"/>
          <w:right w:w="15" w:type="dxa"/>
        </w:tblCellMar>
        <w:tblLook w:val="04A0" w:firstRow="1" w:lastRow="0" w:firstColumn="1" w:lastColumn="0" w:noHBand="0" w:noVBand="1"/>
      </w:tblPr>
      <w:tblGrid>
        <w:gridCol w:w="5126"/>
        <w:gridCol w:w="4727"/>
      </w:tblGrid>
      <w:tr w:rsidR="00517D34" w:rsidRPr="0063248C" w14:paraId="4921014E" w14:textId="77777777">
        <w:trPr>
          <w:divId w:val="144706661"/>
          <w:trHeight w:val="340"/>
          <w:jc w:val="center"/>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91C85"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项目</w:t>
            </w:r>
          </w:p>
        </w:tc>
        <w:tc>
          <w:tcPr>
            <w:tcW w:w="23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C8242F"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确定组合的依据</w:t>
            </w:r>
          </w:p>
        </w:tc>
      </w:tr>
      <w:tr w:rsidR="00517D34" w:rsidRPr="0063248C" w14:paraId="06D068C6" w14:textId="77777777">
        <w:trPr>
          <w:divId w:val="144706661"/>
          <w:trHeight w:val="340"/>
          <w:jc w:val="center"/>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3BEC46"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应收账款组合</w:t>
            </w:r>
            <w:r w:rsidRPr="0063248C">
              <w:rPr>
                <w:rFonts w:ascii="Times New Roman" w:hAnsi="Times New Roman" w:cs="Times New Roman"/>
                <w:sz w:val="18"/>
                <w:szCs w:val="18"/>
              </w:rPr>
              <w:t>1</w:t>
            </w:r>
            <w:r w:rsidRPr="0063248C">
              <w:rPr>
                <w:rFonts w:ascii="Times New Roman" w:hAnsi="Times New Roman" w:cs="Times New Roman" w:hint="eastAsia"/>
                <w:sz w:val="18"/>
                <w:szCs w:val="18"/>
              </w:rPr>
              <w:t>：应收合并范围内关联方款项组合</w:t>
            </w:r>
          </w:p>
        </w:tc>
        <w:tc>
          <w:tcPr>
            <w:tcW w:w="23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E3F23A"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合并范围内各家单位之间的往来款项</w:t>
            </w:r>
          </w:p>
        </w:tc>
      </w:tr>
      <w:tr w:rsidR="00517D34" w:rsidRPr="0063248C" w14:paraId="0555CB4F" w14:textId="77777777">
        <w:trPr>
          <w:divId w:val="144706661"/>
          <w:trHeight w:val="340"/>
          <w:jc w:val="center"/>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503545"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应收账款组合</w:t>
            </w:r>
            <w:r w:rsidRPr="0063248C">
              <w:rPr>
                <w:rFonts w:ascii="Times New Roman" w:hAnsi="Times New Roman" w:cs="Times New Roman"/>
                <w:sz w:val="18"/>
                <w:szCs w:val="18"/>
              </w:rPr>
              <w:t>2</w:t>
            </w:r>
            <w:r w:rsidRPr="0063248C">
              <w:rPr>
                <w:rFonts w:ascii="Times New Roman" w:hAnsi="Times New Roman" w:cs="Times New Roman" w:hint="eastAsia"/>
                <w:sz w:val="18"/>
                <w:szCs w:val="18"/>
              </w:rPr>
              <w:t>：</w:t>
            </w:r>
            <w:proofErr w:type="gramStart"/>
            <w:r w:rsidRPr="0063248C">
              <w:rPr>
                <w:rFonts w:ascii="Times New Roman" w:hAnsi="Times New Roman" w:cs="Times New Roman" w:hint="eastAsia"/>
                <w:sz w:val="18"/>
                <w:szCs w:val="18"/>
              </w:rPr>
              <w:t>账</w:t>
            </w:r>
            <w:proofErr w:type="gramEnd"/>
            <w:r w:rsidRPr="0063248C">
              <w:rPr>
                <w:rFonts w:ascii="Times New Roman" w:hAnsi="Times New Roman" w:cs="Times New Roman" w:hint="eastAsia"/>
                <w:sz w:val="18"/>
                <w:szCs w:val="18"/>
              </w:rPr>
              <w:t>龄组合</w:t>
            </w:r>
          </w:p>
        </w:tc>
        <w:tc>
          <w:tcPr>
            <w:tcW w:w="239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185A88"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本组合以应收款项的账</w:t>
            </w:r>
            <w:proofErr w:type="gramStart"/>
            <w:r w:rsidRPr="0063248C">
              <w:rPr>
                <w:rFonts w:ascii="Times New Roman" w:hAnsi="Times New Roman" w:cs="Times New Roman" w:hint="eastAsia"/>
                <w:sz w:val="18"/>
                <w:szCs w:val="18"/>
              </w:rPr>
              <w:t>龄作为</w:t>
            </w:r>
            <w:proofErr w:type="gramEnd"/>
            <w:r w:rsidRPr="0063248C">
              <w:rPr>
                <w:rFonts w:ascii="Times New Roman" w:hAnsi="Times New Roman" w:cs="Times New Roman" w:hint="eastAsia"/>
                <w:sz w:val="18"/>
                <w:szCs w:val="18"/>
              </w:rPr>
              <w:t>信用风险特征</w:t>
            </w:r>
          </w:p>
        </w:tc>
      </w:tr>
    </w:tbl>
    <w:p w14:paraId="47653625" w14:textId="77777777" w:rsidR="00517D34" w:rsidRPr="0063248C" w:rsidRDefault="00000000">
      <w:pPr>
        <w:pStyle w:val="a3"/>
        <w:spacing w:before="0" w:beforeAutospacing="0" w:after="0" w:afterAutospacing="0" w:line="273" w:lineRule="auto"/>
        <w:ind w:firstLine="360"/>
        <w:jc w:val="both"/>
        <w:divId w:val="144706661"/>
        <w:rPr>
          <w:rFonts w:ascii="Times New Roman" w:hAnsi="Times New Roman"/>
        </w:rPr>
      </w:pPr>
      <w:r w:rsidRPr="0063248C">
        <w:rPr>
          <w:rFonts w:ascii="Times New Roman" w:hAnsi="Times New Roman" w:hint="eastAsia"/>
          <w:sz w:val="18"/>
          <w:szCs w:val="18"/>
        </w:rPr>
        <w:t>各组合预期信用损失率</w:t>
      </w:r>
    </w:p>
    <w:p w14:paraId="10DAF5DF" w14:textId="77777777" w:rsidR="00517D34" w:rsidRPr="0063248C" w:rsidRDefault="00000000">
      <w:pPr>
        <w:pStyle w:val="a3"/>
        <w:spacing w:before="0" w:beforeAutospacing="0" w:after="0" w:afterAutospacing="0" w:line="273" w:lineRule="auto"/>
        <w:ind w:firstLine="360"/>
        <w:jc w:val="both"/>
        <w:divId w:val="144706661"/>
        <w:rPr>
          <w:rFonts w:ascii="Times New Roman" w:hAnsi="Times New Roman"/>
        </w:rPr>
      </w:pPr>
      <w:r w:rsidRPr="0063248C">
        <w:rPr>
          <w:rFonts w:ascii="Times New Roman" w:hAnsi="Times New Roman" w:hint="eastAsia"/>
          <w:sz w:val="18"/>
          <w:szCs w:val="18"/>
        </w:rPr>
        <w:t>应收票据组合</w:t>
      </w:r>
      <w:r w:rsidRPr="0063248C">
        <w:rPr>
          <w:rFonts w:ascii="Times New Roman" w:hAnsi="Times New Roman" w:cs="Times New Roman"/>
          <w:sz w:val="18"/>
          <w:szCs w:val="18"/>
        </w:rPr>
        <w:t>1</w:t>
      </w:r>
      <w:r w:rsidRPr="0063248C">
        <w:rPr>
          <w:rFonts w:ascii="Times New Roman" w:hAnsi="Times New Roman" w:hint="eastAsia"/>
          <w:sz w:val="18"/>
          <w:szCs w:val="18"/>
        </w:rPr>
        <w:t>：银行承兑汇票：承兑人具有较高的信用评级，历史上未发生票据违约，一般不计提坏账准备。</w:t>
      </w:r>
    </w:p>
    <w:p w14:paraId="3B1729FA" w14:textId="77777777" w:rsidR="00517D34" w:rsidRPr="0063248C" w:rsidRDefault="00000000">
      <w:pPr>
        <w:pStyle w:val="a3"/>
        <w:spacing w:before="0" w:beforeAutospacing="0" w:after="0" w:afterAutospacing="0" w:line="273" w:lineRule="auto"/>
        <w:ind w:firstLine="360"/>
        <w:jc w:val="both"/>
        <w:divId w:val="144706661"/>
        <w:rPr>
          <w:rFonts w:ascii="Times New Roman" w:hAnsi="Times New Roman"/>
        </w:rPr>
      </w:pPr>
      <w:r w:rsidRPr="0063248C">
        <w:rPr>
          <w:rFonts w:ascii="Times New Roman" w:hAnsi="Times New Roman" w:hint="eastAsia"/>
          <w:sz w:val="18"/>
          <w:szCs w:val="18"/>
        </w:rPr>
        <w:t>应收票据组合</w:t>
      </w:r>
      <w:r w:rsidRPr="0063248C">
        <w:rPr>
          <w:rFonts w:ascii="Times New Roman" w:hAnsi="Times New Roman" w:cs="Times New Roman"/>
          <w:sz w:val="18"/>
          <w:szCs w:val="18"/>
        </w:rPr>
        <w:t>2</w:t>
      </w:r>
      <w:r w:rsidRPr="0063248C">
        <w:rPr>
          <w:rFonts w:ascii="Times New Roman" w:hAnsi="Times New Roman" w:hint="eastAsia"/>
          <w:sz w:val="18"/>
          <w:szCs w:val="18"/>
        </w:rPr>
        <w:t>：商业承兑汇票：参照应收账款确定预期信用损失率计提坏账准备。</w:t>
      </w:r>
    </w:p>
    <w:p w14:paraId="02B23DFB" w14:textId="77777777" w:rsidR="00517D34" w:rsidRPr="0063248C" w:rsidRDefault="00000000">
      <w:pPr>
        <w:pStyle w:val="a3"/>
        <w:spacing w:before="0" w:beforeAutospacing="0" w:after="0" w:afterAutospacing="0" w:line="273" w:lineRule="auto"/>
        <w:ind w:firstLine="360"/>
        <w:jc w:val="both"/>
        <w:divId w:val="144706661"/>
        <w:rPr>
          <w:rFonts w:ascii="Times New Roman" w:hAnsi="Times New Roman"/>
        </w:rPr>
      </w:pPr>
      <w:r w:rsidRPr="0063248C">
        <w:rPr>
          <w:rFonts w:ascii="Times New Roman" w:hAnsi="Times New Roman" w:hint="eastAsia"/>
          <w:sz w:val="18"/>
          <w:szCs w:val="18"/>
        </w:rPr>
        <w:t>应收账款组合</w:t>
      </w:r>
      <w:r w:rsidRPr="0063248C">
        <w:rPr>
          <w:rFonts w:ascii="Times New Roman" w:hAnsi="Times New Roman" w:cs="Times New Roman"/>
          <w:sz w:val="18"/>
          <w:szCs w:val="18"/>
        </w:rPr>
        <w:t>1</w:t>
      </w:r>
      <w:r w:rsidRPr="0063248C">
        <w:rPr>
          <w:rFonts w:ascii="Times New Roman" w:hAnsi="Times New Roman" w:hint="eastAsia"/>
          <w:sz w:val="18"/>
          <w:szCs w:val="18"/>
        </w:rPr>
        <w:t>：应收合并范围内关联方款项组合：合并范围内公司的往来款，一般不计提坏账准备，除非子公司发生明显的大额亏损考虑单项计提坏账准备。</w:t>
      </w:r>
    </w:p>
    <w:p w14:paraId="0B0077B7" w14:textId="77777777" w:rsidR="00517D34" w:rsidRPr="0063248C" w:rsidRDefault="00000000">
      <w:pPr>
        <w:pStyle w:val="a3"/>
        <w:spacing w:before="0" w:beforeAutospacing="0" w:after="0" w:afterAutospacing="0" w:line="273" w:lineRule="auto"/>
        <w:ind w:firstLine="360"/>
        <w:jc w:val="both"/>
        <w:divId w:val="144706661"/>
        <w:rPr>
          <w:rFonts w:ascii="Times New Roman" w:hAnsi="Times New Roman"/>
        </w:rPr>
      </w:pPr>
      <w:r w:rsidRPr="0063248C">
        <w:rPr>
          <w:rFonts w:ascii="Times New Roman" w:hAnsi="Times New Roman" w:hint="eastAsia"/>
          <w:sz w:val="18"/>
          <w:szCs w:val="18"/>
        </w:rPr>
        <w:t>应收账款组合</w:t>
      </w:r>
      <w:r w:rsidRPr="0063248C">
        <w:rPr>
          <w:rFonts w:ascii="Times New Roman" w:hAnsi="Times New Roman" w:cs="Times New Roman"/>
          <w:sz w:val="18"/>
          <w:szCs w:val="18"/>
        </w:rPr>
        <w:t>2</w:t>
      </w:r>
      <w:r w:rsidRPr="0063248C">
        <w:rPr>
          <w:rFonts w:ascii="Times New Roman" w:hAnsi="Times New Roman" w:hint="eastAsia"/>
          <w:sz w:val="18"/>
          <w:szCs w:val="18"/>
        </w:rPr>
        <w:t>：</w:t>
      </w:r>
      <w:proofErr w:type="gramStart"/>
      <w:r w:rsidRPr="0063248C">
        <w:rPr>
          <w:rFonts w:ascii="Times New Roman" w:hAnsi="Times New Roman" w:hint="eastAsia"/>
          <w:sz w:val="18"/>
          <w:szCs w:val="18"/>
        </w:rPr>
        <w:t>账</w:t>
      </w:r>
      <w:proofErr w:type="gramEnd"/>
      <w:r w:rsidRPr="0063248C">
        <w:rPr>
          <w:rFonts w:ascii="Times New Roman" w:hAnsi="Times New Roman" w:hint="eastAsia"/>
          <w:sz w:val="18"/>
          <w:szCs w:val="18"/>
        </w:rPr>
        <w:t>龄组合：</w:t>
      </w:r>
    </w:p>
    <w:tbl>
      <w:tblPr>
        <w:tblW w:w="9795" w:type="dxa"/>
        <w:tblCellMar>
          <w:top w:w="15" w:type="dxa"/>
          <w:left w:w="15" w:type="dxa"/>
          <w:bottom w:w="15" w:type="dxa"/>
          <w:right w:w="15" w:type="dxa"/>
        </w:tblCellMar>
        <w:tblLook w:val="04A0" w:firstRow="1" w:lastRow="0" w:firstColumn="1" w:lastColumn="0" w:noHBand="0" w:noVBand="1"/>
      </w:tblPr>
      <w:tblGrid>
        <w:gridCol w:w="5093"/>
        <w:gridCol w:w="4702"/>
      </w:tblGrid>
      <w:tr w:rsidR="00517D34" w:rsidRPr="00B84D72" w14:paraId="4C389AF3" w14:textId="77777777">
        <w:trPr>
          <w:divId w:val="144706661"/>
          <w:trHeight w:val="340"/>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FD5D6F" w14:textId="77777777" w:rsidR="00517D34" w:rsidRPr="00B84D72" w:rsidRDefault="00000000" w:rsidP="0035454A">
            <w:pPr>
              <w:pStyle w:val="a3"/>
              <w:spacing w:before="0" w:beforeAutospacing="0" w:after="0" w:afterAutospacing="0"/>
              <w:jc w:val="center"/>
              <w:rPr>
                <w:rFonts w:ascii="Times New Roman" w:hAnsi="Times New Roman" w:cs="Times New Roman"/>
                <w:sz w:val="18"/>
                <w:szCs w:val="18"/>
              </w:rPr>
            </w:pPr>
            <w:r w:rsidRPr="00B84D72">
              <w:rPr>
                <w:rFonts w:ascii="Times New Roman" w:hAnsi="Times New Roman" w:cs="Times New Roman" w:hint="eastAsia"/>
                <w:sz w:val="18"/>
                <w:szCs w:val="18"/>
              </w:rPr>
              <w:t>账龄</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F62D67" w14:textId="77777777" w:rsidR="00517D34" w:rsidRPr="00B84D72" w:rsidRDefault="00000000" w:rsidP="0035454A">
            <w:pPr>
              <w:pStyle w:val="a3"/>
              <w:spacing w:before="0" w:beforeAutospacing="0" w:after="0" w:afterAutospacing="0"/>
              <w:jc w:val="center"/>
              <w:rPr>
                <w:rFonts w:ascii="Times New Roman" w:hAnsi="Times New Roman" w:cs="Times New Roman"/>
                <w:sz w:val="18"/>
                <w:szCs w:val="18"/>
              </w:rPr>
            </w:pPr>
            <w:r w:rsidRPr="00B84D72">
              <w:rPr>
                <w:rFonts w:ascii="Times New Roman" w:hAnsi="Times New Roman" w:cs="Times New Roman" w:hint="eastAsia"/>
                <w:sz w:val="18"/>
                <w:szCs w:val="18"/>
              </w:rPr>
              <w:t>预期信用损失率（</w:t>
            </w:r>
            <w:r w:rsidRPr="00B84D72">
              <w:rPr>
                <w:rFonts w:ascii="Times New Roman" w:hAnsi="Times New Roman" w:cs="Times New Roman"/>
                <w:sz w:val="18"/>
                <w:szCs w:val="18"/>
              </w:rPr>
              <w:t>%</w:t>
            </w:r>
            <w:r w:rsidRPr="00B84D72">
              <w:rPr>
                <w:rFonts w:ascii="Times New Roman" w:hAnsi="Times New Roman" w:cs="Times New Roman" w:hint="eastAsia"/>
                <w:sz w:val="18"/>
                <w:szCs w:val="18"/>
              </w:rPr>
              <w:t>）</w:t>
            </w:r>
          </w:p>
        </w:tc>
      </w:tr>
      <w:tr w:rsidR="00517D34" w:rsidRPr="00B84D72" w14:paraId="64E2DB0E"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9D4C42" w14:textId="77777777" w:rsidR="00517D34" w:rsidRPr="00B84D72" w:rsidRDefault="00000000">
            <w:pPr>
              <w:pStyle w:val="a3"/>
              <w:spacing w:before="0" w:beforeAutospacing="0" w:after="0" w:afterAutospacing="0"/>
              <w:rPr>
                <w:rFonts w:ascii="Times New Roman" w:hAnsi="Times New Roman" w:cs="Times New Roman"/>
                <w:sz w:val="18"/>
                <w:szCs w:val="18"/>
              </w:rPr>
            </w:pPr>
            <w:r w:rsidRPr="00B84D72">
              <w:rPr>
                <w:rFonts w:ascii="Times New Roman" w:hAnsi="Times New Roman" w:cs="Times New Roman"/>
                <w:sz w:val="18"/>
                <w:szCs w:val="18"/>
              </w:rPr>
              <w:t>1-3</w:t>
            </w:r>
            <w:r w:rsidRPr="00B84D72">
              <w:rPr>
                <w:rFonts w:ascii="Times New Roman" w:hAnsi="Times New Roman" w:cs="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835864" w14:textId="77777777" w:rsidR="00517D34" w:rsidRPr="00B84D72" w:rsidRDefault="00000000">
            <w:pPr>
              <w:pStyle w:val="a3"/>
              <w:spacing w:before="0" w:beforeAutospacing="0" w:after="0" w:afterAutospacing="0"/>
              <w:jc w:val="center"/>
              <w:rPr>
                <w:rFonts w:ascii="Times New Roman" w:hAnsi="Times New Roman" w:cs="Times New Roman"/>
                <w:sz w:val="18"/>
                <w:szCs w:val="18"/>
              </w:rPr>
            </w:pPr>
            <w:r w:rsidRPr="00B84D72">
              <w:rPr>
                <w:rFonts w:ascii="Times New Roman" w:hAnsi="Times New Roman" w:cs="Times New Roman"/>
                <w:sz w:val="18"/>
                <w:szCs w:val="18"/>
              </w:rPr>
              <w:t>2.25%</w:t>
            </w:r>
          </w:p>
        </w:tc>
      </w:tr>
      <w:tr w:rsidR="00517D34" w:rsidRPr="00B84D72" w14:paraId="2863BD64"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FA830C" w14:textId="77777777" w:rsidR="00517D34" w:rsidRPr="00B84D72" w:rsidRDefault="00000000">
            <w:pPr>
              <w:pStyle w:val="a3"/>
              <w:spacing w:before="0" w:beforeAutospacing="0" w:after="0" w:afterAutospacing="0"/>
              <w:rPr>
                <w:rFonts w:ascii="Times New Roman" w:hAnsi="Times New Roman" w:cs="Times New Roman"/>
                <w:sz w:val="18"/>
                <w:szCs w:val="18"/>
              </w:rPr>
            </w:pPr>
            <w:r w:rsidRPr="00B84D72">
              <w:rPr>
                <w:rFonts w:ascii="Times New Roman" w:hAnsi="Times New Roman" w:cs="Times New Roman"/>
                <w:sz w:val="18"/>
                <w:szCs w:val="18"/>
              </w:rPr>
              <w:t>4-6</w:t>
            </w:r>
            <w:r w:rsidRPr="00B84D72">
              <w:rPr>
                <w:rFonts w:ascii="Times New Roman" w:hAnsi="Times New Roman" w:cs="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3E8250D4" w14:textId="77777777" w:rsidR="00517D34" w:rsidRPr="00B84D72" w:rsidRDefault="00000000">
            <w:pPr>
              <w:pStyle w:val="a3"/>
              <w:spacing w:before="0" w:beforeAutospacing="0" w:after="0" w:afterAutospacing="0"/>
              <w:jc w:val="center"/>
              <w:rPr>
                <w:rFonts w:ascii="Times New Roman" w:hAnsi="Times New Roman" w:cs="Times New Roman"/>
                <w:sz w:val="18"/>
                <w:szCs w:val="18"/>
              </w:rPr>
            </w:pPr>
            <w:r w:rsidRPr="00B84D72">
              <w:rPr>
                <w:rFonts w:ascii="Times New Roman" w:hAnsi="Times New Roman" w:cs="Times New Roman"/>
                <w:sz w:val="18"/>
                <w:szCs w:val="18"/>
              </w:rPr>
              <w:t>2.25%</w:t>
            </w:r>
          </w:p>
        </w:tc>
      </w:tr>
      <w:tr w:rsidR="00517D34" w:rsidRPr="00B84D72" w14:paraId="63108536"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658025" w14:textId="77777777" w:rsidR="00517D34" w:rsidRPr="00B84D72" w:rsidRDefault="00000000">
            <w:pPr>
              <w:pStyle w:val="a3"/>
              <w:spacing w:before="0" w:beforeAutospacing="0" w:after="0" w:afterAutospacing="0"/>
              <w:rPr>
                <w:rFonts w:ascii="Times New Roman" w:hAnsi="Times New Roman" w:cs="Times New Roman"/>
                <w:sz w:val="18"/>
                <w:szCs w:val="18"/>
              </w:rPr>
            </w:pPr>
            <w:r w:rsidRPr="00B84D72">
              <w:rPr>
                <w:rFonts w:ascii="Times New Roman" w:hAnsi="Times New Roman" w:cs="Times New Roman"/>
                <w:sz w:val="18"/>
                <w:szCs w:val="18"/>
              </w:rPr>
              <w:t>7-9</w:t>
            </w:r>
            <w:r w:rsidRPr="00B84D72">
              <w:rPr>
                <w:rFonts w:ascii="Times New Roman" w:hAnsi="Times New Roman" w:cs="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71F1C49C" w14:textId="77777777" w:rsidR="00517D34" w:rsidRPr="00B84D72" w:rsidRDefault="00000000">
            <w:pPr>
              <w:pStyle w:val="a3"/>
              <w:spacing w:before="0" w:beforeAutospacing="0" w:after="0" w:afterAutospacing="0"/>
              <w:jc w:val="center"/>
              <w:rPr>
                <w:rFonts w:ascii="Times New Roman" w:hAnsi="Times New Roman" w:cs="Times New Roman"/>
                <w:sz w:val="18"/>
                <w:szCs w:val="18"/>
              </w:rPr>
            </w:pPr>
            <w:r w:rsidRPr="00B84D72">
              <w:rPr>
                <w:rFonts w:ascii="Times New Roman" w:hAnsi="Times New Roman" w:cs="Times New Roman"/>
                <w:sz w:val="18"/>
                <w:szCs w:val="18"/>
              </w:rPr>
              <w:t>2.25%</w:t>
            </w:r>
          </w:p>
        </w:tc>
      </w:tr>
      <w:tr w:rsidR="00517D34" w:rsidRPr="00B84D72" w14:paraId="19AE7D62"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D3623B" w14:textId="77777777" w:rsidR="00517D34" w:rsidRPr="00B84D72" w:rsidRDefault="00000000">
            <w:pPr>
              <w:pStyle w:val="a3"/>
              <w:spacing w:before="0" w:beforeAutospacing="0" w:after="0" w:afterAutospacing="0"/>
              <w:rPr>
                <w:rFonts w:ascii="Times New Roman" w:hAnsi="Times New Roman" w:cs="Times New Roman"/>
                <w:sz w:val="18"/>
                <w:szCs w:val="18"/>
              </w:rPr>
            </w:pPr>
            <w:r w:rsidRPr="00B84D72">
              <w:rPr>
                <w:rFonts w:ascii="Times New Roman" w:hAnsi="Times New Roman" w:cs="Times New Roman"/>
                <w:sz w:val="18"/>
                <w:szCs w:val="18"/>
              </w:rPr>
              <w:t>10-12</w:t>
            </w:r>
            <w:r w:rsidRPr="00B84D72">
              <w:rPr>
                <w:rFonts w:ascii="Times New Roman" w:hAnsi="Times New Roman" w:cs="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476C1D57" w14:textId="77777777" w:rsidR="00517D34" w:rsidRPr="00B84D72" w:rsidRDefault="00000000">
            <w:pPr>
              <w:pStyle w:val="a3"/>
              <w:spacing w:before="0" w:beforeAutospacing="0" w:after="0" w:afterAutospacing="0"/>
              <w:jc w:val="center"/>
              <w:rPr>
                <w:rFonts w:ascii="Times New Roman" w:hAnsi="Times New Roman" w:cs="Times New Roman"/>
                <w:sz w:val="18"/>
                <w:szCs w:val="18"/>
              </w:rPr>
            </w:pPr>
            <w:r w:rsidRPr="00B84D72">
              <w:rPr>
                <w:rFonts w:ascii="Times New Roman" w:hAnsi="Times New Roman" w:cs="Times New Roman"/>
                <w:sz w:val="18"/>
                <w:szCs w:val="18"/>
              </w:rPr>
              <w:t>2.25%</w:t>
            </w:r>
          </w:p>
        </w:tc>
      </w:tr>
      <w:tr w:rsidR="00517D34" w:rsidRPr="00B84D72" w14:paraId="3EA337A7"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0CC5DB" w14:textId="77777777" w:rsidR="00517D34" w:rsidRPr="00B84D72" w:rsidRDefault="00000000">
            <w:pPr>
              <w:pStyle w:val="a3"/>
              <w:spacing w:before="0" w:beforeAutospacing="0" w:after="0" w:afterAutospacing="0"/>
              <w:rPr>
                <w:rFonts w:ascii="Times New Roman" w:hAnsi="Times New Roman" w:cs="Times New Roman"/>
                <w:sz w:val="18"/>
                <w:szCs w:val="18"/>
              </w:rPr>
            </w:pPr>
            <w:r w:rsidRPr="00B84D72">
              <w:rPr>
                <w:rFonts w:ascii="Times New Roman" w:hAnsi="Times New Roman" w:cs="Times New Roman"/>
                <w:sz w:val="18"/>
                <w:szCs w:val="18"/>
              </w:rPr>
              <w:t>1-2</w:t>
            </w:r>
            <w:r w:rsidRPr="00B84D72">
              <w:rPr>
                <w:rFonts w:ascii="Times New Roman" w:hAnsi="Times New Roman" w:cs="Times New Roman" w:hint="eastAsia"/>
                <w:sz w:val="18"/>
                <w:szCs w:val="18"/>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0F57AC" w14:textId="77777777" w:rsidR="00517D34" w:rsidRPr="00B84D72" w:rsidRDefault="00000000">
            <w:pPr>
              <w:pStyle w:val="a3"/>
              <w:spacing w:before="0" w:beforeAutospacing="0" w:after="0" w:afterAutospacing="0"/>
              <w:jc w:val="center"/>
              <w:rPr>
                <w:rFonts w:ascii="Times New Roman" w:hAnsi="Times New Roman" w:cs="Times New Roman"/>
                <w:sz w:val="18"/>
                <w:szCs w:val="18"/>
              </w:rPr>
            </w:pPr>
            <w:r w:rsidRPr="00B84D72">
              <w:rPr>
                <w:rFonts w:ascii="Times New Roman" w:hAnsi="Times New Roman" w:cs="Times New Roman"/>
                <w:sz w:val="18"/>
                <w:szCs w:val="18"/>
              </w:rPr>
              <w:t>25%</w:t>
            </w:r>
          </w:p>
        </w:tc>
      </w:tr>
      <w:tr w:rsidR="00517D34" w:rsidRPr="00B84D72" w14:paraId="3D83E249"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9AD72A" w14:textId="77777777" w:rsidR="00517D34" w:rsidRPr="00B84D72" w:rsidRDefault="00000000">
            <w:pPr>
              <w:pStyle w:val="a3"/>
              <w:spacing w:before="0" w:beforeAutospacing="0" w:after="0" w:afterAutospacing="0"/>
              <w:rPr>
                <w:rFonts w:ascii="Times New Roman" w:hAnsi="Times New Roman" w:cs="Times New Roman"/>
                <w:sz w:val="18"/>
                <w:szCs w:val="18"/>
              </w:rPr>
            </w:pPr>
            <w:r w:rsidRPr="00B84D72">
              <w:rPr>
                <w:rFonts w:ascii="Times New Roman" w:hAnsi="Times New Roman" w:cs="Times New Roman"/>
                <w:sz w:val="18"/>
                <w:szCs w:val="18"/>
              </w:rPr>
              <w:t>2-3</w:t>
            </w:r>
            <w:r w:rsidRPr="00B84D72">
              <w:rPr>
                <w:rFonts w:ascii="Times New Roman" w:hAnsi="Times New Roman" w:cs="Times New Roman" w:hint="eastAsia"/>
                <w:sz w:val="18"/>
                <w:szCs w:val="18"/>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3D2366" w14:textId="77777777" w:rsidR="00517D34" w:rsidRPr="00B84D72" w:rsidRDefault="00000000">
            <w:pPr>
              <w:pStyle w:val="a3"/>
              <w:spacing w:before="0" w:beforeAutospacing="0" w:after="0" w:afterAutospacing="0"/>
              <w:jc w:val="center"/>
              <w:rPr>
                <w:rFonts w:ascii="Times New Roman" w:hAnsi="Times New Roman" w:cs="Times New Roman"/>
                <w:sz w:val="18"/>
                <w:szCs w:val="18"/>
              </w:rPr>
            </w:pPr>
            <w:r w:rsidRPr="00B84D72">
              <w:rPr>
                <w:rFonts w:ascii="Times New Roman" w:hAnsi="Times New Roman" w:cs="Times New Roman"/>
                <w:sz w:val="18"/>
                <w:szCs w:val="18"/>
              </w:rPr>
              <w:t>50%</w:t>
            </w:r>
          </w:p>
        </w:tc>
      </w:tr>
      <w:tr w:rsidR="00517D34" w:rsidRPr="00B84D72" w14:paraId="511D7BC8"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8CE962" w14:textId="77777777" w:rsidR="00517D34" w:rsidRPr="00B84D72" w:rsidRDefault="00000000">
            <w:pPr>
              <w:pStyle w:val="a3"/>
              <w:spacing w:before="0" w:beforeAutospacing="0" w:after="0" w:afterAutospacing="0"/>
              <w:rPr>
                <w:rFonts w:ascii="Times New Roman" w:hAnsi="Times New Roman" w:cs="Times New Roman"/>
                <w:sz w:val="18"/>
                <w:szCs w:val="18"/>
              </w:rPr>
            </w:pPr>
            <w:r w:rsidRPr="00B84D72">
              <w:rPr>
                <w:rFonts w:ascii="Times New Roman" w:hAnsi="Times New Roman" w:cs="Times New Roman"/>
                <w:sz w:val="18"/>
                <w:szCs w:val="18"/>
              </w:rPr>
              <w:t>3</w:t>
            </w:r>
            <w:r w:rsidRPr="00B84D72">
              <w:rPr>
                <w:rFonts w:ascii="Times New Roman" w:hAnsi="Times New Roman" w:cs="Times New Roman" w:hint="eastAsia"/>
                <w:sz w:val="18"/>
                <w:szCs w:val="18"/>
              </w:rPr>
              <w:t>年以上</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E2066E" w14:textId="77777777" w:rsidR="00517D34" w:rsidRPr="00B84D72" w:rsidRDefault="00000000">
            <w:pPr>
              <w:pStyle w:val="a3"/>
              <w:spacing w:before="0" w:beforeAutospacing="0" w:after="0" w:afterAutospacing="0"/>
              <w:jc w:val="center"/>
              <w:rPr>
                <w:rFonts w:ascii="Times New Roman" w:hAnsi="Times New Roman" w:cs="Times New Roman"/>
                <w:sz w:val="18"/>
                <w:szCs w:val="18"/>
              </w:rPr>
            </w:pPr>
            <w:r w:rsidRPr="00B84D72">
              <w:rPr>
                <w:rFonts w:ascii="Times New Roman" w:hAnsi="Times New Roman" w:cs="Times New Roman"/>
                <w:sz w:val="18"/>
                <w:szCs w:val="18"/>
              </w:rPr>
              <w:t>80%</w:t>
            </w:r>
          </w:p>
        </w:tc>
      </w:tr>
    </w:tbl>
    <w:p w14:paraId="73228EFB" w14:textId="77777777" w:rsidR="00517D34" w:rsidRPr="0063248C" w:rsidRDefault="00000000">
      <w:pPr>
        <w:pStyle w:val="a3"/>
        <w:spacing w:before="0" w:beforeAutospacing="0" w:after="0" w:afterAutospacing="0" w:line="273" w:lineRule="auto"/>
        <w:ind w:firstLine="360"/>
        <w:divId w:val="144706661"/>
        <w:rPr>
          <w:rFonts w:ascii="Times New Roman" w:hAnsi="Times New Roman"/>
          <w:sz w:val="21"/>
          <w:szCs w:val="21"/>
        </w:rPr>
      </w:pPr>
      <w:r w:rsidRPr="0063248C">
        <w:rPr>
          <w:rFonts w:ascii="Times New Roman" w:hAnsi="Times New Roman" w:hint="eastAsia"/>
          <w:sz w:val="18"/>
          <w:szCs w:val="18"/>
        </w:rPr>
        <w:t>应收款项融资</w:t>
      </w:r>
    </w:p>
    <w:p w14:paraId="0FD41F88" w14:textId="77777777" w:rsidR="00517D34" w:rsidRPr="0063248C" w:rsidRDefault="00000000">
      <w:pPr>
        <w:pStyle w:val="a3"/>
        <w:spacing w:before="0" w:beforeAutospacing="0" w:after="0" w:afterAutospacing="0" w:line="273" w:lineRule="auto"/>
        <w:ind w:firstLine="360"/>
        <w:divId w:val="144706661"/>
        <w:rPr>
          <w:rFonts w:ascii="Times New Roman" w:hAnsi="Times New Roman"/>
          <w:sz w:val="21"/>
          <w:szCs w:val="21"/>
        </w:rPr>
      </w:pPr>
      <w:r w:rsidRPr="0063248C">
        <w:rPr>
          <w:rFonts w:ascii="Times New Roman" w:hAnsi="Times New Roman" w:hint="eastAsia"/>
          <w:sz w:val="18"/>
          <w:szCs w:val="18"/>
        </w:rPr>
        <w:t>按照附注五、</w:t>
      </w:r>
      <w:r w:rsidRPr="0063248C">
        <w:rPr>
          <w:rFonts w:ascii="Times New Roman" w:hAnsi="Times New Roman" w:cs="Times New Roman"/>
          <w:sz w:val="18"/>
          <w:szCs w:val="18"/>
        </w:rPr>
        <w:t>11</w:t>
      </w:r>
      <w:r w:rsidRPr="0063248C">
        <w:rPr>
          <w:rFonts w:ascii="Times New Roman" w:hAnsi="Times New Roman" w:hint="eastAsia"/>
          <w:sz w:val="18"/>
          <w:szCs w:val="18"/>
        </w:rPr>
        <w:t>、（</w:t>
      </w:r>
      <w:r w:rsidRPr="0063248C">
        <w:rPr>
          <w:rFonts w:ascii="Times New Roman" w:hAnsi="Times New Roman" w:cs="Times New Roman"/>
          <w:sz w:val="18"/>
          <w:szCs w:val="18"/>
        </w:rPr>
        <w:t>2</w:t>
      </w:r>
      <w:r w:rsidRPr="0063248C">
        <w:rPr>
          <w:rFonts w:ascii="Times New Roman" w:hAnsi="Times New Roman" w:hint="eastAsia"/>
          <w:sz w:val="18"/>
          <w:szCs w:val="18"/>
        </w:rPr>
        <w:t>）减值准备的确认和计量中的描述确认和计量减值。当单项应收款项融资无法以合理成本评估预期信用损失的信息时，本公司依据信用风险特征将应收款项融资划分为若干组合，在组合基础上计算预期信用损失，确定组合的依据如下：</w:t>
      </w:r>
    </w:p>
    <w:tbl>
      <w:tblPr>
        <w:tblW w:w="9975" w:type="dxa"/>
        <w:tblCellMar>
          <w:top w:w="15" w:type="dxa"/>
          <w:left w:w="15" w:type="dxa"/>
          <w:bottom w:w="15" w:type="dxa"/>
          <w:right w:w="15" w:type="dxa"/>
        </w:tblCellMar>
        <w:tblLook w:val="04A0" w:firstRow="1" w:lastRow="0" w:firstColumn="1" w:lastColumn="0" w:noHBand="0" w:noVBand="1"/>
      </w:tblPr>
      <w:tblGrid>
        <w:gridCol w:w="4551"/>
        <w:gridCol w:w="5424"/>
      </w:tblGrid>
      <w:tr w:rsidR="00517D34" w:rsidRPr="0063248C" w14:paraId="5E9E6295" w14:textId="77777777">
        <w:trPr>
          <w:divId w:val="144706661"/>
          <w:trHeight w:val="340"/>
        </w:trPr>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A710F"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组合名称</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601F53"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确定组合的依据</w:t>
            </w:r>
          </w:p>
        </w:tc>
      </w:tr>
      <w:tr w:rsidR="00517D34" w:rsidRPr="0063248C" w14:paraId="600D19DE" w14:textId="77777777">
        <w:trPr>
          <w:divId w:val="144706661"/>
          <w:trHeight w:val="340"/>
        </w:trPr>
        <w:tc>
          <w:tcPr>
            <w:tcW w:w="228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38C724"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组合</w:t>
            </w:r>
            <w:r w:rsidRPr="0063248C">
              <w:rPr>
                <w:rFonts w:ascii="Times New Roman" w:hAnsi="Times New Roman" w:cs="Times New Roman"/>
                <w:sz w:val="18"/>
                <w:szCs w:val="18"/>
              </w:rPr>
              <w:t>1</w:t>
            </w:r>
            <w:r w:rsidRPr="0063248C">
              <w:rPr>
                <w:rFonts w:ascii="Times New Roman" w:hAnsi="Times New Roman" w:cs="Times New Roman" w:hint="eastAsia"/>
                <w:sz w:val="18"/>
                <w:szCs w:val="18"/>
              </w:rPr>
              <w:t>：应收合并范围内关联方款项组合</w:t>
            </w:r>
          </w:p>
        </w:tc>
        <w:tc>
          <w:tcPr>
            <w:tcW w:w="271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3CA831"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合并范围内各家单位之间的往来款项</w:t>
            </w:r>
          </w:p>
        </w:tc>
      </w:tr>
      <w:tr w:rsidR="00517D34" w:rsidRPr="0063248C" w14:paraId="473EA5E8" w14:textId="77777777">
        <w:trPr>
          <w:divId w:val="144706661"/>
          <w:trHeight w:val="340"/>
        </w:trPr>
        <w:tc>
          <w:tcPr>
            <w:tcW w:w="228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A65115"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组合</w:t>
            </w:r>
            <w:r w:rsidRPr="0063248C">
              <w:rPr>
                <w:rFonts w:ascii="Times New Roman" w:hAnsi="Times New Roman" w:cs="Times New Roman"/>
                <w:sz w:val="18"/>
                <w:szCs w:val="18"/>
              </w:rPr>
              <w:t>2</w:t>
            </w:r>
            <w:r w:rsidRPr="0063248C">
              <w:rPr>
                <w:rFonts w:ascii="Times New Roman" w:hAnsi="Times New Roman" w:cs="Times New Roman" w:hint="eastAsia"/>
                <w:sz w:val="18"/>
                <w:szCs w:val="18"/>
              </w:rPr>
              <w:t>：</w:t>
            </w:r>
            <w:proofErr w:type="gramStart"/>
            <w:r w:rsidRPr="0063248C">
              <w:rPr>
                <w:rFonts w:ascii="Times New Roman" w:hAnsi="Times New Roman" w:cs="Times New Roman" w:hint="eastAsia"/>
                <w:sz w:val="18"/>
                <w:szCs w:val="18"/>
              </w:rPr>
              <w:t>账</w:t>
            </w:r>
            <w:proofErr w:type="gramEnd"/>
            <w:r w:rsidRPr="0063248C">
              <w:rPr>
                <w:rFonts w:ascii="Times New Roman" w:hAnsi="Times New Roman" w:cs="Times New Roman" w:hint="eastAsia"/>
                <w:sz w:val="18"/>
                <w:szCs w:val="18"/>
              </w:rPr>
              <w:t>龄组合</w:t>
            </w:r>
          </w:p>
        </w:tc>
        <w:tc>
          <w:tcPr>
            <w:tcW w:w="271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818100"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本组合以应收款项的账</w:t>
            </w:r>
            <w:proofErr w:type="gramStart"/>
            <w:r w:rsidRPr="0063248C">
              <w:rPr>
                <w:rFonts w:ascii="Times New Roman" w:hAnsi="Times New Roman" w:cs="Times New Roman" w:hint="eastAsia"/>
                <w:sz w:val="18"/>
                <w:szCs w:val="18"/>
              </w:rPr>
              <w:t>龄作为</w:t>
            </w:r>
            <w:proofErr w:type="gramEnd"/>
            <w:r w:rsidRPr="0063248C">
              <w:rPr>
                <w:rFonts w:ascii="Times New Roman" w:hAnsi="Times New Roman" w:cs="Times New Roman" w:hint="eastAsia"/>
                <w:sz w:val="18"/>
                <w:szCs w:val="18"/>
              </w:rPr>
              <w:t>信用风险特征</w:t>
            </w:r>
          </w:p>
        </w:tc>
      </w:tr>
    </w:tbl>
    <w:p w14:paraId="496F8501" w14:textId="77777777" w:rsidR="00517D34" w:rsidRPr="0063248C" w:rsidRDefault="00000000">
      <w:pPr>
        <w:pStyle w:val="a3"/>
        <w:spacing w:before="0" w:beforeAutospacing="0" w:after="0" w:afterAutospacing="0" w:line="273" w:lineRule="auto"/>
        <w:ind w:firstLine="360"/>
        <w:divId w:val="144706661"/>
        <w:rPr>
          <w:rFonts w:ascii="Times New Roman" w:hAnsi="Times New Roman"/>
          <w:sz w:val="21"/>
          <w:szCs w:val="21"/>
        </w:rPr>
      </w:pPr>
      <w:r w:rsidRPr="0063248C">
        <w:rPr>
          <w:rFonts w:ascii="Times New Roman" w:hAnsi="Times New Roman" w:hint="eastAsia"/>
          <w:sz w:val="18"/>
          <w:szCs w:val="18"/>
        </w:rPr>
        <w:t>其他应收款减值</w:t>
      </w:r>
    </w:p>
    <w:p w14:paraId="564E5B64"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按照附注五、</w:t>
      </w:r>
      <w:r w:rsidRPr="0063248C">
        <w:rPr>
          <w:rFonts w:ascii="Times New Roman" w:hAnsi="Times New Roman" w:cs="Times New Roman"/>
          <w:sz w:val="18"/>
          <w:szCs w:val="18"/>
        </w:rPr>
        <w:t>11</w:t>
      </w:r>
      <w:r w:rsidRPr="0063248C">
        <w:rPr>
          <w:rFonts w:ascii="Times New Roman" w:hAnsi="Times New Roman" w:hint="eastAsia"/>
          <w:sz w:val="18"/>
          <w:szCs w:val="18"/>
        </w:rPr>
        <w:t>、（</w:t>
      </w:r>
      <w:r w:rsidRPr="0063248C">
        <w:rPr>
          <w:rFonts w:ascii="Times New Roman" w:hAnsi="Times New Roman" w:cs="Times New Roman"/>
          <w:sz w:val="18"/>
          <w:szCs w:val="18"/>
        </w:rPr>
        <w:t>2</w:t>
      </w:r>
      <w:r w:rsidRPr="0063248C">
        <w:rPr>
          <w:rFonts w:ascii="Times New Roman" w:hAnsi="Times New Roman" w:hint="eastAsia"/>
          <w:sz w:val="18"/>
          <w:szCs w:val="18"/>
        </w:rPr>
        <w:t>）减值准备的确认和计量中的描述确认和计量减值。当单项其他应收款无法以合理成本评估预期信用损失的信息时，本公司依据信用风险特征将其他应收款划分为若干组合，在组合基础上计算预期信用损失。</w:t>
      </w:r>
      <w:proofErr w:type="gramStart"/>
      <w:r w:rsidRPr="0063248C">
        <w:rPr>
          <w:rFonts w:ascii="Times New Roman" w:hAnsi="Times New Roman" w:hint="eastAsia"/>
          <w:sz w:val="18"/>
          <w:szCs w:val="18"/>
        </w:rPr>
        <w:t>对于按账龄</w:t>
      </w:r>
      <w:proofErr w:type="gramEnd"/>
      <w:r w:rsidRPr="0063248C">
        <w:rPr>
          <w:rFonts w:ascii="Times New Roman" w:hAnsi="Times New Roman" w:hint="eastAsia"/>
          <w:sz w:val="18"/>
          <w:szCs w:val="18"/>
        </w:rPr>
        <w:t>划分组合的其他应收款，账</w:t>
      </w:r>
      <w:proofErr w:type="gramStart"/>
      <w:r w:rsidRPr="0063248C">
        <w:rPr>
          <w:rFonts w:ascii="Times New Roman" w:hAnsi="Times New Roman" w:hint="eastAsia"/>
          <w:sz w:val="18"/>
          <w:szCs w:val="18"/>
        </w:rPr>
        <w:t>龄自确认</w:t>
      </w:r>
      <w:proofErr w:type="gramEnd"/>
      <w:r w:rsidRPr="0063248C">
        <w:rPr>
          <w:rFonts w:ascii="Times New Roman" w:hAnsi="Times New Roman" w:hint="eastAsia"/>
          <w:sz w:val="18"/>
          <w:szCs w:val="18"/>
        </w:rPr>
        <w:t>之日起计算。确定组合的依据如下：</w:t>
      </w:r>
    </w:p>
    <w:tbl>
      <w:tblPr>
        <w:tblW w:w="5000" w:type="pct"/>
        <w:tblCellMar>
          <w:top w:w="15" w:type="dxa"/>
          <w:left w:w="15" w:type="dxa"/>
          <w:bottom w:w="15" w:type="dxa"/>
          <w:right w:w="15" w:type="dxa"/>
        </w:tblCellMar>
        <w:tblLook w:val="04A0" w:firstRow="1" w:lastRow="0" w:firstColumn="1" w:lastColumn="0" w:noHBand="0" w:noVBand="1"/>
      </w:tblPr>
      <w:tblGrid>
        <w:gridCol w:w="1754"/>
        <w:gridCol w:w="8099"/>
      </w:tblGrid>
      <w:tr w:rsidR="00517D34" w:rsidRPr="0063248C" w14:paraId="538C0D31" w14:textId="77777777">
        <w:trPr>
          <w:divId w:val="144706661"/>
          <w:trHeight w:val="378"/>
        </w:trPr>
        <w:tc>
          <w:tcPr>
            <w:tcW w:w="9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4F7FA"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项目</w:t>
            </w:r>
          </w:p>
        </w:tc>
        <w:tc>
          <w:tcPr>
            <w:tcW w:w="40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79F3D6"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确定组合的依据</w:t>
            </w:r>
          </w:p>
        </w:tc>
      </w:tr>
      <w:tr w:rsidR="00517D34" w:rsidRPr="0063248C" w14:paraId="3E7D4B55" w14:textId="77777777">
        <w:trPr>
          <w:divId w:val="144706661"/>
          <w:trHeight w:val="300"/>
        </w:trPr>
        <w:tc>
          <w:tcPr>
            <w:tcW w:w="90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E2F056"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组合</w:t>
            </w:r>
            <w:r w:rsidRPr="0063248C">
              <w:rPr>
                <w:rFonts w:ascii="Times New Roman" w:hAnsi="Times New Roman" w:cs="Times New Roman"/>
                <w:sz w:val="18"/>
                <w:szCs w:val="18"/>
              </w:rPr>
              <w:t>1</w:t>
            </w:r>
            <w:r w:rsidRPr="0063248C">
              <w:rPr>
                <w:rFonts w:ascii="Times New Roman" w:hAnsi="Times New Roman" w:cs="Times New Roman" w:hint="eastAsia"/>
                <w:sz w:val="18"/>
                <w:szCs w:val="18"/>
              </w:rPr>
              <w:t>：应收合并范围内关联方款项组合</w:t>
            </w:r>
          </w:p>
        </w:tc>
        <w:tc>
          <w:tcPr>
            <w:tcW w:w="409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2ADD6C"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合并范围内各家单位之间的往来款项</w:t>
            </w:r>
          </w:p>
        </w:tc>
      </w:tr>
      <w:tr w:rsidR="00517D34" w:rsidRPr="0063248C" w14:paraId="57937BB9" w14:textId="77777777">
        <w:trPr>
          <w:divId w:val="144706661"/>
          <w:trHeight w:val="300"/>
        </w:trPr>
        <w:tc>
          <w:tcPr>
            <w:tcW w:w="90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BFC036"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组合</w:t>
            </w:r>
            <w:r w:rsidRPr="0063248C">
              <w:rPr>
                <w:rFonts w:ascii="Times New Roman" w:hAnsi="Times New Roman" w:cs="Times New Roman"/>
                <w:sz w:val="18"/>
                <w:szCs w:val="18"/>
              </w:rPr>
              <w:t>2</w:t>
            </w:r>
            <w:r w:rsidRPr="0063248C">
              <w:rPr>
                <w:rFonts w:ascii="Times New Roman" w:hAnsi="Times New Roman" w:cs="Times New Roman" w:hint="eastAsia"/>
                <w:sz w:val="18"/>
                <w:szCs w:val="18"/>
              </w:rPr>
              <w:t>：</w:t>
            </w:r>
            <w:proofErr w:type="gramStart"/>
            <w:r w:rsidRPr="0063248C">
              <w:rPr>
                <w:rFonts w:ascii="Times New Roman" w:hAnsi="Times New Roman" w:cs="Times New Roman" w:hint="eastAsia"/>
                <w:sz w:val="18"/>
                <w:szCs w:val="18"/>
              </w:rPr>
              <w:t>账</w:t>
            </w:r>
            <w:proofErr w:type="gramEnd"/>
            <w:r w:rsidRPr="0063248C">
              <w:rPr>
                <w:rFonts w:ascii="Times New Roman" w:hAnsi="Times New Roman" w:cs="Times New Roman" w:hint="eastAsia"/>
                <w:sz w:val="18"/>
                <w:szCs w:val="18"/>
              </w:rPr>
              <w:t>龄组合</w:t>
            </w:r>
          </w:p>
        </w:tc>
        <w:tc>
          <w:tcPr>
            <w:tcW w:w="409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3DCAA2"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除上述组合外的其他组合，本组合以其他应收款的账</w:t>
            </w:r>
            <w:proofErr w:type="gramStart"/>
            <w:r w:rsidRPr="0063248C">
              <w:rPr>
                <w:rFonts w:ascii="Times New Roman" w:hAnsi="Times New Roman" w:cs="Times New Roman" w:hint="eastAsia"/>
                <w:sz w:val="18"/>
                <w:szCs w:val="18"/>
              </w:rPr>
              <w:t>龄作为</w:t>
            </w:r>
            <w:proofErr w:type="gramEnd"/>
            <w:r w:rsidRPr="0063248C">
              <w:rPr>
                <w:rFonts w:ascii="Times New Roman" w:hAnsi="Times New Roman" w:cs="Times New Roman" w:hint="eastAsia"/>
                <w:sz w:val="18"/>
                <w:szCs w:val="18"/>
              </w:rPr>
              <w:t>信用风险特征。公司根据</w:t>
            </w:r>
            <w:proofErr w:type="gramStart"/>
            <w:r w:rsidRPr="0063248C">
              <w:rPr>
                <w:rFonts w:ascii="Times New Roman" w:hAnsi="Times New Roman" w:cs="Times New Roman" w:hint="eastAsia"/>
                <w:sz w:val="18"/>
                <w:szCs w:val="18"/>
              </w:rPr>
              <w:t>账龄段划分</w:t>
            </w:r>
            <w:proofErr w:type="gramEnd"/>
            <w:r w:rsidRPr="0063248C">
              <w:rPr>
                <w:rFonts w:ascii="Times New Roman" w:hAnsi="Times New Roman" w:cs="Times New Roman" w:hint="eastAsia"/>
                <w:sz w:val="18"/>
                <w:szCs w:val="18"/>
              </w:rPr>
              <w:t>的具有类似信用风险特征的其他应收款组合的预期损失率为基础，结合现时情况分析法确定坏账准备计提的比例</w:t>
            </w:r>
          </w:p>
        </w:tc>
      </w:tr>
    </w:tbl>
    <w:p w14:paraId="4FFE3E00" w14:textId="77777777" w:rsidR="00517D34" w:rsidRPr="0063248C" w:rsidRDefault="00000000">
      <w:pPr>
        <w:pStyle w:val="a3"/>
        <w:spacing w:before="0" w:beforeAutospacing="0" w:after="0" w:afterAutospacing="0" w:line="273" w:lineRule="auto"/>
        <w:ind w:firstLine="360"/>
        <w:divId w:val="144706661"/>
        <w:rPr>
          <w:rFonts w:ascii="Times New Roman" w:hAnsi="Times New Roman"/>
          <w:sz w:val="21"/>
          <w:szCs w:val="21"/>
        </w:rPr>
      </w:pPr>
      <w:r w:rsidRPr="0063248C">
        <w:rPr>
          <w:rFonts w:ascii="Times New Roman" w:hAnsi="Times New Roman" w:hint="eastAsia"/>
          <w:sz w:val="18"/>
          <w:szCs w:val="18"/>
        </w:rPr>
        <w:lastRenderedPageBreak/>
        <w:t>各组合预期信用损失率：</w:t>
      </w:r>
    </w:p>
    <w:p w14:paraId="679D5F03" w14:textId="77777777" w:rsidR="00517D34" w:rsidRPr="0063248C" w:rsidRDefault="00000000">
      <w:pPr>
        <w:pStyle w:val="a3"/>
        <w:spacing w:before="0" w:beforeAutospacing="0" w:after="0" w:afterAutospacing="0" w:line="273" w:lineRule="auto"/>
        <w:ind w:firstLine="360"/>
        <w:divId w:val="144706661"/>
        <w:rPr>
          <w:rFonts w:ascii="Times New Roman" w:hAnsi="Times New Roman"/>
          <w:sz w:val="21"/>
          <w:szCs w:val="21"/>
        </w:rPr>
      </w:pPr>
      <w:r w:rsidRPr="0063248C">
        <w:rPr>
          <w:rFonts w:ascii="Times New Roman" w:hAnsi="Times New Roman" w:hint="eastAsia"/>
          <w:sz w:val="18"/>
          <w:szCs w:val="18"/>
        </w:rPr>
        <w:t>其他应收款组合</w:t>
      </w:r>
      <w:r w:rsidRPr="0063248C">
        <w:rPr>
          <w:rFonts w:ascii="Times New Roman" w:hAnsi="Times New Roman" w:cs="Times New Roman"/>
          <w:sz w:val="18"/>
          <w:szCs w:val="18"/>
        </w:rPr>
        <w:t>1</w:t>
      </w:r>
      <w:r w:rsidRPr="0063248C">
        <w:rPr>
          <w:rFonts w:ascii="Times New Roman" w:hAnsi="Times New Roman" w:hint="eastAsia"/>
          <w:sz w:val="18"/>
          <w:szCs w:val="18"/>
        </w:rPr>
        <w:t>：应收合并范围内关联方款项组合：合并范围内公司的往来款，一般不计提坏账准备，除非子公司发生明显的大额亏损考虑单项计提坏账准备。</w:t>
      </w:r>
    </w:p>
    <w:p w14:paraId="1B52EE34" w14:textId="77777777" w:rsidR="00517D34" w:rsidRPr="0063248C" w:rsidRDefault="00000000">
      <w:pPr>
        <w:pStyle w:val="a3"/>
        <w:spacing w:before="0" w:beforeAutospacing="0" w:after="0" w:afterAutospacing="0" w:line="273" w:lineRule="auto"/>
        <w:ind w:firstLine="360"/>
        <w:divId w:val="144706661"/>
        <w:rPr>
          <w:rFonts w:ascii="Times New Roman" w:hAnsi="Times New Roman"/>
          <w:sz w:val="21"/>
          <w:szCs w:val="21"/>
        </w:rPr>
      </w:pPr>
      <w:r w:rsidRPr="0063248C">
        <w:rPr>
          <w:rFonts w:ascii="Times New Roman" w:hAnsi="Times New Roman" w:hint="eastAsia"/>
          <w:sz w:val="18"/>
          <w:szCs w:val="18"/>
        </w:rPr>
        <w:t>其他应收款组合</w:t>
      </w:r>
      <w:r w:rsidRPr="0063248C">
        <w:rPr>
          <w:rFonts w:ascii="Times New Roman" w:hAnsi="Times New Roman" w:cs="Times New Roman"/>
          <w:sz w:val="18"/>
          <w:szCs w:val="18"/>
        </w:rPr>
        <w:t>2</w:t>
      </w:r>
      <w:r w:rsidRPr="0063248C">
        <w:rPr>
          <w:rFonts w:ascii="Times New Roman" w:hAnsi="Times New Roman" w:hint="eastAsia"/>
          <w:sz w:val="18"/>
          <w:szCs w:val="18"/>
        </w:rPr>
        <w:t>：</w:t>
      </w:r>
      <w:proofErr w:type="gramStart"/>
      <w:r w:rsidRPr="0063248C">
        <w:rPr>
          <w:rFonts w:ascii="Times New Roman" w:hAnsi="Times New Roman" w:hint="eastAsia"/>
          <w:sz w:val="18"/>
          <w:szCs w:val="18"/>
        </w:rPr>
        <w:t>账</w:t>
      </w:r>
      <w:proofErr w:type="gramEnd"/>
      <w:r w:rsidRPr="0063248C">
        <w:rPr>
          <w:rFonts w:ascii="Times New Roman" w:hAnsi="Times New Roman" w:hint="eastAsia"/>
          <w:sz w:val="18"/>
          <w:szCs w:val="18"/>
        </w:rPr>
        <w:t>龄组合：</w:t>
      </w:r>
    </w:p>
    <w:tbl>
      <w:tblPr>
        <w:tblW w:w="9675" w:type="dxa"/>
        <w:tblCellMar>
          <w:top w:w="15" w:type="dxa"/>
          <w:left w:w="15" w:type="dxa"/>
          <w:bottom w:w="15" w:type="dxa"/>
          <w:right w:w="15" w:type="dxa"/>
        </w:tblCellMar>
        <w:tblLook w:val="04A0" w:firstRow="1" w:lastRow="0" w:firstColumn="1" w:lastColumn="0" w:noHBand="0" w:noVBand="1"/>
      </w:tblPr>
      <w:tblGrid>
        <w:gridCol w:w="5031"/>
        <w:gridCol w:w="4644"/>
      </w:tblGrid>
      <w:tr w:rsidR="00517D34" w:rsidRPr="0063248C" w14:paraId="4ED5CD2A" w14:textId="77777777" w:rsidTr="0035454A">
        <w:trPr>
          <w:divId w:val="144706661"/>
          <w:trHeight w:val="340"/>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8FAE2"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账龄</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0DA092" w14:textId="77777777" w:rsidR="00517D34" w:rsidRPr="0063248C" w:rsidRDefault="00000000" w:rsidP="0035454A">
            <w:pPr>
              <w:pStyle w:val="a3"/>
              <w:spacing w:before="0" w:beforeAutospacing="0" w:after="0" w:afterAutospacing="0"/>
              <w:jc w:val="center"/>
              <w:rPr>
                <w:rFonts w:ascii="Times New Roman" w:hAnsi="Times New Roman" w:cs="Times New Roman"/>
              </w:rPr>
            </w:pPr>
            <w:r w:rsidRPr="0063248C">
              <w:rPr>
                <w:rFonts w:ascii="Times New Roman" w:hAnsi="Times New Roman" w:cs="Times New Roman" w:hint="eastAsia"/>
                <w:sz w:val="18"/>
                <w:szCs w:val="18"/>
              </w:rPr>
              <w:t>预期信用损失率（</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w:t>
            </w:r>
          </w:p>
        </w:tc>
      </w:tr>
      <w:tr w:rsidR="00517D34" w:rsidRPr="0063248C" w14:paraId="0B3FF50B"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2CB313"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1-3</w:t>
            </w:r>
            <w:r w:rsidRPr="0063248C">
              <w:rPr>
                <w:rFonts w:ascii="Times New Roman" w:hAnsi="Times New Roman" w:cs="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7CDED28A" w14:textId="77777777" w:rsidR="00517D34" w:rsidRPr="0035454A" w:rsidRDefault="00000000" w:rsidP="0035454A">
            <w:pPr>
              <w:pStyle w:val="a3"/>
              <w:spacing w:before="0" w:beforeAutospacing="0" w:after="0" w:afterAutospacing="0"/>
              <w:jc w:val="center"/>
              <w:rPr>
                <w:rFonts w:ascii="Times New Roman" w:hAnsi="Times New Roman" w:cs="Times New Roman"/>
                <w:sz w:val="18"/>
                <w:szCs w:val="18"/>
              </w:rPr>
            </w:pPr>
            <w:r w:rsidRPr="0063248C">
              <w:rPr>
                <w:rFonts w:ascii="Times New Roman" w:hAnsi="Times New Roman" w:cs="Times New Roman"/>
                <w:sz w:val="18"/>
                <w:szCs w:val="18"/>
              </w:rPr>
              <w:t>1.23</w:t>
            </w:r>
          </w:p>
        </w:tc>
      </w:tr>
      <w:tr w:rsidR="00517D34" w:rsidRPr="0063248C" w14:paraId="1C7AE640"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A852AE"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4-6</w:t>
            </w:r>
            <w:r w:rsidRPr="0063248C">
              <w:rPr>
                <w:rFonts w:ascii="Times New Roman" w:hAnsi="Times New Roman" w:cs="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6778B314" w14:textId="77777777" w:rsidR="00517D34" w:rsidRPr="0035454A" w:rsidRDefault="00000000" w:rsidP="0035454A">
            <w:pPr>
              <w:pStyle w:val="a3"/>
              <w:spacing w:before="0" w:beforeAutospacing="0" w:after="0" w:afterAutospacing="0"/>
              <w:jc w:val="center"/>
              <w:rPr>
                <w:rFonts w:ascii="Times New Roman" w:hAnsi="Times New Roman" w:cs="Times New Roman"/>
                <w:sz w:val="18"/>
                <w:szCs w:val="18"/>
              </w:rPr>
            </w:pPr>
            <w:r w:rsidRPr="0063248C">
              <w:rPr>
                <w:rFonts w:ascii="Times New Roman" w:hAnsi="Times New Roman" w:cs="Times New Roman"/>
                <w:sz w:val="18"/>
                <w:szCs w:val="18"/>
              </w:rPr>
              <w:t>1.23</w:t>
            </w:r>
          </w:p>
        </w:tc>
      </w:tr>
      <w:tr w:rsidR="00517D34" w:rsidRPr="0063248C" w14:paraId="6C5B64C1"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DFF2E0"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7-9</w:t>
            </w:r>
            <w:r w:rsidRPr="0063248C">
              <w:rPr>
                <w:rFonts w:ascii="Times New Roman" w:hAnsi="Times New Roman" w:cs="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77755C1B" w14:textId="77777777" w:rsidR="00517D34" w:rsidRPr="0035454A" w:rsidRDefault="00000000" w:rsidP="0035454A">
            <w:pPr>
              <w:pStyle w:val="a3"/>
              <w:spacing w:before="0" w:beforeAutospacing="0" w:after="0" w:afterAutospacing="0"/>
              <w:jc w:val="center"/>
              <w:rPr>
                <w:rFonts w:ascii="Times New Roman" w:hAnsi="Times New Roman" w:cs="Times New Roman"/>
                <w:sz w:val="18"/>
                <w:szCs w:val="18"/>
              </w:rPr>
            </w:pPr>
            <w:r w:rsidRPr="0063248C">
              <w:rPr>
                <w:rFonts w:ascii="Times New Roman" w:hAnsi="Times New Roman" w:cs="Times New Roman"/>
                <w:sz w:val="18"/>
                <w:szCs w:val="18"/>
              </w:rPr>
              <w:t>1.23</w:t>
            </w:r>
          </w:p>
        </w:tc>
      </w:tr>
      <w:tr w:rsidR="00517D34" w:rsidRPr="0063248C" w14:paraId="05251B34"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351E27"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10-12</w:t>
            </w:r>
            <w:r w:rsidRPr="0063248C">
              <w:rPr>
                <w:rFonts w:ascii="Times New Roman" w:hAnsi="Times New Roman" w:cs="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D27025" w14:textId="77777777" w:rsidR="00517D34" w:rsidRPr="0035454A" w:rsidRDefault="00000000" w:rsidP="0035454A">
            <w:pPr>
              <w:pStyle w:val="a3"/>
              <w:spacing w:before="0" w:beforeAutospacing="0" w:after="0" w:afterAutospacing="0"/>
              <w:jc w:val="center"/>
              <w:rPr>
                <w:rFonts w:ascii="Times New Roman" w:hAnsi="Times New Roman" w:cs="Times New Roman"/>
                <w:sz w:val="18"/>
                <w:szCs w:val="18"/>
              </w:rPr>
            </w:pPr>
            <w:r w:rsidRPr="0063248C">
              <w:rPr>
                <w:rFonts w:ascii="Times New Roman" w:hAnsi="Times New Roman" w:cs="Times New Roman"/>
                <w:sz w:val="18"/>
                <w:szCs w:val="18"/>
              </w:rPr>
              <w:t>1.23</w:t>
            </w:r>
          </w:p>
        </w:tc>
      </w:tr>
      <w:tr w:rsidR="00517D34" w:rsidRPr="0063248C" w14:paraId="576BA606"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91529C"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1-2</w:t>
            </w:r>
            <w:r w:rsidRPr="0063248C">
              <w:rPr>
                <w:rFonts w:ascii="Times New Roman" w:hAnsi="Times New Roman" w:cs="Times New Roman" w:hint="eastAsia"/>
                <w:sz w:val="18"/>
                <w:szCs w:val="18"/>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1B17C5" w14:textId="77777777" w:rsidR="00517D34" w:rsidRPr="0035454A" w:rsidRDefault="00000000" w:rsidP="0035454A">
            <w:pPr>
              <w:pStyle w:val="a3"/>
              <w:spacing w:before="0" w:beforeAutospacing="0" w:after="0" w:afterAutospacing="0"/>
              <w:jc w:val="center"/>
              <w:rPr>
                <w:rFonts w:ascii="Times New Roman" w:hAnsi="Times New Roman" w:cs="Times New Roman"/>
                <w:sz w:val="18"/>
                <w:szCs w:val="18"/>
              </w:rPr>
            </w:pPr>
            <w:r w:rsidRPr="0063248C">
              <w:rPr>
                <w:rFonts w:ascii="Times New Roman" w:hAnsi="Times New Roman" w:cs="Times New Roman"/>
                <w:sz w:val="18"/>
                <w:szCs w:val="18"/>
              </w:rPr>
              <w:t>22.91</w:t>
            </w:r>
          </w:p>
        </w:tc>
      </w:tr>
      <w:tr w:rsidR="00517D34" w:rsidRPr="0063248C" w14:paraId="378BE87B"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CD1CA1"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2-3</w:t>
            </w:r>
            <w:r w:rsidRPr="0063248C">
              <w:rPr>
                <w:rFonts w:ascii="Times New Roman" w:hAnsi="Times New Roman" w:cs="Times New Roman" w:hint="eastAsia"/>
                <w:sz w:val="18"/>
                <w:szCs w:val="18"/>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D02E44" w14:textId="77777777" w:rsidR="00517D34" w:rsidRPr="0035454A" w:rsidRDefault="00000000" w:rsidP="0035454A">
            <w:pPr>
              <w:pStyle w:val="a3"/>
              <w:spacing w:before="0" w:beforeAutospacing="0" w:after="0" w:afterAutospacing="0"/>
              <w:jc w:val="center"/>
              <w:rPr>
                <w:rFonts w:ascii="Times New Roman" w:hAnsi="Times New Roman" w:cs="Times New Roman"/>
                <w:sz w:val="18"/>
                <w:szCs w:val="18"/>
              </w:rPr>
            </w:pPr>
            <w:r w:rsidRPr="0063248C">
              <w:rPr>
                <w:rFonts w:ascii="Times New Roman" w:hAnsi="Times New Roman" w:cs="Times New Roman"/>
                <w:sz w:val="18"/>
                <w:szCs w:val="18"/>
              </w:rPr>
              <w:t>79.83</w:t>
            </w:r>
          </w:p>
        </w:tc>
      </w:tr>
      <w:tr w:rsidR="00517D34" w:rsidRPr="0063248C" w14:paraId="2EC89264" w14:textId="77777777">
        <w:trPr>
          <w:divId w:val="144706661"/>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62813E"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3</w:t>
            </w:r>
            <w:r w:rsidRPr="0063248C">
              <w:rPr>
                <w:rFonts w:ascii="Times New Roman" w:hAnsi="Times New Roman" w:cs="Times New Roman" w:hint="eastAsia"/>
                <w:sz w:val="18"/>
                <w:szCs w:val="18"/>
              </w:rPr>
              <w:t>年以上</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04D0BD" w14:textId="77777777" w:rsidR="00517D34" w:rsidRPr="0035454A" w:rsidRDefault="00000000" w:rsidP="0035454A">
            <w:pPr>
              <w:pStyle w:val="a3"/>
              <w:spacing w:before="0" w:beforeAutospacing="0" w:after="0" w:afterAutospacing="0"/>
              <w:jc w:val="center"/>
              <w:rPr>
                <w:rFonts w:ascii="Times New Roman" w:hAnsi="Times New Roman" w:cs="Times New Roman"/>
                <w:sz w:val="18"/>
                <w:szCs w:val="18"/>
              </w:rPr>
            </w:pPr>
            <w:r w:rsidRPr="0063248C">
              <w:rPr>
                <w:rFonts w:ascii="Times New Roman" w:hAnsi="Times New Roman" w:cs="Times New Roman"/>
                <w:sz w:val="18"/>
                <w:szCs w:val="18"/>
              </w:rPr>
              <w:t>100.00</w:t>
            </w:r>
          </w:p>
        </w:tc>
      </w:tr>
    </w:tbl>
    <w:p w14:paraId="5FA4D4DA" w14:textId="77777777" w:rsidR="00517D34" w:rsidRPr="0063248C" w:rsidRDefault="00000000">
      <w:pPr>
        <w:pStyle w:val="a3"/>
        <w:spacing w:before="0" w:beforeAutospacing="0" w:after="0" w:afterAutospacing="0" w:line="273" w:lineRule="auto"/>
        <w:ind w:firstLine="360"/>
        <w:divId w:val="144706661"/>
        <w:rPr>
          <w:rFonts w:ascii="Times New Roman" w:hAnsi="Times New Roman"/>
          <w:sz w:val="21"/>
          <w:szCs w:val="21"/>
        </w:rPr>
      </w:pPr>
      <w:r w:rsidRPr="0063248C">
        <w:rPr>
          <w:rFonts w:ascii="Times New Roman" w:hAnsi="Times New Roman" w:hint="eastAsia"/>
          <w:sz w:val="18"/>
          <w:szCs w:val="18"/>
        </w:rPr>
        <w:t>合同资产减值</w:t>
      </w:r>
    </w:p>
    <w:p w14:paraId="518696D2" w14:textId="77777777" w:rsidR="00517D34" w:rsidRPr="0063248C" w:rsidRDefault="00000000">
      <w:pPr>
        <w:pStyle w:val="a3"/>
        <w:spacing w:before="0" w:beforeAutospacing="0" w:after="0" w:afterAutospacing="0" w:line="273" w:lineRule="auto"/>
        <w:ind w:firstLine="360"/>
        <w:divId w:val="144706661"/>
        <w:rPr>
          <w:rFonts w:ascii="Times New Roman" w:hAnsi="Times New Roman"/>
          <w:sz w:val="21"/>
          <w:szCs w:val="21"/>
        </w:rPr>
      </w:pPr>
      <w:r w:rsidRPr="0063248C">
        <w:rPr>
          <w:rFonts w:ascii="Times New Roman" w:hAnsi="Times New Roman" w:hint="eastAsia"/>
          <w:sz w:val="18"/>
          <w:szCs w:val="18"/>
        </w:rPr>
        <w:t>当单项合同资产无法以合理成本评估预期信用损失的信息时，本公司依据信用风险特征将合同资产划分为若干组合，在组合基础上计算预期信用损失。</w:t>
      </w:r>
      <w:proofErr w:type="gramStart"/>
      <w:r w:rsidRPr="0063248C">
        <w:rPr>
          <w:rFonts w:ascii="Times New Roman" w:hAnsi="Times New Roman" w:hint="eastAsia"/>
          <w:sz w:val="18"/>
          <w:szCs w:val="18"/>
        </w:rPr>
        <w:t>对于按账龄</w:t>
      </w:r>
      <w:proofErr w:type="gramEnd"/>
      <w:r w:rsidRPr="0063248C">
        <w:rPr>
          <w:rFonts w:ascii="Times New Roman" w:hAnsi="Times New Roman" w:hint="eastAsia"/>
          <w:sz w:val="18"/>
          <w:szCs w:val="18"/>
        </w:rPr>
        <w:t>划分组合的合同资产，账</w:t>
      </w:r>
      <w:proofErr w:type="gramStart"/>
      <w:r w:rsidRPr="0063248C">
        <w:rPr>
          <w:rFonts w:ascii="Times New Roman" w:hAnsi="Times New Roman" w:hint="eastAsia"/>
          <w:sz w:val="18"/>
          <w:szCs w:val="18"/>
        </w:rPr>
        <w:t>龄自确认</w:t>
      </w:r>
      <w:proofErr w:type="gramEnd"/>
      <w:r w:rsidRPr="0063248C">
        <w:rPr>
          <w:rFonts w:ascii="Times New Roman" w:hAnsi="Times New Roman" w:hint="eastAsia"/>
          <w:sz w:val="18"/>
          <w:szCs w:val="18"/>
        </w:rPr>
        <w:t>之日起计算。</w:t>
      </w:r>
    </w:p>
    <w:p w14:paraId="3354D826" w14:textId="77777777" w:rsidR="00517D34" w:rsidRPr="0063248C" w:rsidRDefault="00000000">
      <w:pPr>
        <w:pStyle w:val="a3"/>
        <w:spacing w:before="0" w:beforeAutospacing="0" w:after="0" w:afterAutospacing="0" w:line="273" w:lineRule="auto"/>
        <w:ind w:firstLine="360"/>
        <w:divId w:val="144706661"/>
        <w:rPr>
          <w:rFonts w:ascii="Times New Roman" w:hAnsi="Times New Roman"/>
          <w:sz w:val="21"/>
          <w:szCs w:val="21"/>
        </w:rPr>
      </w:pPr>
      <w:r w:rsidRPr="0063248C">
        <w:rPr>
          <w:rFonts w:ascii="Times New Roman" w:hAnsi="Times New Roman" w:hint="eastAsia"/>
          <w:sz w:val="18"/>
          <w:szCs w:val="18"/>
        </w:rPr>
        <w:t>确定组合的依据如下：</w:t>
      </w:r>
    </w:p>
    <w:tbl>
      <w:tblPr>
        <w:tblW w:w="5000" w:type="pct"/>
        <w:tblCellMar>
          <w:top w:w="15" w:type="dxa"/>
          <w:left w:w="15" w:type="dxa"/>
          <w:bottom w:w="15" w:type="dxa"/>
          <w:right w:w="15" w:type="dxa"/>
        </w:tblCellMar>
        <w:tblLook w:val="04A0" w:firstRow="1" w:lastRow="0" w:firstColumn="1" w:lastColumn="0" w:noHBand="0" w:noVBand="1"/>
      </w:tblPr>
      <w:tblGrid>
        <w:gridCol w:w="2424"/>
        <w:gridCol w:w="7429"/>
      </w:tblGrid>
      <w:tr w:rsidR="00517D34" w:rsidRPr="0063248C" w14:paraId="118799F2" w14:textId="77777777">
        <w:trPr>
          <w:divId w:val="144706661"/>
          <w:trHeight w:val="340"/>
        </w:trPr>
        <w:tc>
          <w:tcPr>
            <w:tcW w:w="9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F4E5D2"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项目</w:t>
            </w:r>
          </w:p>
        </w:tc>
        <w:tc>
          <w:tcPr>
            <w:tcW w:w="40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219616"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确定组合的依据</w:t>
            </w:r>
          </w:p>
        </w:tc>
      </w:tr>
      <w:tr w:rsidR="00517D34" w:rsidRPr="0063248C" w14:paraId="77077BFE" w14:textId="77777777">
        <w:trPr>
          <w:divId w:val="144706661"/>
          <w:trHeight w:val="340"/>
        </w:trPr>
        <w:tc>
          <w:tcPr>
            <w:tcW w:w="90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298520"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组合</w:t>
            </w:r>
            <w:r w:rsidRPr="0063248C">
              <w:rPr>
                <w:rFonts w:ascii="Times New Roman" w:hAnsi="Times New Roman" w:cs="Times New Roman"/>
                <w:sz w:val="18"/>
                <w:szCs w:val="18"/>
              </w:rPr>
              <w:t>1</w:t>
            </w:r>
            <w:r w:rsidRPr="0063248C">
              <w:rPr>
                <w:rFonts w:ascii="Times New Roman" w:hAnsi="Times New Roman" w:cs="Times New Roman" w:hint="eastAsia"/>
                <w:sz w:val="18"/>
                <w:szCs w:val="18"/>
              </w:rPr>
              <w:t>：应收合并范围内关联方款项组合</w:t>
            </w:r>
          </w:p>
        </w:tc>
        <w:tc>
          <w:tcPr>
            <w:tcW w:w="409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E4D68B"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合并范围内各家单位之间的往来款项</w:t>
            </w:r>
          </w:p>
        </w:tc>
      </w:tr>
      <w:tr w:rsidR="00517D34" w:rsidRPr="0063248C" w14:paraId="675378CA" w14:textId="77777777">
        <w:trPr>
          <w:divId w:val="144706661"/>
          <w:trHeight w:val="340"/>
        </w:trPr>
        <w:tc>
          <w:tcPr>
            <w:tcW w:w="90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2CB5E2"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组合</w:t>
            </w:r>
            <w:r w:rsidRPr="0063248C">
              <w:rPr>
                <w:rFonts w:ascii="Times New Roman" w:hAnsi="Times New Roman" w:cs="Times New Roman"/>
                <w:sz w:val="18"/>
                <w:szCs w:val="18"/>
              </w:rPr>
              <w:t>2</w:t>
            </w:r>
            <w:r w:rsidRPr="0063248C">
              <w:rPr>
                <w:rFonts w:ascii="Times New Roman" w:hAnsi="Times New Roman" w:cs="Times New Roman" w:hint="eastAsia"/>
                <w:sz w:val="18"/>
                <w:szCs w:val="18"/>
              </w:rPr>
              <w:t>：</w:t>
            </w:r>
            <w:proofErr w:type="gramStart"/>
            <w:r w:rsidRPr="0063248C">
              <w:rPr>
                <w:rFonts w:ascii="Times New Roman" w:hAnsi="Times New Roman" w:cs="Times New Roman" w:hint="eastAsia"/>
                <w:sz w:val="18"/>
                <w:szCs w:val="18"/>
              </w:rPr>
              <w:t>账</w:t>
            </w:r>
            <w:proofErr w:type="gramEnd"/>
            <w:r w:rsidRPr="0063248C">
              <w:rPr>
                <w:rFonts w:ascii="Times New Roman" w:hAnsi="Times New Roman" w:cs="Times New Roman" w:hint="eastAsia"/>
                <w:sz w:val="18"/>
                <w:szCs w:val="18"/>
              </w:rPr>
              <w:t>龄组合</w:t>
            </w:r>
          </w:p>
        </w:tc>
        <w:tc>
          <w:tcPr>
            <w:tcW w:w="409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4A8D9F"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除上述组合外的其他组合，本组合以长期应收款的账</w:t>
            </w:r>
            <w:proofErr w:type="gramStart"/>
            <w:r w:rsidRPr="0063248C">
              <w:rPr>
                <w:rFonts w:ascii="Times New Roman" w:hAnsi="Times New Roman" w:cs="Times New Roman" w:hint="eastAsia"/>
                <w:sz w:val="18"/>
                <w:szCs w:val="18"/>
              </w:rPr>
              <w:t>龄作为</w:t>
            </w:r>
            <w:proofErr w:type="gramEnd"/>
            <w:r w:rsidRPr="0063248C">
              <w:rPr>
                <w:rFonts w:ascii="Times New Roman" w:hAnsi="Times New Roman" w:cs="Times New Roman" w:hint="eastAsia"/>
                <w:sz w:val="18"/>
                <w:szCs w:val="18"/>
              </w:rPr>
              <w:t>信用风险特征。</w:t>
            </w:r>
          </w:p>
          <w:p w14:paraId="7A27E39A"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公司根据</w:t>
            </w:r>
            <w:proofErr w:type="gramStart"/>
            <w:r w:rsidRPr="0063248C">
              <w:rPr>
                <w:rFonts w:ascii="Times New Roman" w:hAnsi="Times New Roman" w:cs="Times New Roman" w:hint="eastAsia"/>
                <w:sz w:val="18"/>
                <w:szCs w:val="18"/>
              </w:rPr>
              <w:t>账龄段划分</w:t>
            </w:r>
            <w:proofErr w:type="gramEnd"/>
            <w:r w:rsidRPr="0063248C">
              <w:rPr>
                <w:rFonts w:ascii="Times New Roman" w:hAnsi="Times New Roman" w:cs="Times New Roman" w:hint="eastAsia"/>
                <w:sz w:val="18"/>
                <w:szCs w:val="18"/>
              </w:rPr>
              <w:t>的具有类似信用风险特征的长期应收款组合的预期损失率为基础，结合现时情况分析法确定坏账准备计提的比例</w:t>
            </w:r>
          </w:p>
        </w:tc>
      </w:tr>
    </w:tbl>
    <w:p w14:paraId="084DC251" w14:textId="77777777" w:rsidR="00517D34" w:rsidRPr="0063248C" w:rsidRDefault="00000000">
      <w:pPr>
        <w:pStyle w:val="a3"/>
        <w:spacing w:before="0" w:beforeAutospacing="0" w:after="0" w:afterAutospacing="0" w:line="273" w:lineRule="auto"/>
        <w:ind w:firstLine="360"/>
        <w:divId w:val="144706661"/>
        <w:rPr>
          <w:rFonts w:ascii="Times New Roman" w:hAnsi="Times New Roman"/>
          <w:sz w:val="21"/>
          <w:szCs w:val="21"/>
        </w:rPr>
      </w:pPr>
      <w:r w:rsidRPr="0063248C">
        <w:rPr>
          <w:rFonts w:ascii="Times New Roman" w:hAnsi="Times New Roman" w:hint="eastAsia"/>
          <w:sz w:val="18"/>
          <w:szCs w:val="18"/>
        </w:rPr>
        <w:t>长期应收款减值</w:t>
      </w:r>
    </w:p>
    <w:p w14:paraId="2A24443E"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对于由《企业会计准则第</w:t>
      </w:r>
      <w:r w:rsidRPr="0063248C">
        <w:rPr>
          <w:rFonts w:ascii="Times New Roman" w:hAnsi="Times New Roman" w:cs="Times New Roman"/>
          <w:sz w:val="18"/>
          <w:szCs w:val="18"/>
        </w:rPr>
        <w:t>14</w:t>
      </w:r>
      <w:r w:rsidRPr="0063248C">
        <w:rPr>
          <w:rFonts w:ascii="Times New Roman" w:hAnsi="Times New Roman" w:hint="eastAsia"/>
          <w:sz w:val="18"/>
          <w:szCs w:val="18"/>
        </w:rPr>
        <w:t>号——收入》规范的交易形成的长期应收款，无论是否存在重大融资成分，本公司均按照整个存续期的预期信用损失计量损失准备。其他情形形成的长期应收款，则按照附注五、</w:t>
      </w:r>
      <w:r w:rsidRPr="0063248C">
        <w:rPr>
          <w:rFonts w:ascii="Times New Roman" w:hAnsi="Times New Roman" w:cs="Times New Roman"/>
          <w:sz w:val="18"/>
          <w:szCs w:val="18"/>
        </w:rPr>
        <w:t>11</w:t>
      </w:r>
      <w:r w:rsidRPr="0063248C">
        <w:rPr>
          <w:rFonts w:ascii="Times New Roman" w:hAnsi="Times New Roman" w:hint="eastAsia"/>
          <w:sz w:val="18"/>
          <w:szCs w:val="18"/>
        </w:rPr>
        <w:t>、（</w:t>
      </w:r>
      <w:r w:rsidRPr="0063248C">
        <w:rPr>
          <w:rFonts w:ascii="Times New Roman" w:hAnsi="Times New Roman" w:cs="Times New Roman"/>
          <w:sz w:val="18"/>
          <w:szCs w:val="18"/>
        </w:rPr>
        <w:t>2</w:t>
      </w:r>
      <w:r w:rsidRPr="0063248C">
        <w:rPr>
          <w:rFonts w:ascii="Times New Roman" w:hAnsi="Times New Roman" w:hint="eastAsia"/>
          <w:sz w:val="18"/>
          <w:szCs w:val="18"/>
        </w:rPr>
        <w:t>）减值准备的确认和计量中的描述确认和计量减值。</w:t>
      </w:r>
    </w:p>
    <w:p w14:paraId="4C5AB572"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当单项长期应收款无法以合理成本评估预期信用损失的信息时，本公司依据信用风险特征将长期应收款划分为若干组合，在组合基础上计算预期信用损失，确定组合的依据如下：</w:t>
      </w:r>
    </w:p>
    <w:tbl>
      <w:tblPr>
        <w:tblW w:w="9473" w:type="dxa"/>
        <w:jc w:val="center"/>
        <w:tblCellMar>
          <w:top w:w="15" w:type="dxa"/>
          <w:left w:w="15" w:type="dxa"/>
          <w:bottom w:w="15" w:type="dxa"/>
          <w:right w:w="15" w:type="dxa"/>
        </w:tblCellMar>
        <w:tblLook w:val="04A0" w:firstRow="1" w:lastRow="0" w:firstColumn="1" w:lastColumn="0" w:noHBand="0" w:noVBand="1"/>
      </w:tblPr>
      <w:tblGrid>
        <w:gridCol w:w="2424"/>
        <w:gridCol w:w="7429"/>
      </w:tblGrid>
      <w:tr w:rsidR="00517D34" w:rsidRPr="0063248C" w14:paraId="7CB91EED" w14:textId="77777777">
        <w:trPr>
          <w:divId w:val="144706661"/>
          <w:trHeight w:val="471"/>
          <w:jc w:val="center"/>
        </w:trPr>
        <w:tc>
          <w:tcPr>
            <w:tcW w:w="1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FB5B9"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项目</w:t>
            </w:r>
          </w:p>
        </w:tc>
        <w:tc>
          <w:tcPr>
            <w:tcW w:w="37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1B55D8"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确定组合的依据</w:t>
            </w:r>
          </w:p>
        </w:tc>
      </w:tr>
      <w:tr w:rsidR="00517D34" w:rsidRPr="0063248C" w14:paraId="690BD138" w14:textId="77777777">
        <w:trPr>
          <w:divId w:val="144706661"/>
          <w:trHeight w:val="471"/>
          <w:jc w:val="center"/>
        </w:trPr>
        <w:tc>
          <w:tcPr>
            <w:tcW w:w="121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E453AB"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组合</w:t>
            </w:r>
            <w:r w:rsidRPr="0063248C">
              <w:rPr>
                <w:rFonts w:ascii="Times New Roman" w:hAnsi="Times New Roman" w:cs="Times New Roman"/>
                <w:sz w:val="18"/>
                <w:szCs w:val="18"/>
              </w:rPr>
              <w:t>1</w:t>
            </w:r>
            <w:r w:rsidRPr="0063248C">
              <w:rPr>
                <w:rFonts w:ascii="Times New Roman" w:hAnsi="Times New Roman" w:cs="Times New Roman" w:hint="eastAsia"/>
                <w:sz w:val="18"/>
                <w:szCs w:val="18"/>
              </w:rPr>
              <w:t>：应收合并范围内关联方款项组合</w:t>
            </w:r>
          </w:p>
        </w:tc>
        <w:tc>
          <w:tcPr>
            <w:tcW w:w="378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6AC4C7"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合并范围内各家单位之间的往来款项</w:t>
            </w:r>
          </w:p>
        </w:tc>
      </w:tr>
      <w:tr w:rsidR="00517D34" w:rsidRPr="0063248C" w14:paraId="486C8E06" w14:textId="77777777">
        <w:trPr>
          <w:divId w:val="144706661"/>
          <w:trHeight w:val="471"/>
          <w:jc w:val="center"/>
        </w:trPr>
        <w:tc>
          <w:tcPr>
            <w:tcW w:w="121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6643C3"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组合</w:t>
            </w:r>
            <w:r w:rsidRPr="0063248C">
              <w:rPr>
                <w:rFonts w:ascii="Times New Roman" w:hAnsi="Times New Roman" w:cs="Times New Roman"/>
                <w:sz w:val="18"/>
                <w:szCs w:val="18"/>
              </w:rPr>
              <w:t>2</w:t>
            </w:r>
            <w:r w:rsidRPr="0063248C">
              <w:rPr>
                <w:rFonts w:ascii="Times New Roman" w:hAnsi="Times New Roman" w:cs="Times New Roman" w:hint="eastAsia"/>
                <w:sz w:val="18"/>
                <w:szCs w:val="18"/>
              </w:rPr>
              <w:t>：</w:t>
            </w:r>
            <w:proofErr w:type="gramStart"/>
            <w:r w:rsidRPr="0063248C">
              <w:rPr>
                <w:rFonts w:ascii="Times New Roman" w:hAnsi="Times New Roman" w:cs="Times New Roman" w:hint="eastAsia"/>
                <w:sz w:val="18"/>
                <w:szCs w:val="18"/>
              </w:rPr>
              <w:t>账</w:t>
            </w:r>
            <w:proofErr w:type="gramEnd"/>
            <w:r w:rsidRPr="0063248C">
              <w:rPr>
                <w:rFonts w:ascii="Times New Roman" w:hAnsi="Times New Roman" w:cs="Times New Roman" w:hint="eastAsia"/>
                <w:sz w:val="18"/>
                <w:szCs w:val="18"/>
              </w:rPr>
              <w:t>龄组合</w:t>
            </w:r>
          </w:p>
        </w:tc>
        <w:tc>
          <w:tcPr>
            <w:tcW w:w="378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425154"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除上述组合外的其他组合，本组合以长期应收款的账</w:t>
            </w:r>
            <w:proofErr w:type="gramStart"/>
            <w:r w:rsidRPr="0063248C">
              <w:rPr>
                <w:rFonts w:ascii="Times New Roman" w:hAnsi="Times New Roman" w:cs="Times New Roman" w:hint="eastAsia"/>
                <w:sz w:val="18"/>
                <w:szCs w:val="18"/>
              </w:rPr>
              <w:t>龄作为</w:t>
            </w:r>
            <w:proofErr w:type="gramEnd"/>
            <w:r w:rsidRPr="0063248C">
              <w:rPr>
                <w:rFonts w:ascii="Times New Roman" w:hAnsi="Times New Roman" w:cs="Times New Roman" w:hint="eastAsia"/>
                <w:sz w:val="18"/>
                <w:szCs w:val="18"/>
              </w:rPr>
              <w:t>信用风险特征。</w:t>
            </w:r>
          </w:p>
          <w:p w14:paraId="6E36D3E9"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公司根据</w:t>
            </w:r>
            <w:proofErr w:type="gramStart"/>
            <w:r w:rsidRPr="0063248C">
              <w:rPr>
                <w:rFonts w:ascii="Times New Roman" w:hAnsi="Times New Roman" w:cs="Times New Roman" w:hint="eastAsia"/>
                <w:sz w:val="18"/>
                <w:szCs w:val="18"/>
              </w:rPr>
              <w:t>账龄段划分</w:t>
            </w:r>
            <w:proofErr w:type="gramEnd"/>
            <w:r w:rsidRPr="0063248C">
              <w:rPr>
                <w:rFonts w:ascii="Times New Roman" w:hAnsi="Times New Roman" w:cs="Times New Roman" w:hint="eastAsia"/>
                <w:sz w:val="18"/>
                <w:szCs w:val="18"/>
              </w:rPr>
              <w:t>的具有类似信用风险特征的长期应收款组合的预期损失率为基础，结合现时情况分析法确定坏账准备计提的比例</w:t>
            </w:r>
          </w:p>
        </w:tc>
      </w:tr>
    </w:tbl>
    <w:p w14:paraId="07916A1A" w14:textId="77777777" w:rsidR="00517D34" w:rsidRPr="0063248C" w:rsidRDefault="00000000">
      <w:pPr>
        <w:pStyle w:val="a3"/>
        <w:spacing w:before="0" w:beforeAutospacing="0" w:after="0" w:afterAutospacing="0" w:line="273" w:lineRule="auto"/>
        <w:ind w:firstLine="360"/>
        <w:divId w:val="144706661"/>
        <w:rPr>
          <w:rFonts w:ascii="Times New Roman" w:hAnsi="Times New Roman"/>
          <w:sz w:val="21"/>
          <w:szCs w:val="21"/>
        </w:rPr>
      </w:pPr>
      <w:r w:rsidRPr="0063248C">
        <w:rPr>
          <w:rFonts w:ascii="Times New Roman" w:hAnsi="Times New Roman" w:hint="eastAsia"/>
          <w:sz w:val="18"/>
          <w:szCs w:val="18"/>
        </w:rPr>
        <w:t>利得和损失</w:t>
      </w:r>
    </w:p>
    <w:p w14:paraId="70A02CD4"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本公司将以公允价值计量的金融资产或金融负债的利得或损失计入当期损益，除非该金融资产或金融负债属于下列情形之一：</w:t>
      </w:r>
    </w:p>
    <w:p w14:paraId="4BE4A27F"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cs="Times New Roman"/>
          <w:sz w:val="18"/>
          <w:szCs w:val="18"/>
        </w:rPr>
        <w:t>1</w:t>
      </w:r>
      <w:r w:rsidRPr="0063248C">
        <w:rPr>
          <w:rFonts w:ascii="Times New Roman" w:hAnsi="Times New Roman" w:hint="eastAsia"/>
          <w:sz w:val="18"/>
          <w:szCs w:val="18"/>
        </w:rPr>
        <w:t>）属于《企业会计准则第</w:t>
      </w:r>
      <w:r w:rsidRPr="0063248C">
        <w:rPr>
          <w:rFonts w:ascii="Times New Roman" w:hAnsi="Times New Roman" w:cs="Times New Roman"/>
          <w:sz w:val="18"/>
          <w:szCs w:val="18"/>
        </w:rPr>
        <w:t>24</w:t>
      </w:r>
      <w:r w:rsidRPr="0063248C">
        <w:rPr>
          <w:rFonts w:ascii="Times New Roman" w:hAnsi="Times New Roman" w:hint="eastAsia"/>
          <w:sz w:val="18"/>
          <w:szCs w:val="18"/>
        </w:rPr>
        <w:t>号——套期会计》规定的套</w:t>
      </w:r>
      <w:proofErr w:type="gramStart"/>
      <w:r w:rsidRPr="0063248C">
        <w:rPr>
          <w:rFonts w:ascii="Times New Roman" w:hAnsi="Times New Roman" w:hint="eastAsia"/>
          <w:sz w:val="18"/>
          <w:szCs w:val="18"/>
        </w:rPr>
        <w:t>期关系</w:t>
      </w:r>
      <w:proofErr w:type="gramEnd"/>
      <w:r w:rsidRPr="0063248C">
        <w:rPr>
          <w:rFonts w:ascii="Times New Roman" w:hAnsi="Times New Roman" w:hint="eastAsia"/>
          <w:sz w:val="18"/>
          <w:szCs w:val="18"/>
        </w:rPr>
        <w:t>的一部分。</w:t>
      </w:r>
    </w:p>
    <w:p w14:paraId="1D3AC81E"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cs="Times New Roman"/>
          <w:sz w:val="18"/>
          <w:szCs w:val="18"/>
        </w:rPr>
        <w:t>2</w:t>
      </w:r>
      <w:r w:rsidRPr="0063248C">
        <w:rPr>
          <w:rFonts w:ascii="Times New Roman" w:hAnsi="Times New Roman" w:hint="eastAsia"/>
          <w:sz w:val="18"/>
          <w:szCs w:val="18"/>
        </w:rPr>
        <w:t>）是一项对</w:t>
      </w:r>
      <w:proofErr w:type="gramStart"/>
      <w:r w:rsidRPr="0063248C">
        <w:rPr>
          <w:rFonts w:ascii="Times New Roman" w:hAnsi="Times New Roman" w:hint="eastAsia"/>
          <w:sz w:val="18"/>
          <w:szCs w:val="18"/>
        </w:rPr>
        <w:t>非交易</w:t>
      </w:r>
      <w:proofErr w:type="gramEnd"/>
      <w:r w:rsidRPr="0063248C">
        <w:rPr>
          <w:rFonts w:ascii="Times New Roman" w:hAnsi="Times New Roman" w:hint="eastAsia"/>
          <w:sz w:val="18"/>
          <w:szCs w:val="18"/>
        </w:rPr>
        <w:t>性权益工具的投资，且本公司将其指定为以公允价值计量且其变动计入其他综合收益的金融资产。</w:t>
      </w:r>
    </w:p>
    <w:p w14:paraId="731BE28A"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cs="Times New Roman"/>
          <w:sz w:val="18"/>
          <w:szCs w:val="18"/>
        </w:rPr>
        <w:t>3</w:t>
      </w:r>
      <w:r w:rsidRPr="0063248C">
        <w:rPr>
          <w:rFonts w:ascii="Times New Roman" w:hAnsi="Times New Roman" w:hint="eastAsia"/>
          <w:sz w:val="18"/>
          <w:szCs w:val="18"/>
        </w:rPr>
        <w:t>）是一项被指定为以公允价值计量且其变动计入当期损益的金融负债，该负债由本公司自身信用风险变动引起的其公允价值变动应当计入其他综合收益。</w:t>
      </w:r>
    </w:p>
    <w:p w14:paraId="0FCEB874"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cs="Times New Roman"/>
          <w:sz w:val="18"/>
          <w:szCs w:val="18"/>
        </w:rPr>
        <w:lastRenderedPageBreak/>
        <w:t>4</w:t>
      </w:r>
      <w:r w:rsidRPr="0063248C">
        <w:rPr>
          <w:rFonts w:ascii="Times New Roman" w:hAnsi="Times New Roman" w:hint="eastAsia"/>
          <w:sz w:val="18"/>
          <w:szCs w:val="18"/>
        </w:rPr>
        <w:t>）是一项分类为以公允价值计量且其变动计入其他综合收益的金融资产（债务工具投资），其减值损失或利得和汇兑损益之外的公允价值变动计入其他综合收益。</w:t>
      </w:r>
    </w:p>
    <w:p w14:paraId="0886F869"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本公司只有在同时符合下列条件时，才能确认股利收入并计入当期损益：</w:t>
      </w:r>
    </w:p>
    <w:p w14:paraId="3CF48573"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cs="Times New Roman"/>
          <w:sz w:val="18"/>
          <w:szCs w:val="18"/>
        </w:rPr>
        <w:t>1</w:t>
      </w:r>
      <w:r w:rsidRPr="0063248C">
        <w:rPr>
          <w:rFonts w:ascii="Times New Roman" w:hAnsi="Times New Roman" w:hint="eastAsia"/>
          <w:sz w:val="18"/>
          <w:szCs w:val="18"/>
        </w:rPr>
        <w:t>）本公司收取股利的权利已经确立；</w:t>
      </w:r>
    </w:p>
    <w:p w14:paraId="0BB05430"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cs="Times New Roman"/>
          <w:sz w:val="18"/>
          <w:szCs w:val="18"/>
        </w:rPr>
        <w:t>2</w:t>
      </w:r>
      <w:r w:rsidRPr="0063248C">
        <w:rPr>
          <w:rFonts w:ascii="Times New Roman" w:hAnsi="Times New Roman" w:hint="eastAsia"/>
          <w:sz w:val="18"/>
          <w:szCs w:val="18"/>
        </w:rPr>
        <w:t>）与股利相关的经济利益很可能流入本公司；</w:t>
      </w:r>
    </w:p>
    <w:p w14:paraId="069A6CE3"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cs="Times New Roman"/>
          <w:sz w:val="18"/>
          <w:szCs w:val="18"/>
        </w:rPr>
        <w:t>3</w:t>
      </w:r>
      <w:r w:rsidRPr="0063248C">
        <w:rPr>
          <w:rFonts w:ascii="Times New Roman" w:hAnsi="Times New Roman" w:hint="eastAsia"/>
          <w:sz w:val="18"/>
          <w:szCs w:val="18"/>
        </w:rPr>
        <w:t>）股利的金额能够可靠计量。</w:t>
      </w:r>
    </w:p>
    <w:p w14:paraId="6D5003D3"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以摊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计量且不属于任何套</w:t>
      </w:r>
      <w:proofErr w:type="gramStart"/>
      <w:r w:rsidRPr="0063248C">
        <w:rPr>
          <w:rFonts w:ascii="Times New Roman" w:hAnsi="Times New Roman" w:hint="eastAsia"/>
          <w:sz w:val="18"/>
          <w:szCs w:val="18"/>
        </w:rPr>
        <w:t>期关系</w:t>
      </w:r>
      <w:proofErr w:type="gramEnd"/>
      <w:r w:rsidRPr="0063248C">
        <w:rPr>
          <w:rFonts w:ascii="Times New Roman" w:hAnsi="Times New Roman" w:hint="eastAsia"/>
          <w:sz w:val="18"/>
          <w:szCs w:val="18"/>
        </w:rPr>
        <w:t>的一部分的金融资产所产生的利得或损失，在终止确认、按照本项重分类、按照实际利率法摊销或确认减值时，计入当期损益。本公司将一项以摊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计量的金融资产重分类为以公允价值计量且其变动计入当期损益的金融资产的，按照该资产在重</w:t>
      </w:r>
      <w:proofErr w:type="gramStart"/>
      <w:r w:rsidRPr="0063248C">
        <w:rPr>
          <w:rFonts w:ascii="Times New Roman" w:hAnsi="Times New Roman" w:hint="eastAsia"/>
          <w:sz w:val="18"/>
          <w:szCs w:val="18"/>
        </w:rPr>
        <w:t>分类日</w:t>
      </w:r>
      <w:proofErr w:type="gramEnd"/>
      <w:r w:rsidRPr="0063248C">
        <w:rPr>
          <w:rFonts w:ascii="Times New Roman" w:hAnsi="Times New Roman" w:hint="eastAsia"/>
          <w:sz w:val="18"/>
          <w:szCs w:val="18"/>
        </w:rPr>
        <w:t>的公允价值进行计量。原账面价值与公允价值之间的差额计入当期损益。将一项以摊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计量的金融资产重分类为以公允价值计量且其变动计入其他综合收益的金融资产的，按照该金融资产在重</w:t>
      </w:r>
      <w:proofErr w:type="gramStart"/>
      <w:r w:rsidRPr="0063248C">
        <w:rPr>
          <w:rFonts w:ascii="Times New Roman" w:hAnsi="Times New Roman" w:hint="eastAsia"/>
          <w:sz w:val="18"/>
          <w:szCs w:val="18"/>
        </w:rPr>
        <w:t>分类日</w:t>
      </w:r>
      <w:proofErr w:type="gramEnd"/>
      <w:r w:rsidRPr="0063248C">
        <w:rPr>
          <w:rFonts w:ascii="Times New Roman" w:hAnsi="Times New Roman" w:hint="eastAsia"/>
          <w:sz w:val="18"/>
          <w:szCs w:val="18"/>
        </w:rPr>
        <w:t>的公允价值进行计量。原账面价值与公允价值之间的差额计入其他综合收益。以摊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计量且不属于任何套</w:t>
      </w:r>
      <w:proofErr w:type="gramStart"/>
      <w:r w:rsidRPr="0063248C">
        <w:rPr>
          <w:rFonts w:ascii="Times New Roman" w:hAnsi="Times New Roman" w:hint="eastAsia"/>
          <w:sz w:val="18"/>
          <w:szCs w:val="18"/>
        </w:rPr>
        <w:t>期关系</w:t>
      </w:r>
      <w:proofErr w:type="gramEnd"/>
      <w:r w:rsidRPr="0063248C">
        <w:rPr>
          <w:rFonts w:ascii="Times New Roman" w:hAnsi="Times New Roman" w:hint="eastAsia"/>
          <w:sz w:val="18"/>
          <w:szCs w:val="18"/>
        </w:rPr>
        <w:t>的一部分的金融负债所产生的利得或损失，在终止确认时计入当期损益或在按照实际利率法摊销时计入相关期间损益。</w:t>
      </w:r>
    </w:p>
    <w:p w14:paraId="31AF9ACF"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对于本公司将金融负债指定为以公允价值计量且其变动计入当期损益的金融负债，该金融负债所产生的利得或损失按照下列规定进行处理：</w:t>
      </w:r>
    </w:p>
    <w:p w14:paraId="38D2B311"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cs="Times New Roman"/>
          <w:sz w:val="18"/>
          <w:szCs w:val="18"/>
        </w:rPr>
        <w:t>1</w:t>
      </w:r>
      <w:r w:rsidRPr="0063248C">
        <w:rPr>
          <w:rFonts w:ascii="Times New Roman" w:hAnsi="Times New Roman" w:hint="eastAsia"/>
          <w:sz w:val="18"/>
          <w:szCs w:val="18"/>
        </w:rPr>
        <w:t>）由本公司自身信用风险变动引起的该金融负债公允价值的变动金额，计入其他综合收益；</w:t>
      </w:r>
    </w:p>
    <w:p w14:paraId="062C720A"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cs="Times New Roman"/>
          <w:sz w:val="18"/>
          <w:szCs w:val="18"/>
        </w:rPr>
        <w:t>2</w:t>
      </w:r>
      <w:r w:rsidRPr="0063248C">
        <w:rPr>
          <w:rFonts w:ascii="Times New Roman" w:hAnsi="Times New Roman" w:hint="eastAsia"/>
          <w:sz w:val="18"/>
          <w:szCs w:val="18"/>
        </w:rPr>
        <w:t>）该金融负债的其他公允价值变动计入当期损益。</w:t>
      </w:r>
    </w:p>
    <w:p w14:paraId="721F9B75"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按照本条第</w:t>
      </w:r>
      <w:r w:rsidRPr="0063248C">
        <w:rPr>
          <w:rFonts w:ascii="Times New Roman" w:hAnsi="Times New Roman" w:cs="Times New Roman"/>
          <w:sz w:val="18"/>
          <w:szCs w:val="18"/>
        </w:rPr>
        <w:t>1</w:t>
      </w:r>
      <w:r w:rsidRPr="0063248C">
        <w:rPr>
          <w:rFonts w:ascii="Times New Roman" w:hAnsi="Times New Roman" w:hint="eastAsia"/>
          <w:sz w:val="18"/>
          <w:szCs w:val="18"/>
        </w:rPr>
        <w:t>）规定对该金融负债的自身信用风险变动的影响进行处理会造成或扩大损益中的会计错配的，本公司将该金融负债的全部利得或损失（包括本公司自身信用风险变动的影响金额）计入当期损益。该金融负债终止确认时，之前计入其他综合收益的累计利得或损失应当从其他综合收益中转出，计入留存收益。</w:t>
      </w:r>
    </w:p>
    <w:p w14:paraId="419BCFB0"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本公司将</w:t>
      </w:r>
      <w:proofErr w:type="gramStart"/>
      <w:r w:rsidRPr="0063248C">
        <w:rPr>
          <w:rFonts w:ascii="Times New Roman" w:hAnsi="Times New Roman" w:hint="eastAsia"/>
          <w:sz w:val="18"/>
          <w:szCs w:val="18"/>
        </w:rPr>
        <w:t>非交易</w:t>
      </w:r>
      <w:proofErr w:type="gramEnd"/>
      <w:r w:rsidRPr="0063248C">
        <w:rPr>
          <w:rFonts w:ascii="Times New Roman" w:hAnsi="Times New Roman" w:hint="eastAsia"/>
          <w:sz w:val="18"/>
          <w:szCs w:val="18"/>
        </w:rPr>
        <w:t>性权益工具投资指定为以公允价值计量且其变动计入其他综合收益的金融资产的，当该金融资产终止确认时，之前计入其他综合收益的累计利得或损失从其他综合收益中转出，计入留存收益。</w:t>
      </w:r>
    </w:p>
    <w:p w14:paraId="117B7A44"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分类为以公允价值计量且其变动计入其他综合收益的金融资产所产生的</w:t>
      </w:r>
      <w:proofErr w:type="gramStart"/>
      <w:r w:rsidRPr="0063248C">
        <w:rPr>
          <w:rFonts w:ascii="Times New Roman" w:hAnsi="Times New Roman" w:hint="eastAsia"/>
          <w:sz w:val="18"/>
          <w:szCs w:val="18"/>
        </w:rPr>
        <w:t>所有利</w:t>
      </w:r>
      <w:proofErr w:type="gramEnd"/>
      <w:r w:rsidRPr="0063248C">
        <w:rPr>
          <w:rFonts w:ascii="Times New Roman" w:hAnsi="Times New Roman" w:hint="eastAsia"/>
          <w:sz w:val="18"/>
          <w:szCs w:val="18"/>
        </w:rPr>
        <w:t>得或损失（债务工具投资），除减值损失或利得和汇兑损益之外，均计入其他综合收益，直至该金融资产终止确认或被重分类。但是，采用实际利率法计算的该金融资产的利息计入当期损益。该金融资产终止确认时，之前计入其他综合收益的累计利得或损失应当从其他综合收益中转出，计入当期损益。本公司将该金融资产重分类为其他类别金融资产的，</w:t>
      </w:r>
      <w:proofErr w:type="gramStart"/>
      <w:r w:rsidRPr="0063248C">
        <w:rPr>
          <w:rFonts w:ascii="Times New Roman" w:hAnsi="Times New Roman" w:hint="eastAsia"/>
          <w:sz w:val="18"/>
          <w:szCs w:val="18"/>
        </w:rPr>
        <w:t>对之前</w:t>
      </w:r>
      <w:proofErr w:type="gramEnd"/>
      <w:r w:rsidRPr="0063248C">
        <w:rPr>
          <w:rFonts w:ascii="Times New Roman" w:hAnsi="Times New Roman" w:hint="eastAsia"/>
          <w:sz w:val="18"/>
          <w:szCs w:val="18"/>
        </w:rPr>
        <w:t>计入其他综合收益的累计利得或损失转出，调整该金融资产在重</w:t>
      </w:r>
      <w:proofErr w:type="gramStart"/>
      <w:r w:rsidRPr="0063248C">
        <w:rPr>
          <w:rFonts w:ascii="Times New Roman" w:hAnsi="Times New Roman" w:hint="eastAsia"/>
          <w:sz w:val="18"/>
          <w:szCs w:val="18"/>
        </w:rPr>
        <w:t>分类日</w:t>
      </w:r>
      <w:proofErr w:type="gramEnd"/>
      <w:r w:rsidRPr="0063248C">
        <w:rPr>
          <w:rFonts w:ascii="Times New Roman" w:hAnsi="Times New Roman" w:hint="eastAsia"/>
          <w:sz w:val="18"/>
          <w:szCs w:val="18"/>
        </w:rPr>
        <w:t>的公允价值，并以调整后的金额作为新的账面价值。</w:t>
      </w:r>
    </w:p>
    <w:p w14:paraId="490E48B0"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报表列示</w:t>
      </w:r>
    </w:p>
    <w:p w14:paraId="44075470"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本公司将分类为以公允价值计量且其变动计入当期损益的金融资产，在“交易性金融资产”科目中列示。自资产负债表日起超过一年到期且预期持有超过一年的以公允价值计量且其变动计入当期损益的非流动金融资产，在“其他非流动金融资产”科目列示。</w:t>
      </w:r>
    </w:p>
    <w:p w14:paraId="683F37FC"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本公司将分类为以摊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计量的长期债权投资，在“债权投资”科目中列示。自资产负债表日起一年内到期的长期债权投资，在“一年内到期的非流动资产”科目列示。本公司购入的以摊</w:t>
      </w:r>
      <w:proofErr w:type="gramStart"/>
      <w:r w:rsidRPr="0063248C">
        <w:rPr>
          <w:rFonts w:ascii="Times New Roman" w:hAnsi="Times New Roman" w:hint="eastAsia"/>
          <w:sz w:val="18"/>
          <w:szCs w:val="18"/>
        </w:rPr>
        <w:t>余成本</w:t>
      </w:r>
      <w:proofErr w:type="gramEnd"/>
      <w:r w:rsidRPr="0063248C">
        <w:rPr>
          <w:rFonts w:ascii="Times New Roman" w:hAnsi="Times New Roman" w:hint="eastAsia"/>
          <w:sz w:val="18"/>
          <w:szCs w:val="18"/>
        </w:rPr>
        <w:t>计量的一年内到期的债权投资，在“其他流动资产”科目列示。</w:t>
      </w:r>
    </w:p>
    <w:p w14:paraId="5C539C95"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本公司将分类为以公允价值计量且其变动计入其他综合收益的长期债权投资，在“其他债权投资”科目列示。自资产负债表日起一年内到期的长期债权投资的期末账面价值，在“一年内到期的非流动资产”科目列示。本公司购入的以公允价值计量且其变动计入其他综合收益的一年内到期的债权投资，在“其他流动资产”科目列示。</w:t>
      </w:r>
    </w:p>
    <w:p w14:paraId="0EAAD866"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本公司将指定为以公允价值计量且其变动计入其他综合收益的</w:t>
      </w:r>
      <w:proofErr w:type="gramStart"/>
      <w:r w:rsidRPr="0063248C">
        <w:rPr>
          <w:rFonts w:ascii="Times New Roman" w:hAnsi="Times New Roman" w:hint="eastAsia"/>
          <w:sz w:val="18"/>
          <w:szCs w:val="18"/>
        </w:rPr>
        <w:t>非交易</w:t>
      </w:r>
      <w:proofErr w:type="gramEnd"/>
      <w:r w:rsidRPr="0063248C">
        <w:rPr>
          <w:rFonts w:ascii="Times New Roman" w:hAnsi="Times New Roman" w:hint="eastAsia"/>
          <w:sz w:val="18"/>
          <w:szCs w:val="18"/>
        </w:rPr>
        <w:t>性权益工具投资，在“其他权益工具投资”科目列示。</w:t>
      </w:r>
    </w:p>
    <w:p w14:paraId="4B3C737B"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lastRenderedPageBreak/>
        <w:t>本公司承担的交易性金融负债，以及本公司持有的直接指定为以公允价值计量且其变动计入当期损益的金融负债，在“交易性金融负债”科目列示。</w:t>
      </w:r>
    </w:p>
    <w:p w14:paraId="692718E3"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权益工具</w:t>
      </w:r>
    </w:p>
    <w:p w14:paraId="1BF2A930" w14:textId="77777777" w:rsidR="00517D34" w:rsidRPr="0063248C" w:rsidRDefault="00000000" w:rsidP="0035454A">
      <w:pPr>
        <w:pStyle w:val="a3"/>
        <w:spacing w:before="0" w:beforeAutospacing="0" w:after="0" w:afterAutospacing="0" w:line="273" w:lineRule="auto"/>
        <w:ind w:firstLine="360"/>
        <w:jc w:val="both"/>
        <w:divId w:val="144706661"/>
        <w:rPr>
          <w:rFonts w:ascii="Times New Roman" w:hAnsi="Times New Roman"/>
          <w:sz w:val="21"/>
          <w:szCs w:val="21"/>
        </w:rPr>
      </w:pPr>
      <w:r w:rsidRPr="0063248C">
        <w:rPr>
          <w:rFonts w:ascii="Times New Roman" w:hAnsi="Times New Roman" w:hint="eastAsia"/>
          <w:sz w:val="18"/>
          <w:szCs w:val="18"/>
        </w:rPr>
        <w:t>权益工具是指能证明拥有本公司在扣除所有负债后的资产中的剩余权益的合同。本公司发行（</w:t>
      </w:r>
      <w:proofErr w:type="gramStart"/>
      <w:r w:rsidRPr="0063248C">
        <w:rPr>
          <w:rFonts w:ascii="Times New Roman" w:hAnsi="Times New Roman" w:hint="eastAsia"/>
          <w:sz w:val="18"/>
          <w:szCs w:val="18"/>
        </w:rPr>
        <w:t>含再融资</w:t>
      </w:r>
      <w:proofErr w:type="gramEnd"/>
      <w:r w:rsidRPr="0063248C">
        <w:rPr>
          <w:rFonts w:ascii="Times New Roman" w:hAnsi="Times New Roman" w:hint="eastAsia"/>
          <w:sz w:val="18"/>
          <w:szCs w:val="18"/>
        </w:rPr>
        <w:t>）、回购、出售或注销权益工具作为权益的变动处理，与权益性交易相关的交易费用从权益中扣减。本公司不确认权益工具的公允价值变动。本公司对权益工具持有方的分配作为利润分配处理，发放的股票股利不影响所有者权益总额。</w:t>
      </w:r>
    </w:p>
    <w:p w14:paraId="47515F6B" w14:textId="77777777" w:rsidR="007B3DB2" w:rsidRPr="0063248C" w:rsidRDefault="00000000">
      <w:pPr>
        <w:pStyle w:val="3"/>
        <w:spacing w:line="280" w:lineRule="exact"/>
        <w:jc w:val="left"/>
        <w:rPr>
          <w:rFonts w:cs="宋体"/>
          <w:b/>
          <w:bCs/>
        </w:rPr>
      </w:pPr>
      <w:bookmarkStart w:id="128" w:name="_Toc989017"/>
      <w:r w:rsidRPr="0063248C">
        <w:rPr>
          <w:rFonts w:cs="宋体"/>
          <w:b/>
          <w:bCs/>
        </w:rPr>
        <w:t>12</w:t>
      </w:r>
      <w:r w:rsidRPr="0063248C">
        <w:rPr>
          <w:rFonts w:cs="宋体"/>
          <w:b/>
          <w:bCs/>
        </w:rPr>
        <w:t>、应收票据</w:t>
      </w:r>
      <w:bookmarkEnd w:id="128"/>
    </w:p>
    <w:p w14:paraId="17C66291" w14:textId="77777777" w:rsidR="00517D34" w:rsidRPr="0063248C" w:rsidRDefault="00000000">
      <w:pPr>
        <w:pStyle w:val="a3"/>
        <w:spacing w:before="0" w:beforeAutospacing="0" w:after="0" w:afterAutospacing="0" w:line="273" w:lineRule="auto"/>
        <w:ind w:firstLine="360"/>
        <w:jc w:val="both"/>
        <w:divId w:val="221327614"/>
        <w:rPr>
          <w:rFonts w:ascii="Times New Roman" w:hAnsi="Times New Roman"/>
        </w:rPr>
      </w:pPr>
      <w:r w:rsidRPr="0063248C">
        <w:rPr>
          <w:rFonts w:ascii="Times New Roman" w:hAnsi="Times New Roman" w:hint="eastAsia"/>
          <w:sz w:val="18"/>
          <w:szCs w:val="18"/>
        </w:rPr>
        <w:t>对于应收票据及应收账款，无论是否存在重大融资成分，本公司均按照整个存续期的预期信用损失计量损失准备。</w:t>
      </w:r>
    </w:p>
    <w:p w14:paraId="30C00E39" w14:textId="77777777" w:rsidR="00517D34" w:rsidRPr="0063248C" w:rsidRDefault="00000000">
      <w:pPr>
        <w:pStyle w:val="a3"/>
        <w:spacing w:before="0" w:beforeAutospacing="0" w:after="0" w:afterAutospacing="0" w:line="273" w:lineRule="auto"/>
        <w:ind w:firstLine="360"/>
        <w:jc w:val="both"/>
        <w:divId w:val="221327614"/>
        <w:rPr>
          <w:rFonts w:ascii="Times New Roman" w:hAnsi="Times New Roman"/>
        </w:rPr>
      </w:pPr>
      <w:r w:rsidRPr="0063248C">
        <w:rPr>
          <w:rFonts w:ascii="Times New Roman" w:hAnsi="Times New Roman" w:hint="eastAsia"/>
          <w:sz w:val="18"/>
          <w:szCs w:val="18"/>
        </w:rPr>
        <w:t>当单项应收票据及应收账款无法以合理成本评估预期信用损失的信息时，本集团依据信用风险特征将应收票据及应收账款划分为若干组合，在组合基础上计算预期信用损失。如果有客观证据表明某项应收票据及应收账款已经发生信用减值，则本公司对该应收票据及应收账款单项计提坏账准备并确认预期信用损失。对于划分为组合的应收票据及应收账款，本公司参考历史信用损失经验，结合当前状况以及对未来经济状况的预测，通过违约风险敞口和整个存续期预期信用损失率，计算预期信用损失。</w:t>
      </w:r>
      <w:proofErr w:type="gramStart"/>
      <w:r w:rsidRPr="0063248C">
        <w:rPr>
          <w:rFonts w:ascii="Times New Roman" w:hAnsi="Times New Roman" w:hint="eastAsia"/>
          <w:sz w:val="18"/>
          <w:szCs w:val="18"/>
        </w:rPr>
        <w:t>对于按账龄</w:t>
      </w:r>
      <w:proofErr w:type="gramEnd"/>
      <w:r w:rsidRPr="0063248C">
        <w:rPr>
          <w:rFonts w:ascii="Times New Roman" w:hAnsi="Times New Roman" w:hint="eastAsia"/>
          <w:sz w:val="18"/>
          <w:szCs w:val="18"/>
        </w:rPr>
        <w:t>划分组合的应收账款，账</w:t>
      </w:r>
      <w:proofErr w:type="gramStart"/>
      <w:r w:rsidRPr="0063248C">
        <w:rPr>
          <w:rFonts w:ascii="Times New Roman" w:hAnsi="Times New Roman" w:hint="eastAsia"/>
          <w:sz w:val="18"/>
          <w:szCs w:val="18"/>
        </w:rPr>
        <w:t>龄自确认</w:t>
      </w:r>
      <w:proofErr w:type="gramEnd"/>
      <w:r w:rsidRPr="0063248C">
        <w:rPr>
          <w:rFonts w:ascii="Times New Roman" w:hAnsi="Times New Roman" w:hint="eastAsia"/>
          <w:sz w:val="18"/>
          <w:szCs w:val="18"/>
        </w:rPr>
        <w:t>之日起计算。</w:t>
      </w:r>
    </w:p>
    <w:p w14:paraId="52EE675D" w14:textId="77777777" w:rsidR="00517D34" w:rsidRPr="0063248C" w:rsidRDefault="00000000">
      <w:pPr>
        <w:pStyle w:val="a3"/>
        <w:spacing w:before="0" w:beforeAutospacing="0" w:after="0" w:afterAutospacing="0" w:line="460" w:lineRule="atLeast"/>
        <w:ind w:firstLine="360"/>
        <w:jc w:val="both"/>
        <w:divId w:val="221327614"/>
        <w:rPr>
          <w:rFonts w:ascii="Times New Roman" w:hAnsi="Times New Roman"/>
        </w:rPr>
      </w:pPr>
      <w:r w:rsidRPr="0063248C">
        <w:rPr>
          <w:rFonts w:ascii="Times New Roman" w:hAnsi="Times New Roman" w:hint="eastAsia"/>
          <w:sz w:val="18"/>
          <w:szCs w:val="18"/>
        </w:rPr>
        <w:t>应收票据组合：</w:t>
      </w:r>
    </w:p>
    <w:tbl>
      <w:tblPr>
        <w:tblW w:w="9060" w:type="dxa"/>
        <w:tblCellMar>
          <w:top w:w="15" w:type="dxa"/>
          <w:left w:w="15" w:type="dxa"/>
          <w:bottom w:w="15" w:type="dxa"/>
          <w:right w:w="15" w:type="dxa"/>
        </w:tblCellMar>
        <w:tblLook w:val="04A0" w:firstRow="1" w:lastRow="0" w:firstColumn="1" w:lastColumn="0" w:noHBand="0" w:noVBand="1"/>
      </w:tblPr>
      <w:tblGrid>
        <w:gridCol w:w="4711"/>
        <w:gridCol w:w="4349"/>
      </w:tblGrid>
      <w:tr w:rsidR="00517D34" w:rsidRPr="0063248C" w14:paraId="09A6CC6E" w14:textId="77777777">
        <w:trPr>
          <w:divId w:val="221327614"/>
          <w:trHeight w:val="347"/>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003FA4"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项目</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963CC9"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确定组合的依据</w:t>
            </w:r>
          </w:p>
        </w:tc>
      </w:tr>
      <w:tr w:rsidR="00517D34" w:rsidRPr="0063248C" w14:paraId="2EAA9861" w14:textId="77777777">
        <w:trPr>
          <w:divId w:val="221327614"/>
          <w:trHeight w:val="347"/>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FD5088"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应收票据组合</w:t>
            </w:r>
            <w:r w:rsidRPr="0063248C">
              <w:rPr>
                <w:rFonts w:ascii="Times New Roman" w:hAnsi="Times New Roman" w:cs="Times New Roman"/>
                <w:sz w:val="18"/>
                <w:szCs w:val="18"/>
              </w:rPr>
              <w:t>1</w:t>
            </w:r>
            <w:r w:rsidRPr="0063248C">
              <w:rPr>
                <w:rFonts w:ascii="Times New Roman" w:hAnsi="Times New Roman" w:cs="Times New Roman" w:hint="eastAsia"/>
                <w:sz w:val="18"/>
                <w:szCs w:val="18"/>
              </w:rPr>
              <w:t>：银行承兑汇票</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075091"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银行承兑汇票，承兑人为信用风险较小的银行</w:t>
            </w:r>
          </w:p>
        </w:tc>
      </w:tr>
      <w:tr w:rsidR="00517D34" w:rsidRPr="0063248C" w14:paraId="428AD155" w14:textId="77777777">
        <w:trPr>
          <w:divId w:val="221327614"/>
          <w:trHeight w:val="347"/>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A48293"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应收票据组合</w:t>
            </w:r>
            <w:r w:rsidRPr="0063248C">
              <w:rPr>
                <w:rFonts w:ascii="Times New Roman" w:hAnsi="Times New Roman" w:cs="Times New Roman"/>
                <w:sz w:val="18"/>
                <w:szCs w:val="18"/>
              </w:rPr>
              <w:t>2</w:t>
            </w:r>
            <w:r w:rsidRPr="0063248C">
              <w:rPr>
                <w:rFonts w:ascii="Times New Roman" w:hAnsi="Times New Roman" w:cs="Times New Roman" w:hint="eastAsia"/>
                <w:sz w:val="18"/>
                <w:szCs w:val="18"/>
              </w:rPr>
              <w:t>：商业承兑汇票</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322A39"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评估为正常的、低风险的商业承兑汇票</w:t>
            </w:r>
          </w:p>
        </w:tc>
      </w:tr>
    </w:tbl>
    <w:p w14:paraId="628D70D6" w14:textId="77777777" w:rsidR="00517D34" w:rsidRPr="0063248C" w:rsidRDefault="00000000">
      <w:pPr>
        <w:pStyle w:val="a3"/>
        <w:spacing w:before="0" w:beforeAutospacing="0" w:after="0" w:afterAutospacing="0" w:line="273" w:lineRule="auto"/>
        <w:ind w:firstLine="360"/>
        <w:jc w:val="both"/>
        <w:divId w:val="221327614"/>
        <w:rPr>
          <w:rFonts w:ascii="Times New Roman" w:hAnsi="Times New Roman"/>
        </w:rPr>
      </w:pPr>
      <w:r w:rsidRPr="0063248C">
        <w:rPr>
          <w:rFonts w:ascii="Times New Roman" w:hAnsi="Times New Roman" w:hint="eastAsia"/>
          <w:sz w:val="18"/>
          <w:szCs w:val="18"/>
        </w:rPr>
        <w:t>各组合预期信用损失率</w:t>
      </w:r>
    </w:p>
    <w:p w14:paraId="672E9C1B" w14:textId="77777777" w:rsidR="00517D34" w:rsidRPr="0063248C" w:rsidRDefault="00000000">
      <w:pPr>
        <w:pStyle w:val="a3"/>
        <w:spacing w:before="0" w:beforeAutospacing="0" w:after="0" w:afterAutospacing="0" w:line="273" w:lineRule="auto"/>
        <w:ind w:firstLine="360"/>
        <w:jc w:val="both"/>
        <w:divId w:val="221327614"/>
        <w:rPr>
          <w:rFonts w:ascii="Times New Roman" w:hAnsi="Times New Roman"/>
        </w:rPr>
      </w:pPr>
      <w:r w:rsidRPr="0063248C">
        <w:rPr>
          <w:rFonts w:ascii="Times New Roman" w:hAnsi="Times New Roman" w:hint="eastAsia"/>
          <w:sz w:val="18"/>
          <w:szCs w:val="18"/>
        </w:rPr>
        <w:t>应收票据组合</w:t>
      </w:r>
      <w:r w:rsidRPr="0063248C">
        <w:rPr>
          <w:rFonts w:ascii="Times New Roman" w:hAnsi="Times New Roman" w:cs="Times New Roman"/>
          <w:sz w:val="18"/>
          <w:szCs w:val="18"/>
        </w:rPr>
        <w:t>1</w:t>
      </w:r>
      <w:r w:rsidRPr="0063248C">
        <w:rPr>
          <w:rFonts w:ascii="Times New Roman" w:hAnsi="Times New Roman" w:hint="eastAsia"/>
          <w:sz w:val="18"/>
          <w:szCs w:val="18"/>
        </w:rPr>
        <w:t>：银行承兑汇票：承兑人具有较高的信用评级，历史上未发生票据违约，一般不计提坏账准备。</w:t>
      </w:r>
    </w:p>
    <w:p w14:paraId="022793E6" w14:textId="77777777" w:rsidR="00517D34" w:rsidRPr="0063248C" w:rsidRDefault="00000000">
      <w:pPr>
        <w:pStyle w:val="a3"/>
        <w:spacing w:before="0" w:beforeAutospacing="0" w:after="0" w:afterAutospacing="0" w:line="273" w:lineRule="auto"/>
        <w:ind w:firstLine="360"/>
        <w:jc w:val="both"/>
        <w:divId w:val="221327614"/>
        <w:rPr>
          <w:rFonts w:ascii="Times New Roman" w:hAnsi="Times New Roman"/>
        </w:rPr>
      </w:pPr>
      <w:r w:rsidRPr="0063248C">
        <w:rPr>
          <w:rFonts w:ascii="Times New Roman" w:hAnsi="Times New Roman" w:hint="eastAsia"/>
          <w:sz w:val="18"/>
          <w:szCs w:val="18"/>
        </w:rPr>
        <w:t>应收票据组合</w:t>
      </w:r>
      <w:r w:rsidRPr="0063248C">
        <w:rPr>
          <w:rFonts w:ascii="Times New Roman" w:hAnsi="Times New Roman" w:cs="Times New Roman"/>
          <w:sz w:val="18"/>
          <w:szCs w:val="18"/>
        </w:rPr>
        <w:t>2</w:t>
      </w:r>
      <w:r w:rsidRPr="0063248C">
        <w:rPr>
          <w:rFonts w:ascii="Times New Roman" w:hAnsi="Times New Roman" w:hint="eastAsia"/>
          <w:sz w:val="18"/>
          <w:szCs w:val="18"/>
        </w:rPr>
        <w:t>：商业承兑汇票：参照应收账款确定预期信用损失率计提坏账准备。</w:t>
      </w:r>
    </w:p>
    <w:p w14:paraId="43619B19" w14:textId="77777777" w:rsidR="007B3DB2" w:rsidRPr="0063248C" w:rsidRDefault="00000000">
      <w:pPr>
        <w:pStyle w:val="3"/>
        <w:spacing w:line="280" w:lineRule="exact"/>
        <w:jc w:val="left"/>
        <w:rPr>
          <w:rFonts w:cs="宋体"/>
          <w:b/>
          <w:bCs/>
        </w:rPr>
      </w:pPr>
      <w:bookmarkStart w:id="129" w:name="_Toc989018"/>
      <w:r w:rsidRPr="0063248C">
        <w:rPr>
          <w:rFonts w:cs="宋体"/>
          <w:b/>
          <w:bCs/>
        </w:rPr>
        <w:t>13</w:t>
      </w:r>
      <w:r w:rsidRPr="0063248C">
        <w:rPr>
          <w:rFonts w:cs="宋体"/>
          <w:b/>
          <w:bCs/>
        </w:rPr>
        <w:t>、应收账款</w:t>
      </w:r>
      <w:bookmarkEnd w:id="129"/>
    </w:p>
    <w:p w14:paraId="1287DEEF" w14:textId="77777777" w:rsidR="00517D34" w:rsidRPr="0063248C" w:rsidRDefault="00000000">
      <w:pPr>
        <w:pStyle w:val="a3"/>
        <w:spacing w:before="0" w:beforeAutospacing="0" w:after="0" w:afterAutospacing="0" w:line="460" w:lineRule="atLeast"/>
        <w:ind w:firstLine="360"/>
        <w:jc w:val="both"/>
        <w:divId w:val="228156627"/>
        <w:rPr>
          <w:rFonts w:ascii="Times New Roman" w:hAnsi="Times New Roman"/>
        </w:rPr>
      </w:pPr>
      <w:r w:rsidRPr="0063248C">
        <w:rPr>
          <w:rFonts w:ascii="Times New Roman" w:hAnsi="Times New Roman" w:hint="eastAsia"/>
          <w:sz w:val="18"/>
          <w:szCs w:val="18"/>
        </w:rPr>
        <w:t>应收账款组合：</w:t>
      </w:r>
    </w:p>
    <w:tbl>
      <w:tblPr>
        <w:tblW w:w="9078" w:type="dxa"/>
        <w:tblCellMar>
          <w:top w:w="15" w:type="dxa"/>
          <w:left w:w="15" w:type="dxa"/>
          <w:bottom w:w="15" w:type="dxa"/>
          <w:right w:w="15" w:type="dxa"/>
        </w:tblCellMar>
        <w:tblLook w:val="04A0" w:firstRow="1" w:lastRow="0" w:firstColumn="1" w:lastColumn="0" w:noHBand="0" w:noVBand="1"/>
      </w:tblPr>
      <w:tblGrid>
        <w:gridCol w:w="4668"/>
        <w:gridCol w:w="4410"/>
      </w:tblGrid>
      <w:tr w:rsidR="00517D34" w:rsidRPr="0063248C" w14:paraId="4A348750" w14:textId="77777777">
        <w:trPr>
          <w:divId w:val="228156627"/>
          <w:trHeight w:val="340"/>
        </w:trPr>
        <w:tc>
          <w:tcPr>
            <w:tcW w:w="25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8040EF"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项目</w:t>
            </w:r>
          </w:p>
        </w:tc>
        <w:tc>
          <w:tcPr>
            <w:tcW w:w="24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47B697"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确定组合的依据</w:t>
            </w:r>
          </w:p>
        </w:tc>
      </w:tr>
      <w:tr w:rsidR="00517D34" w:rsidRPr="0063248C" w14:paraId="3543A651" w14:textId="77777777">
        <w:trPr>
          <w:divId w:val="228156627"/>
          <w:trHeight w:val="340"/>
        </w:trPr>
        <w:tc>
          <w:tcPr>
            <w:tcW w:w="257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37DFD7"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应收账款组合</w:t>
            </w:r>
            <w:r w:rsidRPr="0063248C">
              <w:rPr>
                <w:rFonts w:ascii="Times New Roman" w:hAnsi="Times New Roman" w:cs="Times New Roman"/>
                <w:sz w:val="18"/>
                <w:szCs w:val="18"/>
              </w:rPr>
              <w:t>1</w:t>
            </w:r>
            <w:r w:rsidRPr="0063248C">
              <w:rPr>
                <w:rFonts w:ascii="Times New Roman" w:hAnsi="Times New Roman" w:cs="Times New Roman" w:hint="eastAsia"/>
                <w:sz w:val="18"/>
                <w:szCs w:val="18"/>
              </w:rPr>
              <w:t>：应收合并范围内关联方款项组合</w:t>
            </w:r>
          </w:p>
        </w:tc>
        <w:tc>
          <w:tcPr>
            <w:tcW w:w="242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93201B"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合并范围内各家单位之间的往来款项</w:t>
            </w:r>
          </w:p>
        </w:tc>
      </w:tr>
      <w:tr w:rsidR="00517D34" w:rsidRPr="0063248C" w14:paraId="2EB32053" w14:textId="77777777">
        <w:trPr>
          <w:divId w:val="228156627"/>
          <w:trHeight w:val="340"/>
        </w:trPr>
        <w:tc>
          <w:tcPr>
            <w:tcW w:w="257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504A96"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应收账款组合</w:t>
            </w:r>
            <w:r w:rsidRPr="0063248C">
              <w:rPr>
                <w:rFonts w:ascii="Times New Roman" w:hAnsi="Times New Roman" w:cs="Times New Roman"/>
                <w:sz w:val="18"/>
                <w:szCs w:val="18"/>
              </w:rPr>
              <w:t>2</w:t>
            </w:r>
            <w:r w:rsidRPr="0063248C">
              <w:rPr>
                <w:rFonts w:ascii="Times New Roman" w:hAnsi="Times New Roman" w:cs="Times New Roman" w:hint="eastAsia"/>
                <w:sz w:val="18"/>
                <w:szCs w:val="18"/>
              </w:rPr>
              <w:t>：</w:t>
            </w:r>
            <w:proofErr w:type="gramStart"/>
            <w:r w:rsidRPr="0063248C">
              <w:rPr>
                <w:rFonts w:ascii="Times New Roman" w:hAnsi="Times New Roman" w:cs="Times New Roman" w:hint="eastAsia"/>
                <w:sz w:val="18"/>
                <w:szCs w:val="18"/>
              </w:rPr>
              <w:t>账</w:t>
            </w:r>
            <w:proofErr w:type="gramEnd"/>
            <w:r w:rsidRPr="0063248C">
              <w:rPr>
                <w:rFonts w:ascii="Times New Roman" w:hAnsi="Times New Roman" w:cs="Times New Roman" w:hint="eastAsia"/>
                <w:sz w:val="18"/>
                <w:szCs w:val="18"/>
              </w:rPr>
              <w:t>龄组合</w:t>
            </w:r>
          </w:p>
        </w:tc>
        <w:tc>
          <w:tcPr>
            <w:tcW w:w="242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4A628A"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本组合以应收款项的账</w:t>
            </w:r>
            <w:proofErr w:type="gramStart"/>
            <w:r w:rsidRPr="0063248C">
              <w:rPr>
                <w:rFonts w:ascii="Times New Roman" w:hAnsi="Times New Roman" w:cs="Times New Roman" w:hint="eastAsia"/>
                <w:sz w:val="18"/>
                <w:szCs w:val="18"/>
              </w:rPr>
              <w:t>龄作为</w:t>
            </w:r>
            <w:proofErr w:type="gramEnd"/>
            <w:r w:rsidRPr="0063248C">
              <w:rPr>
                <w:rFonts w:ascii="Times New Roman" w:hAnsi="Times New Roman" w:cs="Times New Roman" w:hint="eastAsia"/>
                <w:sz w:val="18"/>
                <w:szCs w:val="18"/>
              </w:rPr>
              <w:t>信用风险特征</w:t>
            </w:r>
          </w:p>
        </w:tc>
      </w:tr>
    </w:tbl>
    <w:p w14:paraId="28EBE1FA" w14:textId="77777777" w:rsidR="00517D34" w:rsidRPr="0063248C" w:rsidRDefault="00000000">
      <w:pPr>
        <w:pStyle w:val="a3"/>
        <w:spacing w:before="0" w:beforeAutospacing="0" w:after="0" w:afterAutospacing="0" w:line="273" w:lineRule="auto"/>
        <w:ind w:firstLine="360"/>
        <w:jc w:val="both"/>
        <w:divId w:val="228156627"/>
        <w:rPr>
          <w:rFonts w:ascii="Times New Roman" w:hAnsi="Times New Roman"/>
        </w:rPr>
      </w:pPr>
      <w:r w:rsidRPr="0063248C">
        <w:rPr>
          <w:rFonts w:ascii="Times New Roman" w:hAnsi="Times New Roman" w:hint="eastAsia"/>
          <w:sz w:val="18"/>
          <w:szCs w:val="18"/>
        </w:rPr>
        <w:t>各组合预期信用损失率</w:t>
      </w:r>
    </w:p>
    <w:p w14:paraId="7C48F4C8" w14:textId="77777777" w:rsidR="00517D34" w:rsidRPr="0063248C" w:rsidRDefault="00000000">
      <w:pPr>
        <w:pStyle w:val="a3"/>
        <w:spacing w:before="0" w:beforeAutospacing="0" w:after="0" w:afterAutospacing="0" w:line="273" w:lineRule="auto"/>
        <w:ind w:firstLine="360"/>
        <w:jc w:val="both"/>
        <w:divId w:val="228156627"/>
        <w:rPr>
          <w:rFonts w:ascii="Times New Roman" w:hAnsi="Times New Roman"/>
        </w:rPr>
      </w:pPr>
      <w:r w:rsidRPr="0063248C">
        <w:rPr>
          <w:rFonts w:ascii="Times New Roman" w:hAnsi="Times New Roman" w:hint="eastAsia"/>
          <w:sz w:val="18"/>
          <w:szCs w:val="18"/>
        </w:rPr>
        <w:t>应收账款组合</w:t>
      </w:r>
      <w:r w:rsidRPr="0063248C">
        <w:rPr>
          <w:rFonts w:ascii="Times New Roman" w:hAnsi="Times New Roman" w:cs="Times New Roman"/>
          <w:sz w:val="18"/>
          <w:szCs w:val="18"/>
        </w:rPr>
        <w:t>1</w:t>
      </w:r>
      <w:r w:rsidRPr="0063248C">
        <w:rPr>
          <w:rFonts w:ascii="Times New Roman" w:hAnsi="Times New Roman" w:hint="eastAsia"/>
          <w:sz w:val="18"/>
          <w:szCs w:val="18"/>
        </w:rPr>
        <w:t>：应收合并范围内关联方款项组合：合并范围内公司的往来款，一般不计提坏账准备，除非子公司发生明显的大额亏损考虑单项计提坏账准备。</w:t>
      </w:r>
    </w:p>
    <w:p w14:paraId="15E38901" w14:textId="77777777" w:rsidR="00517D34" w:rsidRPr="0063248C" w:rsidRDefault="00000000">
      <w:pPr>
        <w:pStyle w:val="a3"/>
        <w:spacing w:before="0" w:beforeAutospacing="0" w:after="0" w:afterAutospacing="0" w:line="273" w:lineRule="auto"/>
        <w:ind w:firstLine="360"/>
        <w:jc w:val="both"/>
        <w:divId w:val="228156627"/>
        <w:rPr>
          <w:rFonts w:ascii="Times New Roman" w:hAnsi="Times New Roman"/>
        </w:rPr>
      </w:pPr>
      <w:r w:rsidRPr="0063248C">
        <w:rPr>
          <w:rFonts w:ascii="Times New Roman" w:hAnsi="Times New Roman" w:hint="eastAsia"/>
          <w:sz w:val="18"/>
          <w:szCs w:val="18"/>
        </w:rPr>
        <w:t>应收账款组合</w:t>
      </w:r>
      <w:r w:rsidRPr="0063248C">
        <w:rPr>
          <w:rFonts w:ascii="Times New Roman" w:hAnsi="Times New Roman" w:cs="Times New Roman"/>
          <w:sz w:val="18"/>
          <w:szCs w:val="18"/>
        </w:rPr>
        <w:t>2</w:t>
      </w:r>
      <w:r w:rsidRPr="0063248C">
        <w:rPr>
          <w:rFonts w:ascii="Times New Roman" w:hAnsi="Times New Roman" w:hint="eastAsia"/>
          <w:sz w:val="18"/>
          <w:szCs w:val="18"/>
        </w:rPr>
        <w:t>：</w:t>
      </w:r>
      <w:proofErr w:type="gramStart"/>
      <w:r w:rsidRPr="0063248C">
        <w:rPr>
          <w:rFonts w:ascii="Times New Roman" w:hAnsi="Times New Roman" w:hint="eastAsia"/>
          <w:sz w:val="18"/>
          <w:szCs w:val="18"/>
        </w:rPr>
        <w:t>账</w:t>
      </w:r>
      <w:proofErr w:type="gramEnd"/>
      <w:r w:rsidRPr="0063248C">
        <w:rPr>
          <w:rFonts w:ascii="Times New Roman" w:hAnsi="Times New Roman" w:hint="eastAsia"/>
          <w:sz w:val="18"/>
          <w:szCs w:val="18"/>
        </w:rPr>
        <w:t>龄组合：</w:t>
      </w:r>
    </w:p>
    <w:tbl>
      <w:tblPr>
        <w:tblW w:w="9062" w:type="dxa"/>
        <w:tblCellMar>
          <w:top w:w="15" w:type="dxa"/>
          <w:left w:w="15" w:type="dxa"/>
          <w:bottom w:w="15" w:type="dxa"/>
          <w:right w:w="15" w:type="dxa"/>
        </w:tblCellMar>
        <w:tblLook w:val="04A0" w:firstRow="1" w:lastRow="0" w:firstColumn="1" w:lastColumn="0" w:noHBand="0" w:noVBand="1"/>
      </w:tblPr>
      <w:tblGrid>
        <w:gridCol w:w="4669"/>
        <w:gridCol w:w="4393"/>
      </w:tblGrid>
      <w:tr w:rsidR="00517D34" w:rsidRPr="0063248C" w14:paraId="220CF9F3" w14:textId="77777777">
        <w:trPr>
          <w:divId w:val="228156627"/>
          <w:trHeight w:val="340"/>
        </w:trPr>
        <w:tc>
          <w:tcPr>
            <w:tcW w:w="25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BB804"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账龄</w:t>
            </w:r>
          </w:p>
        </w:tc>
        <w:tc>
          <w:tcPr>
            <w:tcW w:w="24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9F4453"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预期信用损失率（</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w:t>
            </w:r>
          </w:p>
        </w:tc>
      </w:tr>
      <w:tr w:rsidR="00517D34" w:rsidRPr="0063248C" w14:paraId="351DB69D" w14:textId="77777777">
        <w:trPr>
          <w:divId w:val="228156627"/>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DD91ED"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1-3</w:t>
            </w:r>
            <w:r w:rsidRPr="0063248C">
              <w:rPr>
                <w:rFonts w:ascii="Times New Roman" w:hAnsi="Times New Roman" w:cs="Times New Roman" w:hint="eastAsia"/>
                <w:sz w:val="18"/>
                <w:szCs w:val="18"/>
              </w:rPr>
              <w:t>个月</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342935" w14:textId="13629978"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2.25</w:t>
            </w:r>
          </w:p>
        </w:tc>
      </w:tr>
      <w:tr w:rsidR="00517D34" w:rsidRPr="0063248C" w14:paraId="740BADB5" w14:textId="77777777">
        <w:trPr>
          <w:divId w:val="228156627"/>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F36F23"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4-6</w:t>
            </w:r>
            <w:r w:rsidRPr="0063248C">
              <w:rPr>
                <w:rFonts w:ascii="Times New Roman" w:hAnsi="Times New Roman" w:cs="Times New Roman" w:hint="eastAsia"/>
                <w:sz w:val="18"/>
                <w:szCs w:val="18"/>
              </w:rPr>
              <w:t>个月</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hideMark/>
          </w:tcPr>
          <w:p w14:paraId="48FB8434" w14:textId="48A652AE"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2.25</w:t>
            </w:r>
          </w:p>
        </w:tc>
      </w:tr>
      <w:tr w:rsidR="00517D34" w:rsidRPr="0063248C" w14:paraId="6B57C7D7" w14:textId="77777777">
        <w:trPr>
          <w:divId w:val="228156627"/>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13EB64"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7-9</w:t>
            </w:r>
            <w:r w:rsidRPr="0063248C">
              <w:rPr>
                <w:rFonts w:ascii="Times New Roman" w:hAnsi="Times New Roman" w:cs="Times New Roman" w:hint="eastAsia"/>
                <w:sz w:val="18"/>
                <w:szCs w:val="18"/>
              </w:rPr>
              <w:t>个月</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hideMark/>
          </w:tcPr>
          <w:p w14:paraId="3A3A583C" w14:textId="2FBEBEFE"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2.25</w:t>
            </w:r>
          </w:p>
        </w:tc>
      </w:tr>
      <w:tr w:rsidR="00517D34" w:rsidRPr="0063248C" w14:paraId="7979CC6F" w14:textId="77777777">
        <w:trPr>
          <w:divId w:val="228156627"/>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9A7F57"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10-12</w:t>
            </w:r>
            <w:r w:rsidRPr="0063248C">
              <w:rPr>
                <w:rFonts w:ascii="Times New Roman" w:hAnsi="Times New Roman" w:cs="Times New Roman" w:hint="eastAsia"/>
                <w:sz w:val="18"/>
                <w:szCs w:val="18"/>
              </w:rPr>
              <w:t>个月</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hideMark/>
          </w:tcPr>
          <w:p w14:paraId="3F13E660" w14:textId="43B1F1B0"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2.25</w:t>
            </w:r>
          </w:p>
        </w:tc>
      </w:tr>
      <w:tr w:rsidR="00517D34" w:rsidRPr="0063248C" w14:paraId="50A03DB5" w14:textId="77777777">
        <w:trPr>
          <w:divId w:val="228156627"/>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A4BD2D"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1-2</w:t>
            </w:r>
            <w:r w:rsidRPr="0063248C">
              <w:rPr>
                <w:rFonts w:ascii="Times New Roman" w:hAnsi="Times New Roman" w:cs="Times New Roman" w:hint="eastAsia"/>
                <w:sz w:val="18"/>
                <w:szCs w:val="18"/>
              </w:rPr>
              <w:t>年</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FA551E" w14:textId="368608E3"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25</w:t>
            </w:r>
          </w:p>
        </w:tc>
      </w:tr>
      <w:tr w:rsidR="00517D34" w:rsidRPr="0063248C" w14:paraId="37FD9F0A" w14:textId="77777777">
        <w:trPr>
          <w:divId w:val="228156627"/>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6C327B"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lastRenderedPageBreak/>
              <w:t>2-3</w:t>
            </w:r>
            <w:r w:rsidRPr="0063248C">
              <w:rPr>
                <w:rFonts w:ascii="Times New Roman" w:hAnsi="Times New Roman" w:cs="Times New Roman" w:hint="eastAsia"/>
                <w:sz w:val="18"/>
                <w:szCs w:val="18"/>
              </w:rPr>
              <w:t>年</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D9577A" w14:textId="4F0FCE52"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50</w:t>
            </w:r>
          </w:p>
        </w:tc>
      </w:tr>
      <w:tr w:rsidR="00517D34" w:rsidRPr="0063248C" w14:paraId="50DF03E3" w14:textId="77777777">
        <w:trPr>
          <w:divId w:val="228156627"/>
          <w:trHeight w:val="340"/>
        </w:trPr>
        <w:tc>
          <w:tcPr>
            <w:tcW w:w="2576"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CB138F"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3</w:t>
            </w:r>
            <w:r w:rsidRPr="0063248C">
              <w:rPr>
                <w:rFonts w:ascii="Times New Roman" w:hAnsi="Times New Roman" w:cs="Times New Roman" w:hint="eastAsia"/>
                <w:sz w:val="18"/>
                <w:szCs w:val="18"/>
              </w:rPr>
              <w:t>年以上</w:t>
            </w:r>
          </w:p>
        </w:tc>
        <w:tc>
          <w:tcPr>
            <w:tcW w:w="242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BA0F04" w14:textId="2C6B022C"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80</w:t>
            </w:r>
          </w:p>
        </w:tc>
      </w:tr>
    </w:tbl>
    <w:p w14:paraId="16A509D6" w14:textId="77777777" w:rsidR="00517D34" w:rsidRPr="0063248C" w:rsidRDefault="00517D34">
      <w:pPr>
        <w:divId w:val="228156627"/>
      </w:pPr>
    </w:p>
    <w:p w14:paraId="54771F92" w14:textId="77777777" w:rsidR="007B3DB2" w:rsidRPr="0063248C" w:rsidRDefault="00000000">
      <w:pPr>
        <w:pStyle w:val="3"/>
        <w:spacing w:line="280" w:lineRule="exact"/>
        <w:jc w:val="left"/>
        <w:rPr>
          <w:rFonts w:cs="宋体"/>
          <w:b/>
          <w:bCs/>
        </w:rPr>
      </w:pPr>
      <w:bookmarkStart w:id="130" w:name="_Toc989019"/>
      <w:r w:rsidRPr="0063248C">
        <w:rPr>
          <w:rFonts w:cs="宋体"/>
          <w:b/>
          <w:bCs/>
        </w:rPr>
        <w:t>14</w:t>
      </w:r>
      <w:r w:rsidRPr="0063248C">
        <w:rPr>
          <w:rFonts w:cs="宋体"/>
          <w:b/>
          <w:bCs/>
        </w:rPr>
        <w:t>、应收款项融资</w:t>
      </w:r>
      <w:bookmarkEnd w:id="130"/>
    </w:p>
    <w:p w14:paraId="79031328" w14:textId="77777777" w:rsidR="00517D34" w:rsidRPr="0063248C" w:rsidRDefault="00000000">
      <w:pPr>
        <w:pStyle w:val="a3"/>
        <w:spacing w:before="0" w:beforeAutospacing="0" w:after="0" w:afterAutospacing="0" w:line="273" w:lineRule="auto"/>
        <w:ind w:firstLine="360"/>
        <w:divId w:val="145706682"/>
        <w:rPr>
          <w:rFonts w:ascii="Times New Roman" w:hAnsi="Times New Roman"/>
        </w:rPr>
      </w:pPr>
      <w:r w:rsidRPr="0063248C">
        <w:rPr>
          <w:rFonts w:ascii="Times New Roman" w:hAnsi="Times New Roman" w:hint="eastAsia"/>
          <w:sz w:val="18"/>
          <w:szCs w:val="18"/>
        </w:rPr>
        <w:t>分类为以公允价值计量且其变动计入其他综合收益的应收票据和应收账款，自初始确认日起到期期限在一年内（含一年）的，列示为应收款项融资；自初始确认日起到期期限在一年以上的，列示为其他债权投资。其相关会计政策参见本附注五、</w:t>
      </w:r>
      <w:r w:rsidRPr="0063248C">
        <w:rPr>
          <w:rFonts w:ascii="Times New Roman" w:hAnsi="Times New Roman" w:cs="Times New Roman"/>
          <w:sz w:val="18"/>
          <w:szCs w:val="18"/>
        </w:rPr>
        <w:t>11</w:t>
      </w:r>
      <w:r w:rsidRPr="0063248C">
        <w:rPr>
          <w:rFonts w:ascii="Times New Roman" w:hAnsi="Times New Roman" w:hint="eastAsia"/>
          <w:sz w:val="18"/>
          <w:szCs w:val="18"/>
        </w:rPr>
        <w:t>“金融工具”。</w:t>
      </w:r>
    </w:p>
    <w:p w14:paraId="0602CDAF" w14:textId="77777777" w:rsidR="007B3DB2" w:rsidRPr="0063248C" w:rsidRDefault="00000000">
      <w:pPr>
        <w:pStyle w:val="3"/>
        <w:spacing w:line="280" w:lineRule="exact"/>
        <w:jc w:val="left"/>
        <w:rPr>
          <w:rFonts w:cs="宋体"/>
          <w:b/>
          <w:bCs/>
        </w:rPr>
      </w:pPr>
      <w:bookmarkStart w:id="131" w:name="_Toc989020"/>
      <w:r w:rsidRPr="0063248C">
        <w:rPr>
          <w:rFonts w:cs="宋体"/>
          <w:b/>
          <w:bCs/>
        </w:rPr>
        <w:t>15</w:t>
      </w:r>
      <w:r w:rsidRPr="0063248C">
        <w:rPr>
          <w:rFonts w:cs="宋体"/>
          <w:b/>
          <w:bCs/>
        </w:rPr>
        <w:t>、其他应收款</w:t>
      </w:r>
      <w:bookmarkEnd w:id="131"/>
    </w:p>
    <w:p w14:paraId="349978A2" w14:textId="77777777" w:rsidR="007B3DB2" w:rsidRPr="0063248C" w:rsidRDefault="00000000">
      <w:pPr>
        <w:spacing w:before="100" w:after="100" w:line="240" w:lineRule="exact"/>
        <w:rPr>
          <w:rFonts w:cs="宋体"/>
          <w:sz w:val="18"/>
          <w:szCs w:val="18"/>
        </w:rPr>
      </w:pPr>
      <w:r w:rsidRPr="0063248C">
        <w:rPr>
          <w:rFonts w:cs="宋体"/>
          <w:sz w:val="18"/>
          <w:szCs w:val="18"/>
        </w:rPr>
        <w:t>其他应收款的预期信用损失的确定方法及会计处理方法</w:t>
      </w:r>
    </w:p>
    <w:p w14:paraId="7EB5B251" w14:textId="77777777" w:rsidR="00517D34" w:rsidRPr="0063248C" w:rsidRDefault="00000000">
      <w:pPr>
        <w:pStyle w:val="a3"/>
        <w:spacing w:before="0" w:beforeAutospacing="0" w:after="0" w:afterAutospacing="0" w:line="273" w:lineRule="auto"/>
        <w:ind w:firstLine="360"/>
        <w:divId w:val="2048332389"/>
        <w:rPr>
          <w:rFonts w:ascii="Times New Roman" w:hAnsi="Times New Roman"/>
        </w:rPr>
      </w:pPr>
      <w:r w:rsidRPr="0063248C">
        <w:rPr>
          <w:rFonts w:ascii="Times New Roman" w:hAnsi="Times New Roman" w:hint="eastAsia"/>
          <w:sz w:val="18"/>
          <w:szCs w:val="18"/>
        </w:rPr>
        <w:t>按照附注五、</w:t>
      </w:r>
      <w:r w:rsidRPr="0063248C">
        <w:rPr>
          <w:rFonts w:ascii="Times New Roman" w:hAnsi="Times New Roman" w:cs="Times New Roman"/>
          <w:sz w:val="18"/>
          <w:szCs w:val="18"/>
        </w:rPr>
        <w:t>11</w:t>
      </w:r>
      <w:r w:rsidRPr="0063248C">
        <w:rPr>
          <w:rFonts w:ascii="Times New Roman" w:hAnsi="Times New Roman" w:hint="eastAsia"/>
          <w:sz w:val="18"/>
          <w:szCs w:val="18"/>
        </w:rPr>
        <w:t>、（</w:t>
      </w:r>
      <w:r w:rsidRPr="0063248C">
        <w:rPr>
          <w:rFonts w:ascii="Times New Roman" w:hAnsi="Times New Roman" w:cs="Times New Roman"/>
          <w:sz w:val="18"/>
          <w:szCs w:val="18"/>
        </w:rPr>
        <w:t>2</w:t>
      </w:r>
      <w:r w:rsidRPr="0063248C">
        <w:rPr>
          <w:rFonts w:ascii="Times New Roman" w:hAnsi="Times New Roman" w:hint="eastAsia"/>
          <w:sz w:val="18"/>
          <w:szCs w:val="18"/>
        </w:rPr>
        <w:t>）减值准备的确认和计量中的描述确认和计量减值。当单项其他应收款无法以合理成本评估预期信用损失的信息时，本公司依据信用风险特征将其他应收款划分为若干组合，在组合基础上计算预期信用损失。</w:t>
      </w:r>
      <w:proofErr w:type="gramStart"/>
      <w:r w:rsidRPr="0063248C">
        <w:rPr>
          <w:rFonts w:ascii="Times New Roman" w:hAnsi="Times New Roman" w:hint="eastAsia"/>
          <w:sz w:val="18"/>
          <w:szCs w:val="18"/>
        </w:rPr>
        <w:t>对于按账龄</w:t>
      </w:r>
      <w:proofErr w:type="gramEnd"/>
      <w:r w:rsidRPr="0063248C">
        <w:rPr>
          <w:rFonts w:ascii="Times New Roman" w:hAnsi="Times New Roman" w:hint="eastAsia"/>
          <w:sz w:val="18"/>
          <w:szCs w:val="18"/>
        </w:rPr>
        <w:t>划分组合的其他应收款，账</w:t>
      </w:r>
      <w:proofErr w:type="gramStart"/>
      <w:r w:rsidRPr="0063248C">
        <w:rPr>
          <w:rFonts w:ascii="Times New Roman" w:hAnsi="Times New Roman" w:hint="eastAsia"/>
          <w:sz w:val="18"/>
          <w:szCs w:val="18"/>
        </w:rPr>
        <w:t>龄自确认</w:t>
      </w:r>
      <w:proofErr w:type="gramEnd"/>
      <w:r w:rsidRPr="0063248C">
        <w:rPr>
          <w:rFonts w:ascii="Times New Roman" w:hAnsi="Times New Roman" w:hint="eastAsia"/>
          <w:sz w:val="18"/>
          <w:szCs w:val="18"/>
        </w:rPr>
        <w:t>之日起计算。确定组合的依据如下：</w:t>
      </w:r>
    </w:p>
    <w:tbl>
      <w:tblPr>
        <w:tblW w:w="4866" w:type="pct"/>
        <w:tblCellMar>
          <w:top w:w="15" w:type="dxa"/>
          <w:left w:w="15" w:type="dxa"/>
          <w:bottom w:w="15" w:type="dxa"/>
          <w:right w:w="15" w:type="dxa"/>
        </w:tblCellMar>
        <w:tblLook w:val="04A0" w:firstRow="1" w:lastRow="0" w:firstColumn="1" w:lastColumn="0" w:noHBand="0" w:noVBand="1"/>
      </w:tblPr>
      <w:tblGrid>
        <w:gridCol w:w="2424"/>
        <w:gridCol w:w="7429"/>
      </w:tblGrid>
      <w:tr w:rsidR="00517D34" w:rsidRPr="0063248C" w14:paraId="35935DB2" w14:textId="77777777" w:rsidTr="0035454A">
        <w:trPr>
          <w:divId w:val="2048332389"/>
          <w:trHeight w:val="414"/>
        </w:trPr>
        <w:tc>
          <w:tcPr>
            <w:tcW w:w="12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86DAF8"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项目</w:t>
            </w:r>
          </w:p>
        </w:tc>
        <w:tc>
          <w:tcPr>
            <w:tcW w:w="37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8B1438"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确定组合的依据</w:t>
            </w:r>
          </w:p>
        </w:tc>
      </w:tr>
      <w:tr w:rsidR="00517D34" w:rsidRPr="0063248C" w14:paraId="5A53EBEB" w14:textId="77777777" w:rsidTr="0035454A">
        <w:trPr>
          <w:divId w:val="2048332389"/>
          <w:trHeight w:val="328"/>
        </w:trPr>
        <w:tc>
          <w:tcPr>
            <w:tcW w:w="123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7E35BA"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组合</w:t>
            </w:r>
            <w:r w:rsidRPr="0063248C">
              <w:rPr>
                <w:rFonts w:ascii="Times New Roman" w:hAnsi="Times New Roman" w:cs="Times New Roman"/>
                <w:sz w:val="18"/>
                <w:szCs w:val="18"/>
              </w:rPr>
              <w:t>1</w:t>
            </w:r>
            <w:r w:rsidRPr="0063248C">
              <w:rPr>
                <w:rFonts w:ascii="Times New Roman" w:hAnsi="Times New Roman" w:cs="Times New Roman" w:hint="eastAsia"/>
                <w:sz w:val="18"/>
                <w:szCs w:val="18"/>
              </w:rPr>
              <w:t>：应收合并范围内关联方款项组合</w:t>
            </w:r>
          </w:p>
        </w:tc>
        <w:tc>
          <w:tcPr>
            <w:tcW w:w="37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E00607"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合并范围内各家单位之间的往来款项</w:t>
            </w:r>
          </w:p>
        </w:tc>
      </w:tr>
      <w:tr w:rsidR="00517D34" w:rsidRPr="0063248C" w14:paraId="25261573" w14:textId="77777777" w:rsidTr="0035454A">
        <w:trPr>
          <w:divId w:val="2048332389"/>
          <w:trHeight w:val="328"/>
        </w:trPr>
        <w:tc>
          <w:tcPr>
            <w:tcW w:w="123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8E8B1C"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组合</w:t>
            </w:r>
            <w:r w:rsidRPr="0063248C">
              <w:rPr>
                <w:rFonts w:ascii="Times New Roman" w:hAnsi="Times New Roman" w:cs="Times New Roman"/>
                <w:sz w:val="18"/>
                <w:szCs w:val="18"/>
              </w:rPr>
              <w:t>2</w:t>
            </w:r>
            <w:r w:rsidRPr="0063248C">
              <w:rPr>
                <w:rFonts w:ascii="Times New Roman" w:hAnsi="Times New Roman" w:cs="Times New Roman" w:hint="eastAsia"/>
                <w:sz w:val="18"/>
                <w:szCs w:val="18"/>
              </w:rPr>
              <w:t>：</w:t>
            </w:r>
            <w:proofErr w:type="gramStart"/>
            <w:r w:rsidRPr="0063248C">
              <w:rPr>
                <w:rFonts w:ascii="Times New Roman" w:hAnsi="Times New Roman" w:cs="Times New Roman" w:hint="eastAsia"/>
                <w:sz w:val="18"/>
                <w:szCs w:val="18"/>
              </w:rPr>
              <w:t>账</w:t>
            </w:r>
            <w:proofErr w:type="gramEnd"/>
            <w:r w:rsidRPr="0063248C">
              <w:rPr>
                <w:rFonts w:ascii="Times New Roman" w:hAnsi="Times New Roman" w:cs="Times New Roman" w:hint="eastAsia"/>
                <w:sz w:val="18"/>
                <w:szCs w:val="18"/>
              </w:rPr>
              <w:t>龄组合</w:t>
            </w:r>
          </w:p>
        </w:tc>
        <w:tc>
          <w:tcPr>
            <w:tcW w:w="37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7B8ADC"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除上述组合外的其他组合，本组合以其他应收款的账</w:t>
            </w:r>
            <w:proofErr w:type="gramStart"/>
            <w:r w:rsidRPr="0063248C">
              <w:rPr>
                <w:rFonts w:ascii="Times New Roman" w:hAnsi="Times New Roman" w:cs="Times New Roman" w:hint="eastAsia"/>
                <w:sz w:val="18"/>
                <w:szCs w:val="18"/>
              </w:rPr>
              <w:t>龄作为</w:t>
            </w:r>
            <w:proofErr w:type="gramEnd"/>
            <w:r w:rsidRPr="0063248C">
              <w:rPr>
                <w:rFonts w:ascii="Times New Roman" w:hAnsi="Times New Roman" w:cs="Times New Roman" w:hint="eastAsia"/>
                <w:sz w:val="18"/>
                <w:szCs w:val="18"/>
              </w:rPr>
              <w:t>信用风险特征。</w:t>
            </w:r>
          </w:p>
          <w:p w14:paraId="398B0405"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公司根据</w:t>
            </w:r>
            <w:proofErr w:type="gramStart"/>
            <w:r w:rsidRPr="0063248C">
              <w:rPr>
                <w:rFonts w:ascii="Times New Roman" w:hAnsi="Times New Roman" w:cs="Times New Roman" w:hint="eastAsia"/>
                <w:sz w:val="18"/>
                <w:szCs w:val="18"/>
              </w:rPr>
              <w:t>账龄段划分</w:t>
            </w:r>
            <w:proofErr w:type="gramEnd"/>
            <w:r w:rsidRPr="0063248C">
              <w:rPr>
                <w:rFonts w:ascii="Times New Roman" w:hAnsi="Times New Roman" w:cs="Times New Roman" w:hint="eastAsia"/>
                <w:sz w:val="18"/>
                <w:szCs w:val="18"/>
              </w:rPr>
              <w:t>的具有类似信用风险特征的其他应收款组合的预期损失率为基础，结合现时情况分析法确定坏账准备计提的比例</w:t>
            </w:r>
          </w:p>
        </w:tc>
      </w:tr>
    </w:tbl>
    <w:p w14:paraId="4111AA41" w14:textId="77777777" w:rsidR="00517D34" w:rsidRPr="0063248C" w:rsidRDefault="00000000">
      <w:pPr>
        <w:pStyle w:val="a3"/>
        <w:spacing w:before="0" w:beforeAutospacing="0" w:after="0" w:afterAutospacing="0" w:line="273" w:lineRule="auto"/>
        <w:ind w:firstLine="360"/>
        <w:divId w:val="2048332389"/>
        <w:rPr>
          <w:rFonts w:ascii="Times New Roman" w:hAnsi="Times New Roman"/>
          <w:sz w:val="21"/>
          <w:szCs w:val="21"/>
        </w:rPr>
      </w:pPr>
      <w:r w:rsidRPr="0063248C">
        <w:rPr>
          <w:rFonts w:ascii="Times New Roman" w:hAnsi="Times New Roman" w:hint="eastAsia"/>
          <w:sz w:val="18"/>
          <w:szCs w:val="18"/>
        </w:rPr>
        <w:t>各组合预期信用损失率：</w:t>
      </w:r>
    </w:p>
    <w:p w14:paraId="5DBD5268" w14:textId="77777777" w:rsidR="00517D34" w:rsidRPr="0063248C" w:rsidRDefault="00000000">
      <w:pPr>
        <w:pStyle w:val="a3"/>
        <w:spacing w:before="0" w:beforeAutospacing="0" w:after="0" w:afterAutospacing="0" w:line="273" w:lineRule="auto"/>
        <w:ind w:firstLine="360"/>
        <w:divId w:val="2048332389"/>
        <w:rPr>
          <w:rFonts w:ascii="Times New Roman" w:hAnsi="Times New Roman"/>
          <w:sz w:val="21"/>
          <w:szCs w:val="21"/>
        </w:rPr>
      </w:pPr>
      <w:r w:rsidRPr="0063248C">
        <w:rPr>
          <w:rFonts w:ascii="Times New Roman" w:hAnsi="Times New Roman" w:hint="eastAsia"/>
          <w:sz w:val="18"/>
          <w:szCs w:val="18"/>
        </w:rPr>
        <w:t>其他应收款组合</w:t>
      </w:r>
      <w:r w:rsidRPr="0063248C">
        <w:rPr>
          <w:rFonts w:ascii="Times New Roman" w:hAnsi="Times New Roman" w:cs="Times New Roman"/>
          <w:sz w:val="18"/>
          <w:szCs w:val="18"/>
        </w:rPr>
        <w:t>1</w:t>
      </w:r>
      <w:r w:rsidRPr="0063248C">
        <w:rPr>
          <w:rFonts w:ascii="Times New Roman" w:hAnsi="Times New Roman" w:hint="eastAsia"/>
          <w:sz w:val="18"/>
          <w:szCs w:val="18"/>
        </w:rPr>
        <w:t>：应收合并范围内关联方款项组合：合并范围内公司的往来款，一般不计提坏账准备，除非子公司发生明显的大额亏损考虑单项计提坏账准备。</w:t>
      </w:r>
    </w:p>
    <w:p w14:paraId="430F54F8" w14:textId="77777777" w:rsidR="00517D34" w:rsidRPr="0063248C" w:rsidRDefault="00000000">
      <w:pPr>
        <w:pStyle w:val="a3"/>
        <w:spacing w:before="0" w:beforeAutospacing="0" w:after="0" w:afterAutospacing="0" w:line="273" w:lineRule="auto"/>
        <w:ind w:firstLine="360"/>
        <w:divId w:val="2048332389"/>
        <w:rPr>
          <w:rFonts w:ascii="Times New Roman" w:hAnsi="Times New Roman"/>
          <w:sz w:val="21"/>
          <w:szCs w:val="21"/>
        </w:rPr>
      </w:pPr>
      <w:r w:rsidRPr="0063248C">
        <w:rPr>
          <w:rFonts w:ascii="Times New Roman" w:hAnsi="Times New Roman" w:hint="eastAsia"/>
          <w:sz w:val="18"/>
          <w:szCs w:val="18"/>
        </w:rPr>
        <w:t>其他应收款组合</w:t>
      </w:r>
      <w:r w:rsidRPr="0063248C">
        <w:rPr>
          <w:rFonts w:ascii="Times New Roman" w:hAnsi="Times New Roman" w:cs="Times New Roman"/>
          <w:sz w:val="18"/>
          <w:szCs w:val="18"/>
        </w:rPr>
        <w:t>2</w:t>
      </w:r>
      <w:r w:rsidRPr="0063248C">
        <w:rPr>
          <w:rFonts w:ascii="Times New Roman" w:hAnsi="Times New Roman" w:hint="eastAsia"/>
          <w:sz w:val="18"/>
          <w:szCs w:val="18"/>
        </w:rPr>
        <w:t>：</w:t>
      </w:r>
      <w:proofErr w:type="gramStart"/>
      <w:r w:rsidRPr="0063248C">
        <w:rPr>
          <w:rFonts w:ascii="Times New Roman" w:hAnsi="Times New Roman" w:hint="eastAsia"/>
          <w:sz w:val="18"/>
          <w:szCs w:val="18"/>
        </w:rPr>
        <w:t>账</w:t>
      </w:r>
      <w:proofErr w:type="gramEnd"/>
      <w:r w:rsidRPr="0063248C">
        <w:rPr>
          <w:rFonts w:ascii="Times New Roman" w:hAnsi="Times New Roman" w:hint="eastAsia"/>
          <w:sz w:val="18"/>
          <w:szCs w:val="18"/>
        </w:rPr>
        <w:t>龄组合：</w:t>
      </w:r>
    </w:p>
    <w:tbl>
      <w:tblPr>
        <w:tblW w:w="9570" w:type="dxa"/>
        <w:tblCellMar>
          <w:top w:w="15" w:type="dxa"/>
          <w:left w:w="15" w:type="dxa"/>
          <w:bottom w:w="15" w:type="dxa"/>
          <w:right w:w="15" w:type="dxa"/>
        </w:tblCellMar>
        <w:tblLook w:val="04A0" w:firstRow="1" w:lastRow="0" w:firstColumn="1" w:lastColumn="0" w:noHBand="0" w:noVBand="1"/>
      </w:tblPr>
      <w:tblGrid>
        <w:gridCol w:w="4976"/>
        <w:gridCol w:w="4594"/>
      </w:tblGrid>
      <w:tr w:rsidR="00517D34" w:rsidRPr="0063248C" w14:paraId="3058EDB7" w14:textId="77777777">
        <w:trPr>
          <w:divId w:val="2048332389"/>
          <w:trHeight w:val="340"/>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3B8B3B"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账龄</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5927CF" w14:textId="77777777" w:rsidR="00517D34" w:rsidRPr="0063248C" w:rsidRDefault="00000000" w:rsidP="0035454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预期信用损失率（</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w:t>
            </w:r>
          </w:p>
        </w:tc>
      </w:tr>
      <w:tr w:rsidR="00517D34" w:rsidRPr="0063248C" w14:paraId="3751D127" w14:textId="77777777">
        <w:trPr>
          <w:divId w:val="2048332389"/>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A46430"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1-3</w:t>
            </w:r>
            <w:r w:rsidRPr="0063248C">
              <w:rPr>
                <w:rFonts w:ascii="Times New Roman" w:hAnsi="Times New Roman" w:cs="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63A4760E"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1.23</w:t>
            </w:r>
          </w:p>
        </w:tc>
      </w:tr>
      <w:tr w:rsidR="00517D34" w:rsidRPr="0063248C" w14:paraId="2F3B68D7" w14:textId="77777777">
        <w:trPr>
          <w:divId w:val="2048332389"/>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D18561"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4-6</w:t>
            </w:r>
            <w:r w:rsidRPr="0063248C">
              <w:rPr>
                <w:rFonts w:ascii="Times New Roman" w:hAnsi="Times New Roman" w:cs="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78F6CDA0"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1.23</w:t>
            </w:r>
          </w:p>
        </w:tc>
      </w:tr>
      <w:tr w:rsidR="00517D34" w:rsidRPr="0063248C" w14:paraId="5336A9BE" w14:textId="77777777">
        <w:trPr>
          <w:divId w:val="2048332389"/>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31C15F"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7-9</w:t>
            </w:r>
            <w:r w:rsidRPr="0063248C">
              <w:rPr>
                <w:rFonts w:ascii="Times New Roman" w:hAnsi="Times New Roman" w:cs="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30D41502"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1.23</w:t>
            </w:r>
          </w:p>
        </w:tc>
      </w:tr>
      <w:tr w:rsidR="00517D34" w:rsidRPr="0063248C" w14:paraId="6A06B8CE" w14:textId="77777777">
        <w:trPr>
          <w:divId w:val="2048332389"/>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1ACAD1"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10-12</w:t>
            </w:r>
            <w:r w:rsidRPr="0063248C">
              <w:rPr>
                <w:rFonts w:ascii="Times New Roman" w:hAnsi="Times New Roman" w:cs="Times New Roman" w:hint="eastAsia"/>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E3AA3C"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1.23</w:t>
            </w:r>
          </w:p>
        </w:tc>
      </w:tr>
      <w:tr w:rsidR="00517D34" w:rsidRPr="0063248C" w14:paraId="31B0E823" w14:textId="77777777">
        <w:trPr>
          <w:divId w:val="2048332389"/>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C9E17"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1-2</w:t>
            </w:r>
            <w:r w:rsidRPr="0063248C">
              <w:rPr>
                <w:rFonts w:ascii="Times New Roman" w:hAnsi="Times New Roman" w:cs="Times New Roman" w:hint="eastAsia"/>
                <w:sz w:val="18"/>
                <w:szCs w:val="18"/>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79975E"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22.91</w:t>
            </w:r>
          </w:p>
        </w:tc>
      </w:tr>
      <w:tr w:rsidR="00517D34" w:rsidRPr="0063248C" w14:paraId="1AB3B992" w14:textId="77777777">
        <w:trPr>
          <w:divId w:val="2048332389"/>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C64B46"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2-3</w:t>
            </w:r>
            <w:r w:rsidRPr="0063248C">
              <w:rPr>
                <w:rFonts w:ascii="Times New Roman" w:hAnsi="Times New Roman" w:cs="Times New Roman" w:hint="eastAsia"/>
                <w:sz w:val="18"/>
                <w:szCs w:val="18"/>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429DFC"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79.83</w:t>
            </w:r>
          </w:p>
        </w:tc>
      </w:tr>
      <w:tr w:rsidR="00517D34" w:rsidRPr="0063248C" w14:paraId="49960784" w14:textId="77777777">
        <w:trPr>
          <w:divId w:val="2048332389"/>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E2D487"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3</w:t>
            </w:r>
            <w:r w:rsidRPr="0063248C">
              <w:rPr>
                <w:rFonts w:ascii="Times New Roman" w:hAnsi="Times New Roman" w:cs="Times New Roman" w:hint="eastAsia"/>
                <w:sz w:val="18"/>
                <w:szCs w:val="18"/>
              </w:rPr>
              <w:t>年以上</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02B9D"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100.00</w:t>
            </w:r>
          </w:p>
        </w:tc>
      </w:tr>
    </w:tbl>
    <w:p w14:paraId="1BAB38DC" w14:textId="77777777" w:rsidR="00517D34" w:rsidRPr="0063248C" w:rsidRDefault="00517D34">
      <w:pPr>
        <w:divId w:val="2048332389"/>
      </w:pPr>
    </w:p>
    <w:p w14:paraId="12B10499" w14:textId="77777777" w:rsidR="007B3DB2" w:rsidRPr="0063248C" w:rsidRDefault="00000000">
      <w:pPr>
        <w:pStyle w:val="3"/>
        <w:spacing w:line="280" w:lineRule="exact"/>
        <w:jc w:val="left"/>
        <w:rPr>
          <w:rFonts w:cs="宋体"/>
          <w:b/>
          <w:bCs/>
        </w:rPr>
      </w:pPr>
      <w:bookmarkStart w:id="132" w:name="_Toc989021"/>
      <w:r w:rsidRPr="0063248C">
        <w:rPr>
          <w:rFonts w:cs="宋体"/>
          <w:b/>
          <w:bCs/>
        </w:rPr>
        <w:t>16</w:t>
      </w:r>
      <w:r w:rsidRPr="0063248C">
        <w:rPr>
          <w:rFonts w:cs="宋体"/>
          <w:b/>
          <w:bCs/>
        </w:rPr>
        <w:t>、合同资产</w:t>
      </w:r>
      <w:bookmarkEnd w:id="132"/>
    </w:p>
    <w:p w14:paraId="2C0A2FA9" w14:textId="77777777" w:rsidR="00517D34" w:rsidRPr="0063248C" w:rsidRDefault="00000000">
      <w:pPr>
        <w:pStyle w:val="a3"/>
        <w:spacing w:before="0" w:beforeAutospacing="0" w:after="0" w:afterAutospacing="0" w:line="273" w:lineRule="auto"/>
        <w:ind w:firstLine="360"/>
        <w:divId w:val="920715838"/>
        <w:rPr>
          <w:rFonts w:ascii="Times New Roman" w:hAnsi="Times New Roman"/>
        </w:rPr>
      </w:pPr>
      <w:r w:rsidRPr="0063248C">
        <w:rPr>
          <w:rFonts w:ascii="Times New Roman" w:hAnsi="Times New Roman" w:hint="eastAsia"/>
          <w:sz w:val="18"/>
          <w:szCs w:val="18"/>
        </w:rPr>
        <w:t>本集团将客户尚未支付合同对价，但本集团已经依据合同履行了履约义务，且不属于无条件（即仅取决于时间流逝）向客户收款的权利，在资产负债表中列示为合同资产。同一合同下的合同资产和合同负债以净额列示，不同合同下的合同资产和合同负债不予</w:t>
      </w:r>
      <w:proofErr w:type="gramStart"/>
      <w:r w:rsidRPr="0063248C">
        <w:rPr>
          <w:rFonts w:ascii="Times New Roman" w:hAnsi="Times New Roman" w:hint="eastAsia"/>
          <w:sz w:val="18"/>
          <w:szCs w:val="18"/>
        </w:rPr>
        <w:t>抵销</w:t>
      </w:r>
      <w:proofErr w:type="gramEnd"/>
      <w:r w:rsidRPr="0063248C">
        <w:rPr>
          <w:rFonts w:ascii="Times New Roman" w:hAnsi="Times New Roman" w:hint="eastAsia"/>
          <w:sz w:val="18"/>
          <w:szCs w:val="18"/>
        </w:rPr>
        <w:t>。</w:t>
      </w:r>
    </w:p>
    <w:p w14:paraId="1DD32436" w14:textId="77777777" w:rsidR="00517D34" w:rsidRPr="0063248C" w:rsidRDefault="00000000">
      <w:pPr>
        <w:pStyle w:val="a3"/>
        <w:spacing w:before="0" w:beforeAutospacing="0" w:after="0" w:afterAutospacing="0"/>
        <w:divId w:val="920715838"/>
        <w:rPr>
          <w:rFonts w:ascii="Times New Roman" w:hAnsi="Times New Roman"/>
          <w:sz w:val="21"/>
          <w:szCs w:val="21"/>
        </w:rPr>
      </w:pPr>
      <w:r w:rsidRPr="0063248C">
        <w:rPr>
          <w:rFonts w:ascii="Times New Roman" w:hAnsi="Times New Roman" w:hint="eastAsia"/>
          <w:sz w:val="18"/>
          <w:szCs w:val="18"/>
        </w:rPr>
        <w:t>合同资产预期信用损失的确定方法和会计处理方法参见附注五、</w:t>
      </w:r>
      <w:r w:rsidRPr="0063248C">
        <w:rPr>
          <w:rFonts w:ascii="Times New Roman" w:hAnsi="Times New Roman" w:cs="Times New Roman"/>
          <w:sz w:val="18"/>
          <w:szCs w:val="18"/>
        </w:rPr>
        <w:t>11</w:t>
      </w:r>
      <w:r w:rsidRPr="0063248C">
        <w:rPr>
          <w:rFonts w:ascii="Times New Roman" w:hAnsi="Times New Roman" w:hint="eastAsia"/>
          <w:sz w:val="18"/>
          <w:szCs w:val="18"/>
        </w:rPr>
        <w:t>、金融工具。</w:t>
      </w:r>
    </w:p>
    <w:p w14:paraId="4820FFD6" w14:textId="77777777" w:rsidR="007B3DB2" w:rsidRPr="0063248C" w:rsidRDefault="007B3DB2"/>
    <w:p w14:paraId="350394E0" w14:textId="77777777" w:rsidR="007B3DB2" w:rsidRPr="0063248C" w:rsidRDefault="00000000">
      <w:pPr>
        <w:pStyle w:val="3"/>
        <w:spacing w:line="280" w:lineRule="exact"/>
        <w:jc w:val="left"/>
        <w:rPr>
          <w:rFonts w:cs="宋体"/>
          <w:b/>
          <w:bCs/>
        </w:rPr>
      </w:pPr>
      <w:bookmarkStart w:id="133" w:name="_Toc989022"/>
      <w:r w:rsidRPr="0063248C">
        <w:rPr>
          <w:rFonts w:cs="宋体"/>
          <w:b/>
          <w:bCs/>
        </w:rPr>
        <w:t>17</w:t>
      </w:r>
      <w:r w:rsidRPr="0063248C">
        <w:rPr>
          <w:rFonts w:cs="宋体"/>
          <w:b/>
          <w:bCs/>
        </w:rPr>
        <w:t>、存货</w:t>
      </w:r>
      <w:bookmarkEnd w:id="133"/>
    </w:p>
    <w:p w14:paraId="657330EF" w14:textId="77777777" w:rsidR="00517D34" w:rsidRPr="0063248C" w:rsidRDefault="00000000">
      <w:pPr>
        <w:pStyle w:val="a3"/>
        <w:spacing w:before="0" w:beforeAutospacing="0" w:after="0" w:afterAutospacing="0" w:line="273" w:lineRule="auto"/>
        <w:ind w:firstLine="360"/>
        <w:divId w:val="497156373"/>
        <w:rPr>
          <w:rFonts w:ascii="Times New Roman" w:hAnsi="Times New Roman"/>
          <w:sz w:val="21"/>
          <w:szCs w:val="21"/>
        </w:rPr>
      </w:pPr>
      <w:r w:rsidRPr="0063248C">
        <w:rPr>
          <w:rFonts w:ascii="Times New Roman" w:hAnsi="Times New Roman" w:hint="eastAsia"/>
          <w:sz w:val="18"/>
          <w:szCs w:val="18"/>
        </w:rPr>
        <w:t>存货的分类</w:t>
      </w:r>
    </w:p>
    <w:p w14:paraId="0F293FAE" w14:textId="77777777" w:rsidR="00517D34" w:rsidRPr="0063248C" w:rsidRDefault="00000000">
      <w:pPr>
        <w:pStyle w:val="a3"/>
        <w:spacing w:before="0" w:beforeAutospacing="0" w:after="0" w:afterAutospacing="0" w:line="273" w:lineRule="auto"/>
        <w:ind w:firstLine="360"/>
        <w:divId w:val="497156373"/>
        <w:rPr>
          <w:rFonts w:ascii="Times New Roman" w:hAnsi="Times New Roman"/>
          <w:sz w:val="21"/>
          <w:szCs w:val="21"/>
        </w:rPr>
      </w:pPr>
      <w:r w:rsidRPr="0063248C">
        <w:rPr>
          <w:rFonts w:ascii="Times New Roman" w:hAnsi="Times New Roman" w:hint="eastAsia"/>
          <w:sz w:val="18"/>
          <w:szCs w:val="18"/>
        </w:rPr>
        <w:t>存货主要包括原材料、库存商品、在产品、消耗性生物资产、低值易耗品和包装物等，摊销期限不超过一年或一个营业周期的合同履约成本也列报为存货。</w:t>
      </w:r>
    </w:p>
    <w:p w14:paraId="3C7CBD8B" w14:textId="77777777" w:rsidR="00517D34" w:rsidRPr="0063248C" w:rsidRDefault="00000000">
      <w:pPr>
        <w:pStyle w:val="a3"/>
        <w:spacing w:before="0" w:beforeAutospacing="0" w:after="0" w:afterAutospacing="0" w:line="273" w:lineRule="auto"/>
        <w:ind w:firstLine="360"/>
        <w:divId w:val="497156373"/>
        <w:rPr>
          <w:rFonts w:ascii="Times New Roman" w:hAnsi="Times New Roman"/>
          <w:sz w:val="21"/>
          <w:szCs w:val="21"/>
        </w:rPr>
      </w:pPr>
      <w:r w:rsidRPr="0063248C">
        <w:rPr>
          <w:rFonts w:ascii="Times New Roman" w:hAnsi="Times New Roman" w:hint="eastAsia"/>
          <w:sz w:val="18"/>
          <w:szCs w:val="18"/>
        </w:rPr>
        <w:t>存货取得和发出的计价方法</w:t>
      </w:r>
    </w:p>
    <w:p w14:paraId="18805457" w14:textId="77777777" w:rsidR="00517D34" w:rsidRPr="0063248C" w:rsidRDefault="00000000">
      <w:pPr>
        <w:pStyle w:val="a3"/>
        <w:spacing w:before="0" w:beforeAutospacing="0" w:after="0" w:afterAutospacing="0" w:line="273" w:lineRule="auto"/>
        <w:ind w:firstLine="360"/>
        <w:divId w:val="497156373"/>
        <w:rPr>
          <w:rFonts w:ascii="Times New Roman" w:hAnsi="Times New Roman"/>
          <w:sz w:val="21"/>
          <w:szCs w:val="21"/>
        </w:rPr>
      </w:pPr>
      <w:r w:rsidRPr="0063248C">
        <w:rPr>
          <w:rFonts w:ascii="Times New Roman" w:hAnsi="Times New Roman" w:hint="eastAsia"/>
          <w:sz w:val="18"/>
          <w:szCs w:val="18"/>
        </w:rPr>
        <w:t>存货在取得时按实际成本计价，存货成本包括采购成本、加工成本和其他成本。领用和发出时按加权平均法计价。</w:t>
      </w:r>
    </w:p>
    <w:p w14:paraId="0E305517" w14:textId="77777777" w:rsidR="00517D34" w:rsidRPr="0063248C" w:rsidRDefault="00000000">
      <w:pPr>
        <w:pStyle w:val="a3"/>
        <w:spacing w:before="0" w:beforeAutospacing="0" w:after="0" w:afterAutospacing="0" w:line="273" w:lineRule="auto"/>
        <w:ind w:firstLine="360"/>
        <w:divId w:val="497156373"/>
        <w:rPr>
          <w:rFonts w:ascii="Times New Roman" w:hAnsi="Times New Roman"/>
          <w:sz w:val="21"/>
          <w:szCs w:val="21"/>
        </w:rPr>
      </w:pPr>
      <w:r w:rsidRPr="0063248C">
        <w:rPr>
          <w:rFonts w:ascii="Times New Roman" w:hAnsi="Times New Roman" w:hint="eastAsia"/>
          <w:sz w:val="18"/>
          <w:szCs w:val="18"/>
        </w:rPr>
        <w:t>存货可变现净值的确认和跌价准备的计提方法</w:t>
      </w:r>
    </w:p>
    <w:p w14:paraId="6F3D11C5" w14:textId="77777777" w:rsidR="00517D34" w:rsidRPr="0063248C" w:rsidRDefault="00000000">
      <w:pPr>
        <w:pStyle w:val="a3"/>
        <w:spacing w:before="0" w:beforeAutospacing="0" w:after="0" w:afterAutospacing="0" w:line="273" w:lineRule="auto"/>
        <w:ind w:firstLine="360"/>
        <w:divId w:val="497156373"/>
        <w:rPr>
          <w:rFonts w:ascii="Times New Roman" w:hAnsi="Times New Roman"/>
          <w:sz w:val="21"/>
          <w:szCs w:val="21"/>
        </w:rPr>
      </w:pPr>
      <w:r w:rsidRPr="0063248C">
        <w:rPr>
          <w:rFonts w:ascii="Times New Roman" w:hAnsi="Times New Roman" w:hint="eastAsia"/>
          <w:sz w:val="18"/>
          <w:szCs w:val="18"/>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14:paraId="14DF982C" w14:textId="77777777" w:rsidR="00517D34" w:rsidRPr="0063248C" w:rsidRDefault="00000000">
      <w:pPr>
        <w:pStyle w:val="a3"/>
        <w:spacing w:before="0" w:beforeAutospacing="0" w:after="0" w:afterAutospacing="0" w:line="273" w:lineRule="auto"/>
        <w:ind w:firstLine="360"/>
        <w:divId w:val="497156373"/>
        <w:rPr>
          <w:rFonts w:ascii="Times New Roman" w:hAnsi="Times New Roman"/>
          <w:sz w:val="21"/>
          <w:szCs w:val="21"/>
        </w:rPr>
      </w:pPr>
      <w:r w:rsidRPr="0063248C">
        <w:rPr>
          <w:rFonts w:ascii="Times New Roman" w:hAnsi="Times New Roman" w:hint="eastAsia"/>
          <w:sz w:val="18"/>
          <w:szCs w:val="18"/>
        </w:rPr>
        <w:t>在资产负债表日，存货按照成本与可变现净值孰低计量。当其可变现净值低于成本时，提取存货跌价准备。存货跌价准备通常按单个存货项目的成本高于其可变现净值的差额提取。对于数量繁多、单价较低的存货，按存货类别计提存货跌价准备；对在同一地区生产和销售的产品系列相关、具有相同或类似最终用途或目的，且难以与其他项目分开计量的存货，可合并计提存货跌价准备。</w:t>
      </w:r>
    </w:p>
    <w:p w14:paraId="60DD8F26" w14:textId="77777777" w:rsidR="00517D34" w:rsidRPr="0063248C" w:rsidRDefault="00000000">
      <w:pPr>
        <w:pStyle w:val="a3"/>
        <w:spacing w:before="0" w:beforeAutospacing="0" w:after="0" w:afterAutospacing="0" w:line="273" w:lineRule="auto"/>
        <w:ind w:firstLine="360"/>
        <w:divId w:val="497156373"/>
        <w:rPr>
          <w:rFonts w:ascii="Times New Roman" w:hAnsi="Times New Roman"/>
          <w:sz w:val="21"/>
          <w:szCs w:val="21"/>
        </w:rPr>
      </w:pPr>
      <w:r w:rsidRPr="0063248C">
        <w:rPr>
          <w:rFonts w:ascii="Times New Roman" w:hAnsi="Times New Roman" w:hint="eastAsia"/>
          <w:sz w:val="18"/>
          <w:szCs w:val="18"/>
        </w:rPr>
        <w:t>计提存货跌价准备后，如果</w:t>
      </w:r>
      <w:proofErr w:type="gramStart"/>
      <w:r w:rsidRPr="0063248C">
        <w:rPr>
          <w:rFonts w:ascii="Times New Roman" w:hAnsi="Times New Roman" w:hint="eastAsia"/>
          <w:sz w:val="18"/>
          <w:szCs w:val="18"/>
        </w:rPr>
        <w:t>以前减记</w:t>
      </w:r>
      <w:proofErr w:type="gramEnd"/>
      <w:r w:rsidRPr="0063248C">
        <w:rPr>
          <w:rFonts w:ascii="Times New Roman" w:hAnsi="Times New Roman" w:hint="eastAsia"/>
          <w:sz w:val="18"/>
          <w:szCs w:val="18"/>
        </w:rPr>
        <w:t>存货价值的影响因素已经消失，导致存货的可变现净值高于其账面价值的，在原已计提的存货跌价准备金额内予以转回，转回的金额计入当期损益。</w:t>
      </w:r>
    </w:p>
    <w:p w14:paraId="2EC9835E" w14:textId="77777777" w:rsidR="00517D34" w:rsidRPr="0063248C" w:rsidRDefault="00000000">
      <w:pPr>
        <w:pStyle w:val="a3"/>
        <w:spacing w:before="0" w:beforeAutospacing="0" w:after="0" w:afterAutospacing="0" w:line="273" w:lineRule="auto"/>
        <w:ind w:firstLine="360"/>
        <w:divId w:val="497156373"/>
        <w:rPr>
          <w:rFonts w:ascii="Times New Roman" w:hAnsi="Times New Roman"/>
          <w:sz w:val="21"/>
          <w:szCs w:val="21"/>
        </w:rPr>
      </w:pPr>
      <w:r w:rsidRPr="0063248C">
        <w:rPr>
          <w:rFonts w:ascii="Times New Roman" w:hAnsi="Times New Roman" w:hint="eastAsia"/>
          <w:sz w:val="18"/>
          <w:szCs w:val="18"/>
        </w:rPr>
        <w:t>存货的盘存制度为永续盘存制。</w:t>
      </w:r>
    </w:p>
    <w:p w14:paraId="03C16978" w14:textId="77777777" w:rsidR="00517D34" w:rsidRPr="0063248C" w:rsidRDefault="00000000">
      <w:pPr>
        <w:pStyle w:val="a3"/>
        <w:spacing w:before="0" w:beforeAutospacing="0" w:after="0" w:afterAutospacing="0" w:line="273" w:lineRule="auto"/>
        <w:ind w:firstLine="360"/>
        <w:divId w:val="497156373"/>
        <w:rPr>
          <w:rFonts w:ascii="Times New Roman" w:hAnsi="Times New Roman"/>
          <w:sz w:val="21"/>
          <w:szCs w:val="21"/>
        </w:rPr>
      </w:pPr>
      <w:r w:rsidRPr="0063248C">
        <w:rPr>
          <w:rFonts w:ascii="Times New Roman" w:hAnsi="Times New Roman" w:hint="eastAsia"/>
          <w:sz w:val="18"/>
          <w:szCs w:val="18"/>
        </w:rPr>
        <w:t>低值易耗品和包装物的摊销方法</w:t>
      </w:r>
    </w:p>
    <w:p w14:paraId="2DF7DC8A" w14:textId="77777777" w:rsidR="00517D34" w:rsidRPr="0063248C" w:rsidRDefault="00000000">
      <w:pPr>
        <w:pStyle w:val="a3"/>
        <w:spacing w:before="0" w:beforeAutospacing="0" w:after="0" w:afterAutospacing="0" w:line="273" w:lineRule="auto"/>
        <w:ind w:firstLine="360"/>
        <w:divId w:val="497156373"/>
        <w:rPr>
          <w:rFonts w:ascii="Times New Roman" w:hAnsi="Times New Roman"/>
          <w:sz w:val="21"/>
          <w:szCs w:val="21"/>
        </w:rPr>
      </w:pPr>
      <w:r w:rsidRPr="0063248C">
        <w:rPr>
          <w:rFonts w:ascii="Times New Roman" w:hAnsi="Times New Roman" w:hint="eastAsia"/>
          <w:sz w:val="18"/>
          <w:szCs w:val="18"/>
        </w:rPr>
        <w:t>低值易耗品于领用时按一次摊销法摊销；包装物于领用时按一次摊销法摊销。</w:t>
      </w:r>
    </w:p>
    <w:p w14:paraId="18D4599A" w14:textId="77777777" w:rsidR="007B3DB2" w:rsidRPr="0063248C" w:rsidRDefault="00000000">
      <w:pPr>
        <w:pStyle w:val="3"/>
        <w:spacing w:line="280" w:lineRule="exact"/>
        <w:jc w:val="left"/>
        <w:rPr>
          <w:rFonts w:cs="宋体"/>
          <w:b/>
          <w:bCs/>
        </w:rPr>
      </w:pPr>
      <w:bookmarkStart w:id="134" w:name="_Toc989023"/>
      <w:r w:rsidRPr="0063248C">
        <w:rPr>
          <w:rFonts w:cs="宋体"/>
          <w:b/>
          <w:bCs/>
        </w:rPr>
        <w:t>18</w:t>
      </w:r>
      <w:r w:rsidRPr="0063248C">
        <w:rPr>
          <w:rFonts w:cs="宋体"/>
          <w:b/>
          <w:bCs/>
        </w:rPr>
        <w:t>、持有待售资产</w:t>
      </w:r>
      <w:bookmarkEnd w:id="134"/>
    </w:p>
    <w:p w14:paraId="257E16A7" w14:textId="77777777" w:rsidR="00517D34" w:rsidRPr="0063248C" w:rsidRDefault="00000000">
      <w:pPr>
        <w:pStyle w:val="a3"/>
        <w:spacing w:before="0" w:beforeAutospacing="0" w:after="0" w:afterAutospacing="0" w:line="273" w:lineRule="auto"/>
        <w:ind w:firstLine="360"/>
        <w:divId w:val="2120679860"/>
        <w:rPr>
          <w:rFonts w:ascii="Times New Roman" w:hAnsi="Times New Roman"/>
        </w:rPr>
      </w:pPr>
      <w:r w:rsidRPr="0063248C">
        <w:rPr>
          <w:rFonts w:ascii="Times New Roman" w:hAnsi="Times New Roman" w:hint="eastAsia"/>
          <w:sz w:val="18"/>
          <w:szCs w:val="18"/>
        </w:rPr>
        <w:t>本集团若主要通过出售（包括具有商业实质的非货币性资产交换，下同）而非持续使用一项非流动资产或</w:t>
      </w:r>
      <w:proofErr w:type="gramStart"/>
      <w:r w:rsidRPr="0063248C">
        <w:rPr>
          <w:rFonts w:ascii="Times New Roman" w:hAnsi="Times New Roman" w:hint="eastAsia"/>
          <w:sz w:val="18"/>
          <w:szCs w:val="18"/>
        </w:rPr>
        <w:t>处置组</w:t>
      </w:r>
      <w:proofErr w:type="gramEnd"/>
      <w:r w:rsidRPr="0063248C">
        <w:rPr>
          <w:rFonts w:ascii="Times New Roman" w:hAnsi="Times New Roman" w:hint="eastAsia"/>
          <w:sz w:val="18"/>
          <w:szCs w:val="18"/>
        </w:rPr>
        <w:t>收回其账面价值的，则将其划分为持有待售类别。具体标准为同时满足以下条件：某项非流动资产或</w:t>
      </w:r>
      <w:proofErr w:type="gramStart"/>
      <w:r w:rsidRPr="0063248C">
        <w:rPr>
          <w:rFonts w:ascii="Times New Roman" w:hAnsi="Times New Roman" w:hint="eastAsia"/>
          <w:sz w:val="18"/>
          <w:szCs w:val="18"/>
        </w:rPr>
        <w:t>处置组</w:t>
      </w:r>
      <w:proofErr w:type="gramEnd"/>
      <w:r w:rsidRPr="0063248C">
        <w:rPr>
          <w:rFonts w:ascii="Times New Roman" w:hAnsi="Times New Roman" w:hint="eastAsia"/>
          <w:sz w:val="18"/>
          <w:szCs w:val="18"/>
        </w:rPr>
        <w:t>根据类似交易中出售此类资产或</w:t>
      </w:r>
      <w:proofErr w:type="gramStart"/>
      <w:r w:rsidRPr="0063248C">
        <w:rPr>
          <w:rFonts w:ascii="Times New Roman" w:hAnsi="Times New Roman" w:hint="eastAsia"/>
          <w:sz w:val="18"/>
          <w:szCs w:val="18"/>
        </w:rPr>
        <w:t>处置组</w:t>
      </w:r>
      <w:proofErr w:type="gramEnd"/>
      <w:r w:rsidRPr="0063248C">
        <w:rPr>
          <w:rFonts w:ascii="Times New Roman" w:hAnsi="Times New Roman" w:hint="eastAsia"/>
          <w:sz w:val="18"/>
          <w:szCs w:val="18"/>
        </w:rPr>
        <w:t>的惯例，在当前状况下即可立即出售；本集团已经就出售计划</w:t>
      </w:r>
      <w:proofErr w:type="gramStart"/>
      <w:r w:rsidRPr="0063248C">
        <w:rPr>
          <w:rFonts w:ascii="Times New Roman" w:hAnsi="Times New Roman" w:hint="eastAsia"/>
          <w:sz w:val="18"/>
          <w:szCs w:val="18"/>
        </w:rPr>
        <w:t>作出</w:t>
      </w:r>
      <w:proofErr w:type="gramEnd"/>
      <w:r w:rsidRPr="0063248C">
        <w:rPr>
          <w:rFonts w:ascii="Times New Roman" w:hAnsi="Times New Roman" w:hint="eastAsia"/>
          <w:sz w:val="18"/>
          <w:szCs w:val="18"/>
        </w:rPr>
        <w:t>决议且获得确定的购买承诺；预计出售将在一年内完成。其中，</w:t>
      </w:r>
      <w:proofErr w:type="gramStart"/>
      <w:r w:rsidRPr="0063248C">
        <w:rPr>
          <w:rFonts w:ascii="Times New Roman" w:hAnsi="Times New Roman" w:hint="eastAsia"/>
          <w:sz w:val="18"/>
          <w:szCs w:val="18"/>
        </w:rPr>
        <w:t>处置组</w:t>
      </w:r>
      <w:proofErr w:type="gramEnd"/>
      <w:r w:rsidRPr="0063248C">
        <w:rPr>
          <w:rFonts w:ascii="Times New Roman" w:hAnsi="Times New Roman" w:hint="eastAsia"/>
          <w:sz w:val="18"/>
          <w:szCs w:val="18"/>
        </w:rPr>
        <w:t>是指在一项交易中作为整体通过出售或其他方式一并处置的一组资产，以及在该交易中转让的与这些资产直接相关的负债。</w:t>
      </w:r>
      <w:proofErr w:type="gramStart"/>
      <w:r w:rsidRPr="0063248C">
        <w:rPr>
          <w:rFonts w:ascii="Times New Roman" w:hAnsi="Times New Roman" w:hint="eastAsia"/>
          <w:sz w:val="18"/>
          <w:szCs w:val="18"/>
        </w:rPr>
        <w:t>处置组所属</w:t>
      </w:r>
      <w:proofErr w:type="gramEnd"/>
      <w:r w:rsidRPr="0063248C">
        <w:rPr>
          <w:rFonts w:ascii="Times New Roman" w:hAnsi="Times New Roman" w:hint="eastAsia"/>
          <w:sz w:val="18"/>
          <w:szCs w:val="18"/>
        </w:rPr>
        <w:t>的资产组或资产组组合按照《企业会计准则第</w:t>
      </w:r>
      <w:r w:rsidRPr="0063248C">
        <w:rPr>
          <w:rFonts w:ascii="Times New Roman" w:hAnsi="Times New Roman" w:cs="Times New Roman"/>
          <w:sz w:val="18"/>
          <w:szCs w:val="18"/>
        </w:rPr>
        <w:t>8</w:t>
      </w:r>
      <w:r w:rsidRPr="0063248C">
        <w:rPr>
          <w:rFonts w:ascii="Times New Roman" w:hAnsi="Times New Roman" w:hint="eastAsia"/>
          <w:sz w:val="18"/>
          <w:szCs w:val="18"/>
        </w:rPr>
        <w:t>号——资产减值》分摊了企业合并中取得的商誉的，该</w:t>
      </w:r>
      <w:proofErr w:type="gramStart"/>
      <w:r w:rsidRPr="0063248C">
        <w:rPr>
          <w:rFonts w:ascii="Times New Roman" w:hAnsi="Times New Roman" w:hint="eastAsia"/>
          <w:sz w:val="18"/>
          <w:szCs w:val="18"/>
        </w:rPr>
        <w:t>处置组</w:t>
      </w:r>
      <w:proofErr w:type="gramEnd"/>
      <w:r w:rsidRPr="0063248C">
        <w:rPr>
          <w:rFonts w:ascii="Times New Roman" w:hAnsi="Times New Roman" w:hint="eastAsia"/>
          <w:sz w:val="18"/>
          <w:szCs w:val="18"/>
        </w:rPr>
        <w:t>应当包含分摊至</w:t>
      </w:r>
      <w:proofErr w:type="gramStart"/>
      <w:r w:rsidRPr="0063248C">
        <w:rPr>
          <w:rFonts w:ascii="Times New Roman" w:hAnsi="Times New Roman" w:hint="eastAsia"/>
          <w:sz w:val="18"/>
          <w:szCs w:val="18"/>
        </w:rPr>
        <w:t>处置组</w:t>
      </w:r>
      <w:proofErr w:type="gramEnd"/>
      <w:r w:rsidRPr="0063248C">
        <w:rPr>
          <w:rFonts w:ascii="Times New Roman" w:hAnsi="Times New Roman" w:hint="eastAsia"/>
          <w:sz w:val="18"/>
          <w:szCs w:val="18"/>
        </w:rPr>
        <w:t>的商誉。</w:t>
      </w:r>
    </w:p>
    <w:p w14:paraId="7137D6DD" w14:textId="77777777" w:rsidR="00517D34" w:rsidRPr="0063248C" w:rsidRDefault="00000000">
      <w:pPr>
        <w:pStyle w:val="a3"/>
        <w:spacing w:before="0" w:beforeAutospacing="0" w:after="0" w:afterAutospacing="0" w:line="273" w:lineRule="auto"/>
        <w:ind w:firstLine="360"/>
        <w:divId w:val="2120679860"/>
        <w:rPr>
          <w:rFonts w:ascii="Times New Roman" w:hAnsi="Times New Roman"/>
        </w:rPr>
      </w:pPr>
      <w:r w:rsidRPr="0063248C">
        <w:rPr>
          <w:rFonts w:ascii="Times New Roman" w:hAnsi="Times New Roman" w:hint="eastAsia"/>
          <w:sz w:val="18"/>
          <w:szCs w:val="18"/>
        </w:rPr>
        <w:t>本集团初始计量或在资产负债表日重新计量划分为持有待售的非流动资产和</w:t>
      </w:r>
      <w:proofErr w:type="gramStart"/>
      <w:r w:rsidRPr="0063248C">
        <w:rPr>
          <w:rFonts w:ascii="Times New Roman" w:hAnsi="Times New Roman" w:hint="eastAsia"/>
          <w:sz w:val="18"/>
          <w:szCs w:val="18"/>
        </w:rPr>
        <w:t>处置组</w:t>
      </w:r>
      <w:proofErr w:type="gramEnd"/>
      <w:r w:rsidRPr="0063248C">
        <w:rPr>
          <w:rFonts w:ascii="Times New Roman" w:hAnsi="Times New Roman" w:hint="eastAsia"/>
          <w:sz w:val="18"/>
          <w:szCs w:val="18"/>
        </w:rPr>
        <w:t>时，其账面价值高于公允价值减去出售费用后的净额的，将账面价值</w:t>
      </w:r>
      <w:proofErr w:type="gramStart"/>
      <w:r w:rsidRPr="0063248C">
        <w:rPr>
          <w:rFonts w:ascii="Times New Roman" w:hAnsi="Times New Roman" w:hint="eastAsia"/>
          <w:sz w:val="18"/>
          <w:szCs w:val="18"/>
        </w:rPr>
        <w:t>减记至</w:t>
      </w:r>
      <w:proofErr w:type="gramEnd"/>
      <w:r w:rsidRPr="0063248C">
        <w:rPr>
          <w:rFonts w:ascii="Times New Roman" w:hAnsi="Times New Roman" w:hint="eastAsia"/>
          <w:sz w:val="18"/>
          <w:szCs w:val="18"/>
        </w:rPr>
        <w:t>公允价值减去出售费用后的净额，</w:t>
      </w:r>
      <w:proofErr w:type="gramStart"/>
      <w:r w:rsidRPr="0063248C">
        <w:rPr>
          <w:rFonts w:ascii="Times New Roman" w:hAnsi="Times New Roman" w:hint="eastAsia"/>
          <w:sz w:val="18"/>
          <w:szCs w:val="18"/>
        </w:rPr>
        <w:t>减记的</w:t>
      </w:r>
      <w:proofErr w:type="gramEnd"/>
      <w:r w:rsidRPr="0063248C">
        <w:rPr>
          <w:rFonts w:ascii="Times New Roman" w:hAnsi="Times New Roman" w:hint="eastAsia"/>
          <w:sz w:val="18"/>
          <w:szCs w:val="18"/>
        </w:rPr>
        <w:t>金额确认为资产减值损失，计入当期损益，同时计提持有待售资产减值准备。对于处置组，所确认的资产减值损失先抵减处置组中商誉的账面价值，再按比例抵减该处置组内适用《企业会计准则第</w:t>
      </w:r>
      <w:r w:rsidRPr="0063248C">
        <w:rPr>
          <w:rFonts w:ascii="Times New Roman" w:hAnsi="Times New Roman" w:cs="Times New Roman"/>
          <w:sz w:val="18"/>
          <w:szCs w:val="18"/>
        </w:rPr>
        <w:t>42</w:t>
      </w:r>
      <w:r w:rsidRPr="0063248C">
        <w:rPr>
          <w:rFonts w:ascii="Times New Roman" w:hAnsi="Times New Roman" w:hint="eastAsia"/>
          <w:sz w:val="18"/>
          <w:szCs w:val="18"/>
        </w:rPr>
        <w:t>号——持有待售的非流动资产、处置组和终止经营》（以下简称“持有待售准则”）的计量规定的各项非流动资产的账面价值。后续资产负债表日持有待售的</w:t>
      </w:r>
      <w:proofErr w:type="gramStart"/>
      <w:r w:rsidRPr="0063248C">
        <w:rPr>
          <w:rFonts w:ascii="Times New Roman" w:hAnsi="Times New Roman" w:hint="eastAsia"/>
          <w:sz w:val="18"/>
          <w:szCs w:val="18"/>
        </w:rPr>
        <w:t>处置组</w:t>
      </w:r>
      <w:proofErr w:type="gramEnd"/>
      <w:r w:rsidRPr="0063248C">
        <w:rPr>
          <w:rFonts w:ascii="Times New Roman" w:hAnsi="Times New Roman" w:hint="eastAsia"/>
          <w:sz w:val="18"/>
          <w:szCs w:val="18"/>
        </w:rPr>
        <w:t>公允价值减去出售费用后的净额增加的，</w:t>
      </w:r>
      <w:proofErr w:type="gramStart"/>
      <w:r w:rsidRPr="0063248C">
        <w:rPr>
          <w:rFonts w:ascii="Times New Roman" w:hAnsi="Times New Roman" w:hint="eastAsia"/>
          <w:sz w:val="18"/>
          <w:szCs w:val="18"/>
        </w:rPr>
        <w:t>以前减记</w:t>
      </w:r>
      <w:proofErr w:type="gramEnd"/>
      <w:r w:rsidRPr="0063248C">
        <w:rPr>
          <w:rFonts w:ascii="Times New Roman" w:hAnsi="Times New Roman" w:hint="eastAsia"/>
          <w:sz w:val="18"/>
          <w:szCs w:val="18"/>
        </w:rPr>
        <w:t>的金额应当予以恢复，并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14:paraId="063AC018" w14:textId="77777777" w:rsidR="00517D34" w:rsidRPr="0063248C" w:rsidRDefault="00000000">
      <w:pPr>
        <w:pStyle w:val="a3"/>
        <w:spacing w:before="0" w:beforeAutospacing="0" w:after="0" w:afterAutospacing="0" w:line="273" w:lineRule="auto"/>
        <w:ind w:firstLine="360"/>
        <w:divId w:val="2120679860"/>
        <w:rPr>
          <w:rFonts w:ascii="Times New Roman" w:hAnsi="Times New Roman"/>
        </w:rPr>
      </w:pPr>
      <w:r w:rsidRPr="0063248C">
        <w:rPr>
          <w:rFonts w:ascii="Times New Roman" w:hAnsi="Times New Roman" w:hint="eastAsia"/>
          <w:sz w:val="18"/>
          <w:szCs w:val="18"/>
        </w:rPr>
        <w:lastRenderedPageBreak/>
        <w:t>持有待售的非流动资产或处置组中的非流动资产不计提折旧或摊销，持有待售的处置组中负债的利息和其他费用继续予以确认。</w:t>
      </w:r>
    </w:p>
    <w:p w14:paraId="16E80A19" w14:textId="77777777" w:rsidR="00517D34" w:rsidRPr="0063248C" w:rsidRDefault="00000000">
      <w:pPr>
        <w:pStyle w:val="a3"/>
        <w:spacing w:before="0" w:beforeAutospacing="0" w:after="0" w:afterAutospacing="0" w:line="273" w:lineRule="auto"/>
        <w:ind w:firstLine="360"/>
        <w:divId w:val="2120679860"/>
        <w:rPr>
          <w:rFonts w:ascii="Times New Roman" w:hAnsi="Times New Roman"/>
        </w:rPr>
      </w:pPr>
      <w:r w:rsidRPr="0063248C">
        <w:rPr>
          <w:rFonts w:ascii="Times New Roman" w:hAnsi="Times New Roman" w:hint="eastAsia"/>
          <w:sz w:val="18"/>
          <w:szCs w:val="18"/>
        </w:rPr>
        <w:t>非流动资产或</w:t>
      </w:r>
      <w:proofErr w:type="gramStart"/>
      <w:r w:rsidRPr="0063248C">
        <w:rPr>
          <w:rFonts w:ascii="Times New Roman" w:hAnsi="Times New Roman" w:hint="eastAsia"/>
          <w:sz w:val="18"/>
          <w:szCs w:val="18"/>
        </w:rPr>
        <w:t>处置组不再</w:t>
      </w:r>
      <w:proofErr w:type="gramEnd"/>
      <w:r w:rsidRPr="0063248C">
        <w:rPr>
          <w:rFonts w:ascii="Times New Roman" w:hAnsi="Times New Roman" w:hint="eastAsia"/>
          <w:sz w:val="18"/>
          <w:szCs w:val="18"/>
        </w:rPr>
        <w:t>满足持有待售类别的划分条件时，本集团不再将其继续划分为持有待售类别或将非流动资产从持有待售的处置组中移除，并按照以下两者孰低计量：（</w:t>
      </w:r>
      <w:r w:rsidRPr="0063248C">
        <w:rPr>
          <w:rFonts w:ascii="Times New Roman" w:hAnsi="Times New Roman" w:cs="Times New Roman"/>
          <w:sz w:val="18"/>
          <w:szCs w:val="18"/>
        </w:rPr>
        <w:t>1</w:t>
      </w:r>
      <w:r w:rsidRPr="0063248C">
        <w:rPr>
          <w:rFonts w:ascii="Times New Roman" w:hAnsi="Times New Roman" w:hint="eastAsia"/>
          <w:sz w:val="18"/>
          <w:szCs w:val="18"/>
        </w:rPr>
        <w:t>）划分为持有待售类别前的账面价值，按照假定不划分为持有待售类别情况下本应确认的折旧、摊销或减值等进行调整后的金额；（</w:t>
      </w:r>
      <w:r w:rsidRPr="0063248C">
        <w:rPr>
          <w:rFonts w:ascii="Times New Roman" w:hAnsi="Times New Roman" w:cs="Times New Roman"/>
          <w:sz w:val="18"/>
          <w:szCs w:val="18"/>
        </w:rPr>
        <w:t>2</w:t>
      </w:r>
      <w:r w:rsidRPr="0063248C">
        <w:rPr>
          <w:rFonts w:ascii="Times New Roman" w:hAnsi="Times New Roman" w:hint="eastAsia"/>
          <w:sz w:val="18"/>
          <w:szCs w:val="18"/>
        </w:rPr>
        <w:t>）可收回金额。</w:t>
      </w:r>
    </w:p>
    <w:p w14:paraId="5ED82F75" w14:textId="77777777" w:rsidR="007B3DB2" w:rsidRPr="0063248C" w:rsidRDefault="00000000">
      <w:pPr>
        <w:pStyle w:val="3"/>
        <w:spacing w:line="280" w:lineRule="exact"/>
        <w:jc w:val="left"/>
        <w:rPr>
          <w:rFonts w:cs="宋体"/>
          <w:b/>
          <w:bCs/>
        </w:rPr>
      </w:pPr>
      <w:bookmarkStart w:id="135" w:name="_Toc989024"/>
      <w:r w:rsidRPr="0063248C">
        <w:rPr>
          <w:rFonts w:cs="宋体"/>
          <w:b/>
          <w:bCs/>
        </w:rPr>
        <w:t>19</w:t>
      </w:r>
      <w:r w:rsidRPr="0063248C">
        <w:rPr>
          <w:rFonts w:cs="宋体"/>
          <w:b/>
          <w:bCs/>
        </w:rPr>
        <w:t>、债权投资</w:t>
      </w:r>
      <w:bookmarkEnd w:id="135"/>
    </w:p>
    <w:p w14:paraId="26A17532" w14:textId="77777777" w:rsidR="00517D34" w:rsidRPr="0063248C" w:rsidRDefault="00000000">
      <w:pPr>
        <w:pStyle w:val="a3"/>
        <w:spacing w:beforeAutospacing="0" w:afterAutospacing="0"/>
        <w:divId w:val="1624727955"/>
        <w:rPr>
          <w:rFonts w:ascii="Times New Roman" w:hAnsi="Times New Roman"/>
        </w:rPr>
      </w:pPr>
      <w:r w:rsidRPr="0063248C">
        <w:rPr>
          <w:rFonts w:ascii="Times New Roman" w:hAnsi="Times New Roman" w:hint="eastAsia"/>
          <w:sz w:val="18"/>
          <w:szCs w:val="18"/>
        </w:rPr>
        <w:t>无</w:t>
      </w:r>
    </w:p>
    <w:p w14:paraId="1B19C2E7" w14:textId="77777777" w:rsidR="007B3DB2" w:rsidRPr="0063248C" w:rsidRDefault="00000000">
      <w:pPr>
        <w:pStyle w:val="3"/>
        <w:spacing w:line="280" w:lineRule="exact"/>
        <w:jc w:val="left"/>
        <w:rPr>
          <w:rFonts w:cs="宋体"/>
          <w:b/>
          <w:bCs/>
        </w:rPr>
      </w:pPr>
      <w:bookmarkStart w:id="136" w:name="_Toc989025"/>
      <w:r w:rsidRPr="0063248C">
        <w:rPr>
          <w:rFonts w:cs="宋体"/>
          <w:b/>
          <w:bCs/>
        </w:rPr>
        <w:t>20</w:t>
      </w:r>
      <w:r w:rsidRPr="0063248C">
        <w:rPr>
          <w:rFonts w:cs="宋体"/>
          <w:b/>
          <w:bCs/>
        </w:rPr>
        <w:t>、其他债权投资</w:t>
      </w:r>
      <w:bookmarkEnd w:id="136"/>
    </w:p>
    <w:p w14:paraId="4656D330" w14:textId="77777777" w:rsidR="00517D34" w:rsidRPr="0063248C" w:rsidRDefault="00000000">
      <w:pPr>
        <w:pStyle w:val="a3"/>
        <w:spacing w:beforeAutospacing="0" w:afterAutospacing="0"/>
        <w:divId w:val="1926105219"/>
        <w:rPr>
          <w:rFonts w:ascii="Times New Roman" w:hAnsi="Times New Roman"/>
        </w:rPr>
      </w:pPr>
      <w:r w:rsidRPr="0063248C">
        <w:rPr>
          <w:rFonts w:ascii="Times New Roman" w:hAnsi="Times New Roman" w:hint="eastAsia"/>
          <w:sz w:val="18"/>
          <w:szCs w:val="18"/>
        </w:rPr>
        <w:t>无</w:t>
      </w:r>
    </w:p>
    <w:p w14:paraId="0BF0A5EB" w14:textId="77777777" w:rsidR="007B3DB2" w:rsidRPr="0063248C" w:rsidRDefault="00000000">
      <w:pPr>
        <w:pStyle w:val="3"/>
        <w:spacing w:line="280" w:lineRule="exact"/>
        <w:jc w:val="left"/>
        <w:rPr>
          <w:rFonts w:cs="宋体"/>
          <w:b/>
          <w:bCs/>
        </w:rPr>
      </w:pPr>
      <w:bookmarkStart w:id="137" w:name="_Toc989026"/>
      <w:r w:rsidRPr="0063248C">
        <w:rPr>
          <w:rFonts w:cs="宋体"/>
          <w:b/>
          <w:bCs/>
        </w:rPr>
        <w:t>21</w:t>
      </w:r>
      <w:r w:rsidRPr="0063248C">
        <w:rPr>
          <w:rFonts w:cs="宋体"/>
          <w:b/>
          <w:bCs/>
        </w:rPr>
        <w:t>、长期应收款</w:t>
      </w:r>
      <w:bookmarkEnd w:id="137"/>
    </w:p>
    <w:p w14:paraId="2A19D4CE" w14:textId="77777777" w:rsidR="00517D34" w:rsidRPr="0063248C" w:rsidRDefault="00000000">
      <w:pPr>
        <w:pStyle w:val="a3"/>
        <w:spacing w:beforeAutospacing="0" w:afterAutospacing="0"/>
        <w:divId w:val="138041580"/>
        <w:rPr>
          <w:rFonts w:ascii="Times New Roman" w:hAnsi="Times New Roman"/>
        </w:rPr>
      </w:pPr>
      <w:r w:rsidRPr="0063248C">
        <w:rPr>
          <w:rFonts w:ascii="Times New Roman" w:hAnsi="Times New Roman" w:hint="eastAsia"/>
          <w:sz w:val="18"/>
          <w:szCs w:val="18"/>
        </w:rPr>
        <w:t>无</w:t>
      </w:r>
    </w:p>
    <w:p w14:paraId="3C05B1A9" w14:textId="77777777" w:rsidR="007B3DB2" w:rsidRPr="0063248C" w:rsidRDefault="00000000">
      <w:pPr>
        <w:pStyle w:val="3"/>
        <w:spacing w:line="280" w:lineRule="exact"/>
        <w:jc w:val="left"/>
        <w:rPr>
          <w:rFonts w:cs="宋体"/>
          <w:b/>
          <w:bCs/>
        </w:rPr>
      </w:pPr>
      <w:bookmarkStart w:id="138" w:name="_Toc989027"/>
      <w:r w:rsidRPr="0063248C">
        <w:rPr>
          <w:rFonts w:cs="宋体"/>
          <w:b/>
          <w:bCs/>
        </w:rPr>
        <w:t>22</w:t>
      </w:r>
      <w:r w:rsidRPr="0063248C">
        <w:rPr>
          <w:rFonts w:cs="宋体"/>
          <w:b/>
          <w:bCs/>
        </w:rPr>
        <w:t>、长期股权投资</w:t>
      </w:r>
      <w:bookmarkEnd w:id="138"/>
    </w:p>
    <w:p w14:paraId="417D7D88"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本部分所指的长期股权投资是指本集团对被投资单位具有控制、共同控制或重大影响的长期股权投资。本集团对被投资单位不具有控制、共同控制或重大影响的长期股权投资，作为以公允价值计量且其变动计入当期损益的金融资产核算，其中如果属于</w:t>
      </w:r>
      <w:proofErr w:type="gramStart"/>
      <w:r w:rsidRPr="0063248C">
        <w:rPr>
          <w:rFonts w:ascii="Times New Roman" w:hAnsi="Times New Roman" w:hint="eastAsia"/>
          <w:sz w:val="18"/>
          <w:szCs w:val="18"/>
        </w:rPr>
        <w:t>非交易</w:t>
      </w:r>
      <w:proofErr w:type="gramEnd"/>
      <w:r w:rsidRPr="0063248C">
        <w:rPr>
          <w:rFonts w:ascii="Times New Roman" w:hAnsi="Times New Roman" w:hint="eastAsia"/>
          <w:sz w:val="18"/>
          <w:szCs w:val="18"/>
        </w:rPr>
        <w:t>性的，本集团在初始确认时可选择将其指定为以公允价值计量且其变动计入其他综合收益的金融资产核算，其会计政策详见附注五、</w:t>
      </w:r>
      <w:r w:rsidRPr="0063248C">
        <w:rPr>
          <w:rFonts w:ascii="Times New Roman" w:hAnsi="Times New Roman" w:cs="Times New Roman"/>
          <w:sz w:val="18"/>
          <w:szCs w:val="18"/>
        </w:rPr>
        <w:t>11</w:t>
      </w:r>
      <w:r w:rsidRPr="0063248C">
        <w:rPr>
          <w:rFonts w:ascii="Times New Roman" w:hAnsi="Times New Roman" w:hint="eastAsia"/>
          <w:sz w:val="18"/>
          <w:szCs w:val="18"/>
        </w:rPr>
        <w:t>“金融工具”。</w:t>
      </w:r>
    </w:p>
    <w:p w14:paraId="06459BC8"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共同控制，是指本集团按照相关约定对某项安排所共有的控制，并且该安排的相关活动必须经过分享控制权的参与方一致同意后才能决策。重大影响，是指本集团对被投资单位的财务和经营政策有参与决策的权力，但并不能够控制或者与其他方一起共同控制这些政策的制定。</w:t>
      </w:r>
    </w:p>
    <w:p w14:paraId="3776052C"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投资成本的确定</w:t>
      </w:r>
    </w:p>
    <w:p w14:paraId="45B147B2"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对于同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下的企业合并取得的长期股权投资，在</w:t>
      </w:r>
      <w:proofErr w:type="gramStart"/>
      <w:r w:rsidRPr="0063248C">
        <w:rPr>
          <w:rFonts w:ascii="Times New Roman" w:hAnsi="Times New Roman" w:hint="eastAsia"/>
          <w:sz w:val="18"/>
          <w:szCs w:val="18"/>
        </w:rPr>
        <w:t>合并日按照</w:t>
      </w:r>
      <w:proofErr w:type="gramEnd"/>
      <w:r w:rsidRPr="0063248C">
        <w:rPr>
          <w:rFonts w:ascii="Times New Roman" w:hAnsi="Times New Roman" w:hint="eastAsia"/>
          <w:sz w:val="18"/>
          <w:szCs w:val="18"/>
        </w:rPr>
        <w:t>被合并方股东权益</w:t>
      </w:r>
      <w:r w:rsidRPr="0063248C">
        <w:rPr>
          <w:rFonts w:ascii="Times New Roman" w:hAnsi="Times New Roman" w:cs="Times New Roman"/>
          <w:sz w:val="18"/>
          <w:szCs w:val="18"/>
        </w:rPr>
        <w:t>/</w:t>
      </w:r>
      <w:r w:rsidRPr="0063248C">
        <w:rPr>
          <w:rFonts w:ascii="Times New Roman" w:hAnsi="Times New Roman" w:hint="eastAsia"/>
          <w:sz w:val="18"/>
          <w:szCs w:val="18"/>
        </w:rPr>
        <w:t>所有者权益在最终控制方合并财务报表中的账面价值的份额作为长期股权投资的初始投资成本。长期股权投资初始投资成本与支付的现金、转让的非现金资产以及所承担债务账面价值之间的差额，调整资本公积；资本公</w:t>
      </w:r>
      <w:proofErr w:type="gramStart"/>
      <w:r w:rsidRPr="0063248C">
        <w:rPr>
          <w:rFonts w:ascii="Times New Roman" w:hAnsi="Times New Roman" w:hint="eastAsia"/>
          <w:sz w:val="18"/>
          <w:szCs w:val="18"/>
        </w:rPr>
        <w:t>积不足</w:t>
      </w:r>
      <w:proofErr w:type="gramEnd"/>
      <w:r w:rsidRPr="0063248C">
        <w:rPr>
          <w:rFonts w:ascii="Times New Roman" w:hAnsi="Times New Roman" w:hint="eastAsia"/>
          <w:sz w:val="18"/>
          <w:szCs w:val="18"/>
        </w:rPr>
        <w:t>冲减的，调整留存收益。以发行权益</w:t>
      </w:r>
      <w:proofErr w:type="gramStart"/>
      <w:r w:rsidRPr="0063248C">
        <w:rPr>
          <w:rFonts w:ascii="Times New Roman" w:hAnsi="Times New Roman" w:hint="eastAsia"/>
          <w:sz w:val="18"/>
          <w:szCs w:val="18"/>
        </w:rPr>
        <w:t>性证券</w:t>
      </w:r>
      <w:proofErr w:type="gramEnd"/>
      <w:r w:rsidRPr="0063248C">
        <w:rPr>
          <w:rFonts w:ascii="Times New Roman" w:hAnsi="Times New Roman" w:hint="eastAsia"/>
          <w:sz w:val="18"/>
          <w:szCs w:val="18"/>
        </w:rPr>
        <w:t>作为合并对价的，在</w:t>
      </w:r>
      <w:proofErr w:type="gramStart"/>
      <w:r w:rsidRPr="0063248C">
        <w:rPr>
          <w:rFonts w:ascii="Times New Roman" w:hAnsi="Times New Roman" w:hint="eastAsia"/>
          <w:sz w:val="18"/>
          <w:szCs w:val="18"/>
        </w:rPr>
        <w:t>合并日按照</w:t>
      </w:r>
      <w:proofErr w:type="gramEnd"/>
      <w:r w:rsidRPr="0063248C">
        <w:rPr>
          <w:rFonts w:ascii="Times New Roman" w:hAnsi="Times New Roman" w:hint="eastAsia"/>
          <w:sz w:val="18"/>
          <w:szCs w:val="18"/>
        </w:rPr>
        <w:t>被合并方股东权益</w:t>
      </w:r>
      <w:r w:rsidRPr="0063248C">
        <w:rPr>
          <w:rFonts w:ascii="Times New Roman" w:hAnsi="Times New Roman" w:cs="Times New Roman"/>
          <w:sz w:val="18"/>
          <w:szCs w:val="18"/>
        </w:rPr>
        <w:t>/</w:t>
      </w:r>
      <w:r w:rsidRPr="0063248C">
        <w:rPr>
          <w:rFonts w:ascii="Times New Roman" w:hAnsi="Times New Roman" w:hint="eastAsia"/>
          <w:sz w:val="18"/>
          <w:szCs w:val="18"/>
        </w:rPr>
        <w:t>所有者权益在最终控制方合并财务报表中的账面价值的份额作为长期股权投资的初始投资成本，按照发行股份的面值总额作为股本，长期股权投资初始投资成本与所发行股份面值总额之间的差额，调整资本公积；资本公</w:t>
      </w:r>
      <w:proofErr w:type="gramStart"/>
      <w:r w:rsidRPr="0063248C">
        <w:rPr>
          <w:rFonts w:ascii="Times New Roman" w:hAnsi="Times New Roman" w:hint="eastAsia"/>
          <w:sz w:val="18"/>
          <w:szCs w:val="18"/>
        </w:rPr>
        <w:t>积不足</w:t>
      </w:r>
      <w:proofErr w:type="gramEnd"/>
      <w:r w:rsidRPr="0063248C">
        <w:rPr>
          <w:rFonts w:ascii="Times New Roman" w:hAnsi="Times New Roman" w:hint="eastAsia"/>
          <w:sz w:val="18"/>
          <w:szCs w:val="18"/>
        </w:rPr>
        <w:t>冲减的，调整留存收益。通过多次交易分步取得同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下被合并方的股权，最终形成同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下企业合并的，应分别是否属于“一揽子交易”进行处理：属于“一揽子交易”的，将各项交易作为一项取得控制权的交易进行会计处理。不属于“一揽子交易”的，在</w:t>
      </w:r>
      <w:proofErr w:type="gramStart"/>
      <w:r w:rsidRPr="0063248C">
        <w:rPr>
          <w:rFonts w:ascii="Times New Roman" w:hAnsi="Times New Roman" w:hint="eastAsia"/>
          <w:sz w:val="18"/>
          <w:szCs w:val="18"/>
        </w:rPr>
        <w:t>合并日</w:t>
      </w:r>
      <w:proofErr w:type="gramEnd"/>
      <w:r w:rsidRPr="0063248C">
        <w:rPr>
          <w:rFonts w:ascii="Times New Roman" w:hAnsi="Times New Roman" w:hint="eastAsia"/>
          <w:sz w:val="18"/>
          <w:szCs w:val="18"/>
        </w:rPr>
        <w:t>按照应享有被合并方股东权益</w:t>
      </w:r>
      <w:r w:rsidRPr="0063248C">
        <w:rPr>
          <w:rFonts w:ascii="Times New Roman" w:hAnsi="Times New Roman" w:cs="Times New Roman"/>
          <w:sz w:val="18"/>
          <w:szCs w:val="18"/>
        </w:rPr>
        <w:t>/</w:t>
      </w:r>
      <w:r w:rsidRPr="0063248C">
        <w:rPr>
          <w:rFonts w:ascii="Times New Roman" w:hAnsi="Times New Roman" w:hint="eastAsia"/>
          <w:sz w:val="18"/>
          <w:szCs w:val="18"/>
        </w:rPr>
        <w:t>所有者权益在最终控制方合并财务报表中的账面价值的份额作为长期股权投资的初始投资成本，长期股权投资初始投资成本与达到合并前的长期股权投资账面价值加上</w:t>
      </w:r>
      <w:proofErr w:type="gramStart"/>
      <w:r w:rsidRPr="0063248C">
        <w:rPr>
          <w:rFonts w:ascii="Times New Roman" w:hAnsi="Times New Roman" w:hint="eastAsia"/>
          <w:sz w:val="18"/>
          <w:szCs w:val="18"/>
        </w:rPr>
        <w:t>合并日</w:t>
      </w:r>
      <w:proofErr w:type="gramEnd"/>
      <w:r w:rsidRPr="0063248C">
        <w:rPr>
          <w:rFonts w:ascii="Times New Roman" w:hAnsi="Times New Roman" w:hint="eastAsia"/>
          <w:sz w:val="18"/>
          <w:szCs w:val="18"/>
        </w:rPr>
        <w:t>进一步取得股份新支付对价的账面价值之和的差额，调整资本公积；资本公</w:t>
      </w:r>
      <w:proofErr w:type="gramStart"/>
      <w:r w:rsidRPr="0063248C">
        <w:rPr>
          <w:rFonts w:ascii="Times New Roman" w:hAnsi="Times New Roman" w:hint="eastAsia"/>
          <w:sz w:val="18"/>
          <w:szCs w:val="18"/>
        </w:rPr>
        <w:t>积不足</w:t>
      </w:r>
      <w:proofErr w:type="gramEnd"/>
      <w:r w:rsidRPr="0063248C">
        <w:rPr>
          <w:rFonts w:ascii="Times New Roman" w:hAnsi="Times New Roman" w:hint="eastAsia"/>
          <w:sz w:val="18"/>
          <w:szCs w:val="18"/>
        </w:rPr>
        <w:t>冲减的，调整留存收益。</w:t>
      </w:r>
      <w:proofErr w:type="gramStart"/>
      <w:r w:rsidRPr="0063248C">
        <w:rPr>
          <w:rFonts w:ascii="Times New Roman" w:hAnsi="Times New Roman" w:hint="eastAsia"/>
          <w:sz w:val="18"/>
          <w:szCs w:val="18"/>
        </w:rPr>
        <w:t>合并日</w:t>
      </w:r>
      <w:proofErr w:type="gramEnd"/>
      <w:r w:rsidRPr="0063248C">
        <w:rPr>
          <w:rFonts w:ascii="Times New Roman" w:hAnsi="Times New Roman" w:hint="eastAsia"/>
          <w:sz w:val="18"/>
          <w:szCs w:val="18"/>
        </w:rPr>
        <w:t>之前持有的股权投资因采用权益法核算或作为以公允价值计量且其变动计入其他综合收益的金融资产而确认的其他综合收益，暂不进行会计处理。</w:t>
      </w:r>
    </w:p>
    <w:p w14:paraId="3D1841EB"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lastRenderedPageBreak/>
        <w:t>对于非同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下的企业合并取得的长期股权投资，在购买</w:t>
      </w:r>
      <w:proofErr w:type="gramStart"/>
      <w:r w:rsidRPr="0063248C">
        <w:rPr>
          <w:rFonts w:ascii="Times New Roman" w:hAnsi="Times New Roman" w:hint="eastAsia"/>
          <w:sz w:val="18"/>
          <w:szCs w:val="18"/>
        </w:rPr>
        <w:t>日按照</w:t>
      </w:r>
      <w:proofErr w:type="gramEnd"/>
      <w:r w:rsidRPr="0063248C">
        <w:rPr>
          <w:rFonts w:ascii="Times New Roman" w:hAnsi="Times New Roman" w:hint="eastAsia"/>
          <w:sz w:val="18"/>
          <w:szCs w:val="18"/>
        </w:rPr>
        <w:t>合并成本作为长期股权投资的初始投资成本，合并成本包括购买方付出的资产、发生或承担的负债、发行的权益</w:t>
      </w:r>
      <w:proofErr w:type="gramStart"/>
      <w:r w:rsidRPr="0063248C">
        <w:rPr>
          <w:rFonts w:ascii="Times New Roman" w:hAnsi="Times New Roman" w:hint="eastAsia"/>
          <w:sz w:val="18"/>
          <w:szCs w:val="18"/>
        </w:rPr>
        <w:t>性证券</w:t>
      </w:r>
      <w:proofErr w:type="gramEnd"/>
      <w:r w:rsidRPr="0063248C">
        <w:rPr>
          <w:rFonts w:ascii="Times New Roman" w:hAnsi="Times New Roman" w:hint="eastAsia"/>
          <w:sz w:val="18"/>
          <w:szCs w:val="18"/>
        </w:rPr>
        <w:t>的公允价值之</w:t>
      </w:r>
      <w:proofErr w:type="gramStart"/>
      <w:r w:rsidRPr="0063248C">
        <w:rPr>
          <w:rFonts w:ascii="Times New Roman" w:hAnsi="Times New Roman" w:hint="eastAsia"/>
          <w:sz w:val="18"/>
          <w:szCs w:val="18"/>
        </w:rPr>
        <w:t>和</w:t>
      </w:r>
      <w:proofErr w:type="gramEnd"/>
      <w:r w:rsidRPr="0063248C">
        <w:rPr>
          <w:rFonts w:ascii="Times New Roman" w:hAnsi="Times New Roman" w:hint="eastAsia"/>
          <w:sz w:val="18"/>
          <w:szCs w:val="18"/>
        </w:rPr>
        <w:t>。通过多次交易分步取得被购买方的股权，最终形成非同</w:t>
      </w:r>
      <w:proofErr w:type="gramStart"/>
      <w:r w:rsidRPr="0063248C">
        <w:rPr>
          <w:rFonts w:ascii="Times New Roman" w:hAnsi="Times New Roman" w:hint="eastAsia"/>
          <w:sz w:val="18"/>
          <w:szCs w:val="18"/>
        </w:rPr>
        <w:t>一控制</w:t>
      </w:r>
      <w:proofErr w:type="gramEnd"/>
      <w:r w:rsidRPr="0063248C">
        <w:rPr>
          <w:rFonts w:ascii="Times New Roman" w:hAnsi="Times New Roman" w:hint="eastAsia"/>
          <w:sz w:val="18"/>
          <w:szCs w:val="18"/>
        </w:rPr>
        <w:t>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w:t>
      </w:r>
    </w:p>
    <w:p w14:paraId="66A5AE6F"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合并方或购买方为企业合并发生的审计、法律服务、评估咨询等中介费用以及其他相关管理费用，于发生时计入当期损益。</w:t>
      </w:r>
    </w:p>
    <w:p w14:paraId="7D21BEE6"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除企业合并形成的长期股权投资外的其他股权投资，按成本进行初始计量，</w:t>
      </w:r>
      <w:proofErr w:type="gramStart"/>
      <w:r w:rsidRPr="0063248C">
        <w:rPr>
          <w:rFonts w:ascii="Times New Roman" w:hAnsi="Times New Roman" w:hint="eastAsia"/>
          <w:sz w:val="18"/>
          <w:szCs w:val="18"/>
        </w:rPr>
        <w:t>该成本视长期</w:t>
      </w:r>
      <w:proofErr w:type="gramEnd"/>
      <w:r w:rsidRPr="0063248C">
        <w:rPr>
          <w:rFonts w:ascii="Times New Roman" w:hAnsi="Times New Roman" w:hint="eastAsia"/>
          <w:sz w:val="18"/>
          <w:szCs w:val="18"/>
        </w:rPr>
        <w:t>股权投资取得方式的不同，分别按照本集团实际支付的现金购买价款、本集团发行的权益</w:t>
      </w:r>
      <w:proofErr w:type="gramStart"/>
      <w:r w:rsidRPr="0063248C">
        <w:rPr>
          <w:rFonts w:ascii="Times New Roman" w:hAnsi="Times New Roman" w:hint="eastAsia"/>
          <w:sz w:val="18"/>
          <w:szCs w:val="18"/>
        </w:rPr>
        <w:t>性证券</w:t>
      </w:r>
      <w:proofErr w:type="gramEnd"/>
      <w:r w:rsidRPr="0063248C">
        <w:rPr>
          <w:rFonts w:ascii="Times New Roman" w:hAnsi="Times New Roman" w:hint="eastAsia"/>
          <w:sz w:val="18"/>
          <w:szCs w:val="18"/>
        </w:rPr>
        <w:t>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sidRPr="0063248C">
        <w:rPr>
          <w:rFonts w:ascii="Times New Roman" w:hAnsi="Times New Roman" w:cs="Times New Roman"/>
          <w:sz w:val="18"/>
          <w:szCs w:val="18"/>
        </w:rPr>
        <w:t>22</w:t>
      </w:r>
      <w:r w:rsidRPr="0063248C">
        <w:rPr>
          <w:rFonts w:ascii="Times New Roman" w:hAnsi="Times New Roman" w:hint="eastAsia"/>
          <w:sz w:val="18"/>
          <w:szCs w:val="18"/>
        </w:rPr>
        <w:t>号——金融工具确认和计量》确定的原持有股权投资的公允价值加上新增投资成本之</w:t>
      </w:r>
      <w:proofErr w:type="gramStart"/>
      <w:r w:rsidRPr="0063248C">
        <w:rPr>
          <w:rFonts w:ascii="Times New Roman" w:hAnsi="Times New Roman" w:hint="eastAsia"/>
          <w:sz w:val="18"/>
          <w:szCs w:val="18"/>
        </w:rPr>
        <w:t>和</w:t>
      </w:r>
      <w:proofErr w:type="gramEnd"/>
      <w:r w:rsidRPr="0063248C">
        <w:rPr>
          <w:rFonts w:ascii="Times New Roman" w:hAnsi="Times New Roman" w:hint="eastAsia"/>
          <w:sz w:val="18"/>
          <w:szCs w:val="18"/>
        </w:rPr>
        <w:t>。</w:t>
      </w:r>
    </w:p>
    <w:p w14:paraId="12A570F3"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后续计量及损益确认方法</w:t>
      </w:r>
    </w:p>
    <w:p w14:paraId="6FEAC343"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对被投资单位具有共同控制（构成共同经营者除外）或重大影响的长期股权投资，采用权益法核算。此外，公司财务报表采用成本法核算能够对被投资单位实施控制的长期股权投资。</w:t>
      </w:r>
    </w:p>
    <w:p w14:paraId="1C51C8E5"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①成本法核算的长期股权投资</w:t>
      </w:r>
    </w:p>
    <w:p w14:paraId="0894ADDF"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14:paraId="4ADEEBB9"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②权益法核算的长期股权投资</w:t>
      </w:r>
    </w:p>
    <w:p w14:paraId="6505FC62"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14:paraId="31B0362F"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集团不一致的，按照本集团的会计政策及会计期间对被投资单位的财务报表进行调整，并据以确认投资收益和其他综合收益。对于本集团与联营企业及合营企业之间发生的交易，投出或出售的资产不构成业务的，未实现内部交易损益按照享有的比例计算归属于本集团的部分予以</w:t>
      </w:r>
      <w:proofErr w:type="gramStart"/>
      <w:r w:rsidRPr="0063248C">
        <w:rPr>
          <w:rFonts w:ascii="Times New Roman" w:hAnsi="Times New Roman" w:hint="eastAsia"/>
          <w:sz w:val="18"/>
          <w:szCs w:val="18"/>
        </w:rPr>
        <w:t>抵销</w:t>
      </w:r>
      <w:proofErr w:type="gramEnd"/>
      <w:r w:rsidRPr="0063248C">
        <w:rPr>
          <w:rFonts w:ascii="Times New Roman" w:hAnsi="Times New Roman" w:hint="eastAsia"/>
          <w:sz w:val="18"/>
          <w:szCs w:val="18"/>
        </w:rPr>
        <w:t>，在此基础上确认投资损益。但本集团与被投资单位发生的未实现内部交易损失，属于所转让资产减值损失的，不予以</w:t>
      </w:r>
      <w:proofErr w:type="gramStart"/>
      <w:r w:rsidRPr="0063248C">
        <w:rPr>
          <w:rFonts w:ascii="Times New Roman" w:hAnsi="Times New Roman" w:hint="eastAsia"/>
          <w:sz w:val="18"/>
          <w:szCs w:val="18"/>
        </w:rPr>
        <w:t>抵销</w:t>
      </w:r>
      <w:proofErr w:type="gramEnd"/>
      <w:r w:rsidRPr="0063248C">
        <w:rPr>
          <w:rFonts w:ascii="Times New Roman" w:hAnsi="Times New Roman" w:hint="eastAsia"/>
          <w:sz w:val="18"/>
          <w:szCs w:val="18"/>
        </w:rPr>
        <w:t>。本集团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集团向合营企业或联营企业出售的资产构成业务的，取得的对价与业务的账面价值之差，全额计入当期损益。本集团自联营企业及合营企业购入的资产构成业务的，按《企业会计准则第</w:t>
      </w:r>
      <w:r w:rsidRPr="0063248C">
        <w:rPr>
          <w:rFonts w:ascii="Times New Roman" w:hAnsi="Times New Roman" w:cs="Times New Roman"/>
          <w:sz w:val="18"/>
          <w:szCs w:val="18"/>
        </w:rPr>
        <w:t>20</w:t>
      </w:r>
      <w:r w:rsidRPr="0063248C">
        <w:rPr>
          <w:rFonts w:ascii="Times New Roman" w:hAnsi="Times New Roman" w:hint="eastAsia"/>
          <w:sz w:val="18"/>
          <w:szCs w:val="18"/>
        </w:rPr>
        <w:t>号——企业合并》的规定进行会计处理，全额确认与交易相关的利得或损失。</w:t>
      </w:r>
    </w:p>
    <w:p w14:paraId="501B8935"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lastRenderedPageBreak/>
        <w:t>在确认应分担被投资单位发生的净亏损时，以长期股权投资的账面价值和其他实质上构成对被投资单位净投资的长期权益</w:t>
      </w:r>
      <w:proofErr w:type="gramStart"/>
      <w:r w:rsidRPr="0063248C">
        <w:rPr>
          <w:rFonts w:ascii="Times New Roman" w:hAnsi="Times New Roman" w:hint="eastAsia"/>
          <w:sz w:val="18"/>
          <w:szCs w:val="18"/>
        </w:rPr>
        <w:t>减记至</w:t>
      </w:r>
      <w:proofErr w:type="gramEnd"/>
      <w:r w:rsidRPr="0063248C">
        <w:rPr>
          <w:rFonts w:ascii="Times New Roman" w:hAnsi="Times New Roman" w:hint="eastAsia"/>
          <w:sz w:val="18"/>
          <w:szCs w:val="18"/>
        </w:rPr>
        <w:t>零为限。此外，如本集团对被投资单位负有承担额外损失的义务，则按预计承担的义务确认预计负债，计入当期投资损失。被投资单位以后期间实现净利润的，本集团在收益分享额弥补未确认的亏损分担额后，恢复确认收益分享额。</w:t>
      </w:r>
    </w:p>
    <w:p w14:paraId="4B6B91D1"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③收购少数股权</w:t>
      </w:r>
    </w:p>
    <w:p w14:paraId="78C5D76A"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在编制合并财务报表时，因购买少数股权新增的长期股权投资与按照新增持股比例计算应享有子公司自购买日（或合并日）开始持续计算的净资产份额之间的差额，调整资本公积，资本公</w:t>
      </w:r>
      <w:proofErr w:type="gramStart"/>
      <w:r w:rsidRPr="0063248C">
        <w:rPr>
          <w:rFonts w:ascii="Times New Roman" w:hAnsi="Times New Roman" w:hint="eastAsia"/>
          <w:sz w:val="18"/>
          <w:szCs w:val="18"/>
        </w:rPr>
        <w:t>积不足</w:t>
      </w:r>
      <w:proofErr w:type="gramEnd"/>
      <w:r w:rsidRPr="0063248C">
        <w:rPr>
          <w:rFonts w:ascii="Times New Roman" w:hAnsi="Times New Roman" w:hint="eastAsia"/>
          <w:sz w:val="18"/>
          <w:szCs w:val="18"/>
        </w:rPr>
        <w:t>冲减的，调整留存收益。</w:t>
      </w:r>
    </w:p>
    <w:p w14:paraId="58E5EB34"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④处置长期股权投资</w:t>
      </w:r>
    </w:p>
    <w:p w14:paraId="077D00BC"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五、</w:t>
      </w:r>
      <w:r w:rsidRPr="0063248C">
        <w:rPr>
          <w:rFonts w:ascii="Times New Roman" w:hAnsi="Times New Roman" w:cs="Times New Roman"/>
          <w:sz w:val="18"/>
          <w:szCs w:val="18"/>
        </w:rPr>
        <w:t>7</w:t>
      </w:r>
      <w:r w:rsidRPr="0063248C">
        <w:rPr>
          <w:rFonts w:ascii="Times New Roman" w:hAnsi="Times New Roman" w:hint="eastAsia"/>
          <w:sz w:val="18"/>
          <w:szCs w:val="18"/>
        </w:rPr>
        <w:t>、“控制的判断标准和合并财务报表编制的方法”（</w:t>
      </w:r>
      <w:r w:rsidRPr="0063248C">
        <w:rPr>
          <w:rFonts w:ascii="Times New Roman" w:hAnsi="Times New Roman" w:cs="Times New Roman"/>
          <w:sz w:val="18"/>
          <w:szCs w:val="18"/>
        </w:rPr>
        <w:t>2</w:t>
      </w:r>
      <w:r w:rsidRPr="0063248C">
        <w:rPr>
          <w:rFonts w:ascii="Times New Roman" w:hAnsi="Times New Roman" w:hint="eastAsia"/>
          <w:sz w:val="18"/>
          <w:szCs w:val="18"/>
        </w:rPr>
        <w:t>）中所述的相关会计政策处理。</w:t>
      </w:r>
    </w:p>
    <w:p w14:paraId="6191F3C7"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其他情形下的长期股权投资处置，对于处置的股权，其账面价值与实际取得价款的差额，计入当期损益。</w:t>
      </w:r>
    </w:p>
    <w:p w14:paraId="3741FE13"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14:paraId="79BCDE23"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w:t>
      </w:r>
      <w:proofErr w:type="gramStart"/>
      <w:r w:rsidRPr="0063248C">
        <w:rPr>
          <w:rFonts w:ascii="Times New Roman" w:hAnsi="Times New Roman" w:hint="eastAsia"/>
          <w:sz w:val="18"/>
          <w:szCs w:val="18"/>
        </w:rPr>
        <w:t>变动按</w:t>
      </w:r>
      <w:proofErr w:type="gramEnd"/>
      <w:r w:rsidRPr="0063248C">
        <w:rPr>
          <w:rFonts w:ascii="Times New Roman" w:hAnsi="Times New Roman" w:hint="eastAsia"/>
          <w:sz w:val="18"/>
          <w:szCs w:val="18"/>
        </w:rPr>
        <w:t>比例结转当期损益。</w:t>
      </w:r>
    </w:p>
    <w:p w14:paraId="5DA2F09B"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本集团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集团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14:paraId="4EF548F1"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本集团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14:paraId="32FC2F33" w14:textId="77777777" w:rsidR="00517D34" w:rsidRPr="0063248C" w:rsidRDefault="00000000">
      <w:pPr>
        <w:pStyle w:val="a3"/>
        <w:spacing w:before="0" w:beforeAutospacing="0" w:after="0" w:afterAutospacing="0" w:line="273" w:lineRule="auto"/>
        <w:ind w:firstLine="360"/>
        <w:divId w:val="2115515580"/>
        <w:rPr>
          <w:rFonts w:ascii="Times New Roman" w:hAnsi="Times New Roman"/>
          <w:sz w:val="21"/>
          <w:szCs w:val="21"/>
        </w:rPr>
      </w:pPr>
      <w:r w:rsidRPr="0063248C">
        <w:rPr>
          <w:rFonts w:ascii="Times New Roman" w:hAnsi="Times New Roman" w:hint="eastAsia"/>
          <w:sz w:val="18"/>
          <w:szCs w:val="18"/>
        </w:rPr>
        <w:t>本集团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14:paraId="0FAB95B7" w14:textId="77777777" w:rsidR="007B3DB2" w:rsidRPr="0063248C" w:rsidRDefault="00000000">
      <w:pPr>
        <w:pStyle w:val="3"/>
        <w:spacing w:line="280" w:lineRule="exact"/>
        <w:jc w:val="left"/>
        <w:rPr>
          <w:rFonts w:cs="宋体"/>
          <w:b/>
          <w:bCs/>
        </w:rPr>
      </w:pPr>
      <w:bookmarkStart w:id="139" w:name="_Toc989028"/>
      <w:r w:rsidRPr="0063248C">
        <w:rPr>
          <w:rFonts w:cs="宋体"/>
          <w:b/>
          <w:bCs/>
        </w:rPr>
        <w:t>23</w:t>
      </w:r>
      <w:r w:rsidRPr="0063248C">
        <w:rPr>
          <w:rFonts w:cs="宋体"/>
          <w:b/>
          <w:bCs/>
        </w:rPr>
        <w:t>、投资性房地产</w:t>
      </w:r>
      <w:bookmarkEnd w:id="139"/>
    </w:p>
    <w:p w14:paraId="449B4D52" w14:textId="77777777" w:rsidR="007B3DB2" w:rsidRPr="0063248C" w:rsidRDefault="00000000">
      <w:pPr>
        <w:spacing w:before="40" w:after="40" w:line="240" w:lineRule="exact"/>
        <w:rPr>
          <w:rFonts w:cs="宋体"/>
          <w:sz w:val="18"/>
          <w:szCs w:val="18"/>
        </w:rPr>
      </w:pPr>
      <w:r w:rsidRPr="0063248C">
        <w:rPr>
          <w:rFonts w:cs="宋体"/>
          <w:sz w:val="18"/>
          <w:szCs w:val="18"/>
        </w:rPr>
        <w:t>投资性房地产计量模式</w:t>
      </w:r>
    </w:p>
    <w:p w14:paraId="14F21357" w14:textId="77777777" w:rsidR="007B3DB2" w:rsidRPr="0063248C" w:rsidRDefault="00000000">
      <w:pPr>
        <w:spacing w:line="240" w:lineRule="exact"/>
        <w:rPr>
          <w:rFonts w:cs="宋体"/>
          <w:sz w:val="18"/>
          <w:szCs w:val="18"/>
        </w:rPr>
      </w:pPr>
      <w:r w:rsidRPr="0063248C">
        <w:rPr>
          <w:rFonts w:cs="宋体"/>
          <w:sz w:val="18"/>
          <w:szCs w:val="18"/>
        </w:rPr>
        <w:lastRenderedPageBreak/>
        <w:t>不适用</w:t>
      </w:r>
    </w:p>
    <w:p w14:paraId="25DCAE33" w14:textId="77777777" w:rsidR="007B3DB2" w:rsidRPr="0063248C" w:rsidRDefault="00000000">
      <w:pPr>
        <w:pStyle w:val="3"/>
        <w:spacing w:line="280" w:lineRule="exact"/>
        <w:jc w:val="left"/>
        <w:rPr>
          <w:rFonts w:cs="宋体"/>
          <w:b/>
          <w:bCs/>
        </w:rPr>
      </w:pPr>
      <w:bookmarkStart w:id="140" w:name="_Toc989029"/>
      <w:r w:rsidRPr="0063248C">
        <w:rPr>
          <w:rFonts w:cs="宋体"/>
          <w:b/>
          <w:bCs/>
        </w:rPr>
        <w:t>24</w:t>
      </w:r>
      <w:r w:rsidRPr="0063248C">
        <w:rPr>
          <w:rFonts w:cs="宋体"/>
          <w:b/>
          <w:bCs/>
        </w:rPr>
        <w:t>、固定资产</w:t>
      </w:r>
      <w:bookmarkEnd w:id="140"/>
    </w:p>
    <w:p w14:paraId="1E1399D8" w14:textId="77777777" w:rsidR="007B3DB2" w:rsidRPr="0063248C" w:rsidRDefault="00000000">
      <w:pPr>
        <w:keepNext/>
        <w:keepLines/>
        <w:spacing w:before="300" w:after="300" w:line="280" w:lineRule="exact"/>
        <w:outlineLvl w:val="3"/>
        <w:rPr>
          <w:rFonts w:cs="宋体"/>
          <w:b/>
          <w:bCs/>
          <w:szCs w:val="21"/>
        </w:rPr>
      </w:pPr>
      <w:bookmarkStart w:id="141" w:name="_Toc989030"/>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确认条件</w:t>
      </w:r>
      <w:bookmarkEnd w:id="141"/>
    </w:p>
    <w:p w14:paraId="7101B999" w14:textId="77777777" w:rsidR="00517D34" w:rsidRPr="0063248C" w:rsidRDefault="00000000">
      <w:pPr>
        <w:pStyle w:val="a3"/>
        <w:spacing w:line="240" w:lineRule="atLeast"/>
        <w:divId w:val="562451523"/>
        <w:rPr>
          <w:rFonts w:ascii="Times New Roman" w:hAnsi="Times New Roman"/>
          <w:sz w:val="18"/>
          <w:szCs w:val="18"/>
        </w:rPr>
      </w:pPr>
      <w:r w:rsidRPr="0063248C">
        <w:rPr>
          <w:rFonts w:ascii="Times New Roman" w:hAnsi="Times New Roman" w:hint="eastAsia"/>
          <w:sz w:val="18"/>
          <w:szCs w:val="18"/>
        </w:rPr>
        <w:t>固定资产是指为生产商品、提供劳务、出租或经营管理而持有的，使用寿命超过一个会计年度的有形资产。固定资产仅在与其有关的经济利益很可能流入本集团，且其成本能够可靠地计量时才予以确认。固定资产按成本并考虑预计弃置费用因素的影响进行初始计量。</w:t>
      </w:r>
    </w:p>
    <w:p w14:paraId="6A3A2362" w14:textId="77777777" w:rsidR="007B3DB2" w:rsidRPr="0063248C" w:rsidRDefault="00000000">
      <w:pPr>
        <w:keepNext/>
        <w:keepLines/>
        <w:spacing w:before="300" w:after="300" w:line="280" w:lineRule="exact"/>
        <w:outlineLvl w:val="3"/>
        <w:rPr>
          <w:rFonts w:cs="宋体"/>
          <w:b/>
          <w:bCs/>
          <w:szCs w:val="21"/>
        </w:rPr>
      </w:pPr>
      <w:bookmarkStart w:id="142" w:name="_Toc989031"/>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折旧方法</w:t>
      </w:r>
      <w:bookmarkEnd w:id="142"/>
    </w:p>
    <w:p w14:paraId="536C49BB" w14:textId="77777777" w:rsidR="007B3DB2" w:rsidRPr="0063248C" w:rsidRDefault="007B3DB2">
      <w:pPr>
        <w:spacing w:line="0" w:lineRule="atLeast"/>
      </w:pP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5C15F08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5570AF" w14:textId="77777777" w:rsidR="007B3DB2" w:rsidRPr="0063248C" w:rsidRDefault="00000000">
            <w:pPr>
              <w:spacing w:before="40" w:after="40" w:line="240" w:lineRule="exact"/>
              <w:jc w:val="center"/>
              <w:rPr>
                <w:rFonts w:cs="宋体"/>
                <w:sz w:val="18"/>
                <w:szCs w:val="18"/>
              </w:rPr>
            </w:pPr>
            <w:r w:rsidRPr="0063248C">
              <w:rPr>
                <w:rFonts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D0DD09" w14:textId="77777777" w:rsidR="007B3DB2" w:rsidRPr="0063248C" w:rsidRDefault="00000000">
            <w:pPr>
              <w:spacing w:before="40" w:after="40" w:line="240" w:lineRule="exact"/>
              <w:jc w:val="center"/>
              <w:rPr>
                <w:rFonts w:cs="宋体"/>
                <w:sz w:val="18"/>
                <w:szCs w:val="18"/>
              </w:rPr>
            </w:pPr>
            <w:r w:rsidRPr="0063248C">
              <w:rPr>
                <w:rFonts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BC9F07" w14:textId="77777777" w:rsidR="007B3DB2" w:rsidRPr="0063248C" w:rsidRDefault="00000000">
            <w:pPr>
              <w:spacing w:before="40" w:after="40" w:line="240" w:lineRule="exact"/>
              <w:jc w:val="center"/>
              <w:rPr>
                <w:rFonts w:cs="宋体"/>
                <w:sz w:val="18"/>
                <w:szCs w:val="18"/>
              </w:rPr>
            </w:pPr>
            <w:r w:rsidRPr="0063248C">
              <w:rPr>
                <w:rFonts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2D93A7" w14:textId="77777777" w:rsidR="007B3DB2" w:rsidRPr="0063248C" w:rsidRDefault="00000000">
            <w:pPr>
              <w:spacing w:before="40" w:after="40" w:line="240" w:lineRule="exact"/>
              <w:jc w:val="center"/>
              <w:rPr>
                <w:rFonts w:cs="宋体"/>
                <w:sz w:val="18"/>
                <w:szCs w:val="18"/>
              </w:rPr>
            </w:pPr>
            <w:r w:rsidRPr="0063248C">
              <w:rPr>
                <w:rFonts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864BC8" w14:textId="77777777" w:rsidR="007B3DB2" w:rsidRPr="0063248C" w:rsidRDefault="00000000">
            <w:pPr>
              <w:spacing w:before="40" w:after="40" w:line="240" w:lineRule="exact"/>
              <w:jc w:val="center"/>
              <w:rPr>
                <w:rFonts w:cs="宋体"/>
                <w:sz w:val="18"/>
                <w:szCs w:val="18"/>
              </w:rPr>
            </w:pPr>
            <w:r w:rsidRPr="0063248C">
              <w:rPr>
                <w:rFonts w:cs="宋体"/>
                <w:sz w:val="18"/>
                <w:szCs w:val="18"/>
              </w:rPr>
              <w:t>年折旧率</w:t>
            </w:r>
          </w:p>
        </w:tc>
      </w:tr>
      <w:tr w:rsidR="007B3DB2" w:rsidRPr="0063248C" w14:paraId="5782A9B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0B93FB6" w14:textId="77777777" w:rsidR="007B3DB2" w:rsidRPr="0063248C" w:rsidRDefault="00000000">
            <w:pPr>
              <w:spacing w:line="240" w:lineRule="exact"/>
              <w:rPr>
                <w:rFonts w:cs="宋体"/>
                <w:sz w:val="18"/>
                <w:szCs w:val="18"/>
              </w:rPr>
            </w:pPr>
            <w:r w:rsidRPr="0063248C">
              <w:rPr>
                <w:rFonts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14:paraId="6DCE0CB2" w14:textId="77777777" w:rsidR="007B3DB2" w:rsidRPr="0063248C" w:rsidRDefault="00000000">
            <w:pPr>
              <w:spacing w:line="240" w:lineRule="exact"/>
              <w:rPr>
                <w:rFonts w:cs="宋体"/>
                <w:sz w:val="18"/>
                <w:szCs w:val="18"/>
              </w:rPr>
            </w:pPr>
            <w:r w:rsidRPr="0063248C">
              <w:rPr>
                <w:rFonts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14C9F1DE" w14:textId="77777777" w:rsidR="007B3DB2" w:rsidRPr="0063248C" w:rsidRDefault="00000000" w:rsidP="00C117DA">
            <w:pPr>
              <w:spacing w:line="240" w:lineRule="exact"/>
              <w:jc w:val="center"/>
              <w:rPr>
                <w:rFonts w:cs="宋体"/>
                <w:sz w:val="18"/>
                <w:szCs w:val="18"/>
              </w:rPr>
            </w:pPr>
            <w:r w:rsidRPr="0063248C">
              <w:rPr>
                <w:rFonts w:cs="宋体"/>
                <w:sz w:val="18"/>
                <w:szCs w:val="18"/>
              </w:rPr>
              <w:t>20-40</w:t>
            </w:r>
          </w:p>
        </w:tc>
        <w:tc>
          <w:tcPr>
            <w:tcW w:w="1928" w:type="dxa"/>
            <w:tcBorders>
              <w:top w:val="single" w:sz="2" w:space="0" w:color="auto"/>
              <w:left w:val="single" w:sz="2" w:space="0" w:color="auto"/>
              <w:bottom w:val="single" w:sz="2" w:space="0" w:color="auto"/>
              <w:right w:val="single" w:sz="2" w:space="0" w:color="auto"/>
            </w:tcBorders>
            <w:vAlign w:val="center"/>
          </w:tcPr>
          <w:p w14:paraId="22508607" w14:textId="77777777" w:rsidR="007B3DB2" w:rsidRPr="0063248C" w:rsidRDefault="00000000" w:rsidP="00C117DA">
            <w:pPr>
              <w:spacing w:line="240" w:lineRule="exact"/>
              <w:jc w:val="center"/>
              <w:rPr>
                <w:rFonts w:cs="宋体"/>
                <w:sz w:val="18"/>
                <w:szCs w:val="18"/>
              </w:rPr>
            </w:pPr>
            <w:r w:rsidRPr="0063248C">
              <w:rPr>
                <w:rFonts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06326CC0" w14:textId="77777777" w:rsidR="007B3DB2" w:rsidRPr="0063248C" w:rsidRDefault="00000000" w:rsidP="00C117DA">
            <w:pPr>
              <w:spacing w:line="240" w:lineRule="exact"/>
              <w:jc w:val="center"/>
              <w:rPr>
                <w:rFonts w:cs="宋体"/>
                <w:sz w:val="18"/>
                <w:szCs w:val="18"/>
              </w:rPr>
            </w:pPr>
            <w:r w:rsidRPr="0063248C">
              <w:rPr>
                <w:rFonts w:cs="宋体"/>
                <w:sz w:val="18"/>
                <w:szCs w:val="18"/>
              </w:rPr>
              <w:t>2.38-4.75</w:t>
            </w:r>
          </w:p>
        </w:tc>
      </w:tr>
      <w:tr w:rsidR="007B3DB2" w:rsidRPr="0063248C" w14:paraId="3F7C432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AB497A8" w14:textId="77777777" w:rsidR="007B3DB2" w:rsidRPr="0063248C" w:rsidRDefault="00000000">
            <w:pPr>
              <w:spacing w:line="240" w:lineRule="exact"/>
              <w:rPr>
                <w:rFonts w:cs="宋体"/>
                <w:sz w:val="18"/>
                <w:szCs w:val="18"/>
              </w:rPr>
            </w:pPr>
            <w:r w:rsidRPr="0063248C">
              <w:rPr>
                <w:rFonts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14:paraId="0D2AF641" w14:textId="77777777" w:rsidR="007B3DB2" w:rsidRPr="0063248C" w:rsidRDefault="00000000">
            <w:pPr>
              <w:spacing w:line="240" w:lineRule="exact"/>
              <w:rPr>
                <w:rFonts w:cs="宋体"/>
                <w:sz w:val="18"/>
                <w:szCs w:val="18"/>
              </w:rPr>
            </w:pPr>
            <w:r w:rsidRPr="0063248C">
              <w:rPr>
                <w:rFonts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4435D682" w14:textId="77777777" w:rsidR="007B3DB2" w:rsidRPr="0063248C" w:rsidRDefault="00000000" w:rsidP="00C117DA">
            <w:pPr>
              <w:spacing w:line="240" w:lineRule="exact"/>
              <w:jc w:val="center"/>
              <w:rPr>
                <w:rFonts w:cs="宋体"/>
                <w:sz w:val="18"/>
                <w:szCs w:val="18"/>
              </w:rPr>
            </w:pPr>
            <w:r w:rsidRPr="0063248C">
              <w:rPr>
                <w:rFonts w:cs="宋体"/>
                <w:sz w:val="18"/>
                <w:szCs w:val="18"/>
              </w:rPr>
              <w:t>8-14</w:t>
            </w:r>
          </w:p>
        </w:tc>
        <w:tc>
          <w:tcPr>
            <w:tcW w:w="1928" w:type="dxa"/>
            <w:tcBorders>
              <w:top w:val="single" w:sz="2" w:space="0" w:color="auto"/>
              <w:left w:val="single" w:sz="2" w:space="0" w:color="auto"/>
              <w:bottom w:val="single" w:sz="2" w:space="0" w:color="auto"/>
              <w:right w:val="single" w:sz="2" w:space="0" w:color="auto"/>
            </w:tcBorders>
            <w:vAlign w:val="center"/>
          </w:tcPr>
          <w:p w14:paraId="60730A39" w14:textId="77777777" w:rsidR="007B3DB2" w:rsidRPr="0063248C" w:rsidRDefault="00000000" w:rsidP="00C117DA">
            <w:pPr>
              <w:spacing w:line="240" w:lineRule="exact"/>
              <w:jc w:val="center"/>
              <w:rPr>
                <w:rFonts w:cs="宋体"/>
                <w:sz w:val="18"/>
                <w:szCs w:val="18"/>
              </w:rPr>
            </w:pPr>
            <w:r w:rsidRPr="0063248C">
              <w:rPr>
                <w:rFonts w:cs="宋体"/>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385C141C" w14:textId="77777777" w:rsidR="007B3DB2" w:rsidRPr="0063248C" w:rsidRDefault="00000000" w:rsidP="00C117DA">
            <w:pPr>
              <w:spacing w:line="240" w:lineRule="exact"/>
              <w:jc w:val="center"/>
              <w:rPr>
                <w:rFonts w:cs="宋体"/>
                <w:sz w:val="18"/>
                <w:szCs w:val="18"/>
              </w:rPr>
            </w:pPr>
            <w:r w:rsidRPr="0063248C">
              <w:rPr>
                <w:rFonts w:cs="宋体"/>
                <w:sz w:val="18"/>
                <w:szCs w:val="18"/>
              </w:rPr>
              <w:t>6.79-12.50</w:t>
            </w:r>
          </w:p>
        </w:tc>
      </w:tr>
      <w:tr w:rsidR="007B3DB2" w:rsidRPr="0063248C" w14:paraId="23972DF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D27EB02" w14:textId="77777777" w:rsidR="007B3DB2" w:rsidRPr="0063248C" w:rsidRDefault="00000000">
            <w:pPr>
              <w:spacing w:line="240" w:lineRule="exact"/>
              <w:rPr>
                <w:rFonts w:cs="宋体"/>
                <w:sz w:val="18"/>
                <w:szCs w:val="18"/>
              </w:rPr>
            </w:pPr>
            <w:r w:rsidRPr="0063248C">
              <w:rPr>
                <w:rFonts w:cs="宋体"/>
                <w:sz w:val="18"/>
                <w:szCs w:val="18"/>
              </w:rPr>
              <w:t>运输工具</w:t>
            </w:r>
          </w:p>
        </w:tc>
        <w:tc>
          <w:tcPr>
            <w:tcW w:w="1928" w:type="dxa"/>
            <w:tcBorders>
              <w:top w:val="single" w:sz="2" w:space="0" w:color="auto"/>
              <w:left w:val="single" w:sz="2" w:space="0" w:color="auto"/>
              <w:bottom w:val="single" w:sz="2" w:space="0" w:color="auto"/>
              <w:right w:val="single" w:sz="2" w:space="0" w:color="auto"/>
            </w:tcBorders>
            <w:vAlign w:val="center"/>
          </w:tcPr>
          <w:p w14:paraId="1F6F710A" w14:textId="77777777" w:rsidR="007B3DB2" w:rsidRPr="0063248C" w:rsidRDefault="00000000">
            <w:pPr>
              <w:spacing w:line="240" w:lineRule="exact"/>
              <w:rPr>
                <w:rFonts w:cs="宋体"/>
                <w:sz w:val="18"/>
                <w:szCs w:val="18"/>
              </w:rPr>
            </w:pPr>
            <w:r w:rsidRPr="0063248C">
              <w:rPr>
                <w:rFonts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115040C9" w14:textId="77777777" w:rsidR="007B3DB2" w:rsidRPr="0063248C" w:rsidRDefault="00000000" w:rsidP="00C117DA">
            <w:pPr>
              <w:spacing w:line="240" w:lineRule="exact"/>
              <w:jc w:val="center"/>
              <w:rPr>
                <w:rFonts w:cs="宋体"/>
                <w:sz w:val="18"/>
                <w:szCs w:val="18"/>
              </w:rPr>
            </w:pPr>
            <w:r w:rsidRPr="0063248C">
              <w:rPr>
                <w:rFonts w:cs="宋体"/>
                <w:sz w:val="18"/>
                <w:szCs w:val="18"/>
              </w:rPr>
              <w:t>4-5</w:t>
            </w:r>
          </w:p>
        </w:tc>
        <w:tc>
          <w:tcPr>
            <w:tcW w:w="1928" w:type="dxa"/>
            <w:tcBorders>
              <w:top w:val="single" w:sz="2" w:space="0" w:color="auto"/>
              <w:left w:val="single" w:sz="2" w:space="0" w:color="auto"/>
              <w:bottom w:val="single" w:sz="2" w:space="0" w:color="auto"/>
              <w:right w:val="single" w:sz="2" w:space="0" w:color="auto"/>
            </w:tcBorders>
            <w:vAlign w:val="center"/>
          </w:tcPr>
          <w:p w14:paraId="4ED222AE" w14:textId="77777777" w:rsidR="007B3DB2" w:rsidRPr="0063248C" w:rsidRDefault="00000000" w:rsidP="00C117DA">
            <w:pPr>
              <w:spacing w:line="240" w:lineRule="exact"/>
              <w:jc w:val="center"/>
              <w:rPr>
                <w:rFonts w:cs="宋体"/>
                <w:sz w:val="18"/>
                <w:szCs w:val="18"/>
              </w:rPr>
            </w:pPr>
            <w:r w:rsidRPr="0063248C">
              <w:rPr>
                <w:rFonts w:cs="宋体"/>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6E8947DF" w14:textId="77777777" w:rsidR="007B3DB2" w:rsidRPr="0063248C" w:rsidRDefault="00000000" w:rsidP="00C117DA">
            <w:pPr>
              <w:spacing w:line="240" w:lineRule="exact"/>
              <w:jc w:val="center"/>
              <w:rPr>
                <w:rFonts w:cs="宋体"/>
                <w:sz w:val="18"/>
                <w:szCs w:val="18"/>
              </w:rPr>
            </w:pPr>
            <w:r w:rsidRPr="0063248C">
              <w:rPr>
                <w:rFonts w:cs="宋体"/>
                <w:sz w:val="18"/>
                <w:szCs w:val="18"/>
              </w:rPr>
              <w:t>19.00-25.00</w:t>
            </w:r>
          </w:p>
        </w:tc>
      </w:tr>
      <w:tr w:rsidR="007B3DB2" w:rsidRPr="0063248C" w14:paraId="65B8754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9CB7BF3" w14:textId="77777777" w:rsidR="007B3DB2" w:rsidRPr="0063248C" w:rsidRDefault="00000000">
            <w:pPr>
              <w:spacing w:line="240" w:lineRule="exact"/>
              <w:rPr>
                <w:rFonts w:cs="宋体"/>
                <w:sz w:val="18"/>
                <w:szCs w:val="18"/>
              </w:rPr>
            </w:pPr>
            <w:r w:rsidRPr="0063248C">
              <w:rPr>
                <w:rFonts w:cs="宋体"/>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14:paraId="0E5F18F5" w14:textId="77777777" w:rsidR="007B3DB2" w:rsidRPr="0063248C" w:rsidRDefault="00000000">
            <w:pPr>
              <w:spacing w:line="240" w:lineRule="exact"/>
              <w:rPr>
                <w:rFonts w:cs="宋体"/>
                <w:sz w:val="18"/>
                <w:szCs w:val="18"/>
              </w:rPr>
            </w:pPr>
            <w:r w:rsidRPr="0063248C">
              <w:rPr>
                <w:rFonts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714D3642" w14:textId="77777777" w:rsidR="007B3DB2" w:rsidRPr="0063248C" w:rsidRDefault="00000000" w:rsidP="00C117DA">
            <w:pPr>
              <w:spacing w:line="240" w:lineRule="exact"/>
              <w:jc w:val="center"/>
              <w:rPr>
                <w:rFonts w:cs="宋体"/>
                <w:sz w:val="18"/>
                <w:szCs w:val="18"/>
              </w:rPr>
            </w:pPr>
            <w:r w:rsidRPr="0063248C">
              <w:rPr>
                <w:rFonts w:cs="宋体"/>
                <w:sz w:val="18"/>
                <w:szCs w:val="18"/>
              </w:rPr>
              <w:t>3-5</w:t>
            </w:r>
          </w:p>
        </w:tc>
        <w:tc>
          <w:tcPr>
            <w:tcW w:w="1928" w:type="dxa"/>
            <w:tcBorders>
              <w:top w:val="single" w:sz="2" w:space="0" w:color="auto"/>
              <w:left w:val="single" w:sz="2" w:space="0" w:color="auto"/>
              <w:bottom w:val="single" w:sz="2" w:space="0" w:color="auto"/>
              <w:right w:val="single" w:sz="2" w:space="0" w:color="auto"/>
            </w:tcBorders>
            <w:vAlign w:val="center"/>
          </w:tcPr>
          <w:p w14:paraId="3A277837" w14:textId="77777777" w:rsidR="007B3DB2" w:rsidRPr="0063248C" w:rsidRDefault="00000000" w:rsidP="00C117DA">
            <w:pPr>
              <w:spacing w:line="240" w:lineRule="exact"/>
              <w:jc w:val="center"/>
              <w:rPr>
                <w:rFonts w:cs="宋体"/>
                <w:sz w:val="18"/>
                <w:szCs w:val="18"/>
              </w:rPr>
            </w:pPr>
            <w:r w:rsidRPr="0063248C">
              <w:rPr>
                <w:rFonts w:cs="宋体"/>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173BA1BC" w14:textId="77777777" w:rsidR="007B3DB2" w:rsidRPr="0063248C" w:rsidRDefault="00000000" w:rsidP="00C117DA">
            <w:pPr>
              <w:spacing w:line="240" w:lineRule="exact"/>
              <w:jc w:val="center"/>
              <w:rPr>
                <w:rFonts w:cs="宋体"/>
                <w:sz w:val="18"/>
                <w:szCs w:val="18"/>
              </w:rPr>
            </w:pPr>
            <w:r w:rsidRPr="0063248C">
              <w:rPr>
                <w:rFonts w:cs="宋体"/>
                <w:sz w:val="18"/>
                <w:szCs w:val="18"/>
              </w:rPr>
              <w:t>19.00-33.33</w:t>
            </w:r>
          </w:p>
        </w:tc>
      </w:tr>
      <w:tr w:rsidR="007B3DB2" w:rsidRPr="0063248C" w14:paraId="18946A1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077DF4F" w14:textId="77777777" w:rsidR="007B3DB2" w:rsidRPr="0063248C" w:rsidRDefault="00000000">
            <w:pPr>
              <w:spacing w:line="240" w:lineRule="exact"/>
              <w:rPr>
                <w:rFonts w:cs="宋体"/>
                <w:sz w:val="18"/>
                <w:szCs w:val="18"/>
              </w:rPr>
            </w:pPr>
            <w:r w:rsidRPr="0063248C">
              <w:rPr>
                <w:rFonts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14:paraId="41BED495" w14:textId="77777777" w:rsidR="007B3DB2" w:rsidRPr="0063248C" w:rsidRDefault="00000000">
            <w:pPr>
              <w:spacing w:line="240" w:lineRule="exact"/>
              <w:rPr>
                <w:rFonts w:cs="宋体"/>
                <w:sz w:val="18"/>
                <w:szCs w:val="18"/>
              </w:rPr>
            </w:pPr>
            <w:r w:rsidRPr="0063248C">
              <w:rPr>
                <w:rFonts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50EE2DC5" w14:textId="77777777" w:rsidR="007B3DB2" w:rsidRPr="0063248C" w:rsidRDefault="00000000" w:rsidP="00C117DA">
            <w:pPr>
              <w:spacing w:line="240" w:lineRule="exact"/>
              <w:jc w:val="center"/>
              <w:rPr>
                <w:rFonts w:cs="宋体"/>
                <w:sz w:val="18"/>
                <w:szCs w:val="18"/>
              </w:rPr>
            </w:pPr>
            <w:r w:rsidRPr="0063248C">
              <w:rPr>
                <w:rFonts w:cs="宋体"/>
                <w:sz w:val="18"/>
                <w:szCs w:val="18"/>
              </w:rPr>
              <w:t>4-8</w:t>
            </w:r>
          </w:p>
        </w:tc>
        <w:tc>
          <w:tcPr>
            <w:tcW w:w="1928" w:type="dxa"/>
            <w:tcBorders>
              <w:top w:val="single" w:sz="2" w:space="0" w:color="auto"/>
              <w:left w:val="single" w:sz="2" w:space="0" w:color="auto"/>
              <w:bottom w:val="single" w:sz="2" w:space="0" w:color="auto"/>
              <w:right w:val="single" w:sz="2" w:space="0" w:color="auto"/>
            </w:tcBorders>
            <w:vAlign w:val="center"/>
          </w:tcPr>
          <w:p w14:paraId="5C5ED002" w14:textId="77777777" w:rsidR="007B3DB2" w:rsidRPr="0063248C" w:rsidRDefault="00000000" w:rsidP="00C117DA">
            <w:pPr>
              <w:spacing w:line="240" w:lineRule="exact"/>
              <w:jc w:val="center"/>
              <w:rPr>
                <w:rFonts w:cs="宋体"/>
                <w:sz w:val="18"/>
                <w:szCs w:val="18"/>
              </w:rPr>
            </w:pPr>
            <w:r w:rsidRPr="0063248C">
              <w:rPr>
                <w:rFonts w:cs="宋体"/>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3C5EB6B7" w14:textId="77777777" w:rsidR="007B3DB2" w:rsidRPr="0063248C" w:rsidRDefault="00000000" w:rsidP="00C117DA">
            <w:pPr>
              <w:spacing w:line="240" w:lineRule="exact"/>
              <w:jc w:val="center"/>
              <w:rPr>
                <w:rFonts w:cs="宋体"/>
                <w:sz w:val="18"/>
                <w:szCs w:val="18"/>
              </w:rPr>
            </w:pPr>
            <w:r w:rsidRPr="0063248C">
              <w:rPr>
                <w:rFonts w:cs="宋体"/>
                <w:sz w:val="18"/>
                <w:szCs w:val="18"/>
              </w:rPr>
              <w:t>11.88-25.00</w:t>
            </w:r>
          </w:p>
        </w:tc>
      </w:tr>
    </w:tbl>
    <w:p w14:paraId="10B6C582" w14:textId="77777777" w:rsidR="00517D34" w:rsidRPr="0063248C" w:rsidRDefault="00000000">
      <w:pPr>
        <w:pStyle w:val="a3"/>
        <w:spacing w:before="0" w:beforeAutospacing="0" w:after="0" w:afterAutospacing="0" w:line="273" w:lineRule="auto"/>
        <w:ind w:firstLine="360"/>
        <w:divId w:val="509413941"/>
        <w:rPr>
          <w:rFonts w:ascii="Times New Roman" w:hAnsi="Times New Roman"/>
        </w:rPr>
      </w:pPr>
      <w:r w:rsidRPr="0063248C">
        <w:rPr>
          <w:rFonts w:ascii="Times New Roman" w:hAnsi="Times New Roman" w:hint="eastAsia"/>
          <w:sz w:val="18"/>
          <w:szCs w:val="18"/>
        </w:rPr>
        <w:t>预计净残值是指假定固定资产预计使用寿命已满并处于使用寿命终了时的预期状态，本集团目前从该项资产处置中获得的扣除预计处置费用后的金额。</w:t>
      </w:r>
    </w:p>
    <w:p w14:paraId="4EC3B4D6" w14:textId="77777777" w:rsidR="00517D34" w:rsidRPr="0063248C" w:rsidRDefault="00000000">
      <w:pPr>
        <w:pStyle w:val="a3"/>
        <w:spacing w:before="0" w:beforeAutospacing="0" w:after="0" w:afterAutospacing="0" w:line="273" w:lineRule="auto"/>
        <w:ind w:firstLine="360"/>
        <w:divId w:val="509413941"/>
        <w:rPr>
          <w:rFonts w:ascii="Times New Roman" w:hAnsi="Times New Roman"/>
        </w:rPr>
      </w:pPr>
      <w:r w:rsidRPr="0063248C">
        <w:rPr>
          <w:rFonts w:ascii="Times New Roman" w:hAnsi="Times New Roman" w:hint="eastAsia"/>
          <w:sz w:val="18"/>
          <w:szCs w:val="18"/>
        </w:rPr>
        <w:t>固定资产的减值测试方法和减值准备计提方法详见附注五、</w:t>
      </w:r>
      <w:r w:rsidRPr="0063248C">
        <w:rPr>
          <w:rFonts w:ascii="Times New Roman" w:hAnsi="Times New Roman" w:cs="Times New Roman"/>
          <w:sz w:val="18"/>
          <w:szCs w:val="18"/>
        </w:rPr>
        <w:t>30</w:t>
      </w:r>
      <w:r w:rsidRPr="0063248C">
        <w:rPr>
          <w:rFonts w:ascii="Times New Roman" w:hAnsi="Times New Roman" w:hint="eastAsia"/>
          <w:sz w:val="18"/>
          <w:szCs w:val="18"/>
        </w:rPr>
        <w:t>“长期资产减值”。</w:t>
      </w:r>
    </w:p>
    <w:p w14:paraId="44FD60D1" w14:textId="77777777" w:rsidR="00517D34" w:rsidRPr="0063248C" w:rsidRDefault="00000000">
      <w:pPr>
        <w:pStyle w:val="a3"/>
        <w:spacing w:before="0" w:beforeAutospacing="0" w:after="0" w:afterAutospacing="0" w:line="273" w:lineRule="auto"/>
        <w:ind w:firstLine="360"/>
        <w:divId w:val="509413941"/>
        <w:rPr>
          <w:rFonts w:ascii="Times New Roman" w:hAnsi="Times New Roman"/>
        </w:rPr>
      </w:pPr>
      <w:r w:rsidRPr="0063248C">
        <w:rPr>
          <w:rFonts w:ascii="Times New Roman" w:hAnsi="Times New Roman" w:hint="eastAsia"/>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14:paraId="4777FB0E" w14:textId="77777777" w:rsidR="00517D34" w:rsidRPr="0063248C" w:rsidRDefault="00000000">
      <w:pPr>
        <w:pStyle w:val="a3"/>
        <w:spacing w:before="0" w:beforeAutospacing="0" w:after="0" w:afterAutospacing="0" w:line="273" w:lineRule="auto"/>
        <w:ind w:firstLine="360"/>
        <w:divId w:val="509413941"/>
        <w:rPr>
          <w:rFonts w:ascii="Times New Roman" w:hAnsi="Times New Roman"/>
        </w:rPr>
      </w:pPr>
      <w:r w:rsidRPr="0063248C">
        <w:rPr>
          <w:rFonts w:ascii="Times New Roman" w:hAnsi="Times New Roman" w:hint="eastAsia"/>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14:paraId="60E72CB7" w14:textId="77777777" w:rsidR="00517D34" w:rsidRPr="0063248C" w:rsidRDefault="00000000">
      <w:pPr>
        <w:pStyle w:val="a3"/>
        <w:spacing w:before="0" w:beforeAutospacing="0" w:after="0" w:afterAutospacing="0" w:line="273" w:lineRule="auto"/>
        <w:ind w:firstLine="360"/>
        <w:divId w:val="509413941"/>
        <w:rPr>
          <w:rFonts w:ascii="Times New Roman" w:hAnsi="Times New Roman"/>
        </w:rPr>
      </w:pPr>
      <w:r w:rsidRPr="0063248C">
        <w:rPr>
          <w:rFonts w:ascii="Times New Roman" w:hAnsi="Times New Roman" w:hint="eastAsia"/>
          <w:sz w:val="18"/>
          <w:szCs w:val="18"/>
        </w:rPr>
        <w:t>本集团至少于年度终了对固定资产的使用寿命、预计净残值和折旧方法进行复核，如发生改变则作为会计估计变更处理。</w:t>
      </w:r>
    </w:p>
    <w:p w14:paraId="1FAB4026" w14:textId="77777777" w:rsidR="007B3DB2" w:rsidRPr="0063248C" w:rsidRDefault="00000000">
      <w:pPr>
        <w:pStyle w:val="3"/>
        <w:spacing w:line="280" w:lineRule="exact"/>
        <w:jc w:val="left"/>
        <w:rPr>
          <w:rFonts w:cs="宋体"/>
          <w:b/>
          <w:bCs/>
        </w:rPr>
      </w:pPr>
      <w:bookmarkStart w:id="143" w:name="_Toc989032"/>
      <w:r w:rsidRPr="0063248C">
        <w:rPr>
          <w:rFonts w:cs="宋体"/>
          <w:b/>
          <w:bCs/>
        </w:rPr>
        <w:t>25</w:t>
      </w:r>
      <w:r w:rsidRPr="0063248C">
        <w:rPr>
          <w:rFonts w:cs="宋体"/>
          <w:b/>
          <w:bCs/>
        </w:rPr>
        <w:t>、在建工程</w:t>
      </w:r>
      <w:bookmarkEnd w:id="143"/>
    </w:p>
    <w:p w14:paraId="07C8B937" w14:textId="77777777" w:rsidR="00517D34" w:rsidRPr="0063248C" w:rsidRDefault="00000000">
      <w:pPr>
        <w:pStyle w:val="a3"/>
        <w:spacing w:before="0" w:beforeAutospacing="0" w:after="0" w:afterAutospacing="0" w:line="273" w:lineRule="auto"/>
        <w:ind w:firstLine="360"/>
        <w:divId w:val="587739463"/>
        <w:rPr>
          <w:rFonts w:ascii="Times New Roman" w:hAnsi="Times New Roman"/>
        </w:rPr>
      </w:pPr>
      <w:r w:rsidRPr="0063248C">
        <w:rPr>
          <w:rFonts w:ascii="Times New Roman" w:hAnsi="Times New Roman" w:hint="eastAsia"/>
          <w:sz w:val="18"/>
          <w:szCs w:val="18"/>
        </w:rPr>
        <w:t>在建工程成本按实际工程支出确定，包括在建期间发生的各项工程支出、工程达到预定可使用状态前的资本化的借款费用以及其他相关费用等。在建工程在达到预定可使用状态后结转为固定资产。</w:t>
      </w:r>
    </w:p>
    <w:p w14:paraId="3A762A6E" w14:textId="77777777" w:rsidR="00517D34" w:rsidRPr="0063248C" w:rsidRDefault="00000000">
      <w:pPr>
        <w:pStyle w:val="a3"/>
        <w:spacing w:before="0" w:beforeAutospacing="0" w:after="0" w:afterAutospacing="0" w:line="273" w:lineRule="auto"/>
        <w:ind w:left="420"/>
        <w:jc w:val="both"/>
        <w:divId w:val="587739463"/>
        <w:rPr>
          <w:rFonts w:ascii="Times New Roman" w:hAnsi="Times New Roman"/>
        </w:rPr>
      </w:pPr>
      <w:r w:rsidRPr="0063248C">
        <w:rPr>
          <w:rFonts w:ascii="Times New Roman" w:hAnsi="Times New Roman" w:hint="eastAsia"/>
          <w:sz w:val="18"/>
          <w:szCs w:val="18"/>
        </w:rPr>
        <w:t>在建工程的减值测试方法和减值准备计提方法详见附注五、</w:t>
      </w:r>
      <w:r w:rsidRPr="0063248C">
        <w:rPr>
          <w:rFonts w:ascii="Times New Roman" w:hAnsi="Times New Roman" w:cs="Times New Roman"/>
          <w:sz w:val="18"/>
          <w:szCs w:val="18"/>
        </w:rPr>
        <w:t>30</w:t>
      </w:r>
      <w:r w:rsidRPr="0063248C">
        <w:rPr>
          <w:rFonts w:ascii="Times New Roman" w:hAnsi="Times New Roman" w:hint="eastAsia"/>
          <w:sz w:val="18"/>
          <w:szCs w:val="18"/>
        </w:rPr>
        <w:t>“长期资产减值”。</w:t>
      </w:r>
    </w:p>
    <w:p w14:paraId="62468152" w14:textId="77777777" w:rsidR="007B3DB2" w:rsidRPr="0063248C" w:rsidRDefault="00000000">
      <w:pPr>
        <w:pStyle w:val="3"/>
        <w:spacing w:line="280" w:lineRule="exact"/>
        <w:jc w:val="left"/>
        <w:rPr>
          <w:rFonts w:cs="宋体"/>
          <w:b/>
          <w:bCs/>
        </w:rPr>
      </w:pPr>
      <w:bookmarkStart w:id="144" w:name="_Toc989033"/>
      <w:r w:rsidRPr="0063248C">
        <w:rPr>
          <w:rFonts w:cs="宋体"/>
          <w:b/>
          <w:bCs/>
        </w:rPr>
        <w:t>26</w:t>
      </w:r>
      <w:r w:rsidRPr="0063248C">
        <w:rPr>
          <w:rFonts w:cs="宋体"/>
          <w:b/>
          <w:bCs/>
        </w:rPr>
        <w:t>、借款费用</w:t>
      </w:r>
      <w:bookmarkEnd w:id="144"/>
    </w:p>
    <w:p w14:paraId="45DC0BF1" w14:textId="77777777" w:rsidR="00517D34" w:rsidRPr="0063248C" w:rsidRDefault="00000000">
      <w:pPr>
        <w:pStyle w:val="a3"/>
        <w:spacing w:before="0" w:beforeAutospacing="0" w:after="0" w:afterAutospacing="0" w:line="273" w:lineRule="auto"/>
        <w:ind w:firstLine="360"/>
        <w:divId w:val="418335351"/>
        <w:rPr>
          <w:rFonts w:ascii="Times New Roman" w:hAnsi="Times New Roman"/>
        </w:rPr>
      </w:pPr>
      <w:r w:rsidRPr="0063248C">
        <w:rPr>
          <w:rFonts w:ascii="Times New Roman" w:hAnsi="Times New Roman" w:hint="eastAsia"/>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购建或者生产的符合资本化条件的资产达到预定可使用状态或者可销售状态时，停止资本化。其余借款费用在发生当期确认为费用。</w:t>
      </w:r>
    </w:p>
    <w:p w14:paraId="25C2FEA2" w14:textId="77777777" w:rsidR="00517D34" w:rsidRPr="0063248C" w:rsidRDefault="00000000">
      <w:pPr>
        <w:pStyle w:val="a3"/>
        <w:spacing w:before="0" w:beforeAutospacing="0" w:after="0" w:afterAutospacing="0" w:line="273" w:lineRule="auto"/>
        <w:ind w:firstLine="360"/>
        <w:divId w:val="418335351"/>
        <w:rPr>
          <w:rFonts w:ascii="Times New Roman" w:hAnsi="Times New Roman"/>
        </w:rPr>
      </w:pPr>
      <w:r w:rsidRPr="0063248C">
        <w:rPr>
          <w:rFonts w:ascii="Times New Roman" w:hAnsi="Times New Roman" w:hint="eastAsia"/>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14:paraId="44AF5DC6" w14:textId="77777777" w:rsidR="00517D34" w:rsidRPr="0063248C" w:rsidRDefault="00000000">
      <w:pPr>
        <w:pStyle w:val="a3"/>
        <w:spacing w:before="0" w:beforeAutospacing="0" w:after="0" w:afterAutospacing="0" w:line="273" w:lineRule="auto"/>
        <w:ind w:firstLine="360"/>
        <w:divId w:val="418335351"/>
        <w:rPr>
          <w:rFonts w:ascii="Times New Roman" w:hAnsi="Times New Roman"/>
        </w:rPr>
      </w:pPr>
      <w:r w:rsidRPr="0063248C">
        <w:rPr>
          <w:rFonts w:ascii="Times New Roman" w:hAnsi="Times New Roman" w:hint="eastAsia"/>
          <w:sz w:val="18"/>
          <w:szCs w:val="18"/>
        </w:rPr>
        <w:lastRenderedPageBreak/>
        <w:t>资本</w:t>
      </w:r>
      <w:proofErr w:type="gramStart"/>
      <w:r w:rsidRPr="0063248C">
        <w:rPr>
          <w:rFonts w:ascii="Times New Roman" w:hAnsi="Times New Roman" w:hint="eastAsia"/>
          <w:sz w:val="18"/>
          <w:szCs w:val="18"/>
        </w:rPr>
        <w:t>化期间</w:t>
      </w:r>
      <w:proofErr w:type="gramEnd"/>
      <w:r w:rsidRPr="0063248C">
        <w:rPr>
          <w:rFonts w:ascii="Times New Roman" w:hAnsi="Times New Roman" w:hint="eastAsia"/>
          <w:sz w:val="18"/>
          <w:szCs w:val="18"/>
        </w:rPr>
        <w:t>内，外币专门借款的汇兑差额全部予以资本化；外币一般借款的汇兑差额计入当期损益。</w:t>
      </w:r>
    </w:p>
    <w:p w14:paraId="16AD555E" w14:textId="77777777" w:rsidR="00517D34" w:rsidRPr="0063248C" w:rsidRDefault="00000000">
      <w:pPr>
        <w:pStyle w:val="a3"/>
        <w:spacing w:before="0" w:beforeAutospacing="0" w:after="0" w:afterAutospacing="0" w:line="273" w:lineRule="auto"/>
        <w:ind w:firstLine="360"/>
        <w:divId w:val="418335351"/>
        <w:rPr>
          <w:rFonts w:ascii="Times New Roman" w:hAnsi="Times New Roman"/>
        </w:rPr>
      </w:pPr>
      <w:r w:rsidRPr="0063248C">
        <w:rPr>
          <w:rFonts w:ascii="Times New Roman" w:hAnsi="Times New Roman" w:hint="eastAsia"/>
          <w:sz w:val="18"/>
          <w:szCs w:val="18"/>
        </w:rPr>
        <w:t>符合资本化条件的资产指需要经过相当长时间的购建或者生产活动才能达到预定可使用或可销售状态的固定资产、投资性房地产和存货等资产。</w:t>
      </w:r>
    </w:p>
    <w:p w14:paraId="12B0A1DC" w14:textId="77777777" w:rsidR="00517D34" w:rsidRPr="0063248C" w:rsidRDefault="00000000">
      <w:pPr>
        <w:pStyle w:val="a3"/>
        <w:spacing w:before="0" w:beforeAutospacing="0" w:after="0" w:afterAutospacing="0" w:line="273" w:lineRule="auto"/>
        <w:ind w:firstLine="360"/>
        <w:jc w:val="both"/>
        <w:divId w:val="418335351"/>
        <w:rPr>
          <w:rFonts w:ascii="Times New Roman" w:hAnsi="Times New Roman"/>
        </w:rPr>
      </w:pPr>
      <w:r w:rsidRPr="0063248C">
        <w:rPr>
          <w:rFonts w:ascii="Times New Roman" w:hAnsi="Times New Roman" w:hint="eastAsia"/>
          <w:sz w:val="18"/>
          <w:szCs w:val="18"/>
        </w:rPr>
        <w:t>如果符合资本化条件的资产在购建或生产过程中发生非正常中断、并且中断时间连续超过</w:t>
      </w:r>
      <w:r w:rsidRPr="0063248C">
        <w:rPr>
          <w:rFonts w:ascii="Times New Roman" w:hAnsi="Times New Roman" w:cs="Times New Roman"/>
          <w:sz w:val="18"/>
          <w:szCs w:val="18"/>
        </w:rPr>
        <w:t>3</w:t>
      </w:r>
      <w:r w:rsidRPr="0063248C">
        <w:rPr>
          <w:rFonts w:ascii="Times New Roman" w:hAnsi="Times New Roman" w:hint="eastAsia"/>
          <w:sz w:val="18"/>
          <w:szCs w:val="18"/>
        </w:rPr>
        <w:t>个月的，暂停借款费用的资本化，直至资产的购建或生产活动重新开始。</w:t>
      </w:r>
    </w:p>
    <w:p w14:paraId="1D3E3CEE" w14:textId="77777777" w:rsidR="007B3DB2" w:rsidRPr="0063248C" w:rsidRDefault="00000000">
      <w:pPr>
        <w:pStyle w:val="3"/>
        <w:spacing w:line="280" w:lineRule="exact"/>
        <w:jc w:val="left"/>
        <w:rPr>
          <w:rFonts w:cs="宋体"/>
          <w:b/>
          <w:bCs/>
        </w:rPr>
      </w:pPr>
      <w:bookmarkStart w:id="145" w:name="_Toc989034"/>
      <w:r w:rsidRPr="0063248C">
        <w:rPr>
          <w:rFonts w:cs="宋体"/>
          <w:b/>
          <w:bCs/>
        </w:rPr>
        <w:t>27</w:t>
      </w:r>
      <w:r w:rsidRPr="0063248C">
        <w:rPr>
          <w:rFonts w:cs="宋体"/>
          <w:b/>
          <w:bCs/>
        </w:rPr>
        <w:t>、生物资产</w:t>
      </w:r>
      <w:bookmarkEnd w:id="145"/>
    </w:p>
    <w:p w14:paraId="77B43F4A"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w:t>
      </w:r>
      <w:r w:rsidRPr="0063248C">
        <w:rPr>
          <w:rFonts w:ascii="Times New Roman" w:hAnsi="Times New Roman" w:cs="Times New Roman"/>
          <w:sz w:val="18"/>
          <w:szCs w:val="18"/>
        </w:rPr>
        <w:t>1</w:t>
      </w:r>
      <w:r w:rsidRPr="0063248C">
        <w:rPr>
          <w:rFonts w:ascii="Times New Roman" w:hAnsi="Times New Roman" w:hint="eastAsia"/>
          <w:sz w:val="18"/>
          <w:szCs w:val="18"/>
        </w:rPr>
        <w:t>）消耗性生物资产</w:t>
      </w:r>
    </w:p>
    <w:p w14:paraId="58ECE900"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消耗性生物资产是指为出售而持有的、或在将来收获为农产品的生物资产，包括生长中的大田作物、蔬菜、用材林以及存栏待售的牲畜等。消耗性生物资产按照成本进行初始计量。自行栽培、营造、繁殖或养殖的消耗性生物资产的成本，为该资产在出售或入库前发生的可直接归属于该资产的必要支出，包括符合资本化条件的借款费用。消耗性生物资产在入库后发生的管护、饲养费用等后续支出，计入当期损益。</w:t>
      </w:r>
    </w:p>
    <w:p w14:paraId="13B38D3A"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消耗性生物资产在收获或出售时，采用加权平均法按账面价值结转成本。</w:t>
      </w:r>
    </w:p>
    <w:p w14:paraId="6A3DB6F2"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资产负债表日，消耗性生物资产按照成本与可变现净值孰低计量，并采用与确认存货跌价准备一致的方法计算确认消耗性生物资产的跌价准备。如果减值的影响因素已经消失的，</w:t>
      </w:r>
      <w:proofErr w:type="gramStart"/>
      <w:r w:rsidRPr="0063248C">
        <w:rPr>
          <w:rFonts w:ascii="Times New Roman" w:hAnsi="Times New Roman" w:hint="eastAsia"/>
          <w:sz w:val="18"/>
          <w:szCs w:val="18"/>
        </w:rPr>
        <w:t>减记的</w:t>
      </w:r>
      <w:proofErr w:type="gramEnd"/>
      <w:r w:rsidRPr="0063248C">
        <w:rPr>
          <w:rFonts w:ascii="Times New Roman" w:hAnsi="Times New Roman" w:hint="eastAsia"/>
          <w:sz w:val="18"/>
          <w:szCs w:val="18"/>
        </w:rPr>
        <w:t>金额应当予以恢复，并在原已计提的跌价准备金额内转回，转回金额计入当期损益。</w:t>
      </w:r>
    </w:p>
    <w:p w14:paraId="5CA049B0"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如果消耗性生物资产改变用途，作为生产性生物资产，改变用途后的成本按改变用途时的账面价值确定。如果消耗性生物资产改变用途，作为公益性生物资产，则按照《企业会计准则第</w:t>
      </w:r>
      <w:r w:rsidRPr="0063248C">
        <w:rPr>
          <w:rFonts w:ascii="Times New Roman" w:hAnsi="Times New Roman" w:cs="Times New Roman"/>
          <w:sz w:val="18"/>
          <w:szCs w:val="18"/>
        </w:rPr>
        <w:t>8</w:t>
      </w:r>
      <w:r w:rsidRPr="0063248C">
        <w:rPr>
          <w:rFonts w:ascii="Times New Roman" w:hAnsi="Times New Roman" w:hint="eastAsia"/>
          <w:sz w:val="18"/>
          <w:szCs w:val="18"/>
        </w:rPr>
        <w:t>号——资产减值》规定考虑是否发生减值，发生减值时先计提减值准备，再按计提减值准备后的账面价值确定。</w:t>
      </w:r>
    </w:p>
    <w:p w14:paraId="0C37D4BC"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w:t>
      </w:r>
      <w:r w:rsidRPr="0063248C">
        <w:rPr>
          <w:rFonts w:ascii="Times New Roman" w:hAnsi="Times New Roman" w:cs="Times New Roman"/>
          <w:sz w:val="18"/>
          <w:szCs w:val="18"/>
        </w:rPr>
        <w:t>2</w:t>
      </w:r>
      <w:r w:rsidRPr="0063248C">
        <w:rPr>
          <w:rFonts w:ascii="Times New Roman" w:hAnsi="Times New Roman" w:hint="eastAsia"/>
          <w:sz w:val="18"/>
          <w:szCs w:val="18"/>
        </w:rPr>
        <w:t>）生产性生物资产</w:t>
      </w:r>
    </w:p>
    <w:p w14:paraId="54E8E412"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生产性生物资产是指为产出农产品、提供劳务或出租等目的而持有的生物资产，包括经济林、薪炭林、</w:t>
      </w:r>
      <w:proofErr w:type="gramStart"/>
      <w:r w:rsidRPr="0063248C">
        <w:rPr>
          <w:rFonts w:ascii="Times New Roman" w:hAnsi="Times New Roman" w:hint="eastAsia"/>
          <w:sz w:val="18"/>
          <w:szCs w:val="18"/>
        </w:rPr>
        <w:t>产畜和</w:t>
      </w:r>
      <w:proofErr w:type="gramEnd"/>
      <w:r w:rsidRPr="0063248C">
        <w:rPr>
          <w:rFonts w:ascii="Times New Roman" w:hAnsi="Times New Roman" w:hint="eastAsia"/>
          <w:sz w:val="18"/>
          <w:szCs w:val="18"/>
        </w:rPr>
        <w:t>役畜等。生产性生物资产按照成本进行初始计量。自行营造或繁殖的生产性生物资产的成本，为该资产在达到预定生产经营目的前发生的可直接归属于该资产的必要支出，包括符合资本化条件的借款费用。</w:t>
      </w:r>
    </w:p>
    <w:p w14:paraId="05827417"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生产性生物资产在达到预定生产经营目的后采用年限平均法在使用寿命内计提折旧。各类生产性生物资产的使用寿命、预计净残值率和年折旧率列示如下：</w:t>
      </w:r>
    </w:p>
    <w:tbl>
      <w:tblPr>
        <w:tblW w:w="9553" w:type="dxa"/>
        <w:tblCellMar>
          <w:top w:w="15" w:type="dxa"/>
          <w:left w:w="15" w:type="dxa"/>
          <w:bottom w:w="15" w:type="dxa"/>
          <w:right w:w="15" w:type="dxa"/>
        </w:tblCellMar>
        <w:tblLook w:val="04A0" w:firstRow="1" w:lastRow="0" w:firstColumn="1" w:lastColumn="0" w:noHBand="0" w:noVBand="1"/>
      </w:tblPr>
      <w:tblGrid>
        <w:gridCol w:w="2984"/>
        <w:gridCol w:w="2191"/>
        <w:gridCol w:w="2190"/>
        <w:gridCol w:w="2188"/>
      </w:tblGrid>
      <w:tr w:rsidR="00517D34" w:rsidRPr="0063248C" w14:paraId="39D33E34" w14:textId="77777777">
        <w:trPr>
          <w:divId w:val="1759672856"/>
          <w:trHeight w:val="346"/>
        </w:trPr>
        <w:tc>
          <w:tcPr>
            <w:tcW w:w="15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AC38E5" w14:textId="77777777" w:rsidR="00517D34" w:rsidRPr="0063248C" w:rsidRDefault="00000000" w:rsidP="00C117D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类别</w:t>
            </w:r>
          </w:p>
        </w:tc>
        <w:tc>
          <w:tcPr>
            <w:tcW w:w="11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0F9F48" w14:textId="77777777" w:rsidR="00517D34" w:rsidRPr="0063248C" w:rsidRDefault="00000000" w:rsidP="00C117D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使用年限（年）</w:t>
            </w:r>
          </w:p>
        </w:tc>
        <w:tc>
          <w:tcPr>
            <w:tcW w:w="11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5E4AD3" w14:textId="77777777" w:rsidR="00517D34" w:rsidRPr="0063248C" w:rsidRDefault="00000000" w:rsidP="00C117D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残值率（</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w:t>
            </w:r>
          </w:p>
        </w:tc>
        <w:tc>
          <w:tcPr>
            <w:tcW w:w="114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6946F0" w14:textId="77777777" w:rsidR="00517D34" w:rsidRPr="0063248C" w:rsidRDefault="00000000" w:rsidP="00C117D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年折旧率（</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w:t>
            </w:r>
          </w:p>
        </w:tc>
      </w:tr>
      <w:tr w:rsidR="00517D34" w:rsidRPr="0063248C" w14:paraId="6620664B" w14:textId="77777777">
        <w:trPr>
          <w:divId w:val="1759672856"/>
          <w:trHeight w:val="346"/>
        </w:trPr>
        <w:tc>
          <w:tcPr>
            <w:tcW w:w="15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0622A2" w14:textId="77777777" w:rsidR="00517D34" w:rsidRPr="0063248C" w:rsidRDefault="00000000" w:rsidP="00C117D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种猪</w:t>
            </w:r>
          </w:p>
        </w:tc>
        <w:tc>
          <w:tcPr>
            <w:tcW w:w="11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6BA793" w14:textId="77777777" w:rsidR="00517D34" w:rsidRPr="0063248C" w:rsidRDefault="00000000" w:rsidP="00C117D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3</w:t>
            </w:r>
          </w:p>
        </w:tc>
        <w:tc>
          <w:tcPr>
            <w:tcW w:w="1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87CA9" w14:textId="77777777" w:rsidR="00517D34" w:rsidRPr="0063248C" w:rsidRDefault="00000000" w:rsidP="00C117D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0</w:t>
            </w:r>
          </w:p>
        </w:tc>
        <w:tc>
          <w:tcPr>
            <w:tcW w:w="11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31319" w14:textId="77777777" w:rsidR="00517D34" w:rsidRPr="0063248C" w:rsidRDefault="00000000" w:rsidP="00C117D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33.33</w:t>
            </w:r>
          </w:p>
        </w:tc>
      </w:tr>
    </w:tbl>
    <w:p w14:paraId="04013EA4"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本集团至少于年度终了对生产性生物资产的使用寿命、预计净残值和折旧方法进行复核，如发生改变则作为会计估计变更处理。</w:t>
      </w:r>
    </w:p>
    <w:p w14:paraId="3ECCC290"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生产性生物资产出售、盘亏、死亡或毁损的处置收入扣除其账面价值和相关税费后的差额计入当期损益。</w:t>
      </w:r>
    </w:p>
    <w:p w14:paraId="5050F5DD"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本集团在每一个资产负债表</w:t>
      </w:r>
      <w:proofErr w:type="gramStart"/>
      <w:r w:rsidRPr="0063248C">
        <w:rPr>
          <w:rFonts w:ascii="Times New Roman" w:hAnsi="Times New Roman" w:hint="eastAsia"/>
          <w:sz w:val="18"/>
          <w:szCs w:val="18"/>
        </w:rPr>
        <w:t>日检查</w:t>
      </w:r>
      <w:proofErr w:type="gramEnd"/>
      <w:r w:rsidRPr="0063248C">
        <w:rPr>
          <w:rFonts w:ascii="Times New Roman" w:hAnsi="Times New Roman" w:hint="eastAsia"/>
          <w:sz w:val="18"/>
          <w:szCs w:val="18"/>
        </w:rPr>
        <w:t>生产性生物资产是否存在可能发生减值的迹象。如果该资产存在减值迹象，则估计其可收回金额。估计资产的可收回金额以单项资产为基础，如果难以对单项资产的可收回金额进行估计的，则以该资产所属的资产组为基础确定资产组的可收回金额。如果资产的可收回金额低于其账面价值，按其差额计提资产减值准备，并计入当期损益。</w:t>
      </w:r>
    </w:p>
    <w:p w14:paraId="4CF4FA2C"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上述资产减值损失一经确认，在以后会计期间不予转回。</w:t>
      </w:r>
    </w:p>
    <w:p w14:paraId="6D2E507C" w14:textId="77777777" w:rsidR="00517D34" w:rsidRPr="0063248C" w:rsidRDefault="00000000">
      <w:pPr>
        <w:pStyle w:val="a3"/>
        <w:spacing w:before="0" w:beforeAutospacing="0" w:after="0" w:afterAutospacing="0" w:line="273" w:lineRule="auto"/>
        <w:ind w:firstLine="360"/>
        <w:jc w:val="both"/>
        <w:divId w:val="1759672856"/>
        <w:rPr>
          <w:rFonts w:ascii="Times New Roman" w:hAnsi="Times New Roman"/>
        </w:rPr>
      </w:pPr>
      <w:r w:rsidRPr="0063248C">
        <w:rPr>
          <w:rFonts w:ascii="Times New Roman" w:hAnsi="Times New Roman" w:hint="eastAsia"/>
          <w:sz w:val="18"/>
          <w:szCs w:val="18"/>
        </w:rPr>
        <w:t>如果生产性生物资产改变用途，作为消耗性生物资产，其改变用途后的成本按改变用途时的账面价值确定；若生产性生物资产改变用途作为公益性生物资产，则按照《企业会计准则第</w:t>
      </w:r>
      <w:r w:rsidRPr="0063248C">
        <w:rPr>
          <w:rFonts w:ascii="Times New Roman" w:hAnsi="Times New Roman" w:cs="Times New Roman"/>
          <w:sz w:val="18"/>
          <w:szCs w:val="18"/>
        </w:rPr>
        <w:t>8</w:t>
      </w:r>
      <w:r w:rsidRPr="0063248C">
        <w:rPr>
          <w:rFonts w:ascii="Times New Roman" w:hAnsi="Times New Roman" w:hint="eastAsia"/>
          <w:sz w:val="18"/>
          <w:szCs w:val="18"/>
        </w:rPr>
        <w:t>号――资产减值》规定考虑是否发生减值，发生减值时先计提减值准备，再按计提减值准备后的账面价值确定。</w:t>
      </w:r>
    </w:p>
    <w:p w14:paraId="24D29178" w14:textId="77777777" w:rsidR="007B3DB2" w:rsidRPr="0063248C" w:rsidRDefault="00000000">
      <w:pPr>
        <w:pStyle w:val="3"/>
        <w:spacing w:line="280" w:lineRule="exact"/>
        <w:jc w:val="left"/>
        <w:rPr>
          <w:rFonts w:cs="宋体"/>
          <w:b/>
          <w:bCs/>
        </w:rPr>
      </w:pPr>
      <w:bookmarkStart w:id="146" w:name="_Toc989035"/>
      <w:r w:rsidRPr="0063248C">
        <w:rPr>
          <w:rFonts w:cs="宋体"/>
          <w:b/>
          <w:bCs/>
        </w:rPr>
        <w:lastRenderedPageBreak/>
        <w:t>28</w:t>
      </w:r>
      <w:r w:rsidRPr="0063248C">
        <w:rPr>
          <w:rFonts w:cs="宋体"/>
          <w:b/>
          <w:bCs/>
        </w:rPr>
        <w:t>、油气资产</w:t>
      </w:r>
      <w:bookmarkEnd w:id="146"/>
    </w:p>
    <w:p w14:paraId="3D237C24" w14:textId="77777777" w:rsidR="00517D34" w:rsidRPr="0063248C" w:rsidRDefault="00000000">
      <w:pPr>
        <w:pStyle w:val="a3"/>
        <w:spacing w:beforeAutospacing="0" w:afterAutospacing="0"/>
        <w:divId w:val="668020697"/>
        <w:rPr>
          <w:rFonts w:ascii="Times New Roman" w:hAnsi="Times New Roman"/>
        </w:rPr>
      </w:pPr>
      <w:r w:rsidRPr="0063248C">
        <w:rPr>
          <w:rFonts w:ascii="Times New Roman" w:hAnsi="Times New Roman" w:hint="eastAsia"/>
          <w:sz w:val="18"/>
          <w:szCs w:val="18"/>
        </w:rPr>
        <w:t>无</w:t>
      </w:r>
    </w:p>
    <w:p w14:paraId="155E38DD" w14:textId="77777777" w:rsidR="007B3DB2" w:rsidRPr="0063248C" w:rsidRDefault="00000000">
      <w:pPr>
        <w:pStyle w:val="3"/>
        <w:spacing w:line="280" w:lineRule="exact"/>
        <w:jc w:val="left"/>
        <w:rPr>
          <w:rFonts w:cs="宋体"/>
          <w:b/>
          <w:bCs/>
        </w:rPr>
      </w:pPr>
      <w:bookmarkStart w:id="147" w:name="_Toc989036"/>
      <w:r w:rsidRPr="0063248C">
        <w:rPr>
          <w:rFonts w:cs="宋体"/>
          <w:b/>
          <w:bCs/>
        </w:rPr>
        <w:t>29</w:t>
      </w:r>
      <w:r w:rsidRPr="0063248C">
        <w:rPr>
          <w:rFonts w:cs="宋体"/>
          <w:b/>
          <w:bCs/>
        </w:rPr>
        <w:t>、无形资产</w:t>
      </w:r>
      <w:bookmarkEnd w:id="147"/>
    </w:p>
    <w:p w14:paraId="5AB82A36" w14:textId="77777777" w:rsidR="007B3DB2" w:rsidRPr="0063248C" w:rsidRDefault="00000000">
      <w:pPr>
        <w:keepNext/>
        <w:keepLines/>
        <w:spacing w:before="300" w:after="300" w:line="280" w:lineRule="exact"/>
        <w:outlineLvl w:val="3"/>
        <w:rPr>
          <w:rFonts w:cs="宋体"/>
          <w:b/>
          <w:bCs/>
          <w:szCs w:val="21"/>
        </w:rPr>
      </w:pPr>
      <w:bookmarkStart w:id="148" w:name="_Toc989037"/>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使用寿命及其确定依据、估计情况、摊销方法或复核程序</w:t>
      </w:r>
      <w:bookmarkEnd w:id="148"/>
    </w:p>
    <w:p w14:paraId="66382EBC" w14:textId="77777777" w:rsidR="00517D34" w:rsidRPr="0063248C" w:rsidRDefault="00000000">
      <w:pPr>
        <w:pStyle w:val="a3"/>
        <w:spacing w:before="0" w:beforeAutospacing="0" w:after="0" w:afterAutospacing="0" w:line="460" w:lineRule="atLeast"/>
        <w:ind w:firstLine="360"/>
        <w:divId w:val="1115516074"/>
        <w:rPr>
          <w:rFonts w:ascii="Times New Roman" w:hAnsi="Times New Roman"/>
        </w:rPr>
      </w:pPr>
      <w:r w:rsidRPr="0063248C">
        <w:rPr>
          <w:rFonts w:ascii="Times New Roman" w:hAnsi="Times New Roman" w:hint="eastAsia"/>
          <w:sz w:val="18"/>
          <w:szCs w:val="18"/>
        </w:rPr>
        <w:t>无形资产是指本集团拥有或者控制的没有实物形态的可</w:t>
      </w:r>
      <w:proofErr w:type="gramStart"/>
      <w:r w:rsidRPr="0063248C">
        <w:rPr>
          <w:rFonts w:ascii="Times New Roman" w:hAnsi="Times New Roman" w:hint="eastAsia"/>
          <w:sz w:val="18"/>
          <w:szCs w:val="18"/>
        </w:rPr>
        <w:t>辨认非</w:t>
      </w:r>
      <w:proofErr w:type="gramEnd"/>
      <w:r w:rsidRPr="0063248C">
        <w:rPr>
          <w:rFonts w:ascii="Times New Roman" w:hAnsi="Times New Roman" w:hint="eastAsia"/>
          <w:sz w:val="18"/>
          <w:szCs w:val="18"/>
        </w:rPr>
        <w:t>货币性资产。</w:t>
      </w:r>
    </w:p>
    <w:p w14:paraId="1465C954" w14:textId="77777777" w:rsidR="00517D34" w:rsidRPr="0063248C" w:rsidRDefault="00000000">
      <w:pPr>
        <w:pStyle w:val="a3"/>
        <w:spacing w:before="0" w:beforeAutospacing="0" w:after="0" w:afterAutospacing="0" w:line="273" w:lineRule="auto"/>
        <w:ind w:firstLine="360"/>
        <w:divId w:val="1115516074"/>
        <w:rPr>
          <w:rFonts w:ascii="Times New Roman" w:hAnsi="Times New Roman"/>
        </w:rPr>
      </w:pPr>
      <w:r w:rsidRPr="0063248C">
        <w:rPr>
          <w:rFonts w:ascii="Times New Roman" w:hAnsi="Times New Roman" w:hint="eastAsia"/>
          <w:sz w:val="18"/>
          <w:szCs w:val="18"/>
        </w:rPr>
        <w:t>无形资产按成本进行初始计量。与无形资产有关的支出，如果相关的经济利益很可能流入本集团且其成本能可靠地计量，则计入无形资产成本。除此以外的其他项目的支出，在发生时计入当期损益。</w:t>
      </w:r>
    </w:p>
    <w:p w14:paraId="1FE945A1" w14:textId="77777777" w:rsidR="00517D34" w:rsidRPr="0063248C" w:rsidRDefault="00000000">
      <w:pPr>
        <w:pStyle w:val="a3"/>
        <w:spacing w:before="0" w:beforeAutospacing="0" w:after="0" w:afterAutospacing="0" w:line="273" w:lineRule="auto"/>
        <w:ind w:firstLine="360"/>
        <w:divId w:val="1115516074"/>
        <w:rPr>
          <w:rFonts w:ascii="Times New Roman" w:hAnsi="Times New Roman"/>
        </w:rPr>
      </w:pPr>
      <w:r w:rsidRPr="0063248C">
        <w:rPr>
          <w:rFonts w:ascii="Times New Roman" w:hAnsi="Times New Roman" w:hint="eastAsia"/>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14:paraId="5320E81C" w14:textId="77777777" w:rsidR="00517D34" w:rsidRPr="0063248C" w:rsidRDefault="00000000">
      <w:pPr>
        <w:pStyle w:val="a3"/>
        <w:spacing w:before="0" w:beforeAutospacing="0" w:after="0" w:afterAutospacing="0" w:line="273" w:lineRule="auto"/>
        <w:ind w:firstLine="360"/>
        <w:divId w:val="1115516074"/>
        <w:rPr>
          <w:rFonts w:ascii="Times New Roman" w:hAnsi="Times New Roman"/>
        </w:rPr>
      </w:pPr>
      <w:r w:rsidRPr="0063248C">
        <w:rPr>
          <w:rFonts w:ascii="Times New Roman" w:hAnsi="Times New Roman" w:hint="eastAsia"/>
          <w:sz w:val="18"/>
          <w:szCs w:val="18"/>
        </w:rPr>
        <w:t>使用寿命有限的无形资产自可供使用时起，对其原值减去预计净残值和已计提的减值准备累计金额在其预计使用寿命内采用直线法分期平均摊销。使用寿命不确定的无形资产不予摊销。</w:t>
      </w:r>
    </w:p>
    <w:p w14:paraId="307563F9" w14:textId="77777777" w:rsidR="00517D34" w:rsidRPr="0063248C" w:rsidRDefault="00000000">
      <w:pPr>
        <w:pStyle w:val="a3"/>
        <w:spacing w:before="0" w:beforeAutospacing="0" w:after="0" w:afterAutospacing="0" w:line="273" w:lineRule="auto"/>
        <w:ind w:firstLine="360"/>
        <w:jc w:val="both"/>
        <w:divId w:val="1115516074"/>
        <w:rPr>
          <w:rFonts w:ascii="Times New Roman" w:hAnsi="Times New Roman"/>
        </w:rPr>
      </w:pPr>
      <w:r w:rsidRPr="0063248C">
        <w:rPr>
          <w:rFonts w:ascii="Times New Roman" w:hAnsi="Times New Roman" w:hint="eastAsia"/>
          <w:sz w:val="18"/>
          <w:szCs w:val="18"/>
        </w:rPr>
        <w:t>其中，知识产权类无形资产项目的使用寿命及摊销方法如下：</w:t>
      </w:r>
    </w:p>
    <w:tbl>
      <w:tblPr>
        <w:tblW w:w="9657" w:type="dxa"/>
        <w:jc w:val="center"/>
        <w:tblCellMar>
          <w:top w:w="15" w:type="dxa"/>
          <w:left w:w="15" w:type="dxa"/>
          <w:bottom w:w="15" w:type="dxa"/>
          <w:right w:w="15" w:type="dxa"/>
        </w:tblCellMar>
        <w:tblLook w:val="04A0" w:firstRow="1" w:lastRow="0" w:firstColumn="1" w:lastColumn="0" w:noHBand="0" w:noVBand="1"/>
      </w:tblPr>
      <w:tblGrid>
        <w:gridCol w:w="2823"/>
        <w:gridCol w:w="3417"/>
        <w:gridCol w:w="3417"/>
      </w:tblGrid>
      <w:tr w:rsidR="00517D34" w:rsidRPr="0063248C" w14:paraId="329E4BD2" w14:textId="77777777">
        <w:trPr>
          <w:divId w:val="1115516074"/>
          <w:trHeight w:val="340"/>
          <w:jc w:val="center"/>
        </w:trPr>
        <w:tc>
          <w:tcPr>
            <w:tcW w:w="1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890D38"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项目</w:t>
            </w:r>
          </w:p>
        </w:tc>
        <w:tc>
          <w:tcPr>
            <w:tcW w:w="17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CCD4F0"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使用寿命（年）</w:t>
            </w:r>
          </w:p>
        </w:tc>
        <w:tc>
          <w:tcPr>
            <w:tcW w:w="17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11F2DA"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摊销方法</w:t>
            </w:r>
          </w:p>
        </w:tc>
      </w:tr>
      <w:tr w:rsidR="00517D34" w:rsidRPr="0063248C" w14:paraId="44B10C7D" w14:textId="77777777">
        <w:trPr>
          <w:divId w:val="1115516074"/>
          <w:trHeight w:val="340"/>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F7AB9"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软件使用权</w:t>
            </w:r>
          </w:p>
        </w:tc>
        <w:tc>
          <w:tcPr>
            <w:tcW w:w="1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3F755"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2-10</w:t>
            </w:r>
          </w:p>
        </w:tc>
        <w:tc>
          <w:tcPr>
            <w:tcW w:w="1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42F8C"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直线法分期平均摊销</w:t>
            </w:r>
          </w:p>
        </w:tc>
      </w:tr>
      <w:tr w:rsidR="00517D34" w:rsidRPr="0063248C" w14:paraId="36F02F6B" w14:textId="77777777">
        <w:trPr>
          <w:divId w:val="1115516074"/>
          <w:trHeight w:val="340"/>
          <w:jc w:val="center"/>
        </w:trPr>
        <w:tc>
          <w:tcPr>
            <w:tcW w:w="14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8F059"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商标使用权</w:t>
            </w:r>
          </w:p>
        </w:tc>
        <w:tc>
          <w:tcPr>
            <w:tcW w:w="1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97779"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10</w:t>
            </w:r>
          </w:p>
        </w:tc>
        <w:tc>
          <w:tcPr>
            <w:tcW w:w="1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19416F"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直线法分期平均摊销</w:t>
            </w:r>
          </w:p>
        </w:tc>
      </w:tr>
    </w:tbl>
    <w:p w14:paraId="3757EB85" w14:textId="77777777" w:rsidR="00517D34" w:rsidRPr="0063248C" w:rsidRDefault="00000000">
      <w:pPr>
        <w:pStyle w:val="a3"/>
        <w:spacing w:before="0" w:beforeAutospacing="0" w:after="0" w:afterAutospacing="0" w:line="273" w:lineRule="auto"/>
        <w:ind w:firstLine="360"/>
        <w:divId w:val="1115516074"/>
        <w:rPr>
          <w:rFonts w:ascii="Times New Roman" w:hAnsi="Times New Roman"/>
        </w:rPr>
      </w:pPr>
      <w:r w:rsidRPr="0063248C">
        <w:rPr>
          <w:rFonts w:ascii="Times New Roman" w:hAnsi="Times New Roman" w:hint="eastAsia"/>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14:paraId="42F32A61" w14:textId="77777777" w:rsidR="007B3DB2" w:rsidRPr="0063248C" w:rsidRDefault="00000000">
      <w:pPr>
        <w:keepNext/>
        <w:keepLines/>
        <w:spacing w:before="300" w:after="300" w:line="280" w:lineRule="exact"/>
        <w:outlineLvl w:val="3"/>
        <w:rPr>
          <w:rFonts w:cs="宋体"/>
          <w:b/>
          <w:bCs/>
          <w:szCs w:val="21"/>
        </w:rPr>
      </w:pPr>
      <w:bookmarkStart w:id="149" w:name="_Toc989038"/>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研发支出的归集范围及相关会计处理方法</w:t>
      </w:r>
      <w:bookmarkEnd w:id="149"/>
    </w:p>
    <w:p w14:paraId="05AD95A5" w14:textId="77777777" w:rsidR="00517D34" w:rsidRPr="0063248C" w:rsidRDefault="00000000">
      <w:pPr>
        <w:pStyle w:val="a3"/>
        <w:spacing w:before="0" w:beforeAutospacing="0" w:after="0" w:afterAutospacing="0" w:line="273" w:lineRule="auto"/>
        <w:ind w:firstLine="360"/>
        <w:divId w:val="1354766654"/>
        <w:rPr>
          <w:rFonts w:ascii="Times New Roman" w:hAnsi="Times New Roman"/>
          <w:sz w:val="21"/>
          <w:szCs w:val="21"/>
        </w:rPr>
      </w:pPr>
      <w:r w:rsidRPr="0063248C">
        <w:rPr>
          <w:rFonts w:ascii="Times New Roman" w:hAnsi="Times New Roman" w:hint="eastAsia"/>
          <w:sz w:val="18"/>
          <w:szCs w:val="18"/>
        </w:rPr>
        <w:t>本集团内部研究开发项目的支出分为研究阶段支出与开发阶段支出。</w:t>
      </w:r>
    </w:p>
    <w:p w14:paraId="6F529C93" w14:textId="77777777" w:rsidR="00517D34" w:rsidRPr="0063248C" w:rsidRDefault="00000000">
      <w:pPr>
        <w:pStyle w:val="a3"/>
        <w:spacing w:before="0" w:beforeAutospacing="0" w:after="0" w:afterAutospacing="0" w:line="273" w:lineRule="auto"/>
        <w:ind w:firstLine="360"/>
        <w:divId w:val="1354766654"/>
        <w:rPr>
          <w:rFonts w:ascii="Times New Roman" w:hAnsi="Times New Roman"/>
          <w:sz w:val="21"/>
          <w:szCs w:val="21"/>
        </w:rPr>
      </w:pPr>
      <w:r w:rsidRPr="0063248C">
        <w:rPr>
          <w:rFonts w:ascii="Times New Roman" w:hAnsi="Times New Roman" w:hint="eastAsia"/>
          <w:sz w:val="18"/>
          <w:szCs w:val="18"/>
        </w:rPr>
        <w:t>研究阶段的支出，于发生时计入当期损益。</w:t>
      </w:r>
    </w:p>
    <w:p w14:paraId="4F4DB81A" w14:textId="77777777" w:rsidR="00517D34" w:rsidRPr="0063248C" w:rsidRDefault="00000000">
      <w:pPr>
        <w:pStyle w:val="a3"/>
        <w:spacing w:before="0" w:beforeAutospacing="0" w:after="0" w:afterAutospacing="0" w:line="273" w:lineRule="auto"/>
        <w:ind w:firstLine="360"/>
        <w:divId w:val="1354766654"/>
        <w:rPr>
          <w:rFonts w:ascii="Times New Roman" w:hAnsi="Times New Roman"/>
          <w:sz w:val="21"/>
          <w:szCs w:val="21"/>
        </w:rPr>
      </w:pPr>
      <w:r w:rsidRPr="0063248C">
        <w:rPr>
          <w:rFonts w:ascii="Times New Roman" w:hAnsi="Times New Roman" w:hint="eastAsia"/>
          <w:sz w:val="18"/>
          <w:szCs w:val="18"/>
        </w:rPr>
        <w:t>开发阶段的支出同时满足下列条件的，确认为无形资产，不能满足下述条件的开发阶段的支出计入当期损益：</w:t>
      </w:r>
    </w:p>
    <w:p w14:paraId="739C8B4B" w14:textId="77777777" w:rsidR="00517D34" w:rsidRPr="0063248C" w:rsidRDefault="00000000">
      <w:pPr>
        <w:pStyle w:val="a3"/>
        <w:spacing w:before="0" w:beforeAutospacing="0" w:after="0" w:afterAutospacing="0" w:line="273" w:lineRule="auto"/>
        <w:ind w:firstLine="360"/>
        <w:divId w:val="1354766654"/>
        <w:rPr>
          <w:rFonts w:ascii="Times New Roman" w:hAnsi="Times New Roman"/>
          <w:sz w:val="21"/>
          <w:szCs w:val="21"/>
        </w:rPr>
      </w:pPr>
      <w:r w:rsidRPr="0063248C">
        <w:rPr>
          <w:rFonts w:ascii="Times New Roman" w:hAnsi="Times New Roman" w:hint="eastAsia"/>
          <w:sz w:val="18"/>
          <w:szCs w:val="18"/>
        </w:rPr>
        <w:t>①完成该无形资产以使其能够使用或出售在技术上具有可行性；</w:t>
      </w:r>
    </w:p>
    <w:p w14:paraId="5798B1E2" w14:textId="77777777" w:rsidR="00517D34" w:rsidRPr="0063248C" w:rsidRDefault="00000000">
      <w:pPr>
        <w:pStyle w:val="a3"/>
        <w:spacing w:before="0" w:beforeAutospacing="0" w:after="0" w:afterAutospacing="0" w:line="273" w:lineRule="auto"/>
        <w:ind w:firstLine="360"/>
        <w:divId w:val="1354766654"/>
        <w:rPr>
          <w:rFonts w:ascii="Times New Roman" w:hAnsi="Times New Roman"/>
          <w:sz w:val="21"/>
          <w:szCs w:val="21"/>
        </w:rPr>
      </w:pPr>
      <w:r w:rsidRPr="0063248C">
        <w:rPr>
          <w:rFonts w:ascii="Times New Roman" w:hAnsi="Times New Roman" w:hint="eastAsia"/>
          <w:sz w:val="18"/>
          <w:szCs w:val="18"/>
        </w:rPr>
        <w:t>②具有完成该无形资产并使用或出售的意图；</w:t>
      </w:r>
    </w:p>
    <w:p w14:paraId="17ED0BD6" w14:textId="77777777" w:rsidR="00517D34" w:rsidRPr="0063248C" w:rsidRDefault="00000000">
      <w:pPr>
        <w:pStyle w:val="a3"/>
        <w:spacing w:before="0" w:beforeAutospacing="0" w:after="0" w:afterAutospacing="0" w:line="273" w:lineRule="auto"/>
        <w:ind w:firstLine="360"/>
        <w:divId w:val="1354766654"/>
        <w:rPr>
          <w:rFonts w:ascii="Times New Roman" w:hAnsi="Times New Roman"/>
          <w:sz w:val="21"/>
          <w:szCs w:val="21"/>
        </w:rPr>
      </w:pPr>
      <w:r w:rsidRPr="0063248C">
        <w:rPr>
          <w:rFonts w:ascii="Times New Roman" w:hAnsi="Times New Roman" w:hint="eastAsia"/>
          <w:sz w:val="18"/>
          <w:szCs w:val="18"/>
        </w:rPr>
        <w:t>③无形资产产生经济利益的方式，包括能够证明运用该无形资产生产的产品存在市场或无形资产自身存在市场，无形资产将在内部使用的，能够证明其有用性；</w:t>
      </w:r>
    </w:p>
    <w:p w14:paraId="7BEBD752" w14:textId="77777777" w:rsidR="00517D34" w:rsidRPr="0063248C" w:rsidRDefault="00000000">
      <w:pPr>
        <w:pStyle w:val="a3"/>
        <w:spacing w:before="0" w:beforeAutospacing="0" w:after="0" w:afterAutospacing="0" w:line="273" w:lineRule="auto"/>
        <w:ind w:firstLine="360"/>
        <w:divId w:val="1354766654"/>
        <w:rPr>
          <w:rFonts w:ascii="Times New Roman" w:hAnsi="Times New Roman"/>
          <w:sz w:val="21"/>
          <w:szCs w:val="21"/>
        </w:rPr>
      </w:pPr>
      <w:r w:rsidRPr="0063248C">
        <w:rPr>
          <w:rFonts w:ascii="Times New Roman" w:hAnsi="Times New Roman" w:hint="eastAsia"/>
          <w:sz w:val="18"/>
          <w:szCs w:val="18"/>
        </w:rPr>
        <w:t>④有足够的技术、财务资源和其他资源支持，以完成该无形资产的开发，并有能力使用或出售该无形资产；</w:t>
      </w:r>
    </w:p>
    <w:p w14:paraId="21B0690A" w14:textId="77777777" w:rsidR="00517D34" w:rsidRPr="0063248C" w:rsidRDefault="00000000">
      <w:pPr>
        <w:pStyle w:val="a3"/>
        <w:spacing w:before="0" w:beforeAutospacing="0" w:after="0" w:afterAutospacing="0" w:line="273" w:lineRule="auto"/>
        <w:ind w:firstLine="360"/>
        <w:divId w:val="1354766654"/>
        <w:rPr>
          <w:rFonts w:ascii="Times New Roman" w:hAnsi="Times New Roman"/>
          <w:sz w:val="21"/>
          <w:szCs w:val="21"/>
        </w:rPr>
      </w:pPr>
      <w:r w:rsidRPr="0063248C">
        <w:rPr>
          <w:rFonts w:ascii="Times New Roman" w:hAnsi="Times New Roman" w:hint="eastAsia"/>
          <w:sz w:val="18"/>
          <w:szCs w:val="18"/>
        </w:rPr>
        <w:t>⑤归属于该无形资产开发阶段的支出能够可靠地计量。</w:t>
      </w:r>
    </w:p>
    <w:p w14:paraId="07BA6F0A" w14:textId="77777777" w:rsidR="00517D34" w:rsidRPr="0063248C" w:rsidRDefault="00000000">
      <w:pPr>
        <w:pStyle w:val="a3"/>
        <w:spacing w:before="0" w:beforeAutospacing="0" w:after="0" w:afterAutospacing="0" w:line="273" w:lineRule="auto"/>
        <w:ind w:firstLine="360"/>
        <w:divId w:val="1354766654"/>
        <w:rPr>
          <w:rFonts w:ascii="Times New Roman" w:hAnsi="Times New Roman"/>
          <w:sz w:val="21"/>
          <w:szCs w:val="21"/>
        </w:rPr>
      </w:pPr>
      <w:r w:rsidRPr="0063248C">
        <w:rPr>
          <w:rFonts w:ascii="Times New Roman" w:hAnsi="Times New Roman" w:hint="eastAsia"/>
          <w:sz w:val="18"/>
          <w:szCs w:val="18"/>
        </w:rPr>
        <w:t>无法区分研究阶段支出和开发阶段支出的，将发生的研发支出全部计入当期损益。</w:t>
      </w:r>
    </w:p>
    <w:p w14:paraId="16429446" w14:textId="77777777" w:rsidR="00517D34" w:rsidRPr="0063248C" w:rsidRDefault="00000000">
      <w:pPr>
        <w:pStyle w:val="a3"/>
        <w:spacing w:before="0" w:beforeAutospacing="0" w:after="0" w:afterAutospacing="0" w:line="273" w:lineRule="auto"/>
        <w:ind w:firstLine="360"/>
        <w:divId w:val="1354766654"/>
        <w:rPr>
          <w:rFonts w:ascii="Times New Roman" w:hAnsi="Times New Roman"/>
          <w:sz w:val="21"/>
          <w:szCs w:val="21"/>
        </w:rPr>
      </w:pPr>
      <w:r w:rsidRPr="0063248C">
        <w:rPr>
          <w:rFonts w:ascii="Times New Roman" w:hAnsi="Times New Roman" w:hint="eastAsia"/>
          <w:sz w:val="18"/>
          <w:szCs w:val="18"/>
        </w:rPr>
        <w:t>无形资产的减值测试方法及减值准备计提方法</w:t>
      </w:r>
    </w:p>
    <w:p w14:paraId="133EF967" w14:textId="77777777" w:rsidR="00517D34" w:rsidRPr="0063248C" w:rsidRDefault="00000000">
      <w:pPr>
        <w:pStyle w:val="a3"/>
        <w:spacing w:before="0" w:beforeAutospacing="0" w:after="0" w:afterAutospacing="0" w:line="273" w:lineRule="auto"/>
        <w:ind w:firstLine="360"/>
        <w:divId w:val="1354766654"/>
        <w:rPr>
          <w:rFonts w:ascii="Times New Roman" w:hAnsi="Times New Roman"/>
          <w:sz w:val="21"/>
          <w:szCs w:val="21"/>
        </w:rPr>
      </w:pPr>
      <w:r w:rsidRPr="0063248C">
        <w:rPr>
          <w:rFonts w:ascii="Times New Roman" w:hAnsi="Times New Roman" w:hint="eastAsia"/>
          <w:sz w:val="18"/>
          <w:szCs w:val="18"/>
        </w:rPr>
        <w:t>无形资产的减值测试方法和减值准备计提方法详见附注五、</w:t>
      </w:r>
      <w:r w:rsidRPr="0063248C">
        <w:rPr>
          <w:rFonts w:ascii="Times New Roman" w:hAnsi="Times New Roman" w:cs="Times New Roman"/>
          <w:sz w:val="18"/>
          <w:szCs w:val="18"/>
        </w:rPr>
        <w:t>30</w:t>
      </w:r>
      <w:r w:rsidRPr="0063248C">
        <w:rPr>
          <w:rFonts w:ascii="Times New Roman" w:hAnsi="Times New Roman" w:hint="eastAsia"/>
          <w:sz w:val="18"/>
          <w:szCs w:val="18"/>
        </w:rPr>
        <w:t>“长期资产减值”。</w:t>
      </w:r>
    </w:p>
    <w:p w14:paraId="71F2B231" w14:textId="77777777" w:rsidR="007B3DB2" w:rsidRPr="0063248C" w:rsidRDefault="00000000">
      <w:pPr>
        <w:pStyle w:val="3"/>
        <w:spacing w:line="280" w:lineRule="exact"/>
        <w:jc w:val="left"/>
        <w:rPr>
          <w:rFonts w:cs="宋体"/>
          <w:b/>
          <w:bCs/>
        </w:rPr>
      </w:pPr>
      <w:bookmarkStart w:id="150" w:name="_Toc989039"/>
      <w:r w:rsidRPr="0063248C">
        <w:rPr>
          <w:rFonts w:cs="宋体"/>
          <w:b/>
          <w:bCs/>
        </w:rPr>
        <w:lastRenderedPageBreak/>
        <w:t>30</w:t>
      </w:r>
      <w:r w:rsidRPr="0063248C">
        <w:rPr>
          <w:rFonts w:cs="宋体"/>
          <w:b/>
          <w:bCs/>
        </w:rPr>
        <w:t>、长期资产减值</w:t>
      </w:r>
      <w:bookmarkEnd w:id="150"/>
    </w:p>
    <w:p w14:paraId="06AAF079" w14:textId="77777777" w:rsidR="00517D34" w:rsidRPr="0063248C" w:rsidRDefault="00000000">
      <w:pPr>
        <w:pStyle w:val="a3"/>
        <w:spacing w:before="0" w:beforeAutospacing="0" w:after="0" w:afterAutospacing="0" w:line="273" w:lineRule="auto"/>
        <w:ind w:firstLine="360"/>
        <w:jc w:val="both"/>
        <w:divId w:val="2013677851"/>
        <w:rPr>
          <w:rFonts w:ascii="Times New Roman" w:hAnsi="Times New Roman"/>
        </w:rPr>
      </w:pPr>
      <w:r w:rsidRPr="0063248C">
        <w:rPr>
          <w:rFonts w:ascii="Times New Roman" w:hAnsi="Times New Roman" w:hint="eastAsia"/>
          <w:sz w:val="18"/>
          <w:szCs w:val="18"/>
        </w:rPr>
        <w:t>对于固定资产、在建工程、使用权资产、使用寿命有限的无形资产、以成本模式计量的投资性房地产及对子公司、合营企业、联营企业的长期股权投资等非流动非金融资产，本集团于资产负债表</w:t>
      </w:r>
      <w:proofErr w:type="gramStart"/>
      <w:r w:rsidRPr="0063248C">
        <w:rPr>
          <w:rFonts w:ascii="Times New Roman" w:hAnsi="Times New Roman" w:hint="eastAsia"/>
          <w:sz w:val="18"/>
          <w:szCs w:val="18"/>
        </w:rPr>
        <w:t>日判断</w:t>
      </w:r>
      <w:proofErr w:type="gramEnd"/>
      <w:r w:rsidRPr="0063248C">
        <w:rPr>
          <w:rFonts w:ascii="Times New Roman" w:hAnsi="Times New Roman" w:hint="eastAsia"/>
          <w:sz w:val="18"/>
          <w:szCs w:val="18"/>
        </w:rPr>
        <w:t>是否存在减值迹象。如存在减值迹象的，则估计其可收回金额，进行减值测试。商誉、使用寿命不确定的无形资产和尚未达到可使用状态的无形资产，无论是否存在减值迹象，每年均进行减值测试。</w:t>
      </w:r>
    </w:p>
    <w:p w14:paraId="66D8105F" w14:textId="77777777" w:rsidR="00517D34" w:rsidRPr="0063248C" w:rsidRDefault="00000000">
      <w:pPr>
        <w:pStyle w:val="a3"/>
        <w:spacing w:before="0" w:beforeAutospacing="0" w:after="0" w:afterAutospacing="0" w:line="273" w:lineRule="auto"/>
        <w:ind w:firstLine="360"/>
        <w:jc w:val="both"/>
        <w:divId w:val="2013677851"/>
        <w:rPr>
          <w:rFonts w:ascii="Times New Roman" w:hAnsi="Times New Roman"/>
        </w:rPr>
      </w:pPr>
      <w:r w:rsidRPr="0063248C">
        <w:rPr>
          <w:rFonts w:ascii="Times New Roman" w:hAnsi="Times New Roman" w:hint="eastAsia"/>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14:paraId="09F8F21E" w14:textId="77777777" w:rsidR="00517D34" w:rsidRPr="0063248C" w:rsidRDefault="00000000">
      <w:pPr>
        <w:pStyle w:val="a3"/>
        <w:spacing w:before="0" w:beforeAutospacing="0" w:after="0" w:afterAutospacing="0" w:line="273" w:lineRule="auto"/>
        <w:ind w:firstLine="360"/>
        <w:jc w:val="both"/>
        <w:divId w:val="2013677851"/>
        <w:rPr>
          <w:rFonts w:ascii="Times New Roman" w:hAnsi="Times New Roman"/>
        </w:rPr>
      </w:pPr>
      <w:r w:rsidRPr="0063248C">
        <w:rPr>
          <w:rFonts w:ascii="Times New Roman" w:hAnsi="Times New Roman" w:hint="eastAsia"/>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14:paraId="2E6D2810" w14:textId="77777777" w:rsidR="00517D34" w:rsidRPr="0063248C" w:rsidRDefault="00000000">
      <w:pPr>
        <w:pStyle w:val="a3"/>
        <w:spacing w:before="0" w:beforeAutospacing="0" w:after="0" w:afterAutospacing="0" w:line="273" w:lineRule="auto"/>
        <w:ind w:firstLine="360"/>
        <w:jc w:val="both"/>
        <w:divId w:val="2013677851"/>
        <w:rPr>
          <w:rFonts w:ascii="Times New Roman" w:hAnsi="Times New Roman"/>
        </w:rPr>
      </w:pPr>
      <w:r w:rsidRPr="0063248C">
        <w:rPr>
          <w:rFonts w:ascii="Times New Roman" w:hAnsi="Times New Roman" w:hint="eastAsia"/>
          <w:sz w:val="18"/>
          <w:szCs w:val="18"/>
        </w:rPr>
        <w:t>上述资产减值损失一经确认，以后期间不予转回价值得以恢复的部分。</w:t>
      </w:r>
    </w:p>
    <w:p w14:paraId="2CA6CC60" w14:textId="77777777" w:rsidR="007B3DB2" w:rsidRPr="0063248C" w:rsidRDefault="00000000">
      <w:pPr>
        <w:pStyle w:val="3"/>
        <w:spacing w:line="280" w:lineRule="exact"/>
        <w:jc w:val="left"/>
        <w:rPr>
          <w:rFonts w:cs="宋体"/>
          <w:b/>
          <w:bCs/>
        </w:rPr>
      </w:pPr>
      <w:bookmarkStart w:id="151" w:name="_Toc989040"/>
      <w:r w:rsidRPr="0063248C">
        <w:rPr>
          <w:rFonts w:cs="宋体"/>
          <w:b/>
          <w:bCs/>
        </w:rPr>
        <w:t>31</w:t>
      </w:r>
      <w:r w:rsidRPr="0063248C">
        <w:rPr>
          <w:rFonts w:cs="宋体"/>
          <w:b/>
          <w:bCs/>
        </w:rPr>
        <w:t>、长期待摊费用</w:t>
      </w:r>
      <w:bookmarkEnd w:id="151"/>
    </w:p>
    <w:p w14:paraId="15FB3B32" w14:textId="77777777" w:rsidR="00517D34" w:rsidRPr="00B425DC" w:rsidRDefault="00000000">
      <w:pPr>
        <w:pStyle w:val="a3"/>
        <w:spacing w:before="0" w:beforeAutospacing="0" w:after="0" w:afterAutospacing="0" w:line="273" w:lineRule="auto"/>
        <w:ind w:firstLine="420"/>
        <w:divId w:val="677192944"/>
        <w:rPr>
          <w:rFonts w:ascii="Times New Roman" w:hAnsi="Times New Roman"/>
          <w:sz w:val="18"/>
          <w:szCs w:val="18"/>
        </w:rPr>
      </w:pPr>
      <w:r w:rsidRPr="00B425DC">
        <w:rPr>
          <w:rFonts w:ascii="Times New Roman" w:hAnsi="Times New Roman" w:hint="eastAsia"/>
          <w:sz w:val="18"/>
          <w:szCs w:val="18"/>
        </w:rPr>
        <w:t>长期待摊费用为已经发生但应</w:t>
      </w:r>
      <w:proofErr w:type="gramStart"/>
      <w:r w:rsidRPr="00B425DC">
        <w:rPr>
          <w:rFonts w:ascii="Times New Roman" w:hAnsi="Times New Roman" w:hint="eastAsia"/>
          <w:sz w:val="18"/>
          <w:szCs w:val="18"/>
        </w:rPr>
        <w:t>由报告</w:t>
      </w:r>
      <w:proofErr w:type="gramEnd"/>
      <w:r w:rsidRPr="00B425DC">
        <w:rPr>
          <w:rFonts w:ascii="Times New Roman" w:hAnsi="Times New Roman" w:hint="eastAsia"/>
          <w:sz w:val="18"/>
          <w:szCs w:val="18"/>
        </w:rPr>
        <w:t>期和以后各期负担的分摊期限在一年以上的各项费用。长期待摊费用在预计受益期间按直线法摊销。</w:t>
      </w:r>
    </w:p>
    <w:p w14:paraId="621AA91B" w14:textId="77777777" w:rsidR="007B3DB2" w:rsidRPr="0063248C" w:rsidRDefault="00000000">
      <w:pPr>
        <w:pStyle w:val="3"/>
        <w:spacing w:line="280" w:lineRule="exact"/>
        <w:jc w:val="left"/>
        <w:rPr>
          <w:rFonts w:cs="宋体"/>
          <w:b/>
          <w:bCs/>
        </w:rPr>
      </w:pPr>
      <w:bookmarkStart w:id="152" w:name="_Toc989041"/>
      <w:r w:rsidRPr="0063248C">
        <w:rPr>
          <w:rFonts w:cs="宋体"/>
          <w:b/>
          <w:bCs/>
        </w:rPr>
        <w:t>32</w:t>
      </w:r>
      <w:r w:rsidRPr="0063248C">
        <w:rPr>
          <w:rFonts w:cs="宋体"/>
          <w:b/>
          <w:bCs/>
        </w:rPr>
        <w:t>、合同负债</w:t>
      </w:r>
      <w:bookmarkEnd w:id="152"/>
    </w:p>
    <w:p w14:paraId="33D656A3" w14:textId="77777777" w:rsidR="00517D34" w:rsidRPr="0063248C" w:rsidRDefault="00000000">
      <w:pPr>
        <w:pStyle w:val="a3"/>
        <w:spacing w:before="0" w:beforeAutospacing="0" w:after="0" w:afterAutospacing="0" w:line="273" w:lineRule="auto"/>
        <w:ind w:firstLine="360"/>
        <w:jc w:val="both"/>
        <w:divId w:val="361131171"/>
        <w:rPr>
          <w:rFonts w:ascii="Times New Roman" w:hAnsi="Times New Roman"/>
        </w:rPr>
      </w:pPr>
      <w:r w:rsidRPr="0063248C">
        <w:rPr>
          <w:rFonts w:ascii="Times New Roman" w:hAnsi="Times New Roman" w:hint="eastAsia"/>
          <w:sz w:val="18"/>
          <w:szCs w:val="18"/>
        </w:rPr>
        <w:t>合同负债，是指本集团已收或应收客户对价而应向客户转让商品的义务。如果在本集团向客户转让商品之前，客户已经支付了合同对价或本集团已经取得了无条件收款权，本集团在客户实际支付款项和到期应支付</w:t>
      </w:r>
      <w:proofErr w:type="gramStart"/>
      <w:r w:rsidRPr="0063248C">
        <w:rPr>
          <w:rFonts w:ascii="Times New Roman" w:hAnsi="Times New Roman" w:hint="eastAsia"/>
          <w:sz w:val="18"/>
          <w:szCs w:val="18"/>
        </w:rPr>
        <w:t>款项孰早时点</w:t>
      </w:r>
      <w:proofErr w:type="gramEnd"/>
      <w:r w:rsidRPr="0063248C">
        <w:rPr>
          <w:rFonts w:ascii="Times New Roman" w:hAnsi="Times New Roman" w:hint="eastAsia"/>
          <w:sz w:val="18"/>
          <w:szCs w:val="18"/>
        </w:rPr>
        <w:t>，将该已收或应收款项列示为合同负债。同一合同下的合同资产和合同负债以净额列示，不同合同下的合同资产和合同负债不予</w:t>
      </w:r>
      <w:proofErr w:type="gramStart"/>
      <w:r w:rsidRPr="0063248C">
        <w:rPr>
          <w:rFonts w:ascii="Times New Roman" w:hAnsi="Times New Roman" w:hint="eastAsia"/>
          <w:sz w:val="18"/>
          <w:szCs w:val="18"/>
        </w:rPr>
        <w:t>抵销</w:t>
      </w:r>
      <w:proofErr w:type="gramEnd"/>
      <w:r w:rsidRPr="0063248C">
        <w:rPr>
          <w:rFonts w:ascii="Times New Roman" w:hAnsi="Times New Roman" w:hint="eastAsia"/>
          <w:sz w:val="18"/>
          <w:szCs w:val="18"/>
        </w:rPr>
        <w:t>。</w:t>
      </w:r>
    </w:p>
    <w:p w14:paraId="40C67F49" w14:textId="77777777" w:rsidR="007B3DB2" w:rsidRPr="0063248C" w:rsidRDefault="00000000">
      <w:pPr>
        <w:pStyle w:val="3"/>
        <w:spacing w:line="280" w:lineRule="exact"/>
        <w:jc w:val="left"/>
        <w:rPr>
          <w:rFonts w:cs="宋体"/>
          <w:b/>
          <w:bCs/>
        </w:rPr>
      </w:pPr>
      <w:bookmarkStart w:id="153" w:name="_Toc989042"/>
      <w:r w:rsidRPr="0063248C">
        <w:rPr>
          <w:rFonts w:cs="宋体"/>
          <w:b/>
          <w:bCs/>
        </w:rPr>
        <w:t>33</w:t>
      </w:r>
      <w:r w:rsidRPr="0063248C">
        <w:rPr>
          <w:rFonts w:cs="宋体"/>
          <w:b/>
          <w:bCs/>
        </w:rPr>
        <w:t>、职工薪</w:t>
      </w:r>
      <w:proofErr w:type="gramStart"/>
      <w:r w:rsidRPr="0063248C">
        <w:rPr>
          <w:rFonts w:cs="宋体"/>
          <w:b/>
          <w:bCs/>
        </w:rPr>
        <w:t>酬</w:t>
      </w:r>
      <w:bookmarkEnd w:id="153"/>
      <w:proofErr w:type="gramEnd"/>
    </w:p>
    <w:p w14:paraId="1A0DE5B8" w14:textId="77777777" w:rsidR="007B3DB2" w:rsidRPr="0063248C" w:rsidRDefault="00000000">
      <w:pPr>
        <w:keepNext/>
        <w:keepLines/>
        <w:spacing w:before="300" w:after="300" w:line="280" w:lineRule="exact"/>
        <w:outlineLvl w:val="3"/>
        <w:rPr>
          <w:rFonts w:cs="宋体"/>
          <w:b/>
          <w:bCs/>
          <w:szCs w:val="21"/>
        </w:rPr>
      </w:pPr>
      <w:bookmarkStart w:id="154" w:name="_Toc989043"/>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短期薪酬的会计处理方法</w:t>
      </w:r>
      <w:bookmarkEnd w:id="154"/>
    </w:p>
    <w:p w14:paraId="22328149" w14:textId="77777777" w:rsidR="00517D34" w:rsidRPr="0063248C" w:rsidRDefault="00000000">
      <w:pPr>
        <w:pStyle w:val="a3"/>
        <w:spacing w:before="0" w:beforeAutospacing="0" w:after="0" w:afterAutospacing="0" w:line="273" w:lineRule="auto"/>
        <w:ind w:firstLine="360"/>
        <w:jc w:val="both"/>
        <w:divId w:val="1557934990"/>
        <w:rPr>
          <w:rFonts w:ascii="Times New Roman" w:hAnsi="Times New Roman"/>
        </w:rPr>
      </w:pPr>
      <w:r w:rsidRPr="0063248C">
        <w:rPr>
          <w:rFonts w:ascii="Times New Roman" w:hAnsi="Times New Roman" w:hint="eastAsia"/>
          <w:sz w:val="18"/>
          <w:szCs w:val="18"/>
        </w:rPr>
        <w:t>短期薪酬主要包括工资、奖金、津贴和补贴、职工福利费、医疗保险费、生育保险费、工伤保险费、住房公积金、工会经费和职工教育经费、非货币性福利等。本集团在职工为本集团提供服务的会计期间将实际发生的短期职工薪</w:t>
      </w:r>
      <w:proofErr w:type="gramStart"/>
      <w:r w:rsidRPr="0063248C">
        <w:rPr>
          <w:rFonts w:ascii="Times New Roman" w:hAnsi="Times New Roman" w:hint="eastAsia"/>
          <w:sz w:val="18"/>
          <w:szCs w:val="18"/>
        </w:rPr>
        <w:t>酬</w:t>
      </w:r>
      <w:proofErr w:type="gramEnd"/>
      <w:r w:rsidRPr="0063248C">
        <w:rPr>
          <w:rFonts w:ascii="Times New Roman" w:hAnsi="Times New Roman" w:hint="eastAsia"/>
          <w:sz w:val="18"/>
          <w:szCs w:val="18"/>
        </w:rPr>
        <w:t>确认为负债，并计入当期损益或相关资产成本。其中非货币性福利按公允价值计量。</w:t>
      </w:r>
    </w:p>
    <w:p w14:paraId="0696A544" w14:textId="77777777" w:rsidR="007B3DB2" w:rsidRPr="0063248C" w:rsidRDefault="00000000">
      <w:pPr>
        <w:keepNext/>
        <w:keepLines/>
        <w:spacing w:before="300" w:after="300" w:line="280" w:lineRule="exact"/>
        <w:outlineLvl w:val="3"/>
        <w:rPr>
          <w:rFonts w:cs="宋体"/>
          <w:b/>
          <w:bCs/>
          <w:szCs w:val="21"/>
        </w:rPr>
      </w:pPr>
      <w:bookmarkStart w:id="155" w:name="_Toc989044"/>
      <w:r w:rsidRPr="0063248C">
        <w:rPr>
          <w:rFonts w:cs="宋体"/>
          <w:b/>
          <w:bCs/>
          <w:szCs w:val="21"/>
        </w:rPr>
        <w:lastRenderedPageBreak/>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离职后福利的会计处理方法</w:t>
      </w:r>
      <w:bookmarkEnd w:id="155"/>
    </w:p>
    <w:p w14:paraId="5C4EC9B7" w14:textId="77777777" w:rsidR="00517D34" w:rsidRPr="0063248C" w:rsidRDefault="00000000">
      <w:pPr>
        <w:pStyle w:val="a3"/>
        <w:spacing w:before="0" w:beforeAutospacing="0" w:after="0" w:afterAutospacing="0" w:line="273" w:lineRule="auto"/>
        <w:ind w:firstLine="360"/>
        <w:jc w:val="both"/>
        <w:divId w:val="1695614486"/>
        <w:rPr>
          <w:rFonts w:ascii="Times New Roman" w:hAnsi="Times New Roman"/>
        </w:rPr>
      </w:pPr>
      <w:r w:rsidRPr="0063248C">
        <w:rPr>
          <w:rFonts w:ascii="Times New Roman" w:hAnsi="Times New Roman" w:hint="eastAsia"/>
          <w:sz w:val="18"/>
          <w:szCs w:val="18"/>
        </w:rPr>
        <w:t>离职后福利主要包括基本养老保险、失业保险等。离职后福利计划包括设定提存计划。采用设定提存计划的，相应的应缴存金额于发生时计入相关资产成本或当期损益。</w:t>
      </w:r>
    </w:p>
    <w:p w14:paraId="559D4B2B" w14:textId="77777777" w:rsidR="007B3DB2" w:rsidRPr="0063248C" w:rsidRDefault="00000000">
      <w:pPr>
        <w:keepNext/>
        <w:keepLines/>
        <w:spacing w:before="300" w:after="300" w:line="280" w:lineRule="exact"/>
        <w:outlineLvl w:val="3"/>
        <w:rPr>
          <w:rFonts w:cs="宋体"/>
          <w:b/>
          <w:bCs/>
          <w:szCs w:val="21"/>
        </w:rPr>
      </w:pPr>
      <w:bookmarkStart w:id="156" w:name="_Toc989045"/>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辞退福利的会计处理方法</w:t>
      </w:r>
      <w:bookmarkEnd w:id="156"/>
    </w:p>
    <w:p w14:paraId="0E599AB9" w14:textId="77777777" w:rsidR="00517D34" w:rsidRPr="0063248C" w:rsidRDefault="00000000">
      <w:pPr>
        <w:pStyle w:val="a3"/>
        <w:spacing w:before="0" w:beforeAutospacing="0" w:after="0" w:afterAutospacing="0" w:line="273" w:lineRule="auto"/>
        <w:ind w:firstLine="360"/>
        <w:jc w:val="both"/>
        <w:divId w:val="88627259"/>
        <w:rPr>
          <w:rFonts w:ascii="Times New Roman" w:hAnsi="Times New Roman"/>
        </w:rPr>
      </w:pPr>
      <w:r w:rsidRPr="0063248C">
        <w:rPr>
          <w:rFonts w:ascii="Times New Roman" w:hAnsi="Times New Roman" w:hint="eastAsia"/>
          <w:sz w:val="18"/>
          <w:szCs w:val="18"/>
        </w:rPr>
        <w:t>在职工劳动合同到期之前解除与职工的劳动关系，或为鼓励职工自愿接受裁减而提出给予补偿的建议，在本集团不能单方面撤回因解除劳动关系计划或裁减建议所提供的辞退福利时，和本集团确认与涉及支付辞退福利的重组相关的成本两者</w:t>
      </w:r>
      <w:proofErr w:type="gramStart"/>
      <w:r w:rsidRPr="0063248C">
        <w:rPr>
          <w:rFonts w:ascii="Times New Roman" w:hAnsi="Times New Roman" w:hint="eastAsia"/>
          <w:sz w:val="18"/>
          <w:szCs w:val="18"/>
        </w:rPr>
        <w:t>孰</w:t>
      </w:r>
      <w:proofErr w:type="gramEnd"/>
      <w:r w:rsidRPr="0063248C">
        <w:rPr>
          <w:rFonts w:ascii="Times New Roman" w:hAnsi="Times New Roman" w:hint="eastAsia"/>
          <w:sz w:val="18"/>
          <w:szCs w:val="18"/>
        </w:rPr>
        <w:t>早日，确认辞退福利产生的职工薪</w:t>
      </w:r>
      <w:proofErr w:type="gramStart"/>
      <w:r w:rsidRPr="0063248C">
        <w:rPr>
          <w:rFonts w:ascii="Times New Roman" w:hAnsi="Times New Roman" w:hint="eastAsia"/>
          <w:sz w:val="18"/>
          <w:szCs w:val="18"/>
        </w:rPr>
        <w:t>酬</w:t>
      </w:r>
      <w:proofErr w:type="gramEnd"/>
      <w:r w:rsidRPr="0063248C">
        <w:rPr>
          <w:rFonts w:ascii="Times New Roman" w:hAnsi="Times New Roman" w:hint="eastAsia"/>
          <w:sz w:val="18"/>
          <w:szCs w:val="18"/>
        </w:rPr>
        <w:t>负债，并计入当期损益。但辞退福利预期在年度报告期结束后十二个月不能完全支付的，按照其他长期职工薪</w:t>
      </w:r>
      <w:proofErr w:type="gramStart"/>
      <w:r w:rsidRPr="0063248C">
        <w:rPr>
          <w:rFonts w:ascii="Times New Roman" w:hAnsi="Times New Roman" w:hint="eastAsia"/>
          <w:sz w:val="18"/>
          <w:szCs w:val="18"/>
        </w:rPr>
        <w:t>酬</w:t>
      </w:r>
      <w:proofErr w:type="gramEnd"/>
      <w:r w:rsidRPr="0063248C">
        <w:rPr>
          <w:rFonts w:ascii="Times New Roman" w:hAnsi="Times New Roman" w:hint="eastAsia"/>
          <w:sz w:val="18"/>
          <w:szCs w:val="18"/>
        </w:rPr>
        <w:t>处理。</w:t>
      </w:r>
    </w:p>
    <w:p w14:paraId="1E91667A" w14:textId="77777777" w:rsidR="007B3DB2" w:rsidRPr="0063248C" w:rsidRDefault="00000000">
      <w:pPr>
        <w:keepNext/>
        <w:keepLines/>
        <w:spacing w:before="300" w:after="300" w:line="280" w:lineRule="exact"/>
        <w:outlineLvl w:val="3"/>
        <w:rPr>
          <w:rFonts w:cs="宋体"/>
          <w:b/>
          <w:bCs/>
          <w:szCs w:val="21"/>
        </w:rPr>
      </w:pPr>
      <w:bookmarkStart w:id="157" w:name="_Toc989046"/>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其他长期职工福利的会计处理方法</w:t>
      </w:r>
      <w:bookmarkEnd w:id="157"/>
    </w:p>
    <w:p w14:paraId="4B1523CC" w14:textId="77777777" w:rsidR="00517D34" w:rsidRPr="0063248C" w:rsidRDefault="00000000">
      <w:pPr>
        <w:pStyle w:val="a3"/>
        <w:spacing w:before="0" w:beforeAutospacing="0" w:after="0" w:afterAutospacing="0" w:line="273" w:lineRule="auto"/>
        <w:ind w:firstLine="360"/>
        <w:jc w:val="both"/>
        <w:divId w:val="1688823578"/>
        <w:rPr>
          <w:rFonts w:ascii="Times New Roman" w:hAnsi="Times New Roman"/>
        </w:rPr>
      </w:pPr>
      <w:r w:rsidRPr="0063248C">
        <w:rPr>
          <w:rFonts w:ascii="Times New Roman" w:hAnsi="Times New Roman" w:hint="eastAsia"/>
          <w:sz w:val="18"/>
          <w:szCs w:val="18"/>
        </w:rPr>
        <w:t>职工内部退休计划采用与上述辞退福利相同的原则处理。本集团将</w:t>
      </w:r>
      <w:proofErr w:type="gramStart"/>
      <w:r w:rsidRPr="0063248C">
        <w:rPr>
          <w:rFonts w:ascii="Times New Roman" w:hAnsi="Times New Roman" w:hint="eastAsia"/>
          <w:sz w:val="18"/>
          <w:szCs w:val="18"/>
        </w:rPr>
        <w:t>自职工</w:t>
      </w:r>
      <w:proofErr w:type="gramEnd"/>
      <w:r w:rsidRPr="0063248C">
        <w:rPr>
          <w:rFonts w:ascii="Times New Roman" w:hAnsi="Times New Roman" w:hint="eastAsia"/>
          <w:sz w:val="18"/>
          <w:szCs w:val="18"/>
        </w:rPr>
        <w:t>停止提供服务日至正常退休日的期间</w:t>
      </w:r>
      <w:proofErr w:type="gramStart"/>
      <w:r w:rsidRPr="0063248C">
        <w:rPr>
          <w:rFonts w:ascii="Times New Roman" w:hAnsi="Times New Roman" w:hint="eastAsia"/>
          <w:sz w:val="18"/>
          <w:szCs w:val="18"/>
        </w:rPr>
        <w:t>拟支付</w:t>
      </w:r>
      <w:proofErr w:type="gramEnd"/>
      <w:r w:rsidRPr="0063248C">
        <w:rPr>
          <w:rFonts w:ascii="Times New Roman" w:hAnsi="Times New Roman" w:hint="eastAsia"/>
          <w:sz w:val="18"/>
          <w:szCs w:val="18"/>
        </w:rPr>
        <w:t>的内退人员工资和缴纳的社会保险费等，在符合预计负债确认条件时，计入当期损益（辞退福利）。</w:t>
      </w:r>
    </w:p>
    <w:p w14:paraId="050B1BE9" w14:textId="77777777" w:rsidR="00517D34" w:rsidRPr="0063248C" w:rsidRDefault="00000000">
      <w:pPr>
        <w:pStyle w:val="a3"/>
        <w:spacing w:before="0" w:beforeAutospacing="0" w:after="0" w:afterAutospacing="0" w:line="273" w:lineRule="auto"/>
        <w:ind w:firstLine="360"/>
        <w:jc w:val="both"/>
        <w:divId w:val="1688823578"/>
        <w:rPr>
          <w:rFonts w:ascii="Times New Roman" w:hAnsi="Times New Roman"/>
        </w:rPr>
      </w:pPr>
      <w:r w:rsidRPr="0063248C">
        <w:rPr>
          <w:rFonts w:ascii="Times New Roman" w:hAnsi="Times New Roman" w:hint="eastAsia"/>
          <w:sz w:val="18"/>
          <w:szCs w:val="18"/>
        </w:rPr>
        <w:t>本集团向职工提供的其他长期职工福利，符合设定提存计划的，按照设定提存计划进行会计处理，除此之外按照设定受益计划进行会计处理。</w:t>
      </w:r>
    </w:p>
    <w:p w14:paraId="163A621C" w14:textId="77777777" w:rsidR="007B3DB2" w:rsidRPr="0063248C" w:rsidRDefault="00000000">
      <w:pPr>
        <w:pStyle w:val="3"/>
        <w:spacing w:line="280" w:lineRule="exact"/>
        <w:jc w:val="left"/>
        <w:rPr>
          <w:rFonts w:cs="宋体"/>
          <w:b/>
          <w:bCs/>
        </w:rPr>
      </w:pPr>
      <w:bookmarkStart w:id="158" w:name="_Toc989047"/>
      <w:r w:rsidRPr="0063248C">
        <w:rPr>
          <w:rFonts w:cs="宋体"/>
          <w:b/>
          <w:bCs/>
        </w:rPr>
        <w:t>34</w:t>
      </w:r>
      <w:r w:rsidRPr="0063248C">
        <w:rPr>
          <w:rFonts w:cs="宋体"/>
          <w:b/>
          <w:bCs/>
        </w:rPr>
        <w:t>、预计负债</w:t>
      </w:r>
      <w:bookmarkEnd w:id="158"/>
    </w:p>
    <w:p w14:paraId="58D282F1" w14:textId="77777777" w:rsidR="00517D34" w:rsidRPr="0063248C" w:rsidRDefault="00000000">
      <w:pPr>
        <w:pStyle w:val="a3"/>
        <w:spacing w:before="0" w:beforeAutospacing="0" w:after="0" w:afterAutospacing="0" w:line="273" w:lineRule="auto"/>
        <w:ind w:firstLine="360"/>
        <w:divId w:val="8484538"/>
        <w:rPr>
          <w:rFonts w:ascii="Times New Roman" w:hAnsi="Times New Roman"/>
        </w:rPr>
      </w:pPr>
      <w:r w:rsidRPr="0063248C">
        <w:rPr>
          <w:rFonts w:ascii="Times New Roman" w:hAnsi="Times New Roman" w:hint="eastAsia"/>
          <w:sz w:val="18"/>
          <w:szCs w:val="18"/>
        </w:rPr>
        <w:t>当与或有事项相关的义务同时符合以下条件，确认为预计负债：（</w:t>
      </w:r>
      <w:r w:rsidRPr="0063248C">
        <w:rPr>
          <w:rFonts w:ascii="Times New Roman" w:hAnsi="Times New Roman" w:cs="Times New Roman"/>
          <w:sz w:val="18"/>
          <w:szCs w:val="18"/>
        </w:rPr>
        <w:t>1</w:t>
      </w:r>
      <w:r w:rsidRPr="0063248C">
        <w:rPr>
          <w:rFonts w:ascii="Times New Roman" w:hAnsi="Times New Roman" w:hint="eastAsia"/>
          <w:sz w:val="18"/>
          <w:szCs w:val="18"/>
        </w:rPr>
        <w:t>）该义务是本集团承担的现时义务；（</w:t>
      </w:r>
      <w:r w:rsidRPr="0063248C">
        <w:rPr>
          <w:rFonts w:ascii="Times New Roman" w:hAnsi="Times New Roman" w:cs="Times New Roman"/>
          <w:sz w:val="18"/>
          <w:szCs w:val="18"/>
        </w:rPr>
        <w:t>2</w:t>
      </w:r>
      <w:r w:rsidRPr="0063248C">
        <w:rPr>
          <w:rFonts w:ascii="Times New Roman" w:hAnsi="Times New Roman" w:hint="eastAsia"/>
          <w:sz w:val="18"/>
          <w:szCs w:val="18"/>
        </w:rPr>
        <w:t>）履行该义务很可能导致经济利益流出；（</w:t>
      </w:r>
      <w:r w:rsidRPr="0063248C">
        <w:rPr>
          <w:rFonts w:ascii="Times New Roman" w:hAnsi="Times New Roman" w:cs="Times New Roman"/>
          <w:sz w:val="18"/>
          <w:szCs w:val="18"/>
        </w:rPr>
        <w:t>3</w:t>
      </w:r>
      <w:r w:rsidRPr="0063248C">
        <w:rPr>
          <w:rFonts w:ascii="Times New Roman" w:hAnsi="Times New Roman" w:hint="eastAsia"/>
          <w:sz w:val="18"/>
          <w:szCs w:val="18"/>
        </w:rPr>
        <w:t>）该义务的金额能够可靠地计量。</w:t>
      </w:r>
    </w:p>
    <w:p w14:paraId="1EF64F4A" w14:textId="77777777" w:rsidR="00517D34" w:rsidRPr="0063248C" w:rsidRDefault="00000000">
      <w:pPr>
        <w:pStyle w:val="a3"/>
        <w:spacing w:before="0" w:beforeAutospacing="0" w:after="0" w:afterAutospacing="0" w:line="273" w:lineRule="auto"/>
        <w:ind w:firstLine="360"/>
        <w:divId w:val="8484538"/>
        <w:rPr>
          <w:rFonts w:ascii="Times New Roman" w:hAnsi="Times New Roman"/>
        </w:rPr>
      </w:pPr>
      <w:r w:rsidRPr="0063248C">
        <w:rPr>
          <w:rFonts w:ascii="Times New Roman" w:hAnsi="Times New Roman" w:hint="eastAsia"/>
          <w:sz w:val="18"/>
          <w:szCs w:val="18"/>
        </w:rPr>
        <w:t>在资产负债表日，考虑与或有事项有关的风险、不确定性和货币时间价值等因素，按照履行相关现时义务所需支出的最佳估计数对预计负债进行计量。</w:t>
      </w:r>
    </w:p>
    <w:p w14:paraId="6A4C8766" w14:textId="77777777" w:rsidR="00517D34" w:rsidRPr="0063248C" w:rsidRDefault="00000000">
      <w:pPr>
        <w:pStyle w:val="a3"/>
        <w:spacing w:before="0" w:beforeAutospacing="0" w:after="0" w:afterAutospacing="0" w:line="273" w:lineRule="auto"/>
        <w:ind w:firstLine="360"/>
        <w:divId w:val="8484538"/>
        <w:rPr>
          <w:rFonts w:ascii="Times New Roman" w:hAnsi="Times New Roman"/>
        </w:rPr>
      </w:pPr>
      <w:r w:rsidRPr="0063248C">
        <w:rPr>
          <w:rFonts w:ascii="Times New Roman" w:hAnsi="Times New Roman" w:hint="eastAsia"/>
          <w:sz w:val="18"/>
          <w:szCs w:val="18"/>
        </w:rPr>
        <w:t>如果清偿预计负债所需支出全部或部分预期由第三方补偿的，补偿金额在基本确定能够收到时，作为资产单独确认，且确认的补偿金额不超过预计负债的账面价值。</w:t>
      </w:r>
    </w:p>
    <w:p w14:paraId="14F332C4" w14:textId="77777777" w:rsidR="007B3DB2" w:rsidRPr="0063248C" w:rsidRDefault="00000000">
      <w:pPr>
        <w:pStyle w:val="3"/>
        <w:spacing w:line="280" w:lineRule="exact"/>
        <w:jc w:val="left"/>
        <w:rPr>
          <w:rFonts w:cs="宋体"/>
          <w:b/>
          <w:bCs/>
        </w:rPr>
      </w:pPr>
      <w:bookmarkStart w:id="159" w:name="_Toc989048"/>
      <w:r w:rsidRPr="0063248C">
        <w:rPr>
          <w:rFonts w:cs="宋体"/>
          <w:b/>
          <w:bCs/>
        </w:rPr>
        <w:t>35</w:t>
      </w:r>
      <w:r w:rsidRPr="0063248C">
        <w:rPr>
          <w:rFonts w:cs="宋体"/>
          <w:b/>
          <w:bCs/>
        </w:rPr>
        <w:t>、股份支付</w:t>
      </w:r>
      <w:bookmarkEnd w:id="159"/>
    </w:p>
    <w:p w14:paraId="50EF5375"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股份支付的会计处理方法</w:t>
      </w:r>
    </w:p>
    <w:p w14:paraId="08618992"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股份支付是为了获取职工或其他方提供服务而授予权益工具或者承担以权益工具为基础确定的负债的交易。股份支付分为以权益结算的股份支付和以现金结算的股份支付。</w:t>
      </w:r>
    </w:p>
    <w:p w14:paraId="20E76641"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①以权益结算的股份支付</w:t>
      </w:r>
    </w:p>
    <w:p w14:paraId="684A98A3"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sidRPr="0063248C">
        <w:rPr>
          <w:rFonts w:ascii="Times New Roman" w:hAnsi="Times New Roman" w:cs="Times New Roman"/>
          <w:sz w:val="18"/>
          <w:szCs w:val="18"/>
        </w:rPr>
        <w:t>/</w:t>
      </w:r>
      <w:r w:rsidRPr="0063248C">
        <w:rPr>
          <w:rFonts w:ascii="Times New Roman" w:hAnsi="Times New Roman" w:hint="eastAsia"/>
          <w:sz w:val="18"/>
          <w:szCs w:val="18"/>
        </w:rPr>
        <w:t>在授予后立即可行权时，在授予日计入相关成本或费用，相应增加资本公积。</w:t>
      </w:r>
    </w:p>
    <w:p w14:paraId="10CE9AEE"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在等待期内每个资产负债表日，本集团根据最新取得的可行</w:t>
      </w:r>
      <w:proofErr w:type="gramStart"/>
      <w:r w:rsidRPr="0063248C">
        <w:rPr>
          <w:rFonts w:ascii="Times New Roman" w:hAnsi="Times New Roman" w:hint="eastAsia"/>
          <w:sz w:val="18"/>
          <w:szCs w:val="18"/>
        </w:rPr>
        <w:t>权职工</w:t>
      </w:r>
      <w:proofErr w:type="gramEnd"/>
      <w:r w:rsidRPr="0063248C">
        <w:rPr>
          <w:rFonts w:ascii="Times New Roman" w:hAnsi="Times New Roman" w:hint="eastAsia"/>
          <w:sz w:val="18"/>
          <w:szCs w:val="18"/>
        </w:rPr>
        <w:t>人数变动等后续信息做出最佳估计，修正预计可行权的权益工具数量。上述估计的影响计入当期相关成本或费用，并相应调整资本公积。</w:t>
      </w:r>
    </w:p>
    <w:p w14:paraId="611A5DA6"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lastRenderedPageBreak/>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14:paraId="4B878431"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②以现金结算的股份支付</w:t>
      </w:r>
    </w:p>
    <w:p w14:paraId="28E7324E"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以现金结算的股份支付，按照本集团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w:t>
      </w:r>
      <w:proofErr w:type="gramStart"/>
      <w:r w:rsidRPr="0063248C">
        <w:rPr>
          <w:rFonts w:ascii="Times New Roman" w:hAnsi="Times New Roman" w:hint="eastAsia"/>
          <w:sz w:val="18"/>
          <w:szCs w:val="18"/>
        </w:rPr>
        <w:t>权情况</w:t>
      </w:r>
      <w:proofErr w:type="gramEnd"/>
      <w:r w:rsidRPr="0063248C">
        <w:rPr>
          <w:rFonts w:ascii="Times New Roman" w:hAnsi="Times New Roman" w:hint="eastAsia"/>
          <w:sz w:val="18"/>
          <w:szCs w:val="18"/>
        </w:rPr>
        <w:t>的最佳估计为基础，按照本集团承担负债的公允价值金额，将当期取得的服务计入成本或费用，相应增加负债。</w:t>
      </w:r>
    </w:p>
    <w:p w14:paraId="4881A065"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在相关负债结算前的每个资产负债表日以及结算日，对负债的公允价值重新计量，其变动计入当期损益。</w:t>
      </w:r>
    </w:p>
    <w:p w14:paraId="2FF3162A"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修改、终止股份支付计划的相关会计处理</w:t>
      </w:r>
    </w:p>
    <w:p w14:paraId="1BA60A13"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本集团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集团取消了部分或全部已授予的权益工具。</w:t>
      </w:r>
    </w:p>
    <w:p w14:paraId="4BDD32F3"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在等待期内，如果取消了授予的权益工具，本集团对取消所授予的权益性工具作为加速行权处理，将剩余等待期内应确认的金额立即计入当期损益，同时确认资本公积。职工或其他方能够选择满足非可行</w:t>
      </w:r>
      <w:proofErr w:type="gramStart"/>
      <w:r w:rsidRPr="0063248C">
        <w:rPr>
          <w:rFonts w:ascii="Times New Roman" w:hAnsi="Times New Roman" w:hint="eastAsia"/>
          <w:sz w:val="18"/>
          <w:szCs w:val="18"/>
        </w:rPr>
        <w:t>权条件</w:t>
      </w:r>
      <w:proofErr w:type="gramEnd"/>
      <w:r w:rsidRPr="0063248C">
        <w:rPr>
          <w:rFonts w:ascii="Times New Roman" w:hAnsi="Times New Roman" w:hint="eastAsia"/>
          <w:sz w:val="18"/>
          <w:szCs w:val="18"/>
        </w:rPr>
        <w:t>但在等待期内未满足的，本集团将其作为授予权益工具的取消处理。</w:t>
      </w:r>
    </w:p>
    <w:p w14:paraId="7FF86905"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涉及本集团与本公司股东或实际控制人的股份支付交易的会计处理</w:t>
      </w:r>
    </w:p>
    <w:p w14:paraId="77E1CF5D"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涉及本集团与本公司股东或实际控制人的股份支付交易，结算企业与接受服务企业中其一在本集团内，另一在本集团外的，在本集团合并财务报表中按照以下规定进行会计处理：</w:t>
      </w:r>
    </w:p>
    <w:p w14:paraId="2CDD0804"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①结算企业以其本身权益工具结算的，将该股份支付交易作为权益结算的股份支付处理；除此之外，作为现金结算的股份支付处理。</w:t>
      </w:r>
    </w:p>
    <w:p w14:paraId="36894437"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结算企业是接受服务企业的投资者的，按照授予日权益工具的公允价值或应承担负债的公允价值确认为对接受服务企业的长期股权投资，同时确认资本公积（其他资本公积）或负债。</w:t>
      </w:r>
    </w:p>
    <w:p w14:paraId="4B0AC5C0"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②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14:paraId="7751336F" w14:textId="77777777" w:rsidR="00517D34" w:rsidRPr="0063248C" w:rsidRDefault="00000000">
      <w:pPr>
        <w:pStyle w:val="a3"/>
        <w:spacing w:before="0" w:beforeAutospacing="0" w:after="0" w:afterAutospacing="0" w:line="273" w:lineRule="auto"/>
        <w:ind w:firstLine="360"/>
        <w:divId w:val="1987777336"/>
        <w:rPr>
          <w:rFonts w:ascii="Times New Roman" w:hAnsi="Times New Roman"/>
          <w:sz w:val="21"/>
          <w:szCs w:val="21"/>
        </w:rPr>
      </w:pPr>
      <w:r w:rsidRPr="0063248C">
        <w:rPr>
          <w:rFonts w:ascii="Times New Roman" w:hAnsi="Times New Roman" w:hint="eastAsia"/>
          <w:sz w:val="18"/>
          <w:szCs w:val="18"/>
        </w:rPr>
        <w:t>本集团内各企业之间发生的股份支付交易，接受服务企业和结算企业不是同一企业的，在接受服务企业和结算企业各自的个别财务报表中对该股份支付交易的确认和计量，比照上述原则处理。</w:t>
      </w:r>
    </w:p>
    <w:p w14:paraId="012F1D9E" w14:textId="77777777" w:rsidR="007B3DB2" w:rsidRPr="0063248C" w:rsidRDefault="00000000">
      <w:pPr>
        <w:pStyle w:val="3"/>
        <w:spacing w:line="280" w:lineRule="exact"/>
        <w:jc w:val="left"/>
        <w:rPr>
          <w:rFonts w:cs="宋体"/>
          <w:b/>
          <w:bCs/>
        </w:rPr>
      </w:pPr>
      <w:bookmarkStart w:id="160" w:name="_Toc989049"/>
      <w:r w:rsidRPr="0063248C">
        <w:rPr>
          <w:rFonts w:cs="宋体"/>
          <w:b/>
          <w:bCs/>
        </w:rPr>
        <w:t>36</w:t>
      </w:r>
      <w:r w:rsidRPr="0063248C">
        <w:rPr>
          <w:rFonts w:cs="宋体"/>
          <w:b/>
          <w:bCs/>
        </w:rPr>
        <w:t>、优先股、永续债等其他金融工具</w:t>
      </w:r>
      <w:bookmarkEnd w:id="160"/>
    </w:p>
    <w:p w14:paraId="078FE648" w14:textId="77777777" w:rsidR="00517D34" w:rsidRPr="0063248C" w:rsidRDefault="00000000" w:rsidP="0035454A">
      <w:pPr>
        <w:pStyle w:val="a3"/>
        <w:spacing w:before="0" w:beforeAutospacing="0" w:after="0" w:afterAutospacing="0" w:line="273" w:lineRule="auto"/>
        <w:ind w:firstLine="360"/>
        <w:jc w:val="both"/>
        <w:divId w:val="1600916598"/>
        <w:rPr>
          <w:rFonts w:ascii="Times New Roman" w:hAnsi="Times New Roman"/>
          <w:sz w:val="21"/>
          <w:szCs w:val="21"/>
        </w:rPr>
      </w:pPr>
      <w:r w:rsidRPr="0063248C">
        <w:rPr>
          <w:rFonts w:ascii="Times New Roman" w:hAnsi="Times New Roman" w:hint="eastAsia"/>
          <w:sz w:val="18"/>
          <w:szCs w:val="18"/>
        </w:rPr>
        <w:t>永续债和优先股等的区分</w:t>
      </w:r>
    </w:p>
    <w:p w14:paraId="36820E42" w14:textId="77777777" w:rsidR="00517D34" w:rsidRPr="0063248C" w:rsidRDefault="00000000" w:rsidP="0035454A">
      <w:pPr>
        <w:pStyle w:val="a3"/>
        <w:spacing w:before="0" w:beforeAutospacing="0" w:after="0" w:afterAutospacing="0" w:line="273" w:lineRule="auto"/>
        <w:ind w:firstLine="360"/>
        <w:jc w:val="both"/>
        <w:divId w:val="1600916598"/>
        <w:rPr>
          <w:rFonts w:ascii="Times New Roman" w:hAnsi="Times New Roman"/>
          <w:sz w:val="21"/>
          <w:szCs w:val="21"/>
        </w:rPr>
      </w:pPr>
      <w:r w:rsidRPr="0063248C">
        <w:rPr>
          <w:rFonts w:ascii="Times New Roman" w:hAnsi="Times New Roman" w:hint="eastAsia"/>
          <w:sz w:val="18"/>
          <w:szCs w:val="18"/>
        </w:rPr>
        <w:t>本集团发行的永续债和优先股等金融工具，同时符合以下条件的，作为权益工具：</w:t>
      </w:r>
    </w:p>
    <w:p w14:paraId="3669BE80" w14:textId="77777777" w:rsidR="00517D34" w:rsidRPr="0063248C" w:rsidRDefault="00000000" w:rsidP="0035454A">
      <w:pPr>
        <w:pStyle w:val="a3"/>
        <w:spacing w:before="0" w:beforeAutospacing="0" w:after="0" w:afterAutospacing="0" w:line="273" w:lineRule="auto"/>
        <w:ind w:firstLine="360"/>
        <w:jc w:val="both"/>
        <w:divId w:val="1600916598"/>
        <w:rPr>
          <w:rFonts w:ascii="Times New Roman" w:hAnsi="Times New Roman"/>
          <w:sz w:val="21"/>
          <w:szCs w:val="21"/>
        </w:rPr>
      </w:pPr>
      <w:r w:rsidRPr="0063248C">
        <w:rPr>
          <w:rFonts w:ascii="Times New Roman" w:hAnsi="Times New Roman" w:hint="eastAsia"/>
          <w:sz w:val="18"/>
          <w:szCs w:val="18"/>
        </w:rPr>
        <w:t>①该金融工具不包括交付现金或其他金融资产给其他方，或在潜在不利条件下与其他方交换金融资产或金融负债的合同义务；</w:t>
      </w:r>
    </w:p>
    <w:p w14:paraId="11BDFF6E" w14:textId="77777777" w:rsidR="00517D34" w:rsidRPr="0063248C" w:rsidRDefault="00000000" w:rsidP="0035454A">
      <w:pPr>
        <w:pStyle w:val="a3"/>
        <w:spacing w:before="0" w:beforeAutospacing="0" w:after="0" w:afterAutospacing="0" w:line="273" w:lineRule="auto"/>
        <w:ind w:firstLine="360"/>
        <w:jc w:val="both"/>
        <w:divId w:val="1600916598"/>
        <w:rPr>
          <w:rFonts w:ascii="Times New Roman" w:hAnsi="Times New Roman"/>
          <w:sz w:val="21"/>
          <w:szCs w:val="21"/>
        </w:rPr>
      </w:pPr>
      <w:r w:rsidRPr="0063248C">
        <w:rPr>
          <w:rFonts w:ascii="Times New Roman" w:hAnsi="Times New Roman" w:hint="eastAsia"/>
          <w:sz w:val="18"/>
          <w:szCs w:val="18"/>
        </w:rPr>
        <w:t>②如将来须用或可用企业自身权益工具结算该金融工具的，如该金融工具为非衍生工具，则不包括交付可变数量的自身权益工具进行结算的合同义务；如为衍生工具，则本集团只能通过以固定数量的自身权益工具交换固定金额的现金或其他金融资产结算该金融工具。</w:t>
      </w:r>
    </w:p>
    <w:p w14:paraId="40FCEB03" w14:textId="77777777" w:rsidR="00517D34" w:rsidRPr="0063248C" w:rsidRDefault="00000000" w:rsidP="0035454A">
      <w:pPr>
        <w:pStyle w:val="a3"/>
        <w:spacing w:before="0" w:beforeAutospacing="0" w:after="0" w:afterAutospacing="0" w:line="273" w:lineRule="auto"/>
        <w:ind w:firstLine="360"/>
        <w:jc w:val="both"/>
        <w:divId w:val="1600916598"/>
        <w:rPr>
          <w:rFonts w:ascii="Times New Roman" w:hAnsi="Times New Roman"/>
          <w:sz w:val="21"/>
          <w:szCs w:val="21"/>
        </w:rPr>
      </w:pPr>
      <w:r w:rsidRPr="0063248C">
        <w:rPr>
          <w:rFonts w:ascii="Times New Roman" w:hAnsi="Times New Roman" w:hint="eastAsia"/>
          <w:sz w:val="18"/>
          <w:szCs w:val="18"/>
        </w:rPr>
        <w:t>除按上述条件可归类为权益工具的金融工具以外，本集团发行的其他金融工具应归类为金融负债。</w:t>
      </w:r>
    </w:p>
    <w:p w14:paraId="41D0B9F1" w14:textId="77777777" w:rsidR="00517D34" w:rsidRPr="0063248C" w:rsidRDefault="00000000" w:rsidP="0035454A">
      <w:pPr>
        <w:pStyle w:val="a3"/>
        <w:spacing w:before="0" w:beforeAutospacing="0" w:after="0" w:afterAutospacing="0" w:line="273" w:lineRule="auto"/>
        <w:ind w:firstLine="360"/>
        <w:jc w:val="both"/>
        <w:divId w:val="1600916598"/>
        <w:rPr>
          <w:rFonts w:ascii="Times New Roman" w:hAnsi="Times New Roman"/>
          <w:sz w:val="21"/>
          <w:szCs w:val="21"/>
        </w:rPr>
      </w:pPr>
      <w:r w:rsidRPr="0063248C">
        <w:rPr>
          <w:rFonts w:ascii="Times New Roman" w:hAnsi="Times New Roman" w:hint="eastAsia"/>
          <w:sz w:val="18"/>
          <w:szCs w:val="18"/>
        </w:rPr>
        <w:lastRenderedPageBreak/>
        <w:t>本集团发行的金融工具为复合金融工具的，按照负债成分的公允价值确认为一项负债，按实际收到的金额扣除负债成分的公允价值后的金额，确认为“其他权益工具”。发行复合金融工具发生的交易费用，在负债成分和权益成分之间按照各自占总发行价款的比例进行分摊。</w:t>
      </w:r>
    </w:p>
    <w:p w14:paraId="7F7A22F2" w14:textId="77777777" w:rsidR="00517D34" w:rsidRPr="0063248C" w:rsidRDefault="00000000" w:rsidP="0035454A">
      <w:pPr>
        <w:pStyle w:val="a3"/>
        <w:spacing w:before="0" w:beforeAutospacing="0" w:after="0" w:afterAutospacing="0" w:line="273" w:lineRule="auto"/>
        <w:ind w:firstLine="360"/>
        <w:jc w:val="both"/>
        <w:divId w:val="1600916598"/>
        <w:rPr>
          <w:rFonts w:ascii="Times New Roman" w:hAnsi="Times New Roman"/>
          <w:sz w:val="21"/>
          <w:szCs w:val="21"/>
        </w:rPr>
      </w:pPr>
      <w:r w:rsidRPr="0063248C">
        <w:rPr>
          <w:rFonts w:ascii="Times New Roman" w:hAnsi="Times New Roman" w:hint="eastAsia"/>
          <w:sz w:val="18"/>
          <w:szCs w:val="18"/>
        </w:rPr>
        <w:t>永续债和优先股等的会计处理方法</w:t>
      </w:r>
    </w:p>
    <w:p w14:paraId="0B9B9A4C" w14:textId="77777777" w:rsidR="00517D34" w:rsidRPr="0063248C" w:rsidRDefault="00000000" w:rsidP="0035454A">
      <w:pPr>
        <w:pStyle w:val="a3"/>
        <w:spacing w:before="0" w:beforeAutospacing="0" w:after="0" w:afterAutospacing="0" w:line="273" w:lineRule="auto"/>
        <w:ind w:firstLine="360"/>
        <w:jc w:val="both"/>
        <w:divId w:val="1600916598"/>
        <w:rPr>
          <w:rFonts w:ascii="Times New Roman" w:hAnsi="Times New Roman"/>
          <w:sz w:val="21"/>
          <w:szCs w:val="21"/>
        </w:rPr>
      </w:pPr>
      <w:r w:rsidRPr="0063248C">
        <w:rPr>
          <w:rFonts w:ascii="Times New Roman" w:hAnsi="Times New Roman" w:hint="eastAsia"/>
          <w:sz w:val="18"/>
          <w:szCs w:val="18"/>
        </w:rPr>
        <w:t>归类为金融负债的永续债和优先股等金融工具，其相关利息、股利（或股息）、利得或损失，以及赎回或再融资产生的利得或损失等，除符合资本化条件的借款费用（参见本附注五、</w:t>
      </w:r>
      <w:r w:rsidRPr="0063248C">
        <w:rPr>
          <w:rFonts w:ascii="Times New Roman" w:hAnsi="Times New Roman" w:cs="Times New Roman"/>
          <w:sz w:val="18"/>
          <w:szCs w:val="18"/>
        </w:rPr>
        <w:t>26</w:t>
      </w:r>
      <w:r w:rsidRPr="0063248C">
        <w:rPr>
          <w:rFonts w:ascii="Times New Roman" w:hAnsi="Times New Roman" w:hint="eastAsia"/>
          <w:sz w:val="18"/>
          <w:szCs w:val="18"/>
        </w:rPr>
        <w:t>“借款费用”）以外，均计入当期损益。</w:t>
      </w:r>
    </w:p>
    <w:p w14:paraId="6B7B1D2A" w14:textId="77777777" w:rsidR="00517D34" w:rsidRPr="0063248C" w:rsidRDefault="00000000" w:rsidP="0035454A">
      <w:pPr>
        <w:pStyle w:val="a3"/>
        <w:spacing w:before="0" w:beforeAutospacing="0" w:after="0" w:afterAutospacing="0" w:line="273" w:lineRule="auto"/>
        <w:ind w:firstLine="360"/>
        <w:jc w:val="both"/>
        <w:divId w:val="1600916598"/>
        <w:rPr>
          <w:rFonts w:ascii="Times New Roman" w:hAnsi="Times New Roman"/>
          <w:sz w:val="21"/>
          <w:szCs w:val="21"/>
        </w:rPr>
      </w:pPr>
      <w:r w:rsidRPr="0063248C">
        <w:rPr>
          <w:rFonts w:ascii="Times New Roman" w:hAnsi="Times New Roman" w:hint="eastAsia"/>
          <w:sz w:val="18"/>
          <w:szCs w:val="18"/>
        </w:rPr>
        <w:t>归类为权益工具的永续债和优先股等金融工具，其发行（</w:t>
      </w:r>
      <w:proofErr w:type="gramStart"/>
      <w:r w:rsidRPr="0063248C">
        <w:rPr>
          <w:rFonts w:ascii="Times New Roman" w:hAnsi="Times New Roman" w:hint="eastAsia"/>
          <w:sz w:val="18"/>
          <w:szCs w:val="18"/>
        </w:rPr>
        <w:t>含再融资</w:t>
      </w:r>
      <w:proofErr w:type="gramEnd"/>
      <w:r w:rsidRPr="0063248C">
        <w:rPr>
          <w:rFonts w:ascii="Times New Roman" w:hAnsi="Times New Roman" w:hint="eastAsia"/>
          <w:sz w:val="18"/>
          <w:szCs w:val="18"/>
        </w:rPr>
        <w:t>）、回购、出售或注销时，本集团作为权益的变动处理，相关交易费用亦从权益中扣减。本集团对权益工具持有方的分配作为利润分配处理。</w:t>
      </w:r>
    </w:p>
    <w:p w14:paraId="6D1AC001" w14:textId="77777777" w:rsidR="00517D34" w:rsidRPr="0063248C" w:rsidRDefault="00000000" w:rsidP="0035454A">
      <w:pPr>
        <w:pStyle w:val="a3"/>
        <w:spacing w:before="0" w:beforeAutospacing="0" w:after="0" w:afterAutospacing="0" w:line="273" w:lineRule="auto"/>
        <w:ind w:firstLine="360"/>
        <w:jc w:val="both"/>
        <w:divId w:val="1600916598"/>
        <w:rPr>
          <w:rFonts w:ascii="Times New Roman" w:hAnsi="Times New Roman"/>
          <w:sz w:val="21"/>
          <w:szCs w:val="21"/>
        </w:rPr>
      </w:pPr>
      <w:r w:rsidRPr="0063248C">
        <w:rPr>
          <w:rFonts w:ascii="Times New Roman" w:hAnsi="Times New Roman" w:hint="eastAsia"/>
          <w:sz w:val="18"/>
          <w:szCs w:val="18"/>
        </w:rPr>
        <w:t>本集团不确认权益工具的公允价值变动。</w:t>
      </w:r>
    </w:p>
    <w:p w14:paraId="3644C7FF" w14:textId="77777777" w:rsidR="007B3DB2" w:rsidRPr="0063248C" w:rsidRDefault="00000000">
      <w:pPr>
        <w:pStyle w:val="3"/>
        <w:spacing w:line="280" w:lineRule="exact"/>
        <w:jc w:val="left"/>
        <w:rPr>
          <w:rFonts w:cs="宋体"/>
          <w:b/>
          <w:bCs/>
        </w:rPr>
      </w:pPr>
      <w:bookmarkStart w:id="161" w:name="_Toc989050"/>
      <w:r w:rsidRPr="0063248C">
        <w:rPr>
          <w:rFonts w:cs="宋体"/>
          <w:b/>
          <w:bCs/>
        </w:rPr>
        <w:t>37</w:t>
      </w:r>
      <w:r w:rsidRPr="0063248C">
        <w:rPr>
          <w:rFonts w:cs="宋体"/>
          <w:b/>
          <w:bCs/>
        </w:rPr>
        <w:t>、收入</w:t>
      </w:r>
      <w:bookmarkEnd w:id="161"/>
    </w:p>
    <w:p w14:paraId="07B94F31" w14:textId="77777777" w:rsidR="007B3DB2" w:rsidRPr="0063248C" w:rsidRDefault="00000000">
      <w:pPr>
        <w:spacing w:before="100" w:after="100" w:line="240" w:lineRule="exact"/>
        <w:rPr>
          <w:rFonts w:cs="宋体"/>
          <w:sz w:val="18"/>
          <w:szCs w:val="18"/>
        </w:rPr>
      </w:pPr>
      <w:r w:rsidRPr="0063248C">
        <w:rPr>
          <w:rFonts w:cs="宋体"/>
          <w:sz w:val="18"/>
          <w:szCs w:val="18"/>
        </w:rPr>
        <w:t>按照业务类型披露收入确认和计量所采用的会计政策</w:t>
      </w:r>
    </w:p>
    <w:p w14:paraId="6B1FBE33"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收入，是本集团在日常活动中形成的、会导致股东权益增加的、与股东投入资本无关的经济利益的总流入。本集团与客户之间的合同同时满足下列条件时，在客户取得相关商品（含劳务，下同）控制权时确认收入：合同各方已批准该合同并承诺将履行各自义务；合同明确了合同各方与所转让商品或提供劳务相关的权利和义务；合同有明确的与所转让商品相关的支付条款；合同具有商业实质，即履行该合同将改变本集团未来现金流量的风险、时间分布或金额；本集团因向客户转让商品而有权取得的对价很可能收回。其中，取得相关商品控制权，是指能够主导该商品的使用并从中获得几乎全部的经济利益。</w:t>
      </w:r>
    </w:p>
    <w:p w14:paraId="3BD09B98"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在合同开始日，本集团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14:paraId="4CEDF3CE"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可变对价：</w:t>
      </w:r>
    </w:p>
    <w:p w14:paraId="5FAEFAA7"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本集团部分与客户之间的合同存在销售返利的安排，形成可变对价。本集团按照期望值或最有可能发生金额确定可变对价的最佳估计数，但包含可变对价的交易价格不超过在相关不确定性消除时累计已确认</w:t>
      </w:r>
      <w:proofErr w:type="gramStart"/>
      <w:r w:rsidRPr="0063248C">
        <w:rPr>
          <w:rFonts w:ascii="Times New Roman" w:hAnsi="Times New Roman" w:hint="eastAsia"/>
          <w:sz w:val="18"/>
          <w:szCs w:val="18"/>
        </w:rPr>
        <w:t>收入极</w:t>
      </w:r>
      <w:proofErr w:type="gramEnd"/>
      <w:r w:rsidRPr="0063248C">
        <w:rPr>
          <w:rFonts w:ascii="Times New Roman" w:hAnsi="Times New Roman" w:hint="eastAsia"/>
          <w:sz w:val="18"/>
          <w:szCs w:val="18"/>
        </w:rPr>
        <w:t>可能不会发生重大转回的金额。</w:t>
      </w:r>
    </w:p>
    <w:p w14:paraId="56D2CA2F"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应付客户对价：</w:t>
      </w:r>
    </w:p>
    <w:p w14:paraId="6FA34E07"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对于应付客户对价，本集团将该应付客户对价冲减交易价格，并在确认相关收入与支付（或承诺支付）客户对价</w:t>
      </w:r>
      <w:proofErr w:type="gramStart"/>
      <w:r w:rsidRPr="0063248C">
        <w:rPr>
          <w:rFonts w:ascii="Times New Roman" w:hAnsi="Times New Roman" w:hint="eastAsia"/>
          <w:sz w:val="18"/>
          <w:szCs w:val="18"/>
        </w:rPr>
        <w:t>二者孰晚的</w:t>
      </w:r>
      <w:proofErr w:type="gramEnd"/>
      <w:r w:rsidRPr="0063248C">
        <w:rPr>
          <w:rFonts w:ascii="Times New Roman" w:hAnsi="Times New Roman" w:hint="eastAsia"/>
          <w:sz w:val="18"/>
          <w:szCs w:val="18"/>
        </w:rPr>
        <w:t>时点冲减当期收入，除非该应付对价是为了向客户取得其他可明确区分商品或服务。</w:t>
      </w:r>
    </w:p>
    <w:p w14:paraId="66F56464"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对于合同中的每个单项履约义务，如果满足下列条件之一的，本集团在相关履约时段内按照履约进度将分摊至该单项履约义务的交易价格确认为收入：客户在本集团履约的同时即取得并消耗本集团履约所带来的经济利益；客户能够控制本集团履约过程中在建的商品；本集团履约过程中所产出的商品具有不可替代用途，且本集团在整个合同期间内有权就累计至今已完成的履约部分收取款项。履约进度根据所转让商品的性质采用投入法或产出法确定，当履约进度不能合理确定时，本集团已经发生的成本预计能够得到补偿的，按照已经发生的成本金额确认收入，直到履约进度能够合理确定为止。</w:t>
      </w:r>
    </w:p>
    <w:p w14:paraId="6F194849"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如果不满足上述条件之一，则本集团在客户取得相关商品控制权的时点按照分摊至该单项履约义务的交易价格确认收入。在判断客户是否已取得商品控制权时，本集团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14:paraId="37F7114E"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lastRenderedPageBreak/>
        <w:t>本集团销售商品收入按客户类别可细分为自提货现销、加盟店、批发商、商超客户、食品加工企业等多种方式。销售收入的确认方式及结算方式因客户类别而不同，具体如下：</w:t>
      </w:r>
    </w:p>
    <w:p w14:paraId="1C5FAFAF"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w:t>
      </w:r>
      <w:r w:rsidRPr="0063248C">
        <w:rPr>
          <w:rFonts w:ascii="Times New Roman" w:hAnsi="Times New Roman" w:cs="Times New Roman"/>
          <w:sz w:val="18"/>
          <w:szCs w:val="18"/>
        </w:rPr>
        <w:t>1</w:t>
      </w:r>
      <w:r w:rsidRPr="0063248C">
        <w:rPr>
          <w:rFonts w:ascii="Times New Roman" w:hAnsi="Times New Roman" w:hint="eastAsia"/>
          <w:sz w:val="18"/>
          <w:szCs w:val="18"/>
        </w:rPr>
        <w:t>）自提货现销</w:t>
      </w:r>
    </w:p>
    <w:p w14:paraId="1DE397F4"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自提货现</w:t>
      </w:r>
      <w:proofErr w:type="gramStart"/>
      <w:r w:rsidRPr="0063248C">
        <w:rPr>
          <w:rFonts w:ascii="Times New Roman" w:hAnsi="Times New Roman" w:hint="eastAsia"/>
          <w:sz w:val="18"/>
          <w:szCs w:val="18"/>
        </w:rPr>
        <w:t>销模式</w:t>
      </w:r>
      <w:proofErr w:type="gramEnd"/>
      <w:r w:rsidRPr="0063248C">
        <w:rPr>
          <w:rFonts w:ascii="Times New Roman" w:hAnsi="Times New Roman" w:hint="eastAsia"/>
          <w:sz w:val="18"/>
          <w:szCs w:val="18"/>
        </w:rPr>
        <w:t>下，客户自行取货，现款提货。公司于收款发货后商品的控制权转移，确认销售收入，结算方式为现款现货结算或预收款结算。</w:t>
      </w:r>
    </w:p>
    <w:p w14:paraId="3F493B24"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w:t>
      </w:r>
      <w:r w:rsidRPr="0063248C">
        <w:rPr>
          <w:rFonts w:ascii="Times New Roman" w:hAnsi="Times New Roman" w:cs="Times New Roman"/>
          <w:sz w:val="18"/>
          <w:szCs w:val="18"/>
        </w:rPr>
        <w:t>2</w:t>
      </w:r>
      <w:r w:rsidRPr="0063248C">
        <w:rPr>
          <w:rFonts w:ascii="Times New Roman" w:hAnsi="Times New Roman" w:hint="eastAsia"/>
          <w:sz w:val="18"/>
          <w:szCs w:val="18"/>
        </w:rPr>
        <w:t>）加盟店销售</w:t>
      </w:r>
    </w:p>
    <w:p w14:paraId="776EA333"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加盟店销售模式下，公司根据区域加盟经销商的订单备货，至少提前一天全额预收货款，货物到达并</w:t>
      </w:r>
      <w:proofErr w:type="gramStart"/>
      <w:r w:rsidRPr="0063248C">
        <w:rPr>
          <w:rFonts w:ascii="Times New Roman" w:hAnsi="Times New Roman" w:hint="eastAsia"/>
          <w:sz w:val="18"/>
          <w:szCs w:val="18"/>
        </w:rPr>
        <w:t>经区域</w:t>
      </w:r>
      <w:proofErr w:type="gramEnd"/>
      <w:r w:rsidRPr="0063248C">
        <w:rPr>
          <w:rFonts w:ascii="Times New Roman" w:hAnsi="Times New Roman" w:hint="eastAsia"/>
          <w:sz w:val="18"/>
          <w:szCs w:val="18"/>
        </w:rPr>
        <w:t>加盟经销商验收后，商品的控制权已发生转移，公司根据当日出库金额全额确认销售收入。</w:t>
      </w:r>
    </w:p>
    <w:p w14:paraId="6A77D489"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w:t>
      </w:r>
      <w:r w:rsidRPr="0063248C">
        <w:rPr>
          <w:rFonts w:ascii="Times New Roman" w:hAnsi="Times New Roman" w:cs="Times New Roman"/>
          <w:sz w:val="18"/>
          <w:szCs w:val="18"/>
        </w:rPr>
        <w:t>3</w:t>
      </w:r>
      <w:r w:rsidRPr="0063248C">
        <w:rPr>
          <w:rFonts w:ascii="Times New Roman" w:hAnsi="Times New Roman" w:hint="eastAsia"/>
          <w:sz w:val="18"/>
          <w:szCs w:val="18"/>
        </w:rPr>
        <w:t>）批发商销售</w:t>
      </w:r>
    </w:p>
    <w:p w14:paraId="12217319"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批发商销售模式下，公司与批发商签订合同，公司销售部收集并汇总各批发商的订单，然后向车间下达备货指令进行备货，批发商一般在发货前一天全额预付货款。由公司冷藏车送到批发商指定地点，批发商收货并签字确认后，商品的控制权已发生转移，公司确认销售收入。</w:t>
      </w:r>
    </w:p>
    <w:p w14:paraId="28494C11"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该销售模式的结算方式一般为全额预收款结算。在销售</w:t>
      </w:r>
      <w:proofErr w:type="gramStart"/>
      <w:r w:rsidRPr="0063248C">
        <w:rPr>
          <w:rFonts w:ascii="Times New Roman" w:hAnsi="Times New Roman" w:hint="eastAsia"/>
          <w:sz w:val="18"/>
          <w:szCs w:val="18"/>
        </w:rPr>
        <w:t>旺季或</w:t>
      </w:r>
      <w:proofErr w:type="gramEnd"/>
      <w:r w:rsidRPr="0063248C">
        <w:rPr>
          <w:rFonts w:ascii="Times New Roman" w:hAnsi="Times New Roman" w:hint="eastAsia"/>
          <w:sz w:val="18"/>
          <w:szCs w:val="18"/>
        </w:rPr>
        <w:t>当个别销售量大的批发商遇到流动资金困难时，公司允许批发商本人按时间段提交个人赊销申请，根据审批权限经公司领导批准在规定时间和规定金额内予以赊销。</w:t>
      </w:r>
    </w:p>
    <w:p w14:paraId="1EF7F4AE"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w:t>
      </w:r>
      <w:r w:rsidRPr="0063248C">
        <w:rPr>
          <w:rFonts w:ascii="Times New Roman" w:hAnsi="Times New Roman" w:cs="Times New Roman"/>
          <w:sz w:val="18"/>
          <w:szCs w:val="18"/>
        </w:rPr>
        <w:t>4</w:t>
      </w:r>
      <w:r w:rsidRPr="0063248C">
        <w:rPr>
          <w:rFonts w:ascii="Times New Roman" w:hAnsi="Times New Roman" w:hint="eastAsia"/>
          <w:sz w:val="18"/>
          <w:szCs w:val="18"/>
        </w:rPr>
        <w:t>）商场超市销售</w:t>
      </w:r>
    </w:p>
    <w:p w14:paraId="29727C26"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商场超市模式下，公司直接与商超签订销售合同。公司根据订单向商超发货，在对方收货并签字确认后，商品的控制权已发生转移，公司确认销售收入，按</w:t>
      </w:r>
      <w:proofErr w:type="gramStart"/>
      <w:r w:rsidRPr="0063248C">
        <w:rPr>
          <w:rFonts w:ascii="Times New Roman" w:hAnsi="Times New Roman" w:hint="eastAsia"/>
          <w:sz w:val="18"/>
          <w:szCs w:val="18"/>
        </w:rPr>
        <w:t>合同账期定期</w:t>
      </w:r>
      <w:proofErr w:type="gramEnd"/>
      <w:r w:rsidRPr="0063248C">
        <w:rPr>
          <w:rFonts w:ascii="Times New Roman" w:hAnsi="Times New Roman" w:hint="eastAsia"/>
          <w:sz w:val="18"/>
          <w:szCs w:val="18"/>
        </w:rPr>
        <w:t>与商超结算。该销售模式的结算方式为按</w:t>
      </w:r>
      <w:proofErr w:type="gramStart"/>
      <w:r w:rsidRPr="0063248C">
        <w:rPr>
          <w:rFonts w:ascii="Times New Roman" w:hAnsi="Times New Roman" w:hint="eastAsia"/>
          <w:sz w:val="18"/>
          <w:szCs w:val="18"/>
        </w:rPr>
        <w:t>合同账期定期</w:t>
      </w:r>
      <w:proofErr w:type="gramEnd"/>
      <w:r w:rsidRPr="0063248C">
        <w:rPr>
          <w:rFonts w:ascii="Times New Roman" w:hAnsi="Times New Roman" w:hint="eastAsia"/>
          <w:sz w:val="18"/>
          <w:szCs w:val="18"/>
        </w:rPr>
        <w:t>结算。</w:t>
      </w:r>
    </w:p>
    <w:p w14:paraId="2811757A"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w:t>
      </w:r>
      <w:r w:rsidRPr="0063248C">
        <w:rPr>
          <w:rFonts w:ascii="Times New Roman" w:hAnsi="Times New Roman" w:cs="Times New Roman"/>
          <w:sz w:val="18"/>
          <w:szCs w:val="18"/>
        </w:rPr>
        <w:t>5</w:t>
      </w:r>
      <w:r w:rsidRPr="0063248C">
        <w:rPr>
          <w:rFonts w:ascii="Times New Roman" w:hAnsi="Times New Roman" w:hint="eastAsia"/>
          <w:sz w:val="18"/>
          <w:szCs w:val="18"/>
        </w:rPr>
        <w:t>）食品加工企业</w:t>
      </w:r>
    </w:p>
    <w:p w14:paraId="40D4A196" w14:textId="77777777" w:rsidR="00517D34" w:rsidRPr="0063248C" w:rsidRDefault="00000000" w:rsidP="0035454A">
      <w:pPr>
        <w:pStyle w:val="a3"/>
        <w:spacing w:before="0" w:beforeAutospacing="0" w:after="0" w:afterAutospacing="0" w:line="273" w:lineRule="auto"/>
        <w:ind w:firstLine="360"/>
        <w:jc w:val="both"/>
        <w:divId w:val="425224912"/>
        <w:rPr>
          <w:rFonts w:ascii="Times New Roman" w:hAnsi="Times New Roman"/>
        </w:rPr>
      </w:pPr>
      <w:r w:rsidRPr="0063248C">
        <w:rPr>
          <w:rFonts w:ascii="Times New Roman" w:hAnsi="Times New Roman" w:hint="eastAsia"/>
          <w:sz w:val="18"/>
          <w:szCs w:val="18"/>
        </w:rPr>
        <w:t>对信誉较好的食品加工企业，根据客户订单发货，在发货并取得对方的收货确认后，商品的控制权已发生转移，确认销售收入，按合同</w:t>
      </w:r>
      <w:proofErr w:type="gramStart"/>
      <w:r w:rsidRPr="0063248C">
        <w:rPr>
          <w:rFonts w:ascii="Times New Roman" w:hAnsi="Times New Roman" w:hint="eastAsia"/>
          <w:sz w:val="18"/>
          <w:szCs w:val="18"/>
        </w:rPr>
        <w:t>账期收款</w:t>
      </w:r>
      <w:proofErr w:type="gramEnd"/>
      <w:r w:rsidRPr="0063248C">
        <w:rPr>
          <w:rFonts w:ascii="Times New Roman" w:hAnsi="Times New Roman" w:hint="eastAsia"/>
          <w:sz w:val="18"/>
          <w:szCs w:val="18"/>
        </w:rPr>
        <w:t>，结算方式为按合同</w:t>
      </w:r>
      <w:proofErr w:type="gramStart"/>
      <w:r w:rsidRPr="0063248C">
        <w:rPr>
          <w:rFonts w:ascii="Times New Roman" w:hAnsi="Times New Roman" w:hint="eastAsia"/>
          <w:sz w:val="18"/>
          <w:szCs w:val="18"/>
        </w:rPr>
        <w:t>约定账期结算</w:t>
      </w:r>
      <w:proofErr w:type="gramEnd"/>
      <w:r w:rsidRPr="0063248C">
        <w:rPr>
          <w:rFonts w:ascii="Times New Roman" w:hAnsi="Times New Roman" w:hint="eastAsia"/>
          <w:sz w:val="18"/>
          <w:szCs w:val="18"/>
        </w:rPr>
        <w:t>。对信誉一般的食品加工企业结算方式为现款现货或预收货款结算。</w:t>
      </w:r>
    </w:p>
    <w:p w14:paraId="3847D048" w14:textId="77777777" w:rsidR="007B3DB2" w:rsidRPr="0063248C" w:rsidRDefault="00000000" w:rsidP="0035454A">
      <w:pPr>
        <w:spacing w:before="100" w:after="100" w:line="240" w:lineRule="exact"/>
        <w:jc w:val="both"/>
        <w:rPr>
          <w:rFonts w:cs="宋体"/>
          <w:sz w:val="18"/>
          <w:szCs w:val="18"/>
        </w:rPr>
      </w:pPr>
      <w:r w:rsidRPr="0063248C">
        <w:rPr>
          <w:rFonts w:cs="宋体"/>
          <w:sz w:val="18"/>
          <w:szCs w:val="18"/>
        </w:rPr>
        <w:t>同类业务采用不同经营模式涉及不同收入确认方式及计量方法的情况</w:t>
      </w:r>
    </w:p>
    <w:p w14:paraId="360E3D5D" w14:textId="77777777" w:rsidR="00517D34" w:rsidRPr="0063248C" w:rsidRDefault="00000000" w:rsidP="0035454A">
      <w:pPr>
        <w:pStyle w:val="a3"/>
        <w:jc w:val="both"/>
        <w:divId w:val="1125661968"/>
        <w:rPr>
          <w:rFonts w:ascii="Times New Roman" w:hAnsi="Times New Roman"/>
          <w:sz w:val="18"/>
          <w:szCs w:val="18"/>
        </w:rPr>
      </w:pPr>
      <w:r w:rsidRPr="0063248C">
        <w:rPr>
          <w:rFonts w:ascii="Times New Roman" w:hAnsi="Times New Roman" w:hint="eastAsia"/>
          <w:sz w:val="18"/>
          <w:szCs w:val="18"/>
        </w:rPr>
        <w:t>无</w:t>
      </w:r>
    </w:p>
    <w:p w14:paraId="5B54DF24" w14:textId="77777777" w:rsidR="007B3DB2" w:rsidRPr="0063248C" w:rsidRDefault="00000000">
      <w:pPr>
        <w:pStyle w:val="3"/>
        <w:spacing w:line="280" w:lineRule="exact"/>
        <w:jc w:val="left"/>
        <w:rPr>
          <w:rFonts w:cs="宋体"/>
          <w:b/>
          <w:bCs/>
        </w:rPr>
      </w:pPr>
      <w:bookmarkStart w:id="162" w:name="_Toc989051"/>
      <w:r w:rsidRPr="0063248C">
        <w:rPr>
          <w:rFonts w:cs="宋体"/>
          <w:b/>
          <w:bCs/>
        </w:rPr>
        <w:t>38</w:t>
      </w:r>
      <w:r w:rsidRPr="0063248C">
        <w:rPr>
          <w:rFonts w:cs="宋体"/>
          <w:b/>
          <w:bCs/>
        </w:rPr>
        <w:t>、合同成本</w:t>
      </w:r>
      <w:bookmarkEnd w:id="162"/>
    </w:p>
    <w:p w14:paraId="6201576B" w14:textId="77777777" w:rsidR="00517D34" w:rsidRPr="0063248C" w:rsidRDefault="00000000" w:rsidP="0035454A">
      <w:pPr>
        <w:pStyle w:val="a3"/>
        <w:spacing w:before="0" w:beforeAutospacing="0" w:after="0" w:afterAutospacing="0" w:line="273" w:lineRule="auto"/>
        <w:ind w:firstLine="360"/>
        <w:jc w:val="both"/>
        <w:divId w:val="497579617"/>
        <w:rPr>
          <w:rFonts w:ascii="Times New Roman" w:hAnsi="Times New Roman"/>
          <w:sz w:val="21"/>
          <w:szCs w:val="21"/>
        </w:rPr>
      </w:pPr>
      <w:r w:rsidRPr="0063248C">
        <w:rPr>
          <w:rFonts w:ascii="Times New Roman" w:hAnsi="Times New Roman" w:hint="eastAsia"/>
          <w:sz w:val="18"/>
          <w:szCs w:val="18"/>
        </w:rPr>
        <w:t>本集团为取得合同发生的增量成本预期能够收回的，作为合同取得成本确认为一项资产。但是，如果该资产的摊销期限不超过一年，则在发生时计入当期损益。</w:t>
      </w:r>
    </w:p>
    <w:p w14:paraId="6883A0ED" w14:textId="77777777" w:rsidR="00517D34" w:rsidRPr="0063248C" w:rsidRDefault="00000000" w:rsidP="0035454A">
      <w:pPr>
        <w:pStyle w:val="a3"/>
        <w:spacing w:before="0" w:beforeAutospacing="0" w:after="0" w:afterAutospacing="0" w:line="273" w:lineRule="auto"/>
        <w:ind w:firstLine="360"/>
        <w:jc w:val="both"/>
        <w:divId w:val="497579617"/>
        <w:rPr>
          <w:rFonts w:ascii="Times New Roman" w:hAnsi="Times New Roman"/>
          <w:sz w:val="21"/>
          <w:szCs w:val="21"/>
        </w:rPr>
      </w:pPr>
      <w:r w:rsidRPr="0063248C">
        <w:rPr>
          <w:rFonts w:ascii="Times New Roman" w:hAnsi="Times New Roman" w:hint="eastAsia"/>
          <w:sz w:val="18"/>
          <w:szCs w:val="18"/>
        </w:rPr>
        <w:t>为履行合同发生的成本不属于《企业会计准则第</w:t>
      </w:r>
      <w:r w:rsidRPr="0063248C">
        <w:rPr>
          <w:rFonts w:ascii="Times New Roman" w:hAnsi="Times New Roman" w:cs="Times New Roman"/>
          <w:sz w:val="18"/>
          <w:szCs w:val="18"/>
        </w:rPr>
        <w:t>14</w:t>
      </w:r>
      <w:r w:rsidRPr="0063248C">
        <w:rPr>
          <w:rFonts w:ascii="Times New Roman" w:hAnsi="Times New Roman" w:hint="eastAsia"/>
          <w:sz w:val="18"/>
          <w:szCs w:val="18"/>
        </w:rPr>
        <w:t>号——收入（</w:t>
      </w:r>
      <w:r w:rsidRPr="0063248C">
        <w:rPr>
          <w:rFonts w:ascii="Times New Roman" w:hAnsi="Times New Roman" w:cs="Times New Roman"/>
          <w:sz w:val="18"/>
          <w:szCs w:val="18"/>
        </w:rPr>
        <w:t>2017</w:t>
      </w:r>
      <w:r w:rsidRPr="0063248C">
        <w:rPr>
          <w:rFonts w:ascii="Times New Roman" w:hAnsi="Times New Roman" w:hint="eastAsia"/>
          <w:sz w:val="18"/>
          <w:szCs w:val="18"/>
        </w:rPr>
        <w:t>年修订）》之外的其他企业会计准则规范范围且同时满足下列条件的，作为合同履约成本确认为一项资产：①</w:t>
      </w:r>
      <w:proofErr w:type="gramStart"/>
      <w:r w:rsidRPr="0063248C">
        <w:rPr>
          <w:rFonts w:ascii="Times New Roman" w:hAnsi="Times New Roman" w:hint="eastAsia"/>
          <w:sz w:val="18"/>
          <w:szCs w:val="18"/>
        </w:rPr>
        <w:t>该成本</w:t>
      </w:r>
      <w:proofErr w:type="gramEnd"/>
      <w:r w:rsidRPr="0063248C">
        <w:rPr>
          <w:rFonts w:ascii="Times New Roman" w:hAnsi="Times New Roman" w:hint="eastAsia"/>
          <w:sz w:val="18"/>
          <w:szCs w:val="18"/>
        </w:rPr>
        <w:t>与一份当前或预期取得的合同直接相关，包括直接人工、直接材料、制造费用（或类似费用）、明确由客户承担的成本以及仅因该合同而发生的其他成本；②</w:t>
      </w:r>
      <w:proofErr w:type="gramStart"/>
      <w:r w:rsidRPr="0063248C">
        <w:rPr>
          <w:rFonts w:ascii="Times New Roman" w:hAnsi="Times New Roman" w:hint="eastAsia"/>
          <w:sz w:val="18"/>
          <w:szCs w:val="18"/>
        </w:rPr>
        <w:t>该成本</w:t>
      </w:r>
      <w:proofErr w:type="gramEnd"/>
      <w:r w:rsidRPr="0063248C">
        <w:rPr>
          <w:rFonts w:ascii="Times New Roman" w:hAnsi="Times New Roman" w:hint="eastAsia"/>
          <w:sz w:val="18"/>
          <w:szCs w:val="18"/>
        </w:rPr>
        <w:t>增加了本集团未来用于履行履约义务的资源；③</w:t>
      </w:r>
      <w:proofErr w:type="gramStart"/>
      <w:r w:rsidRPr="0063248C">
        <w:rPr>
          <w:rFonts w:ascii="Times New Roman" w:hAnsi="Times New Roman" w:hint="eastAsia"/>
          <w:sz w:val="18"/>
          <w:szCs w:val="18"/>
        </w:rPr>
        <w:t>该成本</w:t>
      </w:r>
      <w:proofErr w:type="gramEnd"/>
      <w:r w:rsidRPr="0063248C">
        <w:rPr>
          <w:rFonts w:ascii="Times New Roman" w:hAnsi="Times New Roman" w:hint="eastAsia"/>
          <w:sz w:val="18"/>
          <w:szCs w:val="18"/>
        </w:rPr>
        <w:t>预期能够收回。</w:t>
      </w:r>
    </w:p>
    <w:p w14:paraId="1CC18402" w14:textId="77777777" w:rsidR="00517D34" w:rsidRPr="0063248C" w:rsidRDefault="00000000" w:rsidP="0035454A">
      <w:pPr>
        <w:pStyle w:val="a3"/>
        <w:spacing w:before="0" w:beforeAutospacing="0" w:after="0" w:afterAutospacing="0" w:line="273" w:lineRule="auto"/>
        <w:ind w:firstLine="360"/>
        <w:jc w:val="both"/>
        <w:divId w:val="497579617"/>
        <w:rPr>
          <w:rFonts w:ascii="Times New Roman" w:hAnsi="Times New Roman"/>
          <w:sz w:val="21"/>
          <w:szCs w:val="21"/>
        </w:rPr>
      </w:pPr>
      <w:r w:rsidRPr="0063248C">
        <w:rPr>
          <w:rFonts w:ascii="Times New Roman" w:hAnsi="Times New Roman" w:hint="eastAsia"/>
          <w:sz w:val="18"/>
          <w:szCs w:val="18"/>
        </w:rPr>
        <w:t>与合同成本有关的资产采用与该资产相关的商品收入确认相同的基础进行摊销，计入当期损益。</w:t>
      </w:r>
    </w:p>
    <w:p w14:paraId="46F20762" w14:textId="77777777" w:rsidR="007B3DB2" w:rsidRPr="0063248C" w:rsidRDefault="00000000">
      <w:pPr>
        <w:pStyle w:val="3"/>
        <w:spacing w:line="280" w:lineRule="exact"/>
        <w:jc w:val="left"/>
        <w:rPr>
          <w:rFonts w:cs="宋体"/>
          <w:b/>
          <w:bCs/>
        </w:rPr>
      </w:pPr>
      <w:bookmarkStart w:id="163" w:name="_Toc989052"/>
      <w:r w:rsidRPr="0063248C">
        <w:rPr>
          <w:rFonts w:cs="宋体"/>
          <w:b/>
          <w:bCs/>
        </w:rPr>
        <w:t>39</w:t>
      </w:r>
      <w:r w:rsidRPr="0063248C">
        <w:rPr>
          <w:rFonts w:cs="宋体"/>
          <w:b/>
          <w:bCs/>
        </w:rPr>
        <w:t>、政府补助</w:t>
      </w:r>
      <w:bookmarkEnd w:id="163"/>
    </w:p>
    <w:p w14:paraId="4E121F74" w14:textId="77777777" w:rsidR="00517D34" w:rsidRPr="0063248C" w:rsidRDefault="00000000" w:rsidP="0035454A">
      <w:pPr>
        <w:pStyle w:val="a3"/>
        <w:spacing w:before="0" w:beforeAutospacing="0" w:after="0" w:afterAutospacing="0" w:line="273" w:lineRule="auto"/>
        <w:ind w:firstLine="360"/>
        <w:jc w:val="both"/>
        <w:divId w:val="228351234"/>
        <w:rPr>
          <w:rFonts w:ascii="Times New Roman" w:hAnsi="Times New Roman"/>
        </w:rPr>
      </w:pPr>
      <w:r w:rsidRPr="0063248C">
        <w:rPr>
          <w:rFonts w:ascii="Times New Roman" w:hAnsi="Times New Roman" w:hint="eastAsia"/>
          <w:sz w:val="18"/>
          <w:szCs w:val="18"/>
        </w:rPr>
        <w:t>政府补助是指本集团从政府无偿取得货币性资产和非货币性资产，不包括政府以投资者身份并享有相应所有者权益而投入的资本。政府补助分为与资产相关的政府补助和与收益相关的政府补助。本集团将所取得的用于购建或以其他方式形成长期资产的政府补助界定为与资产相关的政府补助；</w:t>
      </w:r>
      <w:proofErr w:type="gramStart"/>
      <w:r w:rsidRPr="0063248C">
        <w:rPr>
          <w:rFonts w:ascii="Times New Roman" w:hAnsi="Times New Roman" w:hint="eastAsia"/>
          <w:sz w:val="18"/>
          <w:szCs w:val="18"/>
        </w:rPr>
        <w:t>其余政府</w:t>
      </w:r>
      <w:proofErr w:type="gramEnd"/>
      <w:r w:rsidRPr="0063248C">
        <w:rPr>
          <w:rFonts w:ascii="Times New Roman" w:hAnsi="Times New Roman" w:hint="eastAsia"/>
          <w:sz w:val="18"/>
          <w:szCs w:val="18"/>
        </w:rPr>
        <w:t>补助界定为与收益相关的政府补助。若政府文件未</w:t>
      </w:r>
      <w:r w:rsidRPr="0063248C">
        <w:rPr>
          <w:rFonts w:ascii="Times New Roman" w:hAnsi="Times New Roman" w:hint="eastAsia"/>
          <w:sz w:val="18"/>
          <w:szCs w:val="18"/>
        </w:rPr>
        <w:lastRenderedPageBreak/>
        <w:t>明确规定补助对象，则采用以下方式将补助款划分为与收益相关的政府补助和与资产相关的政府补助：（</w:t>
      </w:r>
      <w:r w:rsidRPr="0063248C">
        <w:rPr>
          <w:rFonts w:ascii="Times New Roman" w:hAnsi="Times New Roman" w:cs="Times New Roman"/>
          <w:sz w:val="18"/>
          <w:szCs w:val="18"/>
        </w:rPr>
        <w:t>1</w:t>
      </w:r>
      <w:r w:rsidRPr="0063248C">
        <w:rPr>
          <w:rFonts w:ascii="Times New Roman" w:hAnsi="Times New Roman" w:hint="eastAsia"/>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sidRPr="0063248C">
        <w:rPr>
          <w:rFonts w:ascii="Times New Roman" w:hAnsi="Times New Roman" w:cs="Times New Roman"/>
          <w:sz w:val="18"/>
          <w:szCs w:val="18"/>
        </w:rPr>
        <w:t>2</w:t>
      </w:r>
      <w:r w:rsidRPr="0063248C">
        <w:rPr>
          <w:rFonts w:ascii="Times New Roman" w:hAnsi="Times New Roman" w:hint="eastAsia"/>
          <w:sz w:val="18"/>
          <w:szCs w:val="18"/>
        </w:rPr>
        <w:t>）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14:paraId="284D91B7" w14:textId="77777777" w:rsidR="00517D34" w:rsidRPr="0063248C" w:rsidRDefault="00000000" w:rsidP="0035454A">
      <w:pPr>
        <w:pStyle w:val="a3"/>
        <w:spacing w:before="0" w:beforeAutospacing="0" w:after="0" w:afterAutospacing="0" w:line="273" w:lineRule="auto"/>
        <w:ind w:firstLine="360"/>
        <w:jc w:val="both"/>
        <w:divId w:val="228351234"/>
        <w:rPr>
          <w:rFonts w:ascii="Times New Roman" w:hAnsi="Times New Roman"/>
        </w:rPr>
      </w:pPr>
      <w:r w:rsidRPr="0063248C">
        <w:rPr>
          <w:rFonts w:ascii="Times New Roman" w:hAnsi="Times New Roman" w:hint="eastAsia"/>
          <w:sz w:val="18"/>
          <w:szCs w:val="18"/>
        </w:rPr>
        <w:t>本集团对于政府补助通常在实际收到时，按照实</w:t>
      </w:r>
      <w:proofErr w:type="gramStart"/>
      <w:r w:rsidRPr="0063248C">
        <w:rPr>
          <w:rFonts w:ascii="Times New Roman" w:hAnsi="Times New Roman" w:hint="eastAsia"/>
          <w:sz w:val="18"/>
          <w:szCs w:val="18"/>
        </w:rPr>
        <w:t>收金额</w:t>
      </w:r>
      <w:proofErr w:type="gramEnd"/>
      <w:r w:rsidRPr="0063248C">
        <w:rPr>
          <w:rFonts w:ascii="Times New Roman" w:hAnsi="Times New Roman" w:hint="eastAsia"/>
          <w:sz w:val="18"/>
          <w:szCs w:val="18"/>
        </w:rPr>
        <w:t>予以确认和计量。但对于期末有确凿证据表明能够符合财政扶持政策规定的相关条件预计能够收到财政扶持资金，按照应收的金额计量。按照应收金额计量的政府补助应同时符合以下条件：（</w:t>
      </w:r>
      <w:r w:rsidRPr="0063248C">
        <w:rPr>
          <w:rFonts w:ascii="Times New Roman" w:hAnsi="Times New Roman" w:cs="Times New Roman"/>
          <w:sz w:val="18"/>
          <w:szCs w:val="18"/>
        </w:rPr>
        <w:t>1</w:t>
      </w:r>
      <w:r w:rsidRPr="0063248C">
        <w:rPr>
          <w:rFonts w:ascii="Times New Roman" w:hAnsi="Times New Roman" w:hint="eastAsia"/>
          <w:sz w:val="18"/>
          <w:szCs w:val="18"/>
        </w:rPr>
        <w:t>）应收补助款的金额已经过有权政府部门发文确认，或者可根据正式发布的财政资金管理办法的有关规定自行合理测算，且预计其金额不存在重大不确定性；（</w:t>
      </w:r>
      <w:r w:rsidRPr="0063248C">
        <w:rPr>
          <w:rFonts w:ascii="Times New Roman" w:hAnsi="Times New Roman" w:cs="Times New Roman"/>
          <w:sz w:val="18"/>
          <w:szCs w:val="18"/>
        </w:rPr>
        <w:t>2</w:t>
      </w:r>
      <w:r w:rsidRPr="0063248C">
        <w:rPr>
          <w:rFonts w:ascii="Times New Roman" w:hAnsi="Times New Roman" w:hint="eastAsia"/>
          <w:sz w:val="18"/>
          <w:szCs w:val="18"/>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r w:rsidRPr="0063248C">
        <w:rPr>
          <w:rFonts w:ascii="Times New Roman" w:hAnsi="Times New Roman" w:cs="Times New Roman"/>
          <w:sz w:val="18"/>
          <w:szCs w:val="18"/>
        </w:rPr>
        <w:t>3</w:t>
      </w:r>
      <w:r w:rsidRPr="0063248C">
        <w:rPr>
          <w:rFonts w:ascii="Times New Roman" w:hAnsi="Times New Roman" w:hint="eastAsia"/>
          <w:sz w:val="18"/>
          <w:szCs w:val="18"/>
        </w:rPr>
        <w:t>）相关的补助款批文中已明确承诺了拨付期限，且该款项的拨付是有相应财政预算作为保障的，因而可以合理保证其可在规定期限内收到；（</w:t>
      </w:r>
      <w:r w:rsidRPr="0063248C">
        <w:rPr>
          <w:rFonts w:ascii="Times New Roman" w:hAnsi="Times New Roman" w:cs="Times New Roman"/>
          <w:sz w:val="18"/>
          <w:szCs w:val="18"/>
        </w:rPr>
        <w:t>4</w:t>
      </w:r>
      <w:r w:rsidRPr="0063248C">
        <w:rPr>
          <w:rFonts w:ascii="Times New Roman" w:hAnsi="Times New Roman" w:hint="eastAsia"/>
          <w:sz w:val="18"/>
          <w:szCs w:val="18"/>
        </w:rPr>
        <w:t>）根据本集团和该补助事项的具体情况，应满足的其他相关条件（如有）。</w:t>
      </w:r>
    </w:p>
    <w:p w14:paraId="42DBD486" w14:textId="77777777" w:rsidR="00517D34" w:rsidRPr="0063248C" w:rsidRDefault="00000000" w:rsidP="0035454A">
      <w:pPr>
        <w:pStyle w:val="a3"/>
        <w:spacing w:before="0" w:beforeAutospacing="0" w:after="0" w:afterAutospacing="0" w:line="273" w:lineRule="auto"/>
        <w:ind w:firstLine="360"/>
        <w:jc w:val="both"/>
        <w:divId w:val="228351234"/>
        <w:rPr>
          <w:rFonts w:ascii="Times New Roman" w:hAnsi="Times New Roman"/>
        </w:rPr>
      </w:pPr>
      <w:r w:rsidRPr="0063248C">
        <w:rPr>
          <w:rFonts w:ascii="Times New Roman" w:hAnsi="Times New Roman" w:hint="eastAsia"/>
          <w:sz w:val="18"/>
          <w:szCs w:val="18"/>
        </w:rPr>
        <w:t>与资产相关的政府补助，</w:t>
      </w:r>
      <w:proofErr w:type="gramStart"/>
      <w:r w:rsidRPr="0063248C">
        <w:rPr>
          <w:rFonts w:ascii="Times New Roman" w:hAnsi="Times New Roman" w:hint="eastAsia"/>
          <w:sz w:val="18"/>
          <w:szCs w:val="18"/>
        </w:rPr>
        <w:t>确认为递延</w:t>
      </w:r>
      <w:proofErr w:type="gramEnd"/>
      <w:r w:rsidRPr="0063248C">
        <w:rPr>
          <w:rFonts w:ascii="Times New Roman" w:hAnsi="Times New Roman" w:hint="eastAsia"/>
          <w:sz w:val="18"/>
          <w:szCs w:val="18"/>
        </w:rPr>
        <w:t>收益，并在相关资产的使用寿命内按照合理、系统的方法分期计入当期损益。与收益相关的政府补助，用于补偿以后期间的相关成本费用或损失的，</w:t>
      </w:r>
      <w:proofErr w:type="gramStart"/>
      <w:r w:rsidRPr="0063248C">
        <w:rPr>
          <w:rFonts w:ascii="Times New Roman" w:hAnsi="Times New Roman" w:hint="eastAsia"/>
          <w:sz w:val="18"/>
          <w:szCs w:val="18"/>
        </w:rPr>
        <w:t>确认为递延</w:t>
      </w:r>
      <w:proofErr w:type="gramEnd"/>
      <w:r w:rsidRPr="0063248C">
        <w:rPr>
          <w:rFonts w:ascii="Times New Roman" w:hAnsi="Times New Roman" w:hint="eastAsia"/>
          <w:sz w:val="18"/>
          <w:szCs w:val="18"/>
        </w:rPr>
        <w:t>收益，并在确认相关成本费用或损失的期间计入当期损益；用于补偿已经发生的相关成本费用或损失的，直接计入当期损益。</w:t>
      </w:r>
    </w:p>
    <w:p w14:paraId="0674F79E" w14:textId="77777777" w:rsidR="00517D34" w:rsidRPr="0063248C" w:rsidRDefault="00000000" w:rsidP="0035454A">
      <w:pPr>
        <w:pStyle w:val="a3"/>
        <w:spacing w:before="0" w:beforeAutospacing="0" w:after="0" w:afterAutospacing="0" w:line="273" w:lineRule="auto"/>
        <w:ind w:firstLine="360"/>
        <w:jc w:val="both"/>
        <w:divId w:val="228351234"/>
        <w:rPr>
          <w:rFonts w:ascii="Times New Roman" w:hAnsi="Times New Roman"/>
        </w:rPr>
      </w:pPr>
      <w:r w:rsidRPr="0063248C">
        <w:rPr>
          <w:rFonts w:ascii="Times New Roman" w:hAnsi="Times New Roman" w:hint="eastAsia"/>
          <w:sz w:val="18"/>
          <w:szCs w:val="18"/>
        </w:rPr>
        <w:t>同时包含与资产相关部分和与收益相关部分的政府补助，区分不同部分分别进行会计处理；难以区分的，将其整体归类为与收益相关的政府补助。</w:t>
      </w:r>
    </w:p>
    <w:p w14:paraId="504C2132" w14:textId="77777777" w:rsidR="00517D34" w:rsidRPr="0063248C" w:rsidRDefault="00000000" w:rsidP="0035454A">
      <w:pPr>
        <w:pStyle w:val="a3"/>
        <w:spacing w:before="0" w:beforeAutospacing="0" w:after="0" w:afterAutospacing="0" w:line="273" w:lineRule="auto"/>
        <w:ind w:firstLine="360"/>
        <w:jc w:val="both"/>
        <w:divId w:val="228351234"/>
        <w:rPr>
          <w:rFonts w:ascii="Times New Roman" w:hAnsi="Times New Roman"/>
        </w:rPr>
      </w:pPr>
      <w:r w:rsidRPr="0063248C">
        <w:rPr>
          <w:rFonts w:ascii="Times New Roman" w:hAnsi="Times New Roman" w:hint="eastAsia"/>
          <w:sz w:val="18"/>
          <w:szCs w:val="18"/>
        </w:rPr>
        <w:t>与本集团日常活动相关的政府补助，按照经济业务的实质，计入其他收益或冲减相关成本费用；与日常活动无关的政府补助，计入营业外收支。</w:t>
      </w:r>
    </w:p>
    <w:p w14:paraId="13A248DE" w14:textId="77777777" w:rsidR="00517D34" w:rsidRPr="0063248C" w:rsidRDefault="00000000" w:rsidP="0035454A">
      <w:pPr>
        <w:pStyle w:val="a3"/>
        <w:spacing w:before="0" w:beforeAutospacing="0" w:after="0" w:afterAutospacing="0" w:line="273" w:lineRule="auto"/>
        <w:ind w:firstLine="360"/>
        <w:jc w:val="both"/>
        <w:divId w:val="228351234"/>
        <w:rPr>
          <w:rFonts w:ascii="Times New Roman" w:hAnsi="Times New Roman"/>
        </w:rPr>
      </w:pPr>
      <w:r w:rsidRPr="0063248C">
        <w:rPr>
          <w:rFonts w:ascii="Times New Roman" w:hAnsi="Times New Roman" w:hint="eastAsia"/>
          <w:sz w:val="18"/>
          <w:szCs w:val="18"/>
        </w:rPr>
        <w:t>已确认的政府补助需要退回时，存在相关递延收益余额的，冲减相关递延收益账面余额，超出部分计入当期损益；属于其他情况的，直接计入当期损益。</w:t>
      </w:r>
    </w:p>
    <w:p w14:paraId="53D22DFC" w14:textId="77777777" w:rsidR="007B3DB2" w:rsidRPr="0063248C" w:rsidRDefault="00000000">
      <w:pPr>
        <w:pStyle w:val="3"/>
        <w:spacing w:line="280" w:lineRule="exact"/>
        <w:jc w:val="left"/>
        <w:rPr>
          <w:rFonts w:cs="宋体"/>
          <w:b/>
          <w:bCs/>
        </w:rPr>
      </w:pPr>
      <w:bookmarkStart w:id="164" w:name="_Toc989053"/>
      <w:r w:rsidRPr="0063248C">
        <w:rPr>
          <w:rFonts w:cs="宋体"/>
          <w:b/>
          <w:bCs/>
        </w:rPr>
        <w:t>40</w:t>
      </w:r>
      <w:r w:rsidRPr="0063248C">
        <w:rPr>
          <w:rFonts w:cs="宋体"/>
          <w:b/>
          <w:bCs/>
        </w:rPr>
        <w:t>、递延所得税资产</w:t>
      </w:r>
      <w:r w:rsidRPr="0063248C">
        <w:rPr>
          <w:rFonts w:cs="宋体"/>
          <w:b/>
          <w:bCs/>
        </w:rPr>
        <w:t>/</w:t>
      </w:r>
      <w:r w:rsidRPr="0063248C">
        <w:rPr>
          <w:rFonts w:cs="宋体"/>
          <w:b/>
          <w:bCs/>
        </w:rPr>
        <w:t>递延所得税负债</w:t>
      </w:r>
      <w:bookmarkEnd w:id="164"/>
    </w:p>
    <w:p w14:paraId="413B055F"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当期所得税</w:t>
      </w:r>
    </w:p>
    <w:p w14:paraId="1049EBC6"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资产负债表日，对于当期和以前期间形成的当期所得税负债（或资产），以按照税法规定计算的预期应交纳（或返还）的所得税金额计量。计算当期所得税费用所依据的应纳税</w:t>
      </w:r>
      <w:proofErr w:type="gramStart"/>
      <w:r w:rsidRPr="0063248C">
        <w:rPr>
          <w:rFonts w:ascii="Times New Roman" w:hAnsi="Times New Roman" w:hint="eastAsia"/>
          <w:sz w:val="18"/>
          <w:szCs w:val="18"/>
        </w:rPr>
        <w:t>所得额系根据</w:t>
      </w:r>
      <w:proofErr w:type="gramEnd"/>
      <w:r w:rsidRPr="0063248C">
        <w:rPr>
          <w:rFonts w:ascii="Times New Roman" w:hAnsi="Times New Roman" w:hint="eastAsia"/>
          <w:sz w:val="18"/>
          <w:szCs w:val="18"/>
        </w:rPr>
        <w:t>有关税法规定对本报告期税前会计利润作相应调整后计算得出。</w:t>
      </w:r>
    </w:p>
    <w:p w14:paraId="7EE6D1BC"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递延所得税资产及递延所得税负债</w:t>
      </w:r>
    </w:p>
    <w:p w14:paraId="78090C15"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递延所得税资产和递延所得税负债根据资产和负债的计税基础与其账面价值的差额</w:t>
      </w:r>
      <w:r w:rsidRPr="0063248C">
        <w:rPr>
          <w:rFonts w:ascii="Times New Roman" w:hAnsi="Times New Roman" w:cs="Times New Roman"/>
          <w:sz w:val="18"/>
          <w:szCs w:val="18"/>
        </w:rPr>
        <w:t>(</w:t>
      </w:r>
      <w:r w:rsidRPr="0063248C">
        <w:rPr>
          <w:rFonts w:ascii="Times New Roman" w:hAnsi="Times New Roman" w:hint="eastAsia"/>
          <w:sz w:val="18"/>
          <w:szCs w:val="18"/>
        </w:rPr>
        <w:t>包括应纳税暂时性差异和可抵扣暂时性差异</w:t>
      </w:r>
      <w:r w:rsidRPr="0063248C">
        <w:rPr>
          <w:rFonts w:ascii="Times New Roman" w:hAnsi="Times New Roman" w:cs="Times New Roman"/>
          <w:sz w:val="18"/>
          <w:szCs w:val="18"/>
        </w:rPr>
        <w:t>)</w:t>
      </w:r>
      <w:r w:rsidRPr="0063248C">
        <w:rPr>
          <w:rFonts w:ascii="Times New Roman" w:hAnsi="Times New Roman" w:hint="eastAsia"/>
          <w:sz w:val="18"/>
          <w:szCs w:val="18"/>
        </w:rPr>
        <w:t>计算确认。对于按照税法规定能够于以后年度抵减应纳税所得额的可抵扣亏损，视同可抵扣暂时性差异。对于商誉的初始确认产生的暂时性差异，不确认相应的递延所得税负债。</w:t>
      </w:r>
    </w:p>
    <w:p w14:paraId="0E218C53"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除单项交易（包括承租人在租赁期开始日初始确认租赁负债并计入使用权资产的租赁交易，以及因固定资产等存在弃置义务而确认预计负债并计入相关资产成本的交易等）之外，对于</w:t>
      </w:r>
      <w:proofErr w:type="gramStart"/>
      <w:r w:rsidRPr="0063248C">
        <w:rPr>
          <w:rFonts w:ascii="Times New Roman" w:hAnsi="Times New Roman" w:hint="eastAsia"/>
          <w:sz w:val="18"/>
          <w:szCs w:val="18"/>
        </w:rPr>
        <w:t>其他既</w:t>
      </w:r>
      <w:proofErr w:type="gramEnd"/>
      <w:r w:rsidRPr="0063248C">
        <w:rPr>
          <w:rFonts w:ascii="Times New Roman" w:hAnsi="Times New Roman" w:hint="eastAsia"/>
          <w:sz w:val="18"/>
          <w:szCs w:val="18"/>
        </w:rPr>
        <w:t>不影响会计利润也不影响应纳税所得额</w:t>
      </w:r>
      <w:r w:rsidRPr="0063248C">
        <w:rPr>
          <w:rFonts w:ascii="Times New Roman" w:hAnsi="Times New Roman" w:cs="Times New Roman"/>
          <w:sz w:val="18"/>
          <w:szCs w:val="18"/>
        </w:rPr>
        <w:t>(</w:t>
      </w:r>
      <w:r w:rsidRPr="0063248C">
        <w:rPr>
          <w:rFonts w:ascii="Times New Roman" w:hAnsi="Times New Roman" w:hint="eastAsia"/>
          <w:sz w:val="18"/>
          <w:szCs w:val="18"/>
        </w:rPr>
        <w:t>或可抵扣亏损</w:t>
      </w:r>
      <w:r w:rsidRPr="0063248C">
        <w:rPr>
          <w:rFonts w:ascii="Times New Roman" w:hAnsi="Times New Roman" w:cs="Times New Roman"/>
          <w:sz w:val="18"/>
          <w:szCs w:val="18"/>
        </w:rPr>
        <w:t>)</w:t>
      </w:r>
      <w:r w:rsidRPr="0063248C">
        <w:rPr>
          <w:rFonts w:ascii="Times New Roman" w:hAnsi="Times New Roman" w:hint="eastAsia"/>
          <w:sz w:val="18"/>
          <w:szCs w:val="18"/>
        </w:rPr>
        <w:t>的非企业合并的交易中产生的资产或负债的初始确认形成的暂时性差异，不确认相应的递延所得税资产和递延所得税负债。对于前述单项交易因资产和负债的初始确认所产生的应纳税暂时性差异和可抵扣暂时性差异，在交易发生时分别确认相应的递延所得税负债和递延所得税资产。</w:t>
      </w:r>
    </w:p>
    <w:p w14:paraId="38110805"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lastRenderedPageBreak/>
        <w:t>于资产负债表日，递延所得税资产和递延所得税负债，按照预期收回该资产或清偿该负债期间的适用税率计量。递延所得税资产的确认以本公司很可能取得用来抵扣可抵扣暂时性差异、可抵扣亏损和税款抵减的应纳税所得额为限。对子公司、联营企业及合营企业投资相关的暂时性差异产生的递延所得税资产和递延所得税负债，予以确认。但本公司能够控制暂时性差异转回的时间且该暂时性差异在可预见的未来很可能不会转回的，不予确认。</w:t>
      </w:r>
    </w:p>
    <w:p w14:paraId="006D86AE"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对于能够结转以后年度的可抵扣亏损和税款抵减，以很可能获得用来抵扣可抵扣亏损和税款抵减的未来应纳税所得额为限，确认相应的递延所得税资产。</w:t>
      </w:r>
    </w:p>
    <w:p w14:paraId="04D4730B"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于资产负债表日，对递延所得税资产的账面价值进行复核，如果未来很可能无法获得足够的应纳税所得额用以抵扣递延所得税资产的利益，则</w:t>
      </w:r>
      <w:proofErr w:type="gramStart"/>
      <w:r w:rsidRPr="0063248C">
        <w:rPr>
          <w:rFonts w:ascii="Times New Roman" w:hAnsi="Times New Roman" w:hint="eastAsia"/>
          <w:sz w:val="18"/>
          <w:szCs w:val="18"/>
        </w:rPr>
        <w:t>减记递</w:t>
      </w:r>
      <w:proofErr w:type="gramEnd"/>
      <w:r w:rsidRPr="0063248C">
        <w:rPr>
          <w:rFonts w:ascii="Times New Roman" w:hAnsi="Times New Roman" w:hint="eastAsia"/>
          <w:sz w:val="18"/>
          <w:szCs w:val="18"/>
        </w:rPr>
        <w:t>延所得税资产的账面价值。在很可能获得足够的应纳税所得额时，</w:t>
      </w:r>
      <w:proofErr w:type="gramStart"/>
      <w:r w:rsidRPr="0063248C">
        <w:rPr>
          <w:rFonts w:ascii="Times New Roman" w:hAnsi="Times New Roman" w:hint="eastAsia"/>
          <w:sz w:val="18"/>
          <w:szCs w:val="18"/>
        </w:rPr>
        <w:t>减记的</w:t>
      </w:r>
      <w:proofErr w:type="gramEnd"/>
      <w:r w:rsidRPr="0063248C">
        <w:rPr>
          <w:rFonts w:ascii="Times New Roman" w:hAnsi="Times New Roman" w:hint="eastAsia"/>
          <w:sz w:val="18"/>
          <w:szCs w:val="18"/>
        </w:rPr>
        <w:t>金额予以转回。</w:t>
      </w:r>
    </w:p>
    <w:p w14:paraId="654E1874"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所得税费用</w:t>
      </w:r>
    </w:p>
    <w:p w14:paraId="000D0CF8"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所得税费用包括当期所得税和递延所得税。</w:t>
      </w:r>
    </w:p>
    <w:p w14:paraId="0FB72CC3"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14:paraId="013CDDD5"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所得税的</w:t>
      </w:r>
      <w:proofErr w:type="gramStart"/>
      <w:r w:rsidRPr="0063248C">
        <w:rPr>
          <w:rFonts w:ascii="Times New Roman" w:hAnsi="Times New Roman" w:hint="eastAsia"/>
          <w:sz w:val="18"/>
          <w:szCs w:val="18"/>
        </w:rPr>
        <w:t>抵销</w:t>
      </w:r>
      <w:proofErr w:type="gramEnd"/>
    </w:p>
    <w:p w14:paraId="1716DCDD"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当拥有以净额结算的法定权利，且意图以净额结算或取得资产、清偿负债同时进行时，本集团当期所得税资产及当期所得税负债以</w:t>
      </w:r>
      <w:proofErr w:type="gramStart"/>
      <w:r w:rsidRPr="0063248C">
        <w:rPr>
          <w:rFonts w:ascii="Times New Roman" w:hAnsi="Times New Roman" w:hint="eastAsia"/>
          <w:sz w:val="18"/>
          <w:szCs w:val="18"/>
        </w:rPr>
        <w:t>抵销</w:t>
      </w:r>
      <w:proofErr w:type="gramEnd"/>
      <w:r w:rsidRPr="0063248C">
        <w:rPr>
          <w:rFonts w:ascii="Times New Roman" w:hAnsi="Times New Roman" w:hint="eastAsia"/>
          <w:sz w:val="18"/>
          <w:szCs w:val="18"/>
        </w:rPr>
        <w:t>后的净额列报。</w:t>
      </w:r>
    </w:p>
    <w:p w14:paraId="6323B935" w14:textId="77777777" w:rsidR="00517D34" w:rsidRPr="0063248C" w:rsidRDefault="00000000" w:rsidP="0035454A">
      <w:pPr>
        <w:pStyle w:val="a3"/>
        <w:spacing w:before="0" w:beforeAutospacing="0" w:after="0" w:afterAutospacing="0" w:line="273" w:lineRule="auto"/>
        <w:ind w:firstLine="360"/>
        <w:jc w:val="both"/>
        <w:divId w:val="973406293"/>
        <w:rPr>
          <w:rFonts w:ascii="Times New Roman" w:hAnsi="Times New Roman"/>
          <w:sz w:val="21"/>
          <w:szCs w:val="21"/>
        </w:rPr>
      </w:pPr>
      <w:r w:rsidRPr="0063248C">
        <w:rPr>
          <w:rFonts w:ascii="Times New Roman" w:hAnsi="Times New Roman" w:hint="eastAsia"/>
          <w:sz w:val="18"/>
          <w:szCs w:val="18"/>
        </w:rPr>
        <w:t>当拥有以净额结算当期所得税资产及当期所得税负债的法定权利，</w:t>
      </w:r>
      <w:proofErr w:type="gramStart"/>
      <w:r w:rsidRPr="0063248C">
        <w:rPr>
          <w:rFonts w:ascii="Times New Roman" w:hAnsi="Times New Roman" w:hint="eastAsia"/>
          <w:sz w:val="18"/>
          <w:szCs w:val="18"/>
        </w:rPr>
        <w:t>且递延</w:t>
      </w:r>
      <w:proofErr w:type="gramEnd"/>
      <w:r w:rsidRPr="0063248C">
        <w:rPr>
          <w:rFonts w:ascii="Times New Roman" w:hAnsi="Times New Roman" w:hint="eastAsia"/>
          <w:sz w:val="18"/>
          <w:szCs w:val="18"/>
        </w:rPr>
        <w:t>所得税资产及递延所得税负债是与同</w:t>
      </w:r>
      <w:proofErr w:type="gramStart"/>
      <w:r w:rsidRPr="0063248C">
        <w:rPr>
          <w:rFonts w:ascii="Times New Roman" w:hAnsi="Times New Roman" w:hint="eastAsia"/>
          <w:sz w:val="18"/>
          <w:szCs w:val="18"/>
        </w:rPr>
        <w:t>一税收</w:t>
      </w:r>
      <w:proofErr w:type="gramEnd"/>
      <w:r w:rsidRPr="0063248C">
        <w:rPr>
          <w:rFonts w:ascii="Times New Roman" w:hAnsi="Times New Roman" w:hint="eastAsia"/>
          <w:sz w:val="18"/>
          <w:szCs w:val="18"/>
        </w:rPr>
        <w:t>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集团递延所得税资产及递延所得税负债以</w:t>
      </w:r>
      <w:proofErr w:type="gramStart"/>
      <w:r w:rsidRPr="0063248C">
        <w:rPr>
          <w:rFonts w:ascii="Times New Roman" w:hAnsi="Times New Roman" w:hint="eastAsia"/>
          <w:sz w:val="18"/>
          <w:szCs w:val="18"/>
        </w:rPr>
        <w:t>抵销</w:t>
      </w:r>
      <w:proofErr w:type="gramEnd"/>
      <w:r w:rsidRPr="0063248C">
        <w:rPr>
          <w:rFonts w:ascii="Times New Roman" w:hAnsi="Times New Roman" w:hint="eastAsia"/>
          <w:sz w:val="18"/>
          <w:szCs w:val="18"/>
        </w:rPr>
        <w:t>后的净额列报。</w:t>
      </w:r>
    </w:p>
    <w:p w14:paraId="6C851EDE" w14:textId="77777777" w:rsidR="007B3DB2" w:rsidRPr="0063248C" w:rsidRDefault="00000000">
      <w:pPr>
        <w:pStyle w:val="3"/>
        <w:spacing w:line="280" w:lineRule="exact"/>
        <w:jc w:val="left"/>
        <w:rPr>
          <w:rFonts w:cs="宋体"/>
          <w:b/>
          <w:bCs/>
        </w:rPr>
      </w:pPr>
      <w:bookmarkStart w:id="165" w:name="_Toc989054"/>
      <w:r w:rsidRPr="0063248C">
        <w:rPr>
          <w:rFonts w:cs="宋体"/>
          <w:b/>
          <w:bCs/>
        </w:rPr>
        <w:t>41</w:t>
      </w:r>
      <w:r w:rsidRPr="0063248C">
        <w:rPr>
          <w:rFonts w:cs="宋体"/>
          <w:b/>
          <w:bCs/>
        </w:rPr>
        <w:t>、租赁</w:t>
      </w:r>
      <w:bookmarkEnd w:id="165"/>
    </w:p>
    <w:p w14:paraId="49FE1D4A" w14:textId="77777777" w:rsidR="007B3DB2" w:rsidRPr="0063248C" w:rsidRDefault="00000000">
      <w:pPr>
        <w:keepNext/>
        <w:keepLines/>
        <w:spacing w:before="300" w:after="300" w:line="280" w:lineRule="exact"/>
        <w:outlineLvl w:val="3"/>
        <w:rPr>
          <w:rFonts w:cs="宋体"/>
          <w:b/>
          <w:bCs/>
          <w:szCs w:val="21"/>
        </w:rPr>
      </w:pPr>
      <w:bookmarkStart w:id="166" w:name="_Toc989055"/>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作为承租方租赁的会计处理方法</w:t>
      </w:r>
      <w:bookmarkEnd w:id="166"/>
    </w:p>
    <w:p w14:paraId="34B6766D"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租赁变更</w:t>
      </w:r>
    </w:p>
    <w:p w14:paraId="56EA0591"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租赁变更，是指原合同条款之外的租赁范围、租赁对价、租赁期限的变更，包括增加或终止一项或多项租赁资产的使用权，延长或缩短合同规定的租赁期等。租赁变更生效日，是指双方就租赁变更达成一致的日期。</w:t>
      </w:r>
    </w:p>
    <w:p w14:paraId="6AE480F0"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租赁发生变更且同时符合下列条件的，本公司将该租赁变更作为一项单独租赁进行会计处理：</w:t>
      </w:r>
    </w:p>
    <w:p w14:paraId="5B335B4A"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1</w:t>
      </w:r>
      <w:r w:rsidRPr="0063248C">
        <w:rPr>
          <w:rFonts w:ascii="Times New Roman" w:hAnsi="Times New Roman" w:hint="eastAsia"/>
          <w:sz w:val="18"/>
          <w:szCs w:val="18"/>
        </w:rPr>
        <w:t>）该租赁变更通过增加一项或多项租赁资产的使用权而扩大了租赁范围；</w:t>
      </w:r>
    </w:p>
    <w:p w14:paraId="5C42197F"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2</w:t>
      </w:r>
      <w:r w:rsidRPr="0063248C">
        <w:rPr>
          <w:rFonts w:ascii="Times New Roman" w:hAnsi="Times New Roman" w:hint="eastAsia"/>
          <w:sz w:val="18"/>
          <w:szCs w:val="18"/>
        </w:rPr>
        <w:t>）增加的对价与租赁范围扩大部分的单独价格按该合同情况调整后的金额相当。</w:t>
      </w:r>
    </w:p>
    <w:p w14:paraId="6ED90163"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租赁变更未作为一项单独租赁进行会计处理的，在租赁变更生效日，本公司按照租赁准则有关租赁分拆的规定对变更后合同的对价进行分摊，重新确定变更后的租赁期；并采用修订后的折现率对变更后的租赁付款额进行折现，以重新计量租赁负债。在计算变更后租赁付款额的现值时，本公司采用剩余租赁期间的租赁内含利率作为折现率；无法确定剩余租赁期间的租赁内含利率的，本公司采用租赁变更生效日的承租人增量借款利率作为折现率。就上述租赁负债调整的影响，本公司区分以下情形进行会计处理：</w:t>
      </w:r>
    </w:p>
    <w:p w14:paraId="16173485"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1</w:t>
      </w:r>
      <w:r w:rsidRPr="0063248C">
        <w:rPr>
          <w:rFonts w:ascii="Times New Roman" w:hAnsi="Times New Roman" w:hint="eastAsia"/>
          <w:sz w:val="18"/>
          <w:szCs w:val="18"/>
        </w:rPr>
        <w:t>）租赁变更导致租赁范围缩小或租赁期缩短的，承租人应当调减使用权资产的账面价值，并将部分终止或完全终止租赁的相关利得或损失计入当期损益。</w:t>
      </w:r>
    </w:p>
    <w:p w14:paraId="1346880B"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2</w:t>
      </w:r>
      <w:r w:rsidRPr="0063248C">
        <w:rPr>
          <w:rFonts w:ascii="Times New Roman" w:hAnsi="Times New Roman" w:hint="eastAsia"/>
          <w:sz w:val="18"/>
          <w:szCs w:val="18"/>
        </w:rPr>
        <w:t>）其他租赁变更导致租赁负债重新计量的，承租人相应调整使用权资产的账面价值。</w:t>
      </w:r>
    </w:p>
    <w:p w14:paraId="13DDCA8B"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短期租赁和低价值资产租赁</w:t>
      </w:r>
    </w:p>
    <w:p w14:paraId="3EAFE0FB"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lastRenderedPageBreak/>
        <w:t>对于租赁期不超过</w:t>
      </w:r>
      <w:r w:rsidRPr="0063248C">
        <w:rPr>
          <w:rFonts w:ascii="Times New Roman" w:hAnsi="Times New Roman" w:cs="Times New Roman"/>
          <w:sz w:val="18"/>
          <w:szCs w:val="18"/>
        </w:rPr>
        <w:t>12</w:t>
      </w:r>
      <w:r w:rsidRPr="0063248C">
        <w:rPr>
          <w:rFonts w:ascii="Times New Roman" w:hAnsi="Times New Roman" w:hint="eastAsia"/>
          <w:sz w:val="18"/>
          <w:szCs w:val="18"/>
        </w:rPr>
        <w:t>个月的短期租赁和单项租赁资产为全新资产时价值较低的低价值资产租赁，本公司选择不确认使用权资产和租赁负债。本公司将短期租赁和低价值资产租赁的租赁付款额，在租赁期内各个期间按照直线法或其他系统合理的方法计入相关资产成本或当期损益。</w:t>
      </w:r>
    </w:p>
    <w:p w14:paraId="7C56D6A5"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使用权资产</w:t>
      </w:r>
    </w:p>
    <w:p w14:paraId="2A757380"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使用权资产，是指本公司作为承租人可在租赁期内使用租赁资产的权利。</w:t>
      </w:r>
    </w:p>
    <w:p w14:paraId="76DCBD34"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在租赁期开始日，本公司按照成本对使用权资产进行初始计量。</w:t>
      </w:r>
      <w:proofErr w:type="gramStart"/>
      <w:r w:rsidRPr="0063248C">
        <w:rPr>
          <w:rFonts w:ascii="Times New Roman" w:hAnsi="Times New Roman" w:hint="eastAsia"/>
          <w:sz w:val="18"/>
          <w:szCs w:val="18"/>
        </w:rPr>
        <w:t>该成本</w:t>
      </w:r>
      <w:proofErr w:type="gramEnd"/>
      <w:r w:rsidRPr="0063248C">
        <w:rPr>
          <w:rFonts w:ascii="Times New Roman" w:hAnsi="Times New Roman" w:hint="eastAsia"/>
          <w:sz w:val="18"/>
          <w:szCs w:val="18"/>
        </w:rPr>
        <w:t>包括下列四项：</w:t>
      </w:r>
    </w:p>
    <w:p w14:paraId="0D536D94"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1</w:t>
      </w:r>
      <w:r w:rsidRPr="0063248C">
        <w:rPr>
          <w:rFonts w:ascii="Times New Roman" w:hAnsi="Times New Roman" w:hint="eastAsia"/>
          <w:sz w:val="18"/>
          <w:szCs w:val="18"/>
        </w:rPr>
        <w:t>）租赁负债的初始计量金额；</w:t>
      </w:r>
    </w:p>
    <w:p w14:paraId="549F79A4"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2</w:t>
      </w:r>
      <w:r w:rsidRPr="0063248C">
        <w:rPr>
          <w:rFonts w:ascii="Times New Roman" w:hAnsi="Times New Roman" w:hint="eastAsia"/>
          <w:sz w:val="18"/>
          <w:szCs w:val="18"/>
        </w:rPr>
        <w:t>）在租赁期开始日或之前支付的租赁付款额，存在租赁激励的，扣除已享受的租赁激励相关金额；</w:t>
      </w:r>
    </w:p>
    <w:p w14:paraId="050A6F3C"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3</w:t>
      </w:r>
      <w:r w:rsidRPr="0063248C">
        <w:rPr>
          <w:rFonts w:ascii="Times New Roman" w:hAnsi="Times New Roman" w:hint="eastAsia"/>
          <w:sz w:val="18"/>
          <w:szCs w:val="18"/>
        </w:rPr>
        <w:t>）承租人发生的初始直接费用；</w:t>
      </w:r>
    </w:p>
    <w:p w14:paraId="7C59FE6D"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4</w:t>
      </w:r>
      <w:r w:rsidRPr="0063248C">
        <w:rPr>
          <w:rFonts w:ascii="Times New Roman" w:hAnsi="Times New Roman" w:hint="eastAsia"/>
          <w:sz w:val="18"/>
          <w:szCs w:val="18"/>
        </w:rPr>
        <w:t>）承租人为拆卸及移除租赁资产、复原租赁资产所在场地或将租赁资产恢复至租赁条款约定状态预计将发生的成本，属于为生产存货而发生的除外。</w:t>
      </w:r>
    </w:p>
    <w:p w14:paraId="23828D31"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在租赁期开始日后，本公司采用成本模式对使用权资产进行后续计量，即以成本减累计折旧及累计减值损失计量使用权资产。</w:t>
      </w:r>
    </w:p>
    <w:p w14:paraId="626F525C"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本公司按照租赁准则有关规定重新计量租赁负债的，相应调整使用权资产的账面价值。</w:t>
      </w:r>
    </w:p>
    <w:p w14:paraId="63B79126"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自租赁期开始日起，本公司对使用权资产计提折旧。使用权资产通常自租赁期开始的当月计提折旧。计提的折旧金额根据使用权资产的用途，计入相关资产的成本或者当期损益。</w:t>
      </w:r>
    </w:p>
    <w:p w14:paraId="14485711"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本公司在确定使用权资产的折旧方法时，根据与使用权资产有关的经济利益的预期实现方式做出决定，以直线法对使用权资产计提折旧。</w:t>
      </w:r>
    </w:p>
    <w:p w14:paraId="3640EF1C"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本公司在确定使用权资产的折旧年限时，遵循以下原则：能够合理确定租赁期届满时取得租赁资产所有权的，在租赁资产剩余使用寿命内计提折旧；无法合理确定租赁期届满时能够取得租赁资产所有权的，在租赁期与租赁资产剩余使用寿命两者孰短的期间内计提折旧。</w:t>
      </w:r>
    </w:p>
    <w:p w14:paraId="7421C708"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如果使用权资产发生减值，本公司按照扣除减值损失之后的使用权资产的账面价值，进行后续折旧。</w:t>
      </w:r>
    </w:p>
    <w:p w14:paraId="4EDD7125"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租赁负债</w:t>
      </w:r>
    </w:p>
    <w:p w14:paraId="204A805F"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本公司按照租赁期开始日尚未支付的租赁付款额的现值对租赁负债进行初始计量。</w:t>
      </w:r>
    </w:p>
    <w:p w14:paraId="652B6D83"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租赁付款额，是指本公司向出租人支付的与在租赁期内使用租赁资产的权利相关的款项，包括：</w:t>
      </w:r>
    </w:p>
    <w:p w14:paraId="4E1532D9"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1</w:t>
      </w:r>
      <w:r w:rsidRPr="0063248C">
        <w:rPr>
          <w:rFonts w:ascii="Times New Roman" w:hAnsi="Times New Roman" w:hint="eastAsia"/>
          <w:sz w:val="18"/>
          <w:szCs w:val="18"/>
        </w:rPr>
        <w:t>）固定付款额及实质固定付款额，存在租赁激励的，扣除租赁激励相关金额；</w:t>
      </w:r>
    </w:p>
    <w:p w14:paraId="1E4C9D21"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2</w:t>
      </w:r>
      <w:r w:rsidRPr="0063248C">
        <w:rPr>
          <w:rFonts w:ascii="Times New Roman" w:hAnsi="Times New Roman" w:hint="eastAsia"/>
          <w:sz w:val="18"/>
          <w:szCs w:val="18"/>
        </w:rPr>
        <w:t>）取决于指数或比率的可变租赁付款额，该款额在初始计量时根据租赁期开始日的指数或比率确定；</w:t>
      </w:r>
    </w:p>
    <w:p w14:paraId="7C34BCD9"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3</w:t>
      </w:r>
      <w:r w:rsidRPr="0063248C">
        <w:rPr>
          <w:rFonts w:ascii="Times New Roman" w:hAnsi="Times New Roman" w:hint="eastAsia"/>
          <w:sz w:val="18"/>
          <w:szCs w:val="18"/>
        </w:rPr>
        <w:t>）本公司合理确定将行使购买选择权时，购买选择权的行权价格；</w:t>
      </w:r>
    </w:p>
    <w:p w14:paraId="0E3DC413"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4</w:t>
      </w:r>
      <w:r w:rsidRPr="0063248C">
        <w:rPr>
          <w:rFonts w:ascii="Times New Roman" w:hAnsi="Times New Roman" w:hint="eastAsia"/>
          <w:sz w:val="18"/>
          <w:szCs w:val="18"/>
        </w:rPr>
        <w:t>）租赁</w:t>
      </w:r>
      <w:proofErr w:type="gramStart"/>
      <w:r w:rsidRPr="0063248C">
        <w:rPr>
          <w:rFonts w:ascii="Times New Roman" w:hAnsi="Times New Roman" w:hint="eastAsia"/>
          <w:sz w:val="18"/>
          <w:szCs w:val="18"/>
        </w:rPr>
        <w:t>期反映</w:t>
      </w:r>
      <w:proofErr w:type="gramEnd"/>
      <w:r w:rsidRPr="0063248C">
        <w:rPr>
          <w:rFonts w:ascii="Times New Roman" w:hAnsi="Times New Roman" w:hint="eastAsia"/>
          <w:sz w:val="18"/>
          <w:szCs w:val="18"/>
        </w:rPr>
        <w:t>出本公司将行使终止租赁选择权时，行使终止租赁选择权需支付的款项；</w:t>
      </w:r>
    </w:p>
    <w:p w14:paraId="7297CE76"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5</w:t>
      </w:r>
      <w:r w:rsidRPr="0063248C">
        <w:rPr>
          <w:rFonts w:ascii="Times New Roman" w:hAnsi="Times New Roman" w:hint="eastAsia"/>
          <w:sz w:val="18"/>
          <w:szCs w:val="18"/>
        </w:rPr>
        <w:t>）根据本公司提供的担保余值预计应支付的款项。</w:t>
      </w:r>
    </w:p>
    <w:p w14:paraId="44D88299"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在计算租赁付款额的现值时，本公司采用租赁内含利率作为折现率，该利率是指使出租人的</w:t>
      </w:r>
      <w:proofErr w:type="gramStart"/>
      <w:r w:rsidRPr="0063248C">
        <w:rPr>
          <w:rFonts w:ascii="Times New Roman" w:hAnsi="Times New Roman" w:hint="eastAsia"/>
          <w:sz w:val="18"/>
          <w:szCs w:val="18"/>
        </w:rPr>
        <w:t>租赁收</w:t>
      </w:r>
      <w:proofErr w:type="gramEnd"/>
      <w:r w:rsidRPr="0063248C">
        <w:rPr>
          <w:rFonts w:ascii="Times New Roman" w:hAnsi="Times New Roman" w:hint="eastAsia"/>
          <w:sz w:val="18"/>
          <w:szCs w:val="18"/>
        </w:rPr>
        <w:t>款额的现值与未担保余值的现值之和等于租赁资产公允价值与出租人的初始直接费用之和的利率。本公司因无法确定租赁内含利率的，采用增量借款利率作为折现率。该增量借款利率，是指本公司在类似经济环境下为获得与使用权资产价值接近的资产，在类似期间以类似抵押条件借入资金须支付的利率。该利率与下列事项相关：</w:t>
      </w:r>
    </w:p>
    <w:p w14:paraId="4116F9A1"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1</w:t>
      </w:r>
      <w:r w:rsidRPr="0063248C">
        <w:rPr>
          <w:rFonts w:ascii="Times New Roman" w:hAnsi="Times New Roman" w:hint="eastAsia"/>
          <w:sz w:val="18"/>
          <w:szCs w:val="18"/>
        </w:rPr>
        <w:t>）本公司自身情况，</w:t>
      </w:r>
      <w:proofErr w:type="gramStart"/>
      <w:r w:rsidRPr="0063248C">
        <w:rPr>
          <w:rFonts w:ascii="Times New Roman" w:hAnsi="Times New Roman" w:hint="eastAsia"/>
          <w:sz w:val="18"/>
          <w:szCs w:val="18"/>
        </w:rPr>
        <w:t>即集团</w:t>
      </w:r>
      <w:proofErr w:type="gramEnd"/>
      <w:r w:rsidRPr="0063248C">
        <w:rPr>
          <w:rFonts w:ascii="Times New Roman" w:hAnsi="Times New Roman" w:hint="eastAsia"/>
          <w:sz w:val="18"/>
          <w:szCs w:val="18"/>
        </w:rPr>
        <w:t>的偿债能力和信用状况；</w:t>
      </w:r>
    </w:p>
    <w:p w14:paraId="29736B5C"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2</w:t>
      </w:r>
      <w:r w:rsidRPr="0063248C">
        <w:rPr>
          <w:rFonts w:ascii="Times New Roman" w:hAnsi="Times New Roman" w:hint="eastAsia"/>
          <w:sz w:val="18"/>
          <w:szCs w:val="18"/>
        </w:rPr>
        <w:t>）“借款”的期限，即租赁期；</w:t>
      </w:r>
    </w:p>
    <w:p w14:paraId="4BEA620B"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3</w:t>
      </w:r>
      <w:r w:rsidRPr="0063248C">
        <w:rPr>
          <w:rFonts w:ascii="Times New Roman" w:hAnsi="Times New Roman" w:hint="eastAsia"/>
          <w:sz w:val="18"/>
          <w:szCs w:val="18"/>
        </w:rPr>
        <w:t>）“借入”资金的金额，即租赁负债的金额；</w:t>
      </w:r>
    </w:p>
    <w:p w14:paraId="79C00D9E"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4</w:t>
      </w:r>
      <w:r w:rsidRPr="0063248C">
        <w:rPr>
          <w:rFonts w:ascii="Times New Roman" w:hAnsi="Times New Roman" w:hint="eastAsia"/>
          <w:sz w:val="18"/>
          <w:szCs w:val="18"/>
        </w:rPr>
        <w:t>）“抵押条件”，即标的资产的性质和质量；</w:t>
      </w:r>
    </w:p>
    <w:p w14:paraId="57D76D7E"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5</w:t>
      </w:r>
      <w:r w:rsidRPr="0063248C">
        <w:rPr>
          <w:rFonts w:ascii="Times New Roman" w:hAnsi="Times New Roman" w:hint="eastAsia"/>
          <w:sz w:val="18"/>
          <w:szCs w:val="18"/>
        </w:rPr>
        <w:t>）经济环境，包括承租人所处的司法管辖区、计价货币、合同签订时间等。</w:t>
      </w:r>
    </w:p>
    <w:p w14:paraId="7E9067CA"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lastRenderedPageBreak/>
        <w:t>本公司以银行贷款利率为基础，考虑上述因素进行调整而得出该增量借款利率。</w:t>
      </w:r>
    </w:p>
    <w:p w14:paraId="04EABB9B"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在租赁期开始日后，本公司按以下原则对租赁负债进行后续计量：</w:t>
      </w:r>
    </w:p>
    <w:p w14:paraId="3C2BC94E"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1</w:t>
      </w:r>
      <w:r w:rsidRPr="0063248C">
        <w:rPr>
          <w:rFonts w:ascii="Times New Roman" w:hAnsi="Times New Roman" w:hint="eastAsia"/>
          <w:sz w:val="18"/>
          <w:szCs w:val="18"/>
        </w:rPr>
        <w:t>）确认租赁负债的利息时，增加租赁负债的账面金额；</w:t>
      </w:r>
    </w:p>
    <w:p w14:paraId="76D67E50"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2</w:t>
      </w:r>
      <w:r w:rsidRPr="0063248C">
        <w:rPr>
          <w:rFonts w:ascii="Times New Roman" w:hAnsi="Times New Roman" w:hint="eastAsia"/>
          <w:sz w:val="18"/>
          <w:szCs w:val="18"/>
        </w:rPr>
        <w:t>）支付租赁付款额时，减少租赁负债的账面金额；</w:t>
      </w:r>
    </w:p>
    <w:p w14:paraId="1DB8C01F"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3</w:t>
      </w:r>
      <w:r w:rsidRPr="0063248C">
        <w:rPr>
          <w:rFonts w:ascii="Times New Roman" w:hAnsi="Times New Roman" w:hint="eastAsia"/>
          <w:sz w:val="18"/>
          <w:szCs w:val="18"/>
        </w:rPr>
        <w:t>）因重估或租赁变更等原因导致租赁付款额发生变动时，重新计量租赁负债的账面价值。</w:t>
      </w:r>
    </w:p>
    <w:p w14:paraId="53AF1EE1"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按照固定的周期性利率计算租赁负债在租赁期内各期间的利息费用，并计入当期损益，但应当资本化的除外。周期性利率是指本公司对租赁负债进行初始计量时所采用的折现率，或者因租赁付款额发生变动或因租赁变更而需按照修订后的折现率对租赁负债进行重新计量时，本公司所采用的修订后的折现率。</w:t>
      </w:r>
    </w:p>
    <w:p w14:paraId="004091BB"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hint="eastAsia"/>
          <w:sz w:val="18"/>
          <w:szCs w:val="18"/>
        </w:rPr>
        <w:t>在租赁期开始日后，发生下列情形时，本公司按照变动后租赁付款额和修订后的折现率计算的现值重新计量租赁负债，并相应调整使用权资产的账面价值。使用权资产的账面价值已调减至零，但租赁负债仍需进一步调减的，本公司将剩余金额计入当期损益。</w:t>
      </w:r>
    </w:p>
    <w:p w14:paraId="48236D4D"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1</w:t>
      </w:r>
      <w:r w:rsidRPr="0063248C">
        <w:rPr>
          <w:rFonts w:ascii="Times New Roman" w:hAnsi="Times New Roman" w:hint="eastAsia"/>
          <w:sz w:val="18"/>
          <w:szCs w:val="18"/>
        </w:rPr>
        <w:t>）实质固定付款额发生变动；</w:t>
      </w:r>
    </w:p>
    <w:p w14:paraId="12250FEC"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2</w:t>
      </w:r>
      <w:r w:rsidRPr="0063248C">
        <w:rPr>
          <w:rFonts w:ascii="Times New Roman" w:hAnsi="Times New Roman" w:hint="eastAsia"/>
          <w:sz w:val="18"/>
          <w:szCs w:val="18"/>
        </w:rPr>
        <w:t>）担保余值预计的应付金额发生变动；</w:t>
      </w:r>
    </w:p>
    <w:p w14:paraId="32E096A5"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3</w:t>
      </w:r>
      <w:r w:rsidRPr="0063248C">
        <w:rPr>
          <w:rFonts w:ascii="Times New Roman" w:hAnsi="Times New Roman" w:hint="eastAsia"/>
          <w:sz w:val="18"/>
          <w:szCs w:val="18"/>
        </w:rPr>
        <w:t>）用于确定租赁付款额的指数或比率发生变动；</w:t>
      </w:r>
    </w:p>
    <w:p w14:paraId="6CFFFD79" w14:textId="77777777" w:rsidR="00517D34" w:rsidRPr="0063248C" w:rsidRDefault="00000000" w:rsidP="0035454A">
      <w:pPr>
        <w:pStyle w:val="a3"/>
        <w:spacing w:before="0" w:beforeAutospacing="0" w:after="0" w:afterAutospacing="0" w:line="273" w:lineRule="auto"/>
        <w:ind w:firstLine="360"/>
        <w:jc w:val="both"/>
        <w:divId w:val="932856879"/>
        <w:rPr>
          <w:rFonts w:ascii="Times New Roman" w:hAnsi="Times New Roman"/>
          <w:sz w:val="21"/>
          <w:szCs w:val="21"/>
        </w:rPr>
      </w:pPr>
      <w:r w:rsidRPr="0063248C">
        <w:rPr>
          <w:rFonts w:ascii="Times New Roman" w:hAnsi="Times New Roman" w:cs="Times New Roman"/>
          <w:sz w:val="18"/>
          <w:szCs w:val="18"/>
        </w:rPr>
        <w:t>4</w:t>
      </w:r>
      <w:r w:rsidRPr="0063248C">
        <w:rPr>
          <w:rFonts w:ascii="Times New Roman" w:hAnsi="Times New Roman" w:hint="eastAsia"/>
          <w:sz w:val="18"/>
          <w:szCs w:val="18"/>
        </w:rPr>
        <w:t>）购买选择权的评估结果发生变化；</w:t>
      </w:r>
    </w:p>
    <w:p w14:paraId="33ABFA60" w14:textId="77777777" w:rsidR="00517D34" w:rsidRPr="0063248C" w:rsidRDefault="00000000" w:rsidP="0035454A">
      <w:pPr>
        <w:pStyle w:val="a3"/>
        <w:spacing w:before="0" w:beforeAutospacing="0" w:after="0" w:afterAutospacing="0"/>
        <w:ind w:firstLineChars="200" w:firstLine="360"/>
        <w:jc w:val="both"/>
        <w:divId w:val="932856879"/>
        <w:rPr>
          <w:rFonts w:ascii="Times New Roman" w:hAnsi="Times New Roman"/>
          <w:sz w:val="21"/>
          <w:szCs w:val="21"/>
        </w:rPr>
      </w:pPr>
      <w:r w:rsidRPr="0063248C">
        <w:rPr>
          <w:rFonts w:ascii="Times New Roman" w:hAnsi="Times New Roman" w:cs="Times New Roman"/>
          <w:sz w:val="18"/>
          <w:szCs w:val="18"/>
        </w:rPr>
        <w:t>5</w:t>
      </w:r>
      <w:r w:rsidRPr="0063248C">
        <w:rPr>
          <w:rFonts w:ascii="Times New Roman" w:hAnsi="Times New Roman" w:hint="eastAsia"/>
          <w:sz w:val="18"/>
          <w:szCs w:val="18"/>
        </w:rPr>
        <w:t>）续租选择权或终止租赁选择权的评估结果或实际行使情况发生变化。</w:t>
      </w:r>
    </w:p>
    <w:p w14:paraId="67B1129C" w14:textId="77777777" w:rsidR="007B3DB2" w:rsidRPr="0063248C" w:rsidRDefault="00000000" w:rsidP="0035454A">
      <w:pPr>
        <w:keepNext/>
        <w:keepLines/>
        <w:spacing w:before="300" w:after="300" w:line="280" w:lineRule="exact"/>
        <w:jc w:val="both"/>
        <w:outlineLvl w:val="3"/>
        <w:rPr>
          <w:rFonts w:cs="宋体"/>
          <w:b/>
          <w:bCs/>
          <w:szCs w:val="21"/>
        </w:rPr>
      </w:pPr>
      <w:bookmarkStart w:id="167" w:name="_Toc989056"/>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作为出租方租赁的会计处理方法</w:t>
      </w:r>
      <w:bookmarkEnd w:id="167"/>
    </w:p>
    <w:p w14:paraId="0F23CD6E"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在租赁开始日，本公司将租赁分为融资租赁和经营租赁。</w:t>
      </w:r>
    </w:p>
    <w:p w14:paraId="6B8CB7DF"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如果一项租赁实质上转移了与租赁资产所有权有关的几乎全部风险和报酬，出租人将该项租赁分类为融资租赁，除融资租赁以外的其他租赁分类为经营租赁。</w:t>
      </w:r>
    </w:p>
    <w:p w14:paraId="1076C7B9"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经营租赁的会计处理</w:t>
      </w:r>
    </w:p>
    <w:p w14:paraId="37D8B24A"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在租赁期内各个期间，本公司采用直线法或其他系统合理的方法将经营租赁的</w:t>
      </w:r>
      <w:proofErr w:type="gramStart"/>
      <w:r w:rsidRPr="0063248C">
        <w:rPr>
          <w:rFonts w:ascii="Times New Roman" w:hAnsi="Times New Roman" w:hint="eastAsia"/>
          <w:sz w:val="18"/>
          <w:szCs w:val="18"/>
        </w:rPr>
        <w:t>租赁收</w:t>
      </w:r>
      <w:proofErr w:type="gramEnd"/>
      <w:r w:rsidRPr="0063248C">
        <w:rPr>
          <w:rFonts w:ascii="Times New Roman" w:hAnsi="Times New Roman" w:hint="eastAsia"/>
          <w:sz w:val="18"/>
          <w:szCs w:val="18"/>
        </w:rPr>
        <w:t>款额确认为租金收入。</w:t>
      </w:r>
    </w:p>
    <w:p w14:paraId="0F3C8F90"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提供免租期的，本公司将租金总额在不扣除免租期的整个租赁期内，按直线法进行分配，免租期内应当确认租金收入。本公司承担了承租人某些费用的，将该费用自租金收入总额中扣除，按扣除后的租金收入余额在租赁期内进行分配。</w:t>
      </w:r>
    </w:p>
    <w:p w14:paraId="215C3027"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本公司发生的与经营租赁有关的初始直接费用应当资本化至租赁标的资产的成本，在租赁期内按照与租金收入相同的确认基础分期计入当期损益。</w:t>
      </w:r>
    </w:p>
    <w:p w14:paraId="68AFFB6B"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对于经营租赁资产中的固定资产，本公司采用类似资产的折旧政策计提折旧；对于其他经营租赁资产，采用系统合理的方法进行摊销。</w:t>
      </w:r>
    </w:p>
    <w:p w14:paraId="424D1B00"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本公司取得的与经营租赁有关的未计入</w:t>
      </w:r>
      <w:proofErr w:type="gramStart"/>
      <w:r w:rsidRPr="0063248C">
        <w:rPr>
          <w:rFonts w:ascii="Times New Roman" w:hAnsi="Times New Roman" w:hint="eastAsia"/>
          <w:sz w:val="18"/>
          <w:szCs w:val="18"/>
        </w:rPr>
        <w:t>租赁收</w:t>
      </w:r>
      <w:proofErr w:type="gramEnd"/>
      <w:r w:rsidRPr="0063248C">
        <w:rPr>
          <w:rFonts w:ascii="Times New Roman" w:hAnsi="Times New Roman" w:hint="eastAsia"/>
          <w:sz w:val="18"/>
          <w:szCs w:val="18"/>
        </w:rPr>
        <w:t>款额的可变租赁付款额，在实际发生时计入当期损益。经营租赁发生变更的，本公司自变更生效日开始，将其作为一项新的租赁进行会计处理，与变更前租赁有关的预收或应收</w:t>
      </w:r>
      <w:proofErr w:type="gramStart"/>
      <w:r w:rsidRPr="0063248C">
        <w:rPr>
          <w:rFonts w:ascii="Times New Roman" w:hAnsi="Times New Roman" w:hint="eastAsia"/>
          <w:sz w:val="18"/>
          <w:szCs w:val="18"/>
        </w:rPr>
        <w:t>租赁收</w:t>
      </w:r>
      <w:proofErr w:type="gramEnd"/>
      <w:r w:rsidRPr="0063248C">
        <w:rPr>
          <w:rFonts w:ascii="Times New Roman" w:hAnsi="Times New Roman" w:hint="eastAsia"/>
          <w:sz w:val="18"/>
          <w:szCs w:val="18"/>
        </w:rPr>
        <w:t>款额视为新租赁的收款额。</w:t>
      </w:r>
    </w:p>
    <w:p w14:paraId="2311B4C1"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融资租赁会计处理</w:t>
      </w:r>
    </w:p>
    <w:p w14:paraId="79501D36"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w:t>
      </w:r>
      <w:proofErr w:type="gramStart"/>
      <w:r w:rsidRPr="0063248C">
        <w:rPr>
          <w:rFonts w:ascii="Times New Roman" w:hAnsi="Times New Roman" w:hint="eastAsia"/>
          <w:sz w:val="18"/>
          <w:szCs w:val="18"/>
        </w:rPr>
        <w:t>租赁收</w:t>
      </w:r>
      <w:proofErr w:type="gramEnd"/>
      <w:r w:rsidRPr="0063248C">
        <w:rPr>
          <w:rFonts w:ascii="Times New Roman" w:hAnsi="Times New Roman" w:hint="eastAsia"/>
          <w:sz w:val="18"/>
          <w:szCs w:val="18"/>
        </w:rPr>
        <w:t>款额按照租赁内含利率折现的现值之</w:t>
      </w:r>
      <w:proofErr w:type="gramStart"/>
      <w:r w:rsidRPr="0063248C">
        <w:rPr>
          <w:rFonts w:ascii="Times New Roman" w:hAnsi="Times New Roman" w:hint="eastAsia"/>
          <w:sz w:val="18"/>
          <w:szCs w:val="18"/>
        </w:rPr>
        <w:t>和</w:t>
      </w:r>
      <w:proofErr w:type="gramEnd"/>
      <w:r w:rsidRPr="0063248C">
        <w:rPr>
          <w:rFonts w:ascii="Times New Roman" w:hAnsi="Times New Roman" w:hint="eastAsia"/>
          <w:sz w:val="18"/>
          <w:szCs w:val="18"/>
        </w:rPr>
        <w:t>。</w:t>
      </w:r>
    </w:p>
    <w:p w14:paraId="117D9D4D"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本公司按照固定的周期性利率计算并确认租赁期内各个期间的利息收入。本公司取得的未纳入租赁投资净额计量的可变租赁付款额在实际发生时计入当期损益。</w:t>
      </w:r>
    </w:p>
    <w:p w14:paraId="1B08500B"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转租赁</w:t>
      </w:r>
    </w:p>
    <w:p w14:paraId="28F36AE6"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lastRenderedPageBreak/>
        <w:t>本公司作为转租出租人，将原租赁及转租赁合同作为两个合同单独核算。本公司基于原租赁产生的使用权资产，而不是租赁资产，对转租赁进行分类。</w:t>
      </w:r>
    </w:p>
    <w:p w14:paraId="1D58B62D"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售后租回</w:t>
      </w:r>
    </w:p>
    <w:p w14:paraId="6F518DCC"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本公司按照“收入”附注所述原则评估确定售后租回交易中的资产转让是否属于销售。</w:t>
      </w:r>
    </w:p>
    <w:p w14:paraId="26B9C6D1"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售后租回交易中的资产转让属于销售的，本公司作为承租人按原资产账面价值中与租回获得的使用权有关的部分，计量售后租回所形成的使用权资产，并仅就转让至出租人的权利确认相关利得或损失；售后租回交易中的资产转让不属于销售的，本公司作为承租人继续确认被转让资产，同时确认一项与转让收入等额的金融负债。金融负债的会计处理详见“附注五、</w:t>
      </w:r>
      <w:r w:rsidRPr="0063248C">
        <w:rPr>
          <w:rFonts w:ascii="Times New Roman" w:hAnsi="Times New Roman" w:cs="Times New Roman"/>
          <w:sz w:val="18"/>
          <w:szCs w:val="18"/>
        </w:rPr>
        <w:t>11</w:t>
      </w:r>
      <w:r w:rsidRPr="0063248C">
        <w:rPr>
          <w:rFonts w:ascii="Times New Roman" w:hAnsi="Times New Roman" w:hint="eastAsia"/>
          <w:sz w:val="18"/>
          <w:szCs w:val="18"/>
        </w:rPr>
        <w:t>金融工具”。</w:t>
      </w:r>
    </w:p>
    <w:p w14:paraId="400D1592" w14:textId="77777777" w:rsidR="00517D34" w:rsidRPr="0063248C" w:rsidRDefault="00000000" w:rsidP="0035454A">
      <w:pPr>
        <w:pStyle w:val="a3"/>
        <w:spacing w:before="0" w:beforeAutospacing="0" w:after="0" w:afterAutospacing="0" w:line="273" w:lineRule="auto"/>
        <w:ind w:firstLine="360"/>
        <w:jc w:val="both"/>
        <w:divId w:val="1284772627"/>
        <w:rPr>
          <w:rFonts w:ascii="Times New Roman" w:hAnsi="Times New Roman"/>
          <w:sz w:val="21"/>
          <w:szCs w:val="21"/>
        </w:rPr>
      </w:pPr>
      <w:r w:rsidRPr="0063248C">
        <w:rPr>
          <w:rFonts w:ascii="Times New Roman" w:hAnsi="Times New Roman" w:hint="eastAsia"/>
          <w:sz w:val="18"/>
          <w:szCs w:val="18"/>
        </w:rPr>
        <w:t>售后租回交易中的资产转让属于销售的，本公司作为出租人对资产购买进行会计处理，并根据前述“本公司作为出租人”的政策对资产出租进行会计处理；售后租回交易中的资产转让不属于销售的，本公司作为出租人不确认被转让资产，但确认一项与转让收入等额的金融资产。金融资产的会计处理详见“附注五、</w:t>
      </w:r>
      <w:r w:rsidRPr="0063248C">
        <w:rPr>
          <w:rFonts w:ascii="Times New Roman" w:hAnsi="Times New Roman" w:cs="Times New Roman"/>
          <w:sz w:val="18"/>
          <w:szCs w:val="18"/>
        </w:rPr>
        <w:t>11</w:t>
      </w:r>
      <w:r w:rsidRPr="0063248C">
        <w:rPr>
          <w:rFonts w:ascii="Times New Roman" w:hAnsi="Times New Roman" w:hint="eastAsia"/>
          <w:sz w:val="18"/>
          <w:szCs w:val="18"/>
        </w:rPr>
        <w:t>金融工具”附注。</w:t>
      </w:r>
    </w:p>
    <w:p w14:paraId="51014D1E" w14:textId="77777777" w:rsidR="007B3DB2" w:rsidRPr="0063248C" w:rsidRDefault="00000000">
      <w:pPr>
        <w:pStyle w:val="3"/>
        <w:spacing w:line="280" w:lineRule="exact"/>
        <w:jc w:val="left"/>
        <w:rPr>
          <w:rFonts w:cs="宋体"/>
          <w:b/>
          <w:bCs/>
        </w:rPr>
      </w:pPr>
      <w:bookmarkStart w:id="168" w:name="_Toc989057"/>
      <w:r w:rsidRPr="0063248C">
        <w:rPr>
          <w:rFonts w:cs="宋体"/>
          <w:b/>
          <w:bCs/>
        </w:rPr>
        <w:t>42</w:t>
      </w:r>
      <w:r w:rsidRPr="0063248C">
        <w:rPr>
          <w:rFonts w:cs="宋体"/>
          <w:b/>
          <w:bCs/>
        </w:rPr>
        <w:t>、其他重要的会计政策和会计估计</w:t>
      </w:r>
      <w:bookmarkEnd w:id="168"/>
    </w:p>
    <w:p w14:paraId="39F851E3" w14:textId="77777777" w:rsidR="00517D34" w:rsidRPr="0063248C" w:rsidRDefault="00000000" w:rsidP="0035454A">
      <w:pPr>
        <w:pStyle w:val="a3"/>
        <w:spacing w:before="0" w:beforeAutospacing="0" w:after="0" w:afterAutospacing="0" w:line="273" w:lineRule="auto"/>
        <w:ind w:firstLine="360"/>
        <w:jc w:val="both"/>
        <w:divId w:val="1466970114"/>
        <w:rPr>
          <w:rFonts w:ascii="Times New Roman" w:hAnsi="Times New Roman"/>
          <w:sz w:val="21"/>
          <w:szCs w:val="21"/>
        </w:rPr>
      </w:pPr>
      <w:r w:rsidRPr="0063248C">
        <w:rPr>
          <w:rFonts w:ascii="Times New Roman" w:hAnsi="Times New Roman" w:hint="eastAsia"/>
          <w:sz w:val="18"/>
          <w:szCs w:val="18"/>
        </w:rPr>
        <w:t>终止经营</w:t>
      </w:r>
    </w:p>
    <w:p w14:paraId="066A5114" w14:textId="77777777" w:rsidR="00517D34" w:rsidRPr="0063248C" w:rsidRDefault="00000000" w:rsidP="0035454A">
      <w:pPr>
        <w:pStyle w:val="a3"/>
        <w:spacing w:before="0" w:beforeAutospacing="0" w:after="0" w:afterAutospacing="0" w:line="273" w:lineRule="auto"/>
        <w:ind w:firstLine="360"/>
        <w:jc w:val="both"/>
        <w:divId w:val="1466970114"/>
        <w:rPr>
          <w:rFonts w:ascii="Times New Roman" w:hAnsi="Times New Roman"/>
          <w:sz w:val="21"/>
          <w:szCs w:val="21"/>
        </w:rPr>
      </w:pPr>
      <w:r w:rsidRPr="0063248C">
        <w:rPr>
          <w:rFonts w:ascii="Times New Roman" w:hAnsi="Times New Roman" w:hint="eastAsia"/>
          <w:sz w:val="18"/>
          <w:szCs w:val="18"/>
        </w:rPr>
        <w:t>终止经营，是指满足下列条件之一的、能够单独区分且已被本集团处置或划分为持有待售类别的组成部分：①该组成部分代表一项独立的主要业务或一个单独的主要经营地区；②该组成部分是拟对一项独立的主要业务或一个单独的主要经营地区进行处置的一项相关联计划的一部分；③该组成部分是专为了转售而取得的子公司。</w:t>
      </w:r>
    </w:p>
    <w:p w14:paraId="37B5170D" w14:textId="77777777" w:rsidR="00517D34" w:rsidRPr="0063248C" w:rsidRDefault="00000000" w:rsidP="0035454A">
      <w:pPr>
        <w:pStyle w:val="a3"/>
        <w:spacing w:before="0" w:beforeAutospacing="0" w:after="0" w:afterAutospacing="0" w:line="273" w:lineRule="auto"/>
        <w:ind w:firstLine="360"/>
        <w:jc w:val="both"/>
        <w:divId w:val="1466970114"/>
        <w:rPr>
          <w:rFonts w:ascii="Times New Roman" w:hAnsi="Times New Roman"/>
          <w:sz w:val="21"/>
          <w:szCs w:val="21"/>
        </w:rPr>
      </w:pPr>
      <w:r w:rsidRPr="0063248C">
        <w:rPr>
          <w:rFonts w:ascii="Times New Roman" w:hAnsi="Times New Roman" w:hint="eastAsia"/>
          <w:sz w:val="18"/>
          <w:szCs w:val="18"/>
        </w:rPr>
        <w:t>终止经营的会计处理方法参见本附注五、</w:t>
      </w:r>
      <w:r w:rsidRPr="0063248C">
        <w:rPr>
          <w:rFonts w:ascii="Times New Roman" w:hAnsi="Times New Roman" w:cs="Times New Roman"/>
          <w:sz w:val="18"/>
          <w:szCs w:val="18"/>
        </w:rPr>
        <w:t>18</w:t>
      </w:r>
      <w:r w:rsidRPr="0063248C">
        <w:rPr>
          <w:rFonts w:ascii="Times New Roman" w:hAnsi="Times New Roman" w:hint="eastAsia"/>
          <w:sz w:val="18"/>
          <w:szCs w:val="18"/>
        </w:rPr>
        <w:t>“持有待售资产”相关描述。</w:t>
      </w:r>
    </w:p>
    <w:p w14:paraId="39421CB3" w14:textId="77777777" w:rsidR="00517D34" w:rsidRPr="0063248C" w:rsidRDefault="00000000" w:rsidP="0035454A">
      <w:pPr>
        <w:pStyle w:val="a3"/>
        <w:spacing w:before="0" w:beforeAutospacing="0" w:after="0" w:afterAutospacing="0" w:line="273" w:lineRule="auto"/>
        <w:ind w:firstLine="360"/>
        <w:jc w:val="both"/>
        <w:divId w:val="1466970114"/>
        <w:rPr>
          <w:rFonts w:ascii="Times New Roman" w:hAnsi="Times New Roman"/>
          <w:sz w:val="21"/>
          <w:szCs w:val="21"/>
        </w:rPr>
      </w:pPr>
      <w:r w:rsidRPr="0063248C">
        <w:rPr>
          <w:rFonts w:ascii="Times New Roman" w:hAnsi="Times New Roman" w:hint="eastAsia"/>
          <w:sz w:val="18"/>
          <w:szCs w:val="18"/>
        </w:rPr>
        <w:t>回购股份</w:t>
      </w:r>
    </w:p>
    <w:p w14:paraId="3853C3BD" w14:textId="77777777" w:rsidR="00517D34" w:rsidRPr="0063248C" w:rsidRDefault="00000000" w:rsidP="0035454A">
      <w:pPr>
        <w:pStyle w:val="a3"/>
        <w:spacing w:before="0" w:beforeAutospacing="0" w:after="0" w:afterAutospacing="0" w:line="273" w:lineRule="auto"/>
        <w:ind w:firstLine="360"/>
        <w:jc w:val="both"/>
        <w:divId w:val="1466970114"/>
        <w:rPr>
          <w:rFonts w:ascii="Times New Roman" w:hAnsi="Times New Roman"/>
          <w:sz w:val="21"/>
          <w:szCs w:val="21"/>
        </w:rPr>
      </w:pPr>
      <w:r w:rsidRPr="0063248C">
        <w:rPr>
          <w:rFonts w:ascii="Times New Roman" w:hAnsi="Times New Roman" w:hint="eastAsia"/>
          <w:sz w:val="18"/>
          <w:szCs w:val="18"/>
        </w:rPr>
        <w:t>股份回购中支付的对价和交易费用减少股东权益，回购、转让或注销本公司股份时，不确认利得或损失。</w:t>
      </w:r>
    </w:p>
    <w:p w14:paraId="0088F2CB" w14:textId="77777777" w:rsidR="00517D34" w:rsidRPr="0063248C" w:rsidRDefault="00000000" w:rsidP="0035454A">
      <w:pPr>
        <w:pStyle w:val="a3"/>
        <w:spacing w:before="0" w:beforeAutospacing="0" w:after="0" w:afterAutospacing="0" w:line="273" w:lineRule="auto"/>
        <w:ind w:firstLine="360"/>
        <w:jc w:val="both"/>
        <w:divId w:val="1466970114"/>
        <w:rPr>
          <w:rFonts w:ascii="Times New Roman" w:hAnsi="Times New Roman"/>
          <w:sz w:val="21"/>
          <w:szCs w:val="21"/>
        </w:rPr>
      </w:pPr>
      <w:r w:rsidRPr="0063248C">
        <w:rPr>
          <w:rFonts w:ascii="Times New Roman" w:hAnsi="Times New Roman" w:hint="eastAsia"/>
          <w:sz w:val="18"/>
          <w:szCs w:val="18"/>
        </w:rPr>
        <w:t>转让库存股，按实际收到的金额与库存股账面金额的差额，计入资本公积，资本公</w:t>
      </w:r>
      <w:proofErr w:type="gramStart"/>
      <w:r w:rsidRPr="0063248C">
        <w:rPr>
          <w:rFonts w:ascii="Times New Roman" w:hAnsi="Times New Roman" w:hint="eastAsia"/>
          <w:sz w:val="18"/>
          <w:szCs w:val="18"/>
        </w:rPr>
        <w:t>积不足</w:t>
      </w:r>
      <w:proofErr w:type="gramEnd"/>
      <w:r w:rsidRPr="0063248C">
        <w:rPr>
          <w:rFonts w:ascii="Times New Roman" w:hAnsi="Times New Roman" w:hint="eastAsia"/>
          <w:sz w:val="18"/>
          <w:szCs w:val="18"/>
        </w:rPr>
        <w:t>冲减的，冲减盈余公积和未分配利润。注销库存股，按股票面值和注销股数减少股本，按注销库存股的账面余额与面值的差额，冲减资本公积，资本公</w:t>
      </w:r>
      <w:proofErr w:type="gramStart"/>
      <w:r w:rsidRPr="0063248C">
        <w:rPr>
          <w:rFonts w:ascii="Times New Roman" w:hAnsi="Times New Roman" w:hint="eastAsia"/>
          <w:sz w:val="18"/>
          <w:szCs w:val="18"/>
        </w:rPr>
        <w:t>积不足</w:t>
      </w:r>
      <w:proofErr w:type="gramEnd"/>
      <w:r w:rsidRPr="0063248C">
        <w:rPr>
          <w:rFonts w:ascii="Times New Roman" w:hAnsi="Times New Roman" w:hint="eastAsia"/>
          <w:sz w:val="18"/>
          <w:szCs w:val="18"/>
        </w:rPr>
        <w:t>冲减的，冲减盈余公积和未分配利润。</w:t>
      </w:r>
    </w:p>
    <w:p w14:paraId="20D71404" w14:textId="77777777" w:rsidR="00517D34" w:rsidRPr="0063248C" w:rsidRDefault="00000000" w:rsidP="0035454A">
      <w:pPr>
        <w:pStyle w:val="a3"/>
        <w:spacing w:before="0" w:beforeAutospacing="0" w:after="0" w:afterAutospacing="0" w:line="273" w:lineRule="auto"/>
        <w:ind w:firstLine="360"/>
        <w:jc w:val="both"/>
        <w:divId w:val="1466970114"/>
        <w:rPr>
          <w:rFonts w:ascii="Times New Roman" w:hAnsi="Times New Roman"/>
          <w:sz w:val="21"/>
          <w:szCs w:val="21"/>
        </w:rPr>
      </w:pPr>
      <w:r w:rsidRPr="0063248C">
        <w:rPr>
          <w:rFonts w:ascii="Times New Roman" w:hAnsi="Times New Roman" w:hint="eastAsia"/>
          <w:sz w:val="18"/>
          <w:szCs w:val="18"/>
        </w:rPr>
        <w:t>分部报告</w:t>
      </w:r>
    </w:p>
    <w:p w14:paraId="76278EC1" w14:textId="77777777" w:rsidR="00517D34" w:rsidRPr="0063248C" w:rsidRDefault="00000000" w:rsidP="0035454A">
      <w:pPr>
        <w:pStyle w:val="a3"/>
        <w:spacing w:before="0" w:beforeAutospacing="0" w:after="0" w:afterAutospacing="0" w:line="273" w:lineRule="auto"/>
        <w:ind w:firstLine="360"/>
        <w:jc w:val="both"/>
        <w:divId w:val="1466970114"/>
        <w:rPr>
          <w:rFonts w:ascii="Times New Roman" w:hAnsi="Times New Roman"/>
          <w:sz w:val="21"/>
          <w:szCs w:val="21"/>
        </w:rPr>
      </w:pPr>
      <w:r w:rsidRPr="0063248C">
        <w:rPr>
          <w:rFonts w:ascii="Times New Roman" w:hAnsi="Times New Roman" w:hint="eastAsia"/>
          <w:sz w:val="18"/>
          <w:szCs w:val="18"/>
        </w:rPr>
        <w:t>本集团以内部组织结构、管理要求、内部报告制度为依据确定经营分部，以经营分部为基础确定报告分部并披露分部信息。</w:t>
      </w:r>
    </w:p>
    <w:p w14:paraId="669C7B62" w14:textId="77777777" w:rsidR="00517D34" w:rsidRPr="0063248C" w:rsidRDefault="00000000" w:rsidP="0035454A">
      <w:pPr>
        <w:pStyle w:val="a3"/>
        <w:spacing w:before="0" w:beforeAutospacing="0" w:after="0" w:afterAutospacing="0" w:line="273" w:lineRule="auto"/>
        <w:ind w:firstLine="360"/>
        <w:jc w:val="both"/>
        <w:divId w:val="1466970114"/>
        <w:rPr>
          <w:rFonts w:ascii="Times New Roman" w:hAnsi="Times New Roman"/>
          <w:sz w:val="21"/>
          <w:szCs w:val="21"/>
        </w:rPr>
      </w:pPr>
      <w:r w:rsidRPr="0063248C">
        <w:rPr>
          <w:rFonts w:ascii="Times New Roman" w:hAnsi="Times New Roman" w:hint="eastAsia"/>
          <w:sz w:val="18"/>
          <w:szCs w:val="18"/>
        </w:rPr>
        <w:t>经营分部是指本集团内同时满足下列条件的组成部分：①该组成部分能够在日常活动中产生收入、发生费用；②本集团管理层能够定期评价该组成部分的经营成果，以决定向其配置资源、评价其业绩；③本集团能够取得该组成部分的财务状况、经营成果和现金流量等有关会计信息。两个或多个经营分部具有相似的经济特征，并且满足一定条件的，则可合并为一个经营分部。</w:t>
      </w:r>
    </w:p>
    <w:p w14:paraId="1C364B2D" w14:textId="77777777" w:rsidR="007B3DB2" w:rsidRPr="0063248C" w:rsidRDefault="00000000">
      <w:pPr>
        <w:pStyle w:val="3"/>
        <w:spacing w:line="280" w:lineRule="exact"/>
        <w:jc w:val="left"/>
        <w:rPr>
          <w:rFonts w:cs="宋体"/>
          <w:b/>
          <w:bCs/>
        </w:rPr>
      </w:pPr>
      <w:bookmarkStart w:id="169" w:name="_Toc989058"/>
      <w:r w:rsidRPr="0063248C">
        <w:rPr>
          <w:rFonts w:cs="宋体"/>
          <w:b/>
          <w:bCs/>
        </w:rPr>
        <w:t>43</w:t>
      </w:r>
      <w:r w:rsidRPr="0063248C">
        <w:rPr>
          <w:rFonts w:cs="宋体"/>
          <w:b/>
          <w:bCs/>
        </w:rPr>
        <w:t>、重要会计政策和会计估计变更</w:t>
      </w:r>
      <w:bookmarkEnd w:id="169"/>
    </w:p>
    <w:p w14:paraId="69EEB864" w14:textId="77777777" w:rsidR="007B3DB2" w:rsidRPr="0063248C" w:rsidRDefault="00000000">
      <w:pPr>
        <w:keepNext/>
        <w:keepLines/>
        <w:spacing w:before="300" w:after="300" w:line="280" w:lineRule="exact"/>
        <w:outlineLvl w:val="3"/>
        <w:rPr>
          <w:rFonts w:cs="宋体"/>
          <w:b/>
          <w:bCs/>
          <w:sz w:val="18"/>
          <w:szCs w:val="18"/>
        </w:rPr>
      </w:pPr>
      <w:bookmarkStart w:id="170" w:name="_Toc989059"/>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重要会计政策变更</w:t>
      </w:r>
      <w:bookmarkEnd w:id="170"/>
    </w:p>
    <w:p w14:paraId="0624B344"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8FDF080" w14:textId="77777777" w:rsidR="007B3DB2" w:rsidRPr="0063248C" w:rsidRDefault="00000000">
      <w:pPr>
        <w:keepNext/>
        <w:keepLines/>
        <w:spacing w:before="300" w:after="300" w:line="280" w:lineRule="exact"/>
        <w:outlineLvl w:val="3"/>
        <w:rPr>
          <w:rFonts w:cs="宋体"/>
          <w:b/>
          <w:bCs/>
          <w:sz w:val="18"/>
          <w:szCs w:val="18"/>
        </w:rPr>
      </w:pPr>
      <w:bookmarkStart w:id="171" w:name="_Toc989060"/>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重要会计估计变更</w:t>
      </w:r>
      <w:bookmarkEnd w:id="171"/>
    </w:p>
    <w:p w14:paraId="51002C33"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EAC883B" w14:textId="77777777" w:rsidR="007B3DB2" w:rsidRPr="0063248C" w:rsidRDefault="00000000">
      <w:pPr>
        <w:keepNext/>
        <w:keepLines/>
        <w:spacing w:before="300" w:after="300" w:line="280" w:lineRule="exact"/>
        <w:outlineLvl w:val="3"/>
        <w:rPr>
          <w:rFonts w:cs="宋体"/>
          <w:b/>
          <w:bCs/>
          <w:sz w:val="18"/>
          <w:szCs w:val="18"/>
        </w:rPr>
      </w:pPr>
      <w:bookmarkStart w:id="172" w:name="_Toc989061"/>
      <w:r w:rsidRPr="0063248C">
        <w:rPr>
          <w:rFonts w:cs="宋体"/>
          <w:b/>
          <w:bCs/>
          <w:sz w:val="18"/>
          <w:szCs w:val="18"/>
        </w:rPr>
        <w:lastRenderedPageBreak/>
        <w:t>（</w:t>
      </w:r>
      <w:r w:rsidRPr="0063248C">
        <w:rPr>
          <w:rFonts w:cs="宋体"/>
          <w:b/>
          <w:bCs/>
          <w:sz w:val="18"/>
          <w:szCs w:val="18"/>
        </w:rPr>
        <w:t>3</w:t>
      </w:r>
      <w:r w:rsidRPr="0063248C">
        <w:rPr>
          <w:rFonts w:cs="宋体"/>
          <w:b/>
          <w:bCs/>
          <w:sz w:val="18"/>
          <w:szCs w:val="18"/>
        </w:rPr>
        <w:t>）</w:t>
      </w:r>
      <w:r w:rsidRPr="0063248C">
        <w:rPr>
          <w:rFonts w:cs="宋体"/>
          <w:b/>
          <w:bCs/>
          <w:sz w:val="18"/>
          <w:szCs w:val="18"/>
        </w:rPr>
        <w:t xml:space="preserve"> 2024</w:t>
      </w:r>
      <w:r w:rsidRPr="0063248C">
        <w:rPr>
          <w:rFonts w:cs="宋体"/>
          <w:b/>
          <w:bCs/>
          <w:sz w:val="18"/>
          <w:szCs w:val="18"/>
        </w:rPr>
        <w:t>年起首次执行新会计准则调整首次执行当年年初财务报表相关项目情况</w:t>
      </w:r>
      <w:bookmarkEnd w:id="172"/>
    </w:p>
    <w:p w14:paraId="0BF301E6"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49C8C75" w14:textId="77777777" w:rsidR="007B3DB2" w:rsidRPr="0063248C" w:rsidRDefault="00000000">
      <w:pPr>
        <w:pStyle w:val="3"/>
        <w:spacing w:line="280" w:lineRule="exact"/>
        <w:jc w:val="left"/>
        <w:rPr>
          <w:rFonts w:cs="宋体"/>
          <w:b/>
          <w:bCs/>
        </w:rPr>
      </w:pPr>
      <w:bookmarkStart w:id="173" w:name="_Toc989062"/>
      <w:r w:rsidRPr="0063248C">
        <w:rPr>
          <w:rFonts w:cs="宋体"/>
          <w:b/>
          <w:bCs/>
        </w:rPr>
        <w:t>44</w:t>
      </w:r>
      <w:r w:rsidRPr="0063248C">
        <w:rPr>
          <w:rFonts w:cs="宋体"/>
          <w:b/>
          <w:bCs/>
        </w:rPr>
        <w:t>、其他</w:t>
      </w:r>
      <w:bookmarkEnd w:id="173"/>
    </w:p>
    <w:p w14:paraId="04C504F4"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本集团在运用会计政策过程中，由于经营活动内在的不确定性，需要对无法准确计量的报表项目的账面价值进行判断、估计和假设。这些判断、估计和假设是基于本集团管理</w:t>
      </w:r>
      <w:proofErr w:type="gramStart"/>
      <w:r w:rsidRPr="0063248C">
        <w:rPr>
          <w:rFonts w:ascii="Times New Roman" w:hAnsi="Times New Roman" w:hint="eastAsia"/>
          <w:sz w:val="18"/>
          <w:szCs w:val="18"/>
        </w:rPr>
        <w:t>层过去</w:t>
      </w:r>
      <w:proofErr w:type="gramEnd"/>
      <w:r w:rsidRPr="0063248C">
        <w:rPr>
          <w:rFonts w:ascii="Times New Roman" w:hAnsi="Times New Roman" w:hint="eastAsia"/>
          <w:sz w:val="18"/>
          <w:szCs w:val="18"/>
        </w:rPr>
        <w:t>的历史经验，并在考虑其他相关因素的基础上做出的。这些判断、估计和假设会影响收入、费用、资产和负债的报告金额以及资产负债表日或有负债的披露。然而，这些估计的不确定性所导致的实际结果可能与本集团管理</w:t>
      </w:r>
      <w:proofErr w:type="gramStart"/>
      <w:r w:rsidRPr="0063248C">
        <w:rPr>
          <w:rFonts w:ascii="Times New Roman" w:hAnsi="Times New Roman" w:hint="eastAsia"/>
          <w:sz w:val="18"/>
          <w:szCs w:val="18"/>
        </w:rPr>
        <w:t>层当前</w:t>
      </w:r>
      <w:proofErr w:type="gramEnd"/>
      <w:r w:rsidRPr="0063248C">
        <w:rPr>
          <w:rFonts w:ascii="Times New Roman" w:hAnsi="Times New Roman" w:hint="eastAsia"/>
          <w:sz w:val="18"/>
          <w:szCs w:val="18"/>
        </w:rPr>
        <w:t>的估计存在差异，进而造成对未来受影响的资产或负债的账面金额进行重大调整。</w:t>
      </w:r>
    </w:p>
    <w:p w14:paraId="155BAAB5"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本集团对前述判断、估计和假设在持续经营的基础上进行定期复核，会计估计的</w:t>
      </w:r>
      <w:proofErr w:type="gramStart"/>
      <w:r w:rsidRPr="0063248C">
        <w:rPr>
          <w:rFonts w:ascii="Times New Roman" w:hAnsi="Times New Roman" w:hint="eastAsia"/>
          <w:sz w:val="18"/>
          <w:szCs w:val="18"/>
        </w:rPr>
        <w:t>变更仅</w:t>
      </w:r>
      <w:proofErr w:type="gramEnd"/>
      <w:r w:rsidRPr="0063248C">
        <w:rPr>
          <w:rFonts w:ascii="Times New Roman" w:hAnsi="Times New Roman" w:hint="eastAsia"/>
          <w:sz w:val="18"/>
          <w:szCs w:val="18"/>
        </w:rPr>
        <w:t>影响变更当期的，其影响数在变更当期予以确认；既影响变更当期又影响未来期间的，其影响数在变更当期和未来期间予以确认。</w:t>
      </w:r>
    </w:p>
    <w:p w14:paraId="78B09FB7"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于资产负债表日，本集团需对财务报表项目金额进行判断、估计和假设的重要领域如下：</w:t>
      </w:r>
    </w:p>
    <w:p w14:paraId="2AEC3800"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收入确认</w:t>
      </w:r>
    </w:p>
    <w:p w14:paraId="432D300A"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如本附注五、</w:t>
      </w:r>
      <w:r w:rsidRPr="0063248C">
        <w:rPr>
          <w:rFonts w:ascii="Times New Roman" w:hAnsi="Times New Roman" w:cs="Times New Roman"/>
          <w:sz w:val="18"/>
          <w:szCs w:val="18"/>
        </w:rPr>
        <w:t>37</w:t>
      </w:r>
      <w:r w:rsidRPr="0063248C">
        <w:rPr>
          <w:rFonts w:ascii="Times New Roman" w:hAnsi="Times New Roman" w:hint="eastAsia"/>
          <w:sz w:val="18"/>
          <w:szCs w:val="18"/>
        </w:rPr>
        <w:t>“收入”所述，本集团在收入确认方面涉及到如下重大的会计判断和估计：识别客户合同；估计因向客户转让商品而有权取得的对价的可收回性；识别合同中的履约义务；估计合同中存在的可变对价以及在相关不确定性消除时累计已确认</w:t>
      </w:r>
      <w:proofErr w:type="gramStart"/>
      <w:r w:rsidRPr="0063248C">
        <w:rPr>
          <w:rFonts w:ascii="Times New Roman" w:hAnsi="Times New Roman" w:hint="eastAsia"/>
          <w:sz w:val="18"/>
          <w:szCs w:val="18"/>
        </w:rPr>
        <w:t>收入极</w:t>
      </w:r>
      <w:proofErr w:type="gramEnd"/>
      <w:r w:rsidRPr="0063248C">
        <w:rPr>
          <w:rFonts w:ascii="Times New Roman" w:hAnsi="Times New Roman" w:hint="eastAsia"/>
          <w:sz w:val="18"/>
          <w:szCs w:val="18"/>
        </w:rPr>
        <w:t>可能不会发生重大转回的金额；合同中是否存在重大融资成分；估计合同中单项履约义务的单独售价；确定履约义务是在某一时段内履行还是在某一时点履行；履约进度的确定，等等。</w:t>
      </w:r>
    </w:p>
    <w:p w14:paraId="3798D9E2"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本集团主要依靠过去的经验和工作</w:t>
      </w:r>
      <w:proofErr w:type="gramStart"/>
      <w:r w:rsidRPr="0063248C">
        <w:rPr>
          <w:rFonts w:ascii="Times New Roman" w:hAnsi="Times New Roman" w:hint="eastAsia"/>
          <w:sz w:val="18"/>
          <w:szCs w:val="18"/>
        </w:rPr>
        <w:t>作出</w:t>
      </w:r>
      <w:proofErr w:type="gramEnd"/>
      <w:r w:rsidRPr="0063248C">
        <w:rPr>
          <w:rFonts w:ascii="Times New Roman" w:hAnsi="Times New Roman" w:hint="eastAsia"/>
          <w:sz w:val="18"/>
          <w:szCs w:val="18"/>
        </w:rPr>
        <w:t>判断，这些重大判断和估计变更都可能对变更当期或以后期间的营业收入、营业成本，以及期间损益产生影响，且可能构成重大影响。</w:t>
      </w:r>
    </w:p>
    <w:p w14:paraId="7DEB7C4E"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租赁</w:t>
      </w:r>
    </w:p>
    <w:p w14:paraId="4E0CA7EF"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①租赁的识别</w:t>
      </w:r>
    </w:p>
    <w:p w14:paraId="56934F5E"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在识别一项合同是否为租赁或包含租赁时，需要评估是否存在一项已识别资产，且客户控制了该资产在一定期间内的使用权。在评估时，需要考虑资产的性质、实质性替换权、以及客户是否有权获得因在该期间使用该资产所产生的几乎全部经济利益，并能够主导该资产的使用。</w:t>
      </w:r>
    </w:p>
    <w:p w14:paraId="6C58B74A"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②租赁的分类</w:t>
      </w:r>
    </w:p>
    <w:p w14:paraId="227C9289"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本集团作为出租人时，将租赁分类为经营租赁和融资租赁。在进行分类时，管理层需要对是否已将与租出资产所有权有关的全部风险和报酬实质上转移给承租人</w:t>
      </w:r>
      <w:proofErr w:type="gramStart"/>
      <w:r w:rsidRPr="0063248C">
        <w:rPr>
          <w:rFonts w:ascii="Times New Roman" w:hAnsi="Times New Roman" w:hint="eastAsia"/>
          <w:sz w:val="18"/>
          <w:szCs w:val="18"/>
        </w:rPr>
        <w:t>作出</w:t>
      </w:r>
      <w:proofErr w:type="gramEnd"/>
      <w:r w:rsidRPr="0063248C">
        <w:rPr>
          <w:rFonts w:ascii="Times New Roman" w:hAnsi="Times New Roman" w:hint="eastAsia"/>
          <w:sz w:val="18"/>
          <w:szCs w:val="18"/>
        </w:rPr>
        <w:t>分析和判断。</w:t>
      </w:r>
    </w:p>
    <w:p w14:paraId="200E66F7"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③租赁负债</w:t>
      </w:r>
    </w:p>
    <w:p w14:paraId="6390D95C"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作为承租人时，租赁负债按照租赁期开始日尚未支付的租赁付款额的现值进行初始计量。在计量租赁付款额的现值时，本集团对使用的折现率以及存在续租选择权或终止选择权的租赁合同的租赁期进行估计。在评估租赁期时，本集团综合考虑与本集团行使选择权带来经济利益的所有相关事实和情况，包括自租赁期开始日至选择权行使日之间的事实和情况的预期变化等。不同的判断及估计可能会影响租赁负债和使用权资产的确认，并将影响后续期间的损益。</w:t>
      </w:r>
    </w:p>
    <w:p w14:paraId="46EF9123"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金融资产减值</w:t>
      </w:r>
    </w:p>
    <w:p w14:paraId="6F9FC913"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采用预期信用损失模型对金融工具的减值进行评估，应用预期信用损失模型需要做出重大判断和估计，需考虑所有合理且有依据的信息，包括前瞻性信息。在做出该等判断和估计时，本集团根据历史数据结合经济政策、宏观经济指标、行业风险、外部市场环境、技术环境、客户情况的变化等因素推断债务人信用风险的预期变动。</w:t>
      </w:r>
    </w:p>
    <w:p w14:paraId="5FF1C42E"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存货跌价准备</w:t>
      </w:r>
    </w:p>
    <w:p w14:paraId="58FFF04D"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lastRenderedPageBreak/>
        <w:t>本集团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w:t>
      </w:r>
      <w:proofErr w:type="gramStart"/>
      <w:r w:rsidRPr="0063248C">
        <w:rPr>
          <w:rFonts w:ascii="Times New Roman" w:hAnsi="Times New Roman" w:hint="eastAsia"/>
          <w:sz w:val="18"/>
          <w:szCs w:val="18"/>
        </w:rPr>
        <w:t>作出</w:t>
      </w:r>
      <w:proofErr w:type="gramEnd"/>
      <w:r w:rsidRPr="0063248C">
        <w:rPr>
          <w:rFonts w:ascii="Times New Roman" w:hAnsi="Times New Roman" w:hint="eastAsia"/>
          <w:sz w:val="18"/>
          <w:szCs w:val="18"/>
        </w:rPr>
        <w:t>判断和估计。实际的结果与原先估计的差异将在估计被改变的期间影响存货的账面价值及存货跌价准备的计提或转回。</w:t>
      </w:r>
    </w:p>
    <w:p w14:paraId="6DB2A0C6"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金融工具公允价值</w:t>
      </w:r>
    </w:p>
    <w:p w14:paraId="78CEADDC"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对不存在活跃交易市场的金融工具，本集团通过各种估值方法确定其公允价值。这些估值方法包括贴现现金流模型分析等。估值时本集团需对未来现金流量、信用风险、市场波动率和相关性等方面进行估计，并选择适当的折现率。这些相关假设具有不确定性，其变化会对金融工具的公允价值产生影响。权益工具投资或合同有公开报价的，本集团不将成本作为其公允价值的最佳估计。</w:t>
      </w:r>
    </w:p>
    <w:p w14:paraId="2BF0BA59"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长期资产减值准备</w:t>
      </w:r>
    </w:p>
    <w:p w14:paraId="4D29B1B0"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于资产负债表日对除金融资产之外的非流动资产判断是否存在可能发生减值的迹象。对使用寿命不确定的无形资产，除每年进行的减值测试外，当其存在减值迹象时，也进行减值测试。其他除金融资产之外的非流动资产，当存在迹象表明其账面金额不可收回时，进行减值测试。</w:t>
      </w:r>
    </w:p>
    <w:p w14:paraId="5392801B"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当资产或资产组的账面价值高于可收回金额，即公允价值减去处置费用后的净额和预计未来现金流量的现值中的较高者，表明发生了减值。</w:t>
      </w:r>
    </w:p>
    <w:p w14:paraId="36497D7A"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公允价值减去处置费用后的净额，参考公平交易中类似资产的销售协议价格或可观察到的市场价格，减去可直接归属于该资产处置的增量成本确定。</w:t>
      </w:r>
    </w:p>
    <w:p w14:paraId="3C5F79DA"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在预计未来现金流量现值时，需要对该资产（或资产组）的产量、售价、相关经营成本以及计算现值时使用的折现率等</w:t>
      </w:r>
      <w:proofErr w:type="gramStart"/>
      <w:r w:rsidRPr="0063248C">
        <w:rPr>
          <w:rFonts w:ascii="Times New Roman" w:hAnsi="Times New Roman" w:hint="eastAsia"/>
          <w:sz w:val="18"/>
          <w:szCs w:val="18"/>
        </w:rPr>
        <w:t>作出</w:t>
      </w:r>
      <w:proofErr w:type="gramEnd"/>
      <w:r w:rsidRPr="0063248C">
        <w:rPr>
          <w:rFonts w:ascii="Times New Roman" w:hAnsi="Times New Roman" w:hint="eastAsia"/>
          <w:sz w:val="18"/>
          <w:szCs w:val="18"/>
        </w:rPr>
        <w:t>重大判断。本集团在估计可收回金额时会采用所有能够获得的相关资料，包括根据合理和</w:t>
      </w:r>
      <w:proofErr w:type="gramStart"/>
      <w:r w:rsidRPr="0063248C">
        <w:rPr>
          <w:rFonts w:ascii="Times New Roman" w:hAnsi="Times New Roman" w:hint="eastAsia"/>
          <w:sz w:val="18"/>
          <w:szCs w:val="18"/>
        </w:rPr>
        <w:t>可</w:t>
      </w:r>
      <w:proofErr w:type="gramEnd"/>
      <w:r w:rsidRPr="0063248C">
        <w:rPr>
          <w:rFonts w:ascii="Times New Roman" w:hAnsi="Times New Roman" w:hint="eastAsia"/>
          <w:sz w:val="18"/>
          <w:szCs w:val="18"/>
        </w:rPr>
        <w:t>支持的假设所</w:t>
      </w:r>
      <w:proofErr w:type="gramStart"/>
      <w:r w:rsidRPr="0063248C">
        <w:rPr>
          <w:rFonts w:ascii="Times New Roman" w:hAnsi="Times New Roman" w:hint="eastAsia"/>
          <w:sz w:val="18"/>
          <w:szCs w:val="18"/>
        </w:rPr>
        <w:t>作出</w:t>
      </w:r>
      <w:proofErr w:type="gramEnd"/>
      <w:r w:rsidRPr="0063248C">
        <w:rPr>
          <w:rFonts w:ascii="Times New Roman" w:hAnsi="Times New Roman" w:hint="eastAsia"/>
          <w:sz w:val="18"/>
          <w:szCs w:val="18"/>
        </w:rPr>
        <w:t>有关产量、售价和相关经营成本的预测。</w:t>
      </w:r>
    </w:p>
    <w:p w14:paraId="35D27371"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至少每年测试商誉是否发生减值。这要求对分配了商誉的资产组或者资产组组合的未来现金流量的现值进行预计。对未来现金流量的现值进行预计时，本集团需要预计未来资产组或者资产组组合产生的现金流量，同时选择恰当的折现率确定未来现金流量的现值。</w:t>
      </w:r>
    </w:p>
    <w:p w14:paraId="65A38852"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折旧和摊销</w:t>
      </w:r>
    </w:p>
    <w:p w14:paraId="4DB19C90"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对投资性房地产、固定资产和无形资产在考虑其残值后，在使用寿命内按直线法计提折旧和摊销。本集团定期复核使用寿命，以决定将计入每个报告期的折旧和摊销费用数额。使用寿命是本集团根据对同类资产的以往经验并结合预期的技术更新而确定的。如果以前的估计发生重大变化，则会在未来期间对折旧和摊销费用进行调整。</w:t>
      </w:r>
    </w:p>
    <w:p w14:paraId="31D013EF"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递延所得税资产</w:t>
      </w:r>
    </w:p>
    <w:p w14:paraId="16998694"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在很有可能有足够的应纳税利润来抵扣亏损的限度内，本集团就所有未利用的税务亏损确认递延所得税资产。这需要本集团管理层运用大量的判断来估计未来应纳税利润发生的时间和金额，结合纳税筹划策略，以决定应确认的递延所得税资产的金额。</w:t>
      </w:r>
    </w:p>
    <w:p w14:paraId="1ACC8B93"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所得税</w:t>
      </w:r>
    </w:p>
    <w:p w14:paraId="34133589"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14:paraId="5FF985E9"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公允价值计量</w:t>
      </w:r>
    </w:p>
    <w:p w14:paraId="02931DE1"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本集团的某些资产和负债在财务报表中按公允价值计量。</w:t>
      </w:r>
    </w:p>
    <w:p w14:paraId="60EDF93C"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公允价值，是指市场参与者在计量日发生的有序交易中，出售一项资产所能收到或者转移一项负债所需支付的价格。本集团以公允价值计量相关资产或负债，考虑该资产或负债的特征；假定市场参与者在计量日出售资产或者转移负债的</w:t>
      </w:r>
      <w:r w:rsidRPr="0063248C">
        <w:rPr>
          <w:rFonts w:ascii="Times New Roman" w:hAnsi="Times New Roman" w:hint="eastAsia"/>
          <w:sz w:val="18"/>
          <w:szCs w:val="18"/>
        </w:rPr>
        <w:lastRenderedPageBreak/>
        <w:t>交易，是在当前市场条件下的有序交易；假定出售资产或者转移负债的有序交易在相关资产或负债的主要市场进行；不存在主要市场的，假定该交易在相关资产或负债的最有利市场进行。</w:t>
      </w:r>
    </w:p>
    <w:p w14:paraId="247F4AFE"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本集团采用市场参与者在对该资产或负债定价时为实现其经济利益最大化所使用的假设。</w:t>
      </w:r>
    </w:p>
    <w:p w14:paraId="426CB4BC"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本集团根据交易性质和相关资产或负债的特征等，判断初始确认时的公允价值是否与其交易价格相等；交易价格与公允价值不相等的，将相关利得或损失计入当期损益，但相关会计准则另有规定的除外。</w:t>
      </w:r>
    </w:p>
    <w:p w14:paraId="5F5E6E8E"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采用在当前情况下适用并且有足够可利用数据和其他信息支持的估值技术，使用的估值技术主要包括市场法、收益法和成本法。在估值技术的应用中，优先使用相关可观察输入值，只有在相关可观察输入值无法取得或取得不切实可行的情况下，才可以使用不可观察输入值。</w:t>
      </w:r>
    </w:p>
    <w:p w14:paraId="44C42AC2" w14:textId="77777777" w:rsidR="00517D34" w:rsidRPr="0063248C" w:rsidRDefault="00000000" w:rsidP="0035454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本集团公允价值计量所使用的输入值划分为三个层次，并首先使用第一层次输入值，其次使用第二层次输入值，最后使用第三层次输入值。第一层次输入值是在计量</w:t>
      </w:r>
      <w:proofErr w:type="gramStart"/>
      <w:r w:rsidRPr="0063248C">
        <w:rPr>
          <w:rFonts w:ascii="Times New Roman" w:hAnsi="Times New Roman" w:hint="eastAsia"/>
          <w:sz w:val="18"/>
          <w:szCs w:val="18"/>
        </w:rPr>
        <w:t>日能够</w:t>
      </w:r>
      <w:proofErr w:type="gramEnd"/>
      <w:r w:rsidRPr="0063248C">
        <w:rPr>
          <w:rFonts w:ascii="Times New Roman" w:hAnsi="Times New Roman" w:hint="eastAsia"/>
          <w:sz w:val="18"/>
          <w:szCs w:val="18"/>
        </w:rPr>
        <w:t>取得的相同资产或负债在活跃市场上未经调整的报价；第二层次输入值是除第一层次输入</w:t>
      </w:r>
      <w:proofErr w:type="gramStart"/>
      <w:r w:rsidRPr="0063248C">
        <w:rPr>
          <w:rFonts w:ascii="Times New Roman" w:hAnsi="Times New Roman" w:hint="eastAsia"/>
          <w:sz w:val="18"/>
          <w:szCs w:val="18"/>
        </w:rPr>
        <w:t>值外相关</w:t>
      </w:r>
      <w:proofErr w:type="gramEnd"/>
      <w:r w:rsidRPr="0063248C">
        <w:rPr>
          <w:rFonts w:ascii="Times New Roman" w:hAnsi="Times New Roman" w:hint="eastAsia"/>
          <w:sz w:val="18"/>
          <w:szCs w:val="18"/>
        </w:rPr>
        <w:t>资产或负债直接或</w:t>
      </w:r>
      <w:proofErr w:type="gramStart"/>
      <w:r w:rsidRPr="0063248C">
        <w:rPr>
          <w:rFonts w:ascii="Times New Roman" w:hAnsi="Times New Roman" w:hint="eastAsia"/>
          <w:sz w:val="18"/>
          <w:szCs w:val="18"/>
        </w:rPr>
        <w:t>间接可</w:t>
      </w:r>
      <w:proofErr w:type="gramEnd"/>
      <w:r w:rsidRPr="0063248C">
        <w:rPr>
          <w:rFonts w:ascii="Times New Roman" w:hAnsi="Times New Roman" w:hint="eastAsia"/>
          <w:sz w:val="18"/>
          <w:szCs w:val="18"/>
        </w:rPr>
        <w:t>观察的输入值；第三层次输入值是相关资产或负债的不可观察输入值。</w:t>
      </w:r>
    </w:p>
    <w:p w14:paraId="62ED2392" w14:textId="77777777" w:rsidR="00FA083A" w:rsidRDefault="00000000" w:rsidP="00FA083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以公允价值计量非金融资产，考虑市场参与者将该资产用于最佳用途产生经济利益的能力，或者将该资产出售给能够用于最佳用途的其他市场参与者产生经济利益的能力。以公允价值计量负债，假定在计量日将该负债转移给其他市场参与者，而且该负债在转移后继续存在，并由作为受让方的市场参与者履行义务。以公允价值计量自身权益工具，假定在计量日将该自身权益工具转移给其他市场参与者，而且该自身权益工具在转移后继续存在，并由作为受让方的市场参与者取得与该工具相关的权利、承担相应的义务。</w:t>
      </w:r>
    </w:p>
    <w:p w14:paraId="5760223F" w14:textId="261DDE7D" w:rsidR="00517D34" w:rsidRPr="0063248C" w:rsidRDefault="00000000" w:rsidP="00FA083A">
      <w:pPr>
        <w:pStyle w:val="a3"/>
        <w:spacing w:before="0" w:beforeAutospacing="0" w:after="0" w:afterAutospacing="0" w:line="273" w:lineRule="auto"/>
        <w:ind w:firstLine="360"/>
        <w:jc w:val="both"/>
        <w:divId w:val="1580090933"/>
        <w:rPr>
          <w:rFonts w:ascii="Times New Roman" w:hAnsi="Times New Roman"/>
          <w:sz w:val="21"/>
          <w:szCs w:val="21"/>
        </w:rPr>
      </w:pPr>
      <w:r w:rsidRPr="0063248C">
        <w:rPr>
          <w:rFonts w:ascii="Times New Roman" w:hAnsi="Times New Roman" w:hint="eastAsia"/>
          <w:sz w:val="18"/>
          <w:szCs w:val="18"/>
        </w:rPr>
        <w:t>本集团以市场风险和信用风险的净敞口为基础管理金融资产和金融负债的，以计量日市场参与者在当前市场条件下有序交易中出售净多头（即资产）或者转移净空头（即负债）的价格为基础，计量该金融资产和金融负债组合的公允价</w:t>
      </w:r>
    </w:p>
    <w:p w14:paraId="1E0EAD0C" w14:textId="77777777" w:rsidR="007B3DB2" w:rsidRPr="0063248C" w:rsidRDefault="00000000">
      <w:pPr>
        <w:pStyle w:val="2"/>
        <w:spacing w:before="300" w:after="300" w:line="320" w:lineRule="exact"/>
        <w:rPr>
          <w:rFonts w:cs="宋体"/>
          <w:b/>
          <w:bCs/>
          <w:sz w:val="24"/>
          <w:szCs w:val="24"/>
        </w:rPr>
      </w:pPr>
      <w:bookmarkStart w:id="174" w:name="_Toc989063"/>
      <w:r w:rsidRPr="0063248C">
        <w:rPr>
          <w:rFonts w:cs="宋体"/>
          <w:b/>
          <w:bCs/>
          <w:sz w:val="24"/>
          <w:szCs w:val="24"/>
        </w:rPr>
        <w:t>六、税项</w:t>
      </w:r>
      <w:bookmarkEnd w:id="174"/>
    </w:p>
    <w:p w14:paraId="341156E3" w14:textId="77777777" w:rsidR="007B3DB2" w:rsidRPr="0063248C" w:rsidRDefault="00000000">
      <w:pPr>
        <w:pStyle w:val="3"/>
        <w:spacing w:line="280" w:lineRule="exact"/>
        <w:jc w:val="left"/>
        <w:rPr>
          <w:rFonts w:cs="宋体"/>
          <w:b/>
          <w:bCs/>
        </w:rPr>
      </w:pPr>
      <w:bookmarkStart w:id="175" w:name="_Toc989064"/>
      <w:r w:rsidRPr="0063248C">
        <w:rPr>
          <w:rFonts w:cs="宋体"/>
          <w:b/>
          <w:bCs/>
        </w:rPr>
        <w:t>1</w:t>
      </w:r>
      <w:r w:rsidRPr="0063248C">
        <w:rPr>
          <w:rFonts w:cs="宋体"/>
          <w:b/>
          <w:bCs/>
        </w:rPr>
        <w:t>、主要税种及税率</w:t>
      </w:r>
      <w:bookmarkEnd w:id="17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85"/>
        <w:gridCol w:w="2268"/>
        <w:gridCol w:w="5386"/>
      </w:tblGrid>
      <w:tr w:rsidR="007B3DB2" w:rsidRPr="0063248C" w14:paraId="06A60FD2" w14:textId="77777777" w:rsidTr="00B425DC">
        <w:trPr>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183F1EC7" w14:textId="77777777" w:rsidR="007B3DB2" w:rsidRPr="0063248C" w:rsidRDefault="00000000">
            <w:pPr>
              <w:spacing w:before="40" w:after="40" w:line="240" w:lineRule="exact"/>
              <w:jc w:val="center"/>
              <w:rPr>
                <w:rFonts w:cs="宋体"/>
                <w:sz w:val="18"/>
                <w:szCs w:val="18"/>
              </w:rPr>
            </w:pPr>
            <w:r w:rsidRPr="0063248C">
              <w:rPr>
                <w:rFonts w:cs="宋体"/>
                <w:sz w:val="18"/>
                <w:szCs w:val="18"/>
              </w:rPr>
              <w:t>税种</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488C89BD" w14:textId="77777777" w:rsidR="007B3DB2" w:rsidRPr="0063248C" w:rsidRDefault="00000000">
            <w:pPr>
              <w:spacing w:before="40" w:after="40" w:line="240" w:lineRule="exact"/>
              <w:jc w:val="center"/>
              <w:rPr>
                <w:rFonts w:cs="宋体"/>
                <w:sz w:val="18"/>
                <w:szCs w:val="18"/>
              </w:rPr>
            </w:pPr>
            <w:r w:rsidRPr="0063248C">
              <w:rPr>
                <w:rFonts w:cs="宋体"/>
                <w:sz w:val="18"/>
                <w:szCs w:val="18"/>
              </w:rPr>
              <w:t>计税依据</w:t>
            </w:r>
          </w:p>
        </w:tc>
        <w:tc>
          <w:tcPr>
            <w:tcW w:w="5386" w:type="dxa"/>
            <w:tcBorders>
              <w:top w:val="single" w:sz="2" w:space="0" w:color="auto"/>
              <w:left w:val="single" w:sz="2" w:space="0" w:color="auto"/>
              <w:bottom w:val="single" w:sz="2" w:space="0" w:color="auto"/>
              <w:right w:val="single" w:sz="2" w:space="0" w:color="auto"/>
            </w:tcBorders>
            <w:shd w:val="clear" w:color="auto" w:fill="D3D3D3"/>
            <w:vAlign w:val="center"/>
          </w:tcPr>
          <w:p w14:paraId="528D0282" w14:textId="77777777" w:rsidR="007B3DB2" w:rsidRPr="0063248C" w:rsidRDefault="00000000">
            <w:pPr>
              <w:spacing w:before="40" w:after="40" w:line="240" w:lineRule="exact"/>
              <w:jc w:val="center"/>
              <w:rPr>
                <w:rFonts w:cs="宋体"/>
                <w:sz w:val="18"/>
                <w:szCs w:val="18"/>
              </w:rPr>
            </w:pPr>
            <w:r w:rsidRPr="0063248C">
              <w:rPr>
                <w:rFonts w:cs="宋体"/>
                <w:sz w:val="18"/>
                <w:szCs w:val="18"/>
              </w:rPr>
              <w:t>税率</w:t>
            </w:r>
          </w:p>
        </w:tc>
      </w:tr>
      <w:tr w:rsidR="007B3DB2" w:rsidRPr="0063248C" w14:paraId="22DEDC45" w14:textId="77777777" w:rsidTr="00B425DC">
        <w:trPr>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2BB98F8E" w14:textId="77777777" w:rsidR="007B3DB2" w:rsidRPr="0063248C" w:rsidRDefault="00000000">
            <w:pPr>
              <w:spacing w:before="40" w:after="40" w:line="240" w:lineRule="exact"/>
              <w:rPr>
                <w:rFonts w:cs="宋体"/>
                <w:sz w:val="18"/>
                <w:szCs w:val="18"/>
              </w:rPr>
            </w:pPr>
            <w:r w:rsidRPr="0063248C">
              <w:rPr>
                <w:rFonts w:cs="宋体"/>
                <w:sz w:val="18"/>
                <w:szCs w:val="18"/>
              </w:rPr>
              <w:t>增值税</w:t>
            </w:r>
          </w:p>
        </w:tc>
        <w:tc>
          <w:tcPr>
            <w:tcW w:w="2268" w:type="dxa"/>
            <w:tcBorders>
              <w:top w:val="single" w:sz="2" w:space="0" w:color="auto"/>
              <w:left w:val="single" w:sz="2" w:space="0" w:color="auto"/>
              <w:bottom w:val="single" w:sz="2" w:space="0" w:color="auto"/>
              <w:right w:val="single" w:sz="2" w:space="0" w:color="auto"/>
            </w:tcBorders>
            <w:vAlign w:val="center"/>
          </w:tcPr>
          <w:p w14:paraId="08C51122" w14:textId="77777777" w:rsidR="007B3DB2" w:rsidRPr="0063248C" w:rsidRDefault="00000000">
            <w:pPr>
              <w:spacing w:line="240" w:lineRule="exact"/>
              <w:rPr>
                <w:rFonts w:cs="宋体"/>
                <w:sz w:val="18"/>
                <w:szCs w:val="18"/>
              </w:rPr>
            </w:pPr>
            <w:r w:rsidRPr="0063248C">
              <w:rPr>
                <w:rFonts w:cs="宋体"/>
                <w:sz w:val="18"/>
                <w:szCs w:val="18"/>
              </w:rPr>
              <w:t>销售货物或提供应税劳务</w:t>
            </w:r>
          </w:p>
        </w:tc>
        <w:tc>
          <w:tcPr>
            <w:tcW w:w="5386" w:type="dxa"/>
            <w:tcBorders>
              <w:top w:val="single" w:sz="2" w:space="0" w:color="auto"/>
              <w:left w:val="single" w:sz="2" w:space="0" w:color="auto"/>
              <w:bottom w:val="single" w:sz="2" w:space="0" w:color="auto"/>
              <w:right w:val="single" w:sz="2" w:space="0" w:color="auto"/>
            </w:tcBorders>
            <w:vAlign w:val="center"/>
          </w:tcPr>
          <w:p w14:paraId="0B2EF0F7" w14:textId="77777777" w:rsidR="007B3DB2" w:rsidRPr="0063248C" w:rsidRDefault="00000000">
            <w:pPr>
              <w:spacing w:line="240" w:lineRule="exact"/>
              <w:rPr>
                <w:rFonts w:cs="宋体"/>
                <w:sz w:val="18"/>
                <w:szCs w:val="18"/>
              </w:rPr>
            </w:pPr>
            <w:r w:rsidRPr="0063248C">
              <w:rPr>
                <w:rFonts w:cs="宋体"/>
                <w:sz w:val="18"/>
                <w:szCs w:val="18"/>
              </w:rPr>
              <w:t>应</w:t>
            </w:r>
            <w:proofErr w:type="gramStart"/>
            <w:r w:rsidRPr="0063248C">
              <w:rPr>
                <w:rFonts w:cs="宋体"/>
                <w:sz w:val="18"/>
                <w:szCs w:val="18"/>
              </w:rPr>
              <w:t>税收入按相应</w:t>
            </w:r>
            <w:proofErr w:type="gramEnd"/>
            <w:r w:rsidRPr="0063248C">
              <w:rPr>
                <w:rFonts w:cs="宋体"/>
                <w:sz w:val="18"/>
                <w:szCs w:val="18"/>
              </w:rPr>
              <w:t>的税率计算销项税，并按扣除当期允许抵扣的进项税额后的差额计缴增值税：生猪养殖及符合条件的饲料生产、技术开发、技术咨询、技术转让及技术服务免征增值税；部分鲜活肉蛋产品免征流通环节增值税；从中央或地方财政取得的利息补贴收入和价差补贴收入免征增值税；初加工产品执行</w:t>
            </w:r>
            <w:r w:rsidRPr="0063248C">
              <w:rPr>
                <w:rFonts w:cs="宋体"/>
                <w:sz w:val="18"/>
                <w:szCs w:val="18"/>
              </w:rPr>
              <w:t>9%</w:t>
            </w:r>
            <w:r w:rsidRPr="0063248C">
              <w:rPr>
                <w:rFonts w:cs="宋体"/>
                <w:sz w:val="18"/>
                <w:szCs w:val="18"/>
              </w:rPr>
              <w:t>税率；深加工产品执行</w:t>
            </w:r>
            <w:r w:rsidRPr="0063248C">
              <w:rPr>
                <w:rFonts w:cs="宋体"/>
                <w:sz w:val="18"/>
                <w:szCs w:val="18"/>
              </w:rPr>
              <w:t>13%</w:t>
            </w:r>
            <w:r w:rsidRPr="0063248C">
              <w:rPr>
                <w:rFonts w:cs="宋体"/>
                <w:sz w:val="18"/>
                <w:szCs w:val="18"/>
              </w:rPr>
              <w:t>税率；利息收入执行</w:t>
            </w:r>
            <w:r w:rsidRPr="0063248C">
              <w:rPr>
                <w:rFonts w:cs="宋体"/>
                <w:sz w:val="18"/>
                <w:szCs w:val="18"/>
              </w:rPr>
              <w:t>6%</w:t>
            </w:r>
            <w:r w:rsidRPr="0063248C">
              <w:rPr>
                <w:rFonts w:cs="宋体"/>
                <w:sz w:val="18"/>
                <w:szCs w:val="18"/>
              </w:rPr>
              <w:t>税率。</w:t>
            </w:r>
          </w:p>
        </w:tc>
      </w:tr>
      <w:tr w:rsidR="007B3DB2" w:rsidRPr="0063248C" w14:paraId="78BA903E" w14:textId="77777777" w:rsidTr="00B425DC">
        <w:trPr>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5AB500CE" w14:textId="77777777" w:rsidR="007B3DB2" w:rsidRPr="0063248C" w:rsidRDefault="00000000">
            <w:pPr>
              <w:spacing w:before="40" w:after="40" w:line="240" w:lineRule="exact"/>
              <w:rPr>
                <w:rFonts w:cs="宋体"/>
                <w:sz w:val="18"/>
                <w:szCs w:val="18"/>
              </w:rPr>
            </w:pPr>
            <w:r w:rsidRPr="0063248C">
              <w:rPr>
                <w:rFonts w:cs="宋体"/>
                <w:sz w:val="18"/>
                <w:szCs w:val="18"/>
              </w:rPr>
              <w:t>消费税</w:t>
            </w:r>
          </w:p>
        </w:tc>
        <w:tc>
          <w:tcPr>
            <w:tcW w:w="2268" w:type="dxa"/>
            <w:tcBorders>
              <w:top w:val="single" w:sz="2" w:space="0" w:color="auto"/>
              <w:left w:val="single" w:sz="2" w:space="0" w:color="auto"/>
              <w:bottom w:val="single" w:sz="2" w:space="0" w:color="auto"/>
              <w:right w:val="single" w:sz="2" w:space="0" w:color="auto"/>
            </w:tcBorders>
            <w:vAlign w:val="center"/>
          </w:tcPr>
          <w:p w14:paraId="6CECD273" w14:textId="77777777" w:rsidR="007B3DB2" w:rsidRPr="0063248C" w:rsidRDefault="00000000">
            <w:pPr>
              <w:spacing w:line="240" w:lineRule="exact"/>
              <w:rPr>
                <w:rFonts w:cs="宋体"/>
                <w:sz w:val="18"/>
                <w:szCs w:val="18"/>
              </w:rPr>
            </w:pPr>
            <w:r w:rsidRPr="0063248C">
              <w:rPr>
                <w:rFonts w:cs="宋体"/>
                <w:sz w:val="18"/>
                <w:szCs w:val="18"/>
              </w:rPr>
              <w:t>应纳流转税额</w:t>
            </w:r>
          </w:p>
        </w:tc>
        <w:tc>
          <w:tcPr>
            <w:tcW w:w="5386" w:type="dxa"/>
            <w:tcBorders>
              <w:top w:val="single" w:sz="2" w:space="0" w:color="auto"/>
              <w:left w:val="single" w:sz="2" w:space="0" w:color="auto"/>
              <w:bottom w:val="single" w:sz="2" w:space="0" w:color="auto"/>
              <w:right w:val="single" w:sz="2" w:space="0" w:color="auto"/>
            </w:tcBorders>
            <w:vAlign w:val="center"/>
          </w:tcPr>
          <w:p w14:paraId="54526A08" w14:textId="77777777" w:rsidR="007B3DB2" w:rsidRPr="0063248C" w:rsidRDefault="007B3DB2">
            <w:pPr>
              <w:spacing w:line="240" w:lineRule="exact"/>
              <w:rPr>
                <w:rFonts w:cs="宋体"/>
                <w:sz w:val="18"/>
                <w:szCs w:val="18"/>
              </w:rPr>
            </w:pPr>
          </w:p>
        </w:tc>
      </w:tr>
      <w:tr w:rsidR="007B3DB2" w:rsidRPr="0063248C" w14:paraId="408F58CB" w14:textId="77777777" w:rsidTr="00B425DC">
        <w:trPr>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283C8479" w14:textId="77777777" w:rsidR="007B3DB2" w:rsidRPr="0063248C" w:rsidRDefault="00000000">
            <w:pPr>
              <w:spacing w:before="40" w:after="40" w:line="240" w:lineRule="exact"/>
              <w:rPr>
                <w:rFonts w:cs="宋体"/>
                <w:sz w:val="18"/>
                <w:szCs w:val="18"/>
              </w:rPr>
            </w:pPr>
            <w:r w:rsidRPr="0063248C">
              <w:rPr>
                <w:rFonts w:cs="宋体"/>
                <w:sz w:val="18"/>
                <w:szCs w:val="18"/>
              </w:rPr>
              <w:t>城市维护建设税</w:t>
            </w:r>
          </w:p>
        </w:tc>
        <w:tc>
          <w:tcPr>
            <w:tcW w:w="2268" w:type="dxa"/>
            <w:tcBorders>
              <w:top w:val="single" w:sz="2" w:space="0" w:color="auto"/>
              <w:left w:val="single" w:sz="2" w:space="0" w:color="auto"/>
              <w:bottom w:val="single" w:sz="2" w:space="0" w:color="auto"/>
              <w:right w:val="single" w:sz="2" w:space="0" w:color="auto"/>
            </w:tcBorders>
            <w:vAlign w:val="center"/>
          </w:tcPr>
          <w:p w14:paraId="34B2E9CE" w14:textId="77777777" w:rsidR="007B3DB2" w:rsidRPr="0063248C" w:rsidRDefault="00000000">
            <w:pPr>
              <w:spacing w:line="240" w:lineRule="exact"/>
              <w:rPr>
                <w:rFonts w:cs="宋体"/>
                <w:sz w:val="18"/>
                <w:szCs w:val="18"/>
              </w:rPr>
            </w:pPr>
            <w:r w:rsidRPr="0063248C">
              <w:rPr>
                <w:rFonts w:cs="宋体"/>
                <w:sz w:val="18"/>
                <w:szCs w:val="18"/>
              </w:rPr>
              <w:t>应纳流转税额</w:t>
            </w:r>
          </w:p>
        </w:tc>
        <w:tc>
          <w:tcPr>
            <w:tcW w:w="5386" w:type="dxa"/>
            <w:tcBorders>
              <w:top w:val="single" w:sz="2" w:space="0" w:color="auto"/>
              <w:left w:val="single" w:sz="2" w:space="0" w:color="auto"/>
              <w:bottom w:val="single" w:sz="2" w:space="0" w:color="auto"/>
              <w:right w:val="single" w:sz="2" w:space="0" w:color="auto"/>
            </w:tcBorders>
            <w:vAlign w:val="center"/>
          </w:tcPr>
          <w:p w14:paraId="4EC04120" w14:textId="77777777" w:rsidR="007B3DB2" w:rsidRPr="0063248C" w:rsidRDefault="00000000">
            <w:pPr>
              <w:spacing w:line="240" w:lineRule="exact"/>
              <w:rPr>
                <w:rFonts w:cs="宋体"/>
                <w:sz w:val="18"/>
                <w:szCs w:val="18"/>
              </w:rPr>
            </w:pPr>
            <w:r w:rsidRPr="0063248C">
              <w:rPr>
                <w:rFonts w:cs="宋体"/>
                <w:sz w:val="18"/>
                <w:szCs w:val="18"/>
              </w:rPr>
              <w:t>按实际缴纳的流转税的</w:t>
            </w:r>
            <w:r w:rsidRPr="0063248C">
              <w:rPr>
                <w:rFonts w:cs="宋体"/>
                <w:sz w:val="18"/>
                <w:szCs w:val="18"/>
              </w:rPr>
              <w:t>7%</w:t>
            </w:r>
            <w:r w:rsidRPr="0063248C">
              <w:rPr>
                <w:rFonts w:cs="宋体"/>
                <w:sz w:val="18"/>
                <w:szCs w:val="18"/>
              </w:rPr>
              <w:t>、</w:t>
            </w:r>
            <w:r w:rsidRPr="0063248C">
              <w:rPr>
                <w:rFonts w:cs="宋体"/>
                <w:sz w:val="18"/>
                <w:szCs w:val="18"/>
              </w:rPr>
              <w:t>5%</w:t>
            </w:r>
            <w:r w:rsidRPr="0063248C">
              <w:rPr>
                <w:rFonts w:cs="宋体"/>
                <w:sz w:val="18"/>
                <w:szCs w:val="18"/>
              </w:rPr>
              <w:t>计缴。</w:t>
            </w:r>
          </w:p>
        </w:tc>
      </w:tr>
      <w:tr w:rsidR="007B3DB2" w:rsidRPr="0063248C" w14:paraId="62A226CF" w14:textId="77777777" w:rsidTr="00B425DC">
        <w:trPr>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564E3A5D" w14:textId="77777777" w:rsidR="007B3DB2" w:rsidRPr="0063248C" w:rsidRDefault="00000000">
            <w:pPr>
              <w:spacing w:before="40" w:after="40" w:line="240" w:lineRule="exact"/>
              <w:rPr>
                <w:rFonts w:cs="宋体"/>
                <w:sz w:val="18"/>
                <w:szCs w:val="18"/>
              </w:rPr>
            </w:pPr>
            <w:r w:rsidRPr="0063248C">
              <w:rPr>
                <w:rFonts w:cs="宋体"/>
                <w:sz w:val="18"/>
                <w:szCs w:val="18"/>
              </w:rPr>
              <w:t>企业所得税</w:t>
            </w:r>
          </w:p>
        </w:tc>
        <w:tc>
          <w:tcPr>
            <w:tcW w:w="2268" w:type="dxa"/>
            <w:tcBorders>
              <w:top w:val="single" w:sz="2" w:space="0" w:color="auto"/>
              <w:left w:val="single" w:sz="2" w:space="0" w:color="auto"/>
              <w:bottom w:val="single" w:sz="2" w:space="0" w:color="auto"/>
              <w:right w:val="single" w:sz="2" w:space="0" w:color="auto"/>
            </w:tcBorders>
            <w:vAlign w:val="center"/>
          </w:tcPr>
          <w:p w14:paraId="1221DABA" w14:textId="77777777" w:rsidR="007B3DB2" w:rsidRPr="0063248C" w:rsidRDefault="00000000">
            <w:pPr>
              <w:spacing w:line="240" w:lineRule="exact"/>
              <w:rPr>
                <w:rFonts w:cs="宋体"/>
                <w:sz w:val="18"/>
                <w:szCs w:val="18"/>
              </w:rPr>
            </w:pPr>
            <w:r w:rsidRPr="0063248C">
              <w:rPr>
                <w:rFonts w:cs="宋体"/>
                <w:sz w:val="18"/>
                <w:szCs w:val="18"/>
              </w:rPr>
              <w:t>应纳流转税额</w:t>
            </w:r>
          </w:p>
        </w:tc>
        <w:tc>
          <w:tcPr>
            <w:tcW w:w="5386" w:type="dxa"/>
            <w:tcBorders>
              <w:top w:val="single" w:sz="2" w:space="0" w:color="auto"/>
              <w:left w:val="single" w:sz="2" w:space="0" w:color="auto"/>
              <w:bottom w:val="single" w:sz="2" w:space="0" w:color="auto"/>
              <w:right w:val="single" w:sz="2" w:space="0" w:color="auto"/>
            </w:tcBorders>
            <w:vAlign w:val="center"/>
          </w:tcPr>
          <w:p w14:paraId="37D0DC59" w14:textId="77777777" w:rsidR="007B3DB2" w:rsidRPr="0063248C" w:rsidRDefault="00000000">
            <w:pPr>
              <w:spacing w:line="240" w:lineRule="exact"/>
              <w:rPr>
                <w:rFonts w:cs="宋体"/>
                <w:sz w:val="18"/>
                <w:szCs w:val="18"/>
              </w:rPr>
            </w:pPr>
            <w:r w:rsidRPr="0063248C">
              <w:rPr>
                <w:rFonts w:cs="宋体"/>
                <w:sz w:val="18"/>
                <w:szCs w:val="18"/>
              </w:rPr>
              <w:t>详见下表</w:t>
            </w:r>
          </w:p>
        </w:tc>
      </w:tr>
      <w:tr w:rsidR="007B3DB2" w:rsidRPr="0063248C" w14:paraId="48BA9004" w14:textId="77777777" w:rsidTr="00B425DC">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01B7C34C" w14:textId="77777777" w:rsidR="007B3DB2" w:rsidRPr="0063248C" w:rsidRDefault="00000000">
            <w:pPr>
              <w:spacing w:line="240" w:lineRule="exact"/>
              <w:rPr>
                <w:rFonts w:cs="宋体"/>
                <w:sz w:val="18"/>
                <w:szCs w:val="18"/>
              </w:rPr>
            </w:pPr>
            <w:r w:rsidRPr="0063248C">
              <w:rPr>
                <w:rFonts w:cs="宋体"/>
                <w:sz w:val="18"/>
                <w:szCs w:val="18"/>
              </w:rPr>
              <w:t>教育费附加</w:t>
            </w:r>
          </w:p>
        </w:tc>
        <w:tc>
          <w:tcPr>
            <w:tcW w:w="2268" w:type="dxa"/>
            <w:tcBorders>
              <w:top w:val="single" w:sz="2" w:space="0" w:color="auto"/>
              <w:left w:val="single" w:sz="2" w:space="0" w:color="auto"/>
              <w:bottom w:val="single" w:sz="2" w:space="0" w:color="auto"/>
              <w:right w:val="single" w:sz="2" w:space="0" w:color="auto"/>
            </w:tcBorders>
            <w:vAlign w:val="center"/>
          </w:tcPr>
          <w:p w14:paraId="01CBE3E6" w14:textId="77777777" w:rsidR="007B3DB2" w:rsidRPr="0063248C" w:rsidRDefault="00000000">
            <w:pPr>
              <w:spacing w:line="240" w:lineRule="exact"/>
              <w:rPr>
                <w:rFonts w:cs="宋体"/>
                <w:sz w:val="18"/>
                <w:szCs w:val="18"/>
              </w:rPr>
            </w:pPr>
            <w:r w:rsidRPr="0063248C">
              <w:rPr>
                <w:rFonts w:cs="宋体"/>
                <w:sz w:val="18"/>
                <w:szCs w:val="18"/>
              </w:rPr>
              <w:t>应纳流转税额</w:t>
            </w:r>
          </w:p>
        </w:tc>
        <w:tc>
          <w:tcPr>
            <w:tcW w:w="5386" w:type="dxa"/>
            <w:tcBorders>
              <w:top w:val="single" w:sz="2" w:space="0" w:color="auto"/>
              <w:left w:val="single" w:sz="2" w:space="0" w:color="auto"/>
              <w:bottom w:val="single" w:sz="2" w:space="0" w:color="auto"/>
              <w:right w:val="single" w:sz="2" w:space="0" w:color="auto"/>
            </w:tcBorders>
            <w:vAlign w:val="center"/>
          </w:tcPr>
          <w:p w14:paraId="05F2A542" w14:textId="77777777" w:rsidR="007B3DB2" w:rsidRPr="0063248C" w:rsidRDefault="00000000">
            <w:pPr>
              <w:spacing w:line="240" w:lineRule="exact"/>
              <w:rPr>
                <w:rFonts w:cs="宋体"/>
                <w:sz w:val="18"/>
                <w:szCs w:val="18"/>
              </w:rPr>
            </w:pPr>
            <w:r w:rsidRPr="0063248C">
              <w:rPr>
                <w:rFonts w:cs="宋体"/>
                <w:sz w:val="18"/>
                <w:szCs w:val="18"/>
              </w:rPr>
              <w:t>按实际缴纳的流转税的</w:t>
            </w:r>
            <w:r w:rsidRPr="0063248C">
              <w:rPr>
                <w:rFonts w:cs="宋体"/>
                <w:sz w:val="18"/>
                <w:szCs w:val="18"/>
              </w:rPr>
              <w:t>3%</w:t>
            </w:r>
            <w:r w:rsidRPr="0063248C">
              <w:rPr>
                <w:rFonts w:cs="宋体"/>
                <w:sz w:val="18"/>
                <w:szCs w:val="18"/>
              </w:rPr>
              <w:t>计缴。</w:t>
            </w:r>
          </w:p>
        </w:tc>
      </w:tr>
      <w:tr w:rsidR="007B3DB2" w:rsidRPr="0063248C" w14:paraId="72D07DE1" w14:textId="77777777" w:rsidTr="00B425DC">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3833C0C2" w14:textId="77777777" w:rsidR="007B3DB2" w:rsidRPr="0063248C" w:rsidRDefault="00000000">
            <w:pPr>
              <w:spacing w:line="240" w:lineRule="exact"/>
              <w:rPr>
                <w:rFonts w:cs="宋体"/>
                <w:sz w:val="18"/>
                <w:szCs w:val="18"/>
              </w:rPr>
            </w:pPr>
            <w:r w:rsidRPr="0063248C">
              <w:rPr>
                <w:rFonts w:cs="宋体"/>
                <w:sz w:val="18"/>
                <w:szCs w:val="18"/>
              </w:rPr>
              <w:t>地方教育附加</w:t>
            </w:r>
          </w:p>
        </w:tc>
        <w:tc>
          <w:tcPr>
            <w:tcW w:w="2268" w:type="dxa"/>
            <w:tcBorders>
              <w:top w:val="single" w:sz="2" w:space="0" w:color="auto"/>
              <w:left w:val="single" w:sz="2" w:space="0" w:color="auto"/>
              <w:bottom w:val="single" w:sz="2" w:space="0" w:color="auto"/>
              <w:right w:val="single" w:sz="2" w:space="0" w:color="auto"/>
            </w:tcBorders>
            <w:vAlign w:val="center"/>
          </w:tcPr>
          <w:p w14:paraId="3476B442" w14:textId="77777777" w:rsidR="007B3DB2" w:rsidRPr="0063248C" w:rsidRDefault="00000000">
            <w:pPr>
              <w:spacing w:line="240" w:lineRule="exact"/>
              <w:rPr>
                <w:rFonts w:cs="宋体"/>
                <w:sz w:val="18"/>
                <w:szCs w:val="18"/>
              </w:rPr>
            </w:pPr>
            <w:r w:rsidRPr="0063248C">
              <w:rPr>
                <w:rFonts w:cs="宋体"/>
                <w:sz w:val="18"/>
                <w:szCs w:val="18"/>
              </w:rPr>
              <w:t>应纳流转税额</w:t>
            </w:r>
          </w:p>
        </w:tc>
        <w:tc>
          <w:tcPr>
            <w:tcW w:w="5386" w:type="dxa"/>
            <w:tcBorders>
              <w:top w:val="single" w:sz="2" w:space="0" w:color="auto"/>
              <w:left w:val="single" w:sz="2" w:space="0" w:color="auto"/>
              <w:bottom w:val="single" w:sz="2" w:space="0" w:color="auto"/>
              <w:right w:val="single" w:sz="2" w:space="0" w:color="auto"/>
            </w:tcBorders>
            <w:vAlign w:val="center"/>
          </w:tcPr>
          <w:p w14:paraId="48EE2364" w14:textId="77777777" w:rsidR="007B3DB2" w:rsidRPr="0063248C" w:rsidRDefault="00000000">
            <w:pPr>
              <w:spacing w:line="240" w:lineRule="exact"/>
              <w:rPr>
                <w:rFonts w:cs="宋体"/>
                <w:sz w:val="18"/>
                <w:szCs w:val="18"/>
              </w:rPr>
            </w:pPr>
            <w:r w:rsidRPr="0063248C">
              <w:rPr>
                <w:rFonts w:cs="宋体"/>
                <w:sz w:val="18"/>
                <w:szCs w:val="18"/>
              </w:rPr>
              <w:t>按实际缴纳的流转税的</w:t>
            </w:r>
            <w:r w:rsidRPr="0063248C">
              <w:rPr>
                <w:rFonts w:cs="宋体"/>
                <w:sz w:val="18"/>
                <w:szCs w:val="18"/>
              </w:rPr>
              <w:t>2%</w:t>
            </w:r>
            <w:r w:rsidRPr="0063248C">
              <w:rPr>
                <w:rFonts w:cs="宋体"/>
                <w:sz w:val="18"/>
                <w:szCs w:val="18"/>
              </w:rPr>
              <w:t>计缴。</w:t>
            </w:r>
          </w:p>
        </w:tc>
      </w:tr>
    </w:tbl>
    <w:p w14:paraId="437A16AD" w14:textId="77777777" w:rsidR="007B3DB2" w:rsidRPr="0063248C" w:rsidRDefault="00000000">
      <w:pPr>
        <w:spacing w:before="100" w:after="100" w:line="240" w:lineRule="exact"/>
        <w:rPr>
          <w:rFonts w:cs="宋体"/>
          <w:sz w:val="18"/>
          <w:szCs w:val="18"/>
        </w:rPr>
      </w:pPr>
      <w:r w:rsidRPr="0063248C">
        <w:rPr>
          <w:rFonts w:cs="宋体"/>
          <w:sz w:val="18"/>
          <w:szCs w:val="18"/>
        </w:rPr>
        <w:t>存在不同企业所得税税率纳税主体的，披露情况说明</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828"/>
        <w:gridCol w:w="5811"/>
      </w:tblGrid>
      <w:tr w:rsidR="007B3DB2" w:rsidRPr="0063248C" w14:paraId="1CA51050"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shd w:val="clear" w:color="auto" w:fill="D3D3D3"/>
            <w:vAlign w:val="center"/>
          </w:tcPr>
          <w:p w14:paraId="3DC4C117" w14:textId="77777777" w:rsidR="007B3DB2" w:rsidRPr="0063248C" w:rsidRDefault="00000000">
            <w:pPr>
              <w:spacing w:before="40" w:after="40" w:line="240" w:lineRule="exact"/>
              <w:jc w:val="center"/>
              <w:rPr>
                <w:rFonts w:cs="宋体"/>
                <w:sz w:val="18"/>
                <w:szCs w:val="18"/>
              </w:rPr>
            </w:pPr>
            <w:r w:rsidRPr="0063248C">
              <w:rPr>
                <w:rFonts w:cs="宋体"/>
                <w:sz w:val="18"/>
                <w:szCs w:val="18"/>
              </w:rPr>
              <w:t>纳税主体名称</w:t>
            </w:r>
          </w:p>
        </w:tc>
        <w:tc>
          <w:tcPr>
            <w:tcW w:w="5811" w:type="dxa"/>
            <w:tcBorders>
              <w:top w:val="single" w:sz="2" w:space="0" w:color="auto"/>
              <w:left w:val="single" w:sz="2" w:space="0" w:color="auto"/>
              <w:bottom w:val="single" w:sz="2" w:space="0" w:color="auto"/>
              <w:right w:val="single" w:sz="2" w:space="0" w:color="auto"/>
            </w:tcBorders>
            <w:shd w:val="clear" w:color="auto" w:fill="D3D3D3"/>
            <w:vAlign w:val="center"/>
          </w:tcPr>
          <w:p w14:paraId="40306BD1" w14:textId="77777777" w:rsidR="007B3DB2" w:rsidRPr="0063248C" w:rsidRDefault="00000000">
            <w:pPr>
              <w:spacing w:before="40" w:after="40" w:line="240" w:lineRule="exact"/>
              <w:jc w:val="center"/>
              <w:rPr>
                <w:rFonts w:cs="宋体"/>
                <w:sz w:val="18"/>
                <w:szCs w:val="18"/>
              </w:rPr>
            </w:pPr>
            <w:r w:rsidRPr="0063248C">
              <w:rPr>
                <w:rFonts w:cs="宋体"/>
                <w:sz w:val="18"/>
                <w:szCs w:val="18"/>
              </w:rPr>
              <w:t>所得税税率</w:t>
            </w:r>
          </w:p>
        </w:tc>
      </w:tr>
      <w:tr w:rsidR="007B3DB2" w:rsidRPr="0063248C" w14:paraId="596AC06F"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036F894F" w14:textId="77777777" w:rsidR="007B3DB2" w:rsidRPr="0063248C" w:rsidRDefault="00000000">
            <w:pPr>
              <w:spacing w:line="240" w:lineRule="exact"/>
              <w:rPr>
                <w:rFonts w:cs="宋体"/>
                <w:sz w:val="18"/>
                <w:szCs w:val="18"/>
              </w:rPr>
            </w:pPr>
            <w:r w:rsidRPr="0063248C">
              <w:rPr>
                <w:rFonts w:cs="宋体"/>
                <w:sz w:val="18"/>
                <w:szCs w:val="18"/>
              </w:rPr>
              <w:t>山东龙大美食股份有限公司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68F350AC" w14:textId="77777777" w:rsidR="007B3DB2" w:rsidRPr="0063248C" w:rsidRDefault="00000000">
            <w:pPr>
              <w:spacing w:line="240" w:lineRule="exact"/>
              <w:rPr>
                <w:rFonts w:cs="宋体"/>
                <w:sz w:val="18"/>
                <w:szCs w:val="18"/>
              </w:rPr>
            </w:pPr>
            <w:r w:rsidRPr="0063248C">
              <w:rPr>
                <w:rFonts w:cs="宋体"/>
                <w:sz w:val="18"/>
                <w:szCs w:val="18"/>
              </w:rPr>
              <w:t>自产肉类初加工产品项目所得，免征企业所得税，深加工产品等其他项目所得税率为</w:t>
            </w:r>
            <w:r w:rsidRPr="0063248C">
              <w:rPr>
                <w:rFonts w:cs="宋体"/>
                <w:sz w:val="18"/>
                <w:szCs w:val="18"/>
              </w:rPr>
              <w:t>25%</w:t>
            </w:r>
          </w:p>
        </w:tc>
      </w:tr>
      <w:tr w:rsidR="007B3DB2" w:rsidRPr="0063248C" w14:paraId="6C83E0D0"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6F653604" w14:textId="77777777" w:rsidR="007B3DB2" w:rsidRPr="0063248C" w:rsidRDefault="00000000">
            <w:pPr>
              <w:spacing w:line="240" w:lineRule="exact"/>
              <w:rPr>
                <w:rFonts w:cs="宋体"/>
                <w:sz w:val="18"/>
                <w:szCs w:val="18"/>
              </w:rPr>
            </w:pPr>
            <w:r w:rsidRPr="0063248C">
              <w:rPr>
                <w:rFonts w:cs="宋体"/>
                <w:sz w:val="18"/>
                <w:szCs w:val="18"/>
              </w:rPr>
              <w:t>烟台龙大养殖有限公司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18D63389" w14:textId="77777777" w:rsidR="007B3DB2" w:rsidRPr="0063248C" w:rsidRDefault="00000000">
            <w:pPr>
              <w:spacing w:line="240" w:lineRule="exact"/>
              <w:rPr>
                <w:rFonts w:cs="宋体"/>
                <w:sz w:val="18"/>
                <w:szCs w:val="18"/>
              </w:rPr>
            </w:pPr>
            <w:r w:rsidRPr="0063248C">
              <w:rPr>
                <w:rFonts w:cs="宋体"/>
                <w:sz w:val="18"/>
                <w:szCs w:val="18"/>
              </w:rPr>
              <w:t>从事牲畜、家禽的饲养项目所得税，免征企业所得税</w:t>
            </w:r>
          </w:p>
        </w:tc>
      </w:tr>
      <w:tr w:rsidR="007B3DB2" w:rsidRPr="0063248C" w14:paraId="3413D14D"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1A5487CC" w14:textId="77777777" w:rsidR="007B3DB2" w:rsidRPr="0063248C" w:rsidRDefault="00000000">
            <w:pPr>
              <w:spacing w:line="240" w:lineRule="exact"/>
              <w:rPr>
                <w:rFonts w:cs="宋体"/>
                <w:sz w:val="18"/>
                <w:szCs w:val="18"/>
              </w:rPr>
            </w:pPr>
            <w:r w:rsidRPr="0063248C">
              <w:rPr>
                <w:rFonts w:cs="宋体"/>
                <w:sz w:val="18"/>
                <w:szCs w:val="18"/>
              </w:rPr>
              <w:t>烟台龙大饲料有限公司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37EA56E1" w14:textId="77777777" w:rsidR="007B3DB2" w:rsidRPr="0063248C" w:rsidRDefault="00000000">
            <w:pPr>
              <w:spacing w:line="240" w:lineRule="exact"/>
              <w:rPr>
                <w:rFonts w:cs="宋体"/>
                <w:sz w:val="18"/>
                <w:szCs w:val="18"/>
              </w:rPr>
            </w:pPr>
            <w:r w:rsidRPr="0063248C">
              <w:rPr>
                <w:rFonts w:cs="宋体"/>
                <w:sz w:val="18"/>
                <w:szCs w:val="18"/>
              </w:rPr>
              <w:t>25%</w:t>
            </w:r>
          </w:p>
        </w:tc>
      </w:tr>
      <w:tr w:rsidR="007B3DB2" w:rsidRPr="0063248C" w14:paraId="27931E28"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77514F76"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05624F91" w14:textId="77777777" w:rsidR="007B3DB2" w:rsidRPr="0063248C" w:rsidRDefault="00000000">
            <w:pPr>
              <w:spacing w:line="240" w:lineRule="exact"/>
              <w:rPr>
                <w:rFonts w:cs="宋体"/>
                <w:sz w:val="18"/>
                <w:szCs w:val="18"/>
              </w:rPr>
            </w:pPr>
            <w:r w:rsidRPr="0063248C">
              <w:rPr>
                <w:rFonts w:cs="宋体"/>
                <w:sz w:val="18"/>
                <w:szCs w:val="18"/>
              </w:rPr>
              <w:t>自产肉类初加工产品项目所得，免征企业所得税，深加工产品等其他项目所得税率为</w:t>
            </w:r>
            <w:r w:rsidRPr="0063248C">
              <w:rPr>
                <w:rFonts w:cs="宋体"/>
                <w:sz w:val="18"/>
                <w:szCs w:val="18"/>
              </w:rPr>
              <w:t>25%</w:t>
            </w:r>
          </w:p>
        </w:tc>
      </w:tr>
      <w:tr w:rsidR="007B3DB2" w:rsidRPr="0063248C" w14:paraId="312BD141"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1F8AC03" w14:textId="77777777" w:rsidR="007B3DB2" w:rsidRPr="0063248C" w:rsidRDefault="00000000">
            <w:pPr>
              <w:spacing w:line="240" w:lineRule="exact"/>
              <w:rPr>
                <w:rFonts w:cs="宋体"/>
                <w:sz w:val="18"/>
                <w:szCs w:val="18"/>
              </w:rPr>
            </w:pPr>
            <w:r w:rsidRPr="0063248C">
              <w:rPr>
                <w:rFonts w:cs="宋体"/>
                <w:sz w:val="18"/>
                <w:szCs w:val="18"/>
              </w:rPr>
              <w:t>聊城龙大肉食品有限公司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4BEBD3DE" w14:textId="77777777" w:rsidR="007B3DB2" w:rsidRPr="0063248C" w:rsidRDefault="00000000">
            <w:pPr>
              <w:spacing w:line="240" w:lineRule="exact"/>
              <w:rPr>
                <w:rFonts w:cs="宋体"/>
                <w:sz w:val="18"/>
                <w:szCs w:val="18"/>
              </w:rPr>
            </w:pPr>
            <w:r w:rsidRPr="0063248C">
              <w:rPr>
                <w:rFonts w:cs="宋体"/>
                <w:sz w:val="18"/>
                <w:szCs w:val="18"/>
              </w:rPr>
              <w:t>自产肉类初加工产品项目所得，免征企业所得税，深加工产品等其他项</w:t>
            </w:r>
            <w:r w:rsidRPr="0063248C">
              <w:rPr>
                <w:rFonts w:cs="宋体"/>
                <w:sz w:val="18"/>
                <w:szCs w:val="18"/>
              </w:rPr>
              <w:lastRenderedPageBreak/>
              <w:t>目所得税率为</w:t>
            </w:r>
            <w:r w:rsidRPr="0063248C">
              <w:rPr>
                <w:rFonts w:cs="宋体"/>
                <w:sz w:val="18"/>
                <w:szCs w:val="18"/>
              </w:rPr>
              <w:t>25%</w:t>
            </w:r>
          </w:p>
        </w:tc>
      </w:tr>
      <w:tr w:rsidR="007B3DB2" w:rsidRPr="0063248C" w14:paraId="2625EF07"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790769C6" w14:textId="77777777" w:rsidR="007B3DB2" w:rsidRPr="0063248C" w:rsidRDefault="00000000">
            <w:pPr>
              <w:spacing w:line="240" w:lineRule="exact"/>
              <w:rPr>
                <w:rFonts w:cs="宋体"/>
                <w:sz w:val="18"/>
                <w:szCs w:val="18"/>
              </w:rPr>
            </w:pPr>
            <w:r w:rsidRPr="0063248C">
              <w:rPr>
                <w:rFonts w:cs="宋体"/>
                <w:sz w:val="18"/>
                <w:szCs w:val="18"/>
              </w:rPr>
              <w:lastRenderedPageBreak/>
              <w:t>烟台杰科检测服务有限公司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2C71D5DB" w14:textId="77777777" w:rsidR="007B3DB2" w:rsidRPr="0063248C" w:rsidRDefault="00000000">
            <w:pPr>
              <w:spacing w:line="240" w:lineRule="exact"/>
              <w:rPr>
                <w:rFonts w:cs="宋体"/>
                <w:sz w:val="18"/>
                <w:szCs w:val="18"/>
              </w:rPr>
            </w:pPr>
            <w:r w:rsidRPr="0063248C">
              <w:rPr>
                <w:rFonts w:cs="宋体"/>
                <w:sz w:val="18"/>
                <w:szCs w:val="18"/>
              </w:rPr>
              <w:t>小型微利企业所得税率</w:t>
            </w:r>
          </w:p>
        </w:tc>
      </w:tr>
      <w:tr w:rsidR="007B3DB2" w:rsidRPr="0063248C" w14:paraId="41D25A1C"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184FA96D" w14:textId="77777777" w:rsidR="007B3DB2" w:rsidRPr="0063248C" w:rsidRDefault="00000000">
            <w:pPr>
              <w:spacing w:line="240" w:lineRule="exact"/>
              <w:rPr>
                <w:rFonts w:cs="宋体"/>
                <w:sz w:val="18"/>
                <w:szCs w:val="18"/>
              </w:rPr>
            </w:pPr>
            <w:r w:rsidRPr="0063248C">
              <w:rPr>
                <w:rFonts w:cs="宋体"/>
                <w:sz w:val="18"/>
                <w:szCs w:val="18"/>
              </w:rPr>
              <w:t>蓬莱富龙肉食品有限公司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432371D2" w14:textId="77777777" w:rsidR="007B3DB2" w:rsidRPr="0063248C" w:rsidRDefault="00000000">
            <w:pPr>
              <w:spacing w:line="240" w:lineRule="exact"/>
              <w:rPr>
                <w:rFonts w:cs="宋体"/>
                <w:sz w:val="18"/>
                <w:szCs w:val="18"/>
              </w:rPr>
            </w:pPr>
            <w:r w:rsidRPr="0063248C">
              <w:rPr>
                <w:rFonts w:cs="宋体"/>
                <w:sz w:val="18"/>
                <w:szCs w:val="18"/>
              </w:rPr>
              <w:t>自产肉类初加工产品项目所得，免征企业所得税，深加工产品等其他项目所得税率为</w:t>
            </w:r>
            <w:r w:rsidRPr="0063248C">
              <w:rPr>
                <w:rFonts w:cs="宋体"/>
                <w:sz w:val="18"/>
                <w:szCs w:val="18"/>
              </w:rPr>
              <w:t>25%</w:t>
            </w:r>
          </w:p>
        </w:tc>
      </w:tr>
      <w:tr w:rsidR="007B3DB2" w:rsidRPr="0063248C" w14:paraId="10D4E1AA"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3DD7AF53" w14:textId="77777777" w:rsidR="007B3DB2" w:rsidRPr="0063248C" w:rsidRDefault="00000000">
            <w:pPr>
              <w:spacing w:line="240" w:lineRule="exact"/>
              <w:rPr>
                <w:rFonts w:cs="宋体"/>
                <w:sz w:val="18"/>
                <w:szCs w:val="18"/>
              </w:rPr>
            </w:pPr>
            <w:r w:rsidRPr="0063248C">
              <w:rPr>
                <w:rFonts w:cs="宋体"/>
                <w:sz w:val="18"/>
                <w:szCs w:val="18"/>
              </w:rPr>
              <w:t>北京快厨帮科技有限公司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166DE41D" w14:textId="77777777" w:rsidR="007B3DB2" w:rsidRPr="0063248C" w:rsidRDefault="00000000">
            <w:pPr>
              <w:spacing w:line="240" w:lineRule="exact"/>
              <w:rPr>
                <w:rFonts w:cs="宋体"/>
                <w:sz w:val="18"/>
                <w:szCs w:val="18"/>
              </w:rPr>
            </w:pPr>
            <w:r w:rsidRPr="0063248C">
              <w:rPr>
                <w:rFonts w:cs="宋体"/>
                <w:sz w:val="18"/>
                <w:szCs w:val="18"/>
              </w:rPr>
              <w:t>小型微利企业所得税率</w:t>
            </w:r>
          </w:p>
        </w:tc>
      </w:tr>
      <w:tr w:rsidR="007B3DB2" w:rsidRPr="0063248C" w14:paraId="085FD820"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1E1E1EA" w14:textId="77777777" w:rsidR="007B3DB2" w:rsidRPr="0063248C" w:rsidRDefault="00000000">
            <w:pPr>
              <w:spacing w:line="240" w:lineRule="exact"/>
              <w:rPr>
                <w:rFonts w:cs="宋体"/>
                <w:sz w:val="18"/>
                <w:szCs w:val="18"/>
              </w:rPr>
            </w:pPr>
            <w:r w:rsidRPr="0063248C">
              <w:rPr>
                <w:rFonts w:cs="宋体"/>
                <w:sz w:val="18"/>
                <w:szCs w:val="18"/>
              </w:rPr>
              <w:t>山东龙大生猪产品工程技术研究有限公司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61A4BFD2" w14:textId="77777777" w:rsidR="007B3DB2" w:rsidRPr="0063248C" w:rsidRDefault="00000000">
            <w:pPr>
              <w:spacing w:line="240" w:lineRule="exact"/>
              <w:rPr>
                <w:rFonts w:cs="宋体"/>
                <w:sz w:val="18"/>
                <w:szCs w:val="18"/>
              </w:rPr>
            </w:pPr>
            <w:r w:rsidRPr="0063248C">
              <w:rPr>
                <w:rFonts w:cs="宋体"/>
                <w:sz w:val="18"/>
                <w:szCs w:val="18"/>
              </w:rPr>
              <w:t>小型微利企业所得税率</w:t>
            </w:r>
          </w:p>
        </w:tc>
      </w:tr>
      <w:tr w:rsidR="007B3DB2" w:rsidRPr="0063248C" w14:paraId="1FF6DBF0"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FF2E843" w14:textId="77777777" w:rsidR="007B3DB2" w:rsidRPr="0063248C" w:rsidRDefault="00000000">
            <w:pPr>
              <w:spacing w:line="240" w:lineRule="exact"/>
              <w:rPr>
                <w:rFonts w:cs="宋体"/>
                <w:sz w:val="18"/>
                <w:szCs w:val="18"/>
              </w:rPr>
            </w:pPr>
            <w:r w:rsidRPr="0063248C">
              <w:rPr>
                <w:rFonts w:cs="宋体"/>
                <w:sz w:val="18"/>
                <w:szCs w:val="18"/>
              </w:rPr>
              <w:t>莱阳龙瑞食品有限公司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04C54BBA" w14:textId="77777777" w:rsidR="007B3DB2" w:rsidRPr="0063248C" w:rsidRDefault="00000000">
            <w:pPr>
              <w:spacing w:line="240" w:lineRule="exact"/>
              <w:rPr>
                <w:rFonts w:cs="宋体"/>
                <w:sz w:val="18"/>
                <w:szCs w:val="18"/>
              </w:rPr>
            </w:pPr>
            <w:r w:rsidRPr="0063248C">
              <w:rPr>
                <w:rFonts w:cs="宋体"/>
                <w:sz w:val="18"/>
                <w:szCs w:val="18"/>
              </w:rPr>
              <w:t>25%</w:t>
            </w:r>
          </w:p>
        </w:tc>
      </w:tr>
      <w:tr w:rsidR="007B3DB2" w:rsidRPr="0063248C" w14:paraId="2D56109A"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C6056F5" w14:textId="77777777" w:rsidR="007B3DB2" w:rsidRPr="0063248C" w:rsidRDefault="00000000">
            <w:pPr>
              <w:spacing w:line="240" w:lineRule="exact"/>
              <w:rPr>
                <w:rFonts w:cs="宋体"/>
                <w:sz w:val="18"/>
                <w:szCs w:val="18"/>
              </w:rPr>
            </w:pPr>
            <w:r w:rsidRPr="0063248C">
              <w:rPr>
                <w:rFonts w:cs="宋体"/>
                <w:sz w:val="18"/>
                <w:szCs w:val="18"/>
              </w:rPr>
              <w:t>泰麟食品（烟台）有限责任公司</w:t>
            </w:r>
          </w:p>
        </w:tc>
        <w:tc>
          <w:tcPr>
            <w:tcW w:w="5811" w:type="dxa"/>
            <w:tcBorders>
              <w:top w:val="single" w:sz="2" w:space="0" w:color="auto"/>
              <w:left w:val="single" w:sz="2" w:space="0" w:color="auto"/>
              <w:bottom w:val="single" w:sz="2" w:space="0" w:color="auto"/>
              <w:right w:val="single" w:sz="2" w:space="0" w:color="auto"/>
            </w:tcBorders>
            <w:vAlign w:val="center"/>
          </w:tcPr>
          <w:p w14:paraId="76F4EDDC" w14:textId="77777777" w:rsidR="007B3DB2" w:rsidRPr="0063248C" w:rsidRDefault="00000000">
            <w:pPr>
              <w:spacing w:line="240" w:lineRule="exact"/>
              <w:rPr>
                <w:rFonts w:cs="宋体"/>
                <w:sz w:val="18"/>
                <w:szCs w:val="18"/>
              </w:rPr>
            </w:pPr>
            <w:r w:rsidRPr="0063248C">
              <w:rPr>
                <w:rFonts w:cs="宋体"/>
                <w:sz w:val="18"/>
                <w:szCs w:val="18"/>
              </w:rPr>
              <w:t>25%</w:t>
            </w:r>
          </w:p>
        </w:tc>
      </w:tr>
      <w:tr w:rsidR="007B3DB2" w:rsidRPr="0063248C" w14:paraId="7C865FCD"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9C7AB33" w14:textId="77777777" w:rsidR="007B3DB2" w:rsidRPr="0063248C" w:rsidRDefault="00000000">
            <w:pPr>
              <w:spacing w:line="240" w:lineRule="exact"/>
              <w:rPr>
                <w:rFonts w:cs="宋体"/>
                <w:sz w:val="18"/>
                <w:szCs w:val="18"/>
              </w:rPr>
            </w:pPr>
            <w:r w:rsidRPr="0063248C">
              <w:rPr>
                <w:rFonts w:cs="宋体"/>
                <w:sz w:val="18"/>
                <w:szCs w:val="18"/>
              </w:rPr>
              <w:t>四川龙炸餐饮管理有限公司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5BFFB9C3" w14:textId="77777777" w:rsidR="007B3DB2" w:rsidRPr="0063248C" w:rsidRDefault="00000000">
            <w:pPr>
              <w:spacing w:line="240" w:lineRule="exact"/>
              <w:rPr>
                <w:rFonts w:cs="宋体"/>
                <w:sz w:val="18"/>
                <w:szCs w:val="18"/>
              </w:rPr>
            </w:pPr>
            <w:r w:rsidRPr="0063248C">
              <w:rPr>
                <w:rFonts w:cs="宋体"/>
                <w:sz w:val="18"/>
                <w:szCs w:val="18"/>
              </w:rPr>
              <w:t>小型微利企业所得税率</w:t>
            </w:r>
          </w:p>
        </w:tc>
      </w:tr>
      <w:tr w:rsidR="007B3DB2" w:rsidRPr="0063248C" w14:paraId="0F33734B"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4A16463D" w14:textId="77777777" w:rsidR="007B3DB2" w:rsidRPr="0063248C" w:rsidRDefault="00000000">
            <w:pPr>
              <w:spacing w:line="240" w:lineRule="exact"/>
              <w:rPr>
                <w:rFonts w:cs="宋体"/>
                <w:sz w:val="18"/>
                <w:szCs w:val="18"/>
              </w:rPr>
            </w:pPr>
            <w:r w:rsidRPr="0063248C">
              <w:rPr>
                <w:rFonts w:cs="宋体"/>
                <w:sz w:val="18"/>
                <w:szCs w:val="18"/>
              </w:rPr>
              <w:t>青岛中和盛杰食品有限公司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53917B49" w14:textId="77777777" w:rsidR="007B3DB2" w:rsidRPr="0063248C" w:rsidRDefault="00000000">
            <w:pPr>
              <w:spacing w:line="240" w:lineRule="exact"/>
              <w:rPr>
                <w:rFonts w:cs="宋体"/>
                <w:sz w:val="18"/>
                <w:szCs w:val="18"/>
              </w:rPr>
            </w:pPr>
            <w:r w:rsidRPr="0063248C">
              <w:rPr>
                <w:rFonts w:cs="宋体"/>
                <w:sz w:val="18"/>
                <w:szCs w:val="18"/>
              </w:rPr>
              <w:t>25%</w:t>
            </w:r>
          </w:p>
        </w:tc>
      </w:tr>
      <w:tr w:rsidR="007B3DB2" w:rsidRPr="0063248C" w14:paraId="24AD19FA"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43DABA92" w14:textId="77777777" w:rsidR="007B3DB2" w:rsidRPr="0063248C" w:rsidRDefault="00000000">
            <w:pPr>
              <w:spacing w:line="240" w:lineRule="exact"/>
              <w:rPr>
                <w:rFonts w:cs="宋体"/>
                <w:sz w:val="18"/>
                <w:szCs w:val="18"/>
              </w:rPr>
            </w:pPr>
            <w:r w:rsidRPr="0063248C">
              <w:rPr>
                <w:rFonts w:cs="宋体"/>
                <w:sz w:val="18"/>
                <w:szCs w:val="18"/>
              </w:rPr>
              <w:t>青岛新胜</w:t>
            </w:r>
            <w:proofErr w:type="gramStart"/>
            <w:r w:rsidRPr="0063248C">
              <w:rPr>
                <w:rFonts w:cs="宋体"/>
                <w:sz w:val="18"/>
                <w:szCs w:val="18"/>
              </w:rPr>
              <w:t>锦食品</w:t>
            </w:r>
            <w:proofErr w:type="gramEnd"/>
            <w:r w:rsidRPr="0063248C">
              <w:rPr>
                <w:rFonts w:cs="宋体"/>
                <w:sz w:val="18"/>
                <w:szCs w:val="18"/>
              </w:rPr>
              <w:t>商贸有限公司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393440F7" w14:textId="77777777" w:rsidR="007B3DB2" w:rsidRPr="0063248C" w:rsidRDefault="00000000">
            <w:pPr>
              <w:spacing w:line="240" w:lineRule="exact"/>
              <w:rPr>
                <w:rFonts w:cs="宋体"/>
                <w:sz w:val="18"/>
                <w:szCs w:val="18"/>
              </w:rPr>
            </w:pPr>
            <w:r w:rsidRPr="0063248C">
              <w:rPr>
                <w:rFonts w:cs="宋体"/>
                <w:sz w:val="18"/>
                <w:szCs w:val="18"/>
              </w:rPr>
              <w:t>小型微利企业所得税率</w:t>
            </w:r>
          </w:p>
        </w:tc>
      </w:tr>
      <w:tr w:rsidR="007B3DB2" w:rsidRPr="0063248C" w14:paraId="65AFD5B8"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1FCA41EC" w14:textId="77777777" w:rsidR="007B3DB2" w:rsidRPr="0063248C" w:rsidRDefault="00000000">
            <w:pPr>
              <w:spacing w:line="240" w:lineRule="exact"/>
              <w:rPr>
                <w:rFonts w:cs="宋体"/>
                <w:sz w:val="18"/>
                <w:szCs w:val="18"/>
              </w:rPr>
            </w:pPr>
            <w:r w:rsidRPr="0063248C">
              <w:rPr>
                <w:rFonts w:cs="宋体"/>
                <w:sz w:val="18"/>
                <w:szCs w:val="18"/>
              </w:rPr>
              <w:t>乳山中和盛杰食品有限公司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2D4FB3C2" w14:textId="77777777" w:rsidR="007B3DB2" w:rsidRPr="0063248C" w:rsidRDefault="00000000">
            <w:pPr>
              <w:spacing w:line="240" w:lineRule="exact"/>
              <w:rPr>
                <w:rFonts w:cs="宋体"/>
                <w:sz w:val="18"/>
                <w:szCs w:val="18"/>
              </w:rPr>
            </w:pPr>
            <w:r w:rsidRPr="0063248C">
              <w:rPr>
                <w:rFonts w:cs="宋体"/>
                <w:sz w:val="18"/>
                <w:szCs w:val="18"/>
              </w:rPr>
              <w:t>小型微利企业所得税率</w:t>
            </w:r>
          </w:p>
        </w:tc>
      </w:tr>
      <w:tr w:rsidR="007B3DB2" w:rsidRPr="0063248C" w14:paraId="09B78418"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25A6CF2F"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0B6701AA" w14:textId="77777777" w:rsidR="007B3DB2" w:rsidRPr="0063248C" w:rsidRDefault="00000000">
            <w:pPr>
              <w:spacing w:line="240" w:lineRule="exact"/>
              <w:rPr>
                <w:rFonts w:cs="宋体"/>
                <w:sz w:val="18"/>
                <w:szCs w:val="18"/>
              </w:rPr>
            </w:pPr>
            <w:r w:rsidRPr="0063248C">
              <w:rPr>
                <w:rFonts w:cs="宋体"/>
                <w:sz w:val="18"/>
                <w:szCs w:val="18"/>
              </w:rPr>
              <w:t>自产肉类初加工产品项目所得，免征企业所得税，深加工产品等其他项目所得税率为</w:t>
            </w:r>
            <w:r w:rsidRPr="0063248C">
              <w:rPr>
                <w:rFonts w:cs="宋体"/>
                <w:sz w:val="18"/>
                <w:szCs w:val="18"/>
              </w:rPr>
              <w:t>25%</w:t>
            </w:r>
          </w:p>
        </w:tc>
      </w:tr>
      <w:tr w:rsidR="007B3DB2" w:rsidRPr="0063248C" w14:paraId="1BC41E26"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60533C12" w14:textId="77777777" w:rsidR="007B3DB2" w:rsidRPr="0063248C" w:rsidRDefault="00000000">
            <w:pPr>
              <w:spacing w:line="240" w:lineRule="exact"/>
              <w:rPr>
                <w:rFonts w:cs="宋体"/>
                <w:sz w:val="18"/>
                <w:szCs w:val="18"/>
              </w:rPr>
            </w:pPr>
            <w:r w:rsidRPr="0063248C">
              <w:rPr>
                <w:rFonts w:cs="宋体"/>
                <w:sz w:val="18"/>
                <w:szCs w:val="18"/>
              </w:rPr>
              <w:t>云南福照食品有限公司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743476F2" w14:textId="77777777" w:rsidR="007B3DB2" w:rsidRPr="0063248C" w:rsidRDefault="00000000">
            <w:pPr>
              <w:spacing w:line="240" w:lineRule="exact"/>
              <w:rPr>
                <w:rFonts w:cs="宋体"/>
                <w:sz w:val="18"/>
                <w:szCs w:val="18"/>
              </w:rPr>
            </w:pPr>
            <w:r w:rsidRPr="0063248C">
              <w:rPr>
                <w:rFonts w:cs="宋体"/>
                <w:sz w:val="18"/>
                <w:szCs w:val="18"/>
              </w:rPr>
              <w:t>自产肉类初加工产品项目所得，免征企业所得税，深加工产品等其他项目所得税率为</w:t>
            </w:r>
            <w:r w:rsidRPr="0063248C">
              <w:rPr>
                <w:rFonts w:cs="宋体"/>
                <w:sz w:val="18"/>
                <w:szCs w:val="18"/>
              </w:rPr>
              <w:t>25%</w:t>
            </w:r>
          </w:p>
        </w:tc>
      </w:tr>
      <w:tr w:rsidR="007B3DB2" w:rsidRPr="0063248C" w14:paraId="50238F38"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4DC55193" w14:textId="77777777" w:rsidR="007B3DB2" w:rsidRPr="0063248C" w:rsidRDefault="00000000">
            <w:pPr>
              <w:spacing w:line="240" w:lineRule="exact"/>
              <w:rPr>
                <w:rFonts w:cs="宋体"/>
                <w:sz w:val="18"/>
                <w:szCs w:val="18"/>
              </w:rPr>
            </w:pPr>
            <w:r w:rsidRPr="0063248C">
              <w:rPr>
                <w:rFonts w:cs="宋体"/>
                <w:sz w:val="18"/>
                <w:szCs w:val="18"/>
              </w:rPr>
              <w:t>香港龙大发展有限公司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25D74FF7" w14:textId="77777777" w:rsidR="007B3DB2" w:rsidRPr="0063248C" w:rsidRDefault="00000000">
            <w:pPr>
              <w:spacing w:line="240" w:lineRule="exact"/>
              <w:rPr>
                <w:rFonts w:cs="宋体"/>
                <w:sz w:val="18"/>
                <w:szCs w:val="18"/>
              </w:rPr>
            </w:pPr>
            <w:r w:rsidRPr="0063248C">
              <w:rPr>
                <w:rFonts w:cs="宋体"/>
                <w:sz w:val="18"/>
                <w:szCs w:val="18"/>
              </w:rPr>
              <w:t>企业首</w:t>
            </w:r>
            <w:r w:rsidRPr="0063248C">
              <w:rPr>
                <w:rFonts w:cs="宋体"/>
                <w:sz w:val="18"/>
                <w:szCs w:val="18"/>
              </w:rPr>
              <w:t>200</w:t>
            </w:r>
            <w:r w:rsidRPr="0063248C">
              <w:rPr>
                <w:rFonts w:cs="宋体"/>
                <w:sz w:val="18"/>
                <w:szCs w:val="18"/>
              </w:rPr>
              <w:t>万港元的利润利得</w:t>
            </w:r>
            <w:proofErr w:type="gramStart"/>
            <w:r w:rsidRPr="0063248C">
              <w:rPr>
                <w:rFonts w:cs="宋体"/>
                <w:sz w:val="18"/>
                <w:szCs w:val="18"/>
              </w:rPr>
              <w:t>税</w:t>
            </w:r>
            <w:proofErr w:type="gramEnd"/>
            <w:r w:rsidRPr="0063248C">
              <w:rPr>
                <w:rFonts w:cs="宋体"/>
                <w:sz w:val="18"/>
                <w:szCs w:val="18"/>
              </w:rPr>
              <w:t>税率</w:t>
            </w:r>
            <w:r w:rsidRPr="0063248C">
              <w:rPr>
                <w:rFonts w:cs="宋体"/>
                <w:sz w:val="18"/>
                <w:szCs w:val="18"/>
              </w:rPr>
              <w:t>8.25%</w:t>
            </w:r>
            <w:r w:rsidRPr="0063248C">
              <w:rPr>
                <w:rFonts w:cs="宋体"/>
                <w:sz w:val="18"/>
                <w:szCs w:val="18"/>
              </w:rPr>
              <w:t>，其后的利润</w:t>
            </w:r>
            <w:r w:rsidRPr="0063248C">
              <w:rPr>
                <w:rFonts w:cs="宋体"/>
                <w:sz w:val="18"/>
                <w:szCs w:val="18"/>
              </w:rPr>
              <w:t>16.5%</w:t>
            </w:r>
          </w:p>
        </w:tc>
      </w:tr>
      <w:tr w:rsidR="007B3DB2" w:rsidRPr="0063248C" w14:paraId="74C97AE0"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7F3A4509" w14:textId="77777777" w:rsidR="007B3DB2" w:rsidRPr="0063248C" w:rsidRDefault="00000000">
            <w:pPr>
              <w:spacing w:line="240" w:lineRule="exact"/>
              <w:rPr>
                <w:rFonts w:cs="宋体"/>
                <w:sz w:val="18"/>
                <w:szCs w:val="18"/>
              </w:rPr>
            </w:pPr>
            <w:r w:rsidRPr="0063248C">
              <w:rPr>
                <w:rFonts w:cs="宋体"/>
                <w:sz w:val="18"/>
                <w:szCs w:val="18"/>
              </w:rPr>
              <w:t>山东龙大美食贸易有限公司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79776779" w14:textId="77777777" w:rsidR="007B3DB2" w:rsidRPr="0063248C" w:rsidRDefault="00000000">
            <w:pPr>
              <w:spacing w:line="240" w:lineRule="exact"/>
              <w:rPr>
                <w:rFonts w:cs="宋体"/>
                <w:sz w:val="18"/>
                <w:szCs w:val="18"/>
              </w:rPr>
            </w:pPr>
            <w:r w:rsidRPr="0063248C">
              <w:rPr>
                <w:rFonts w:cs="宋体"/>
                <w:sz w:val="18"/>
                <w:szCs w:val="18"/>
              </w:rPr>
              <w:t>25%</w:t>
            </w:r>
          </w:p>
        </w:tc>
      </w:tr>
      <w:tr w:rsidR="007B3DB2" w:rsidRPr="0063248C" w14:paraId="22BCDDC4"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707BCF32" w14:textId="77777777" w:rsidR="007B3DB2" w:rsidRPr="0063248C" w:rsidRDefault="00000000">
            <w:pPr>
              <w:spacing w:line="240" w:lineRule="exact"/>
              <w:rPr>
                <w:rFonts w:cs="宋体"/>
                <w:sz w:val="18"/>
                <w:szCs w:val="18"/>
              </w:rPr>
            </w:pPr>
            <w:r w:rsidRPr="0063248C">
              <w:rPr>
                <w:rFonts w:cs="宋体"/>
                <w:sz w:val="18"/>
                <w:szCs w:val="18"/>
              </w:rPr>
              <w:t>黑龙江龙大养殖有限公司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58C899B0" w14:textId="77777777" w:rsidR="007B3DB2" w:rsidRPr="0063248C" w:rsidRDefault="00000000">
            <w:pPr>
              <w:spacing w:line="240" w:lineRule="exact"/>
              <w:rPr>
                <w:rFonts w:cs="宋体"/>
                <w:sz w:val="18"/>
                <w:szCs w:val="18"/>
              </w:rPr>
            </w:pPr>
            <w:r w:rsidRPr="0063248C">
              <w:rPr>
                <w:rFonts w:cs="宋体"/>
                <w:sz w:val="18"/>
                <w:szCs w:val="18"/>
              </w:rPr>
              <w:t>从事牲畜、家禽的饲养项目所得税，免征企业所得税</w:t>
            </w:r>
          </w:p>
        </w:tc>
      </w:tr>
      <w:tr w:rsidR="007B3DB2" w:rsidRPr="0063248C" w14:paraId="5B0C660A"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4294601A" w14:textId="77777777" w:rsidR="007B3DB2" w:rsidRPr="0063248C" w:rsidRDefault="00000000">
            <w:pPr>
              <w:spacing w:line="240" w:lineRule="exact"/>
              <w:rPr>
                <w:rFonts w:cs="宋体"/>
                <w:sz w:val="18"/>
                <w:szCs w:val="18"/>
              </w:rPr>
            </w:pPr>
            <w:r w:rsidRPr="0063248C">
              <w:rPr>
                <w:rFonts w:cs="宋体"/>
                <w:sz w:val="18"/>
                <w:szCs w:val="18"/>
              </w:rPr>
              <w:t>安丘龙大养殖有限公司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51378C40" w14:textId="77777777" w:rsidR="007B3DB2" w:rsidRPr="0063248C" w:rsidRDefault="00000000">
            <w:pPr>
              <w:spacing w:line="240" w:lineRule="exact"/>
              <w:rPr>
                <w:rFonts w:cs="宋体"/>
                <w:sz w:val="18"/>
                <w:szCs w:val="18"/>
              </w:rPr>
            </w:pPr>
            <w:r w:rsidRPr="0063248C">
              <w:rPr>
                <w:rFonts w:cs="宋体"/>
                <w:sz w:val="18"/>
                <w:szCs w:val="18"/>
              </w:rPr>
              <w:t>从事牲畜、家禽的饲养项目所得税，免征企业所得税</w:t>
            </w:r>
          </w:p>
        </w:tc>
      </w:tr>
      <w:tr w:rsidR="007B3DB2" w:rsidRPr="0063248C" w14:paraId="21DE0893"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05B371F7" w14:textId="77777777" w:rsidR="007B3DB2" w:rsidRPr="0063248C" w:rsidRDefault="00000000">
            <w:pPr>
              <w:spacing w:line="240" w:lineRule="exact"/>
              <w:rPr>
                <w:rFonts w:cs="宋体"/>
                <w:sz w:val="18"/>
                <w:szCs w:val="18"/>
              </w:rPr>
            </w:pPr>
            <w:r w:rsidRPr="0063248C">
              <w:rPr>
                <w:rFonts w:cs="宋体"/>
                <w:sz w:val="18"/>
                <w:szCs w:val="18"/>
              </w:rPr>
              <w:t>莱阳龙大养殖有限公司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5027CC86" w14:textId="77777777" w:rsidR="007B3DB2" w:rsidRPr="0063248C" w:rsidRDefault="00000000">
            <w:pPr>
              <w:spacing w:line="240" w:lineRule="exact"/>
              <w:rPr>
                <w:rFonts w:cs="宋体"/>
                <w:sz w:val="18"/>
                <w:szCs w:val="18"/>
              </w:rPr>
            </w:pPr>
            <w:r w:rsidRPr="0063248C">
              <w:rPr>
                <w:rFonts w:cs="宋体"/>
                <w:sz w:val="18"/>
                <w:szCs w:val="18"/>
              </w:rPr>
              <w:t>从事牲畜、家禽的饲养项目所得税，免征企业所得税</w:t>
            </w:r>
          </w:p>
        </w:tc>
      </w:tr>
      <w:tr w:rsidR="007B3DB2" w:rsidRPr="0063248C" w14:paraId="099A32EE"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DFBA559" w14:textId="77777777" w:rsidR="007B3DB2" w:rsidRPr="0063248C" w:rsidRDefault="00000000">
            <w:pPr>
              <w:spacing w:line="240" w:lineRule="exact"/>
              <w:rPr>
                <w:rFonts w:cs="宋体"/>
                <w:sz w:val="18"/>
                <w:szCs w:val="18"/>
              </w:rPr>
            </w:pPr>
            <w:r w:rsidRPr="0063248C">
              <w:rPr>
                <w:rFonts w:cs="宋体"/>
                <w:sz w:val="18"/>
                <w:szCs w:val="18"/>
              </w:rPr>
              <w:t>莱州龙大养殖有限公司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1A033F25" w14:textId="77777777" w:rsidR="007B3DB2" w:rsidRPr="0063248C" w:rsidRDefault="00000000">
            <w:pPr>
              <w:spacing w:line="240" w:lineRule="exact"/>
              <w:rPr>
                <w:rFonts w:cs="宋体"/>
                <w:sz w:val="18"/>
                <w:szCs w:val="18"/>
              </w:rPr>
            </w:pPr>
            <w:r w:rsidRPr="0063248C">
              <w:rPr>
                <w:rFonts w:cs="宋体"/>
                <w:sz w:val="18"/>
                <w:szCs w:val="18"/>
              </w:rPr>
              <w:t>从事牲畜、家禽的饲养项目所得税，免征企业所得税</w:t>
            </w:r>
          </w:p>
        </w:tc>
      </w:tr>
      <w:tr w:rsidR="007B3DB2" w:rsidRPr="0063248C" w14:paraId="560B9B38"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7BA088AF" w14:textId="77777777" w:rsidR="007B3DB2" w:rsidRPr="0063248C" w:rsidRDefault="00000000">
            <w:pPr>
              <w:spacing w:line="240" w:lineRule="exact"/>
              <w:rPr>
                <w:rFonts w:cs="宋体"/>
                <w:sz w:val="18"/>
                <w:szCs w:val="18"/>
              </w:rPr>
            </w:pPr>
            <w:r w:rsidRPr="0063248C">
              <w:rPr>
                <w:rFonts w:cs="宋体"/>
                <w:sz w:val="18"/>
                <w:szCs w:val="18"/>
              </w:rPr>
              <w:t>乳山龙大养殖有限公司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58A89291" w14:textId="77777777" w:rsidR="007B3DB2" w:rsidRPr="0063248C" w:rsidRDefault="00000000">
            <w:pPr>
              <w:spacing w:line="240" w:lineRule="exact"/>
              <w:rPr>
                <w:rFonts w:cs="宋体"/>
                <w:sz w:val="18"/>
                <w:szCs w:val="18"/>
              </w:rPr>
            </w:pPr>
            <w:r w:rsidRPr="0063248C">
              <w:rPr>
                <w:rFonts w:cs="宋体"/>
                <w:sz w:val="18"/>
                <w:szCs w:val="18"/>
              </w:rPr>
              <w:t>从事牲畜、家禽的饲养项目所得税，免征企业所得税</w:t>
            </w:r>
          </w:p>
        </w:tc>
      </w:tr>
      <w:tr w:rsidR="007B3DB2" w:rsidRPr="0063248C" w14:paraId="5DECAB41"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164E8551" w14:textId="77777777" w:rsidR="007B3DB2" w:rsidRPr="0063248C" w:rsidRDefault="00000000">
            <w:pPr>
              <w:spacing w:line="240" w:lineRule="exact"/>
              <w:rPr>
                <w:rFonts w:cs="宋体"/>
                <w:sz w:val="18"/>
                <w:szCs w:val="18"/>
              </w:rPr>
            </w:pPr>
            <w:r w:rsidRPr="0063248C">
              <w:rPr>
                <w:rFonts w:cs="宋体"/>
                <w:sz w:val="18"/>
                <w:szCs w:val="18"/>
              </w:rPr>
              <w:t>青岛龙大管理咨询服务有限公司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5D5D4353" w14:textId="77777777" w:rsidR="007B3DB2" w:rsidRPr="0063248C" w:rsidRDefault="00000000">
            <w:pPr>
              <w:spacing w:line="240" w:lineRule="exact"/>
              <w:rPr>
                <w:rFonts w:cs="宋体"/>
                <w:sz w:val="18"/>
                <w:szCs w:val="18"/>
              </w:rPr>
            </w:pPr>
            <w:r w:rsidRPr="0063248C">
              <w:rPr>
                <w:rFonts w:cs="宋体"/>
                <w:sz w:val="18"/>
                <w:szCs w:val="18"/>
              </w:rPr>
              <w:t>小型微利企业所得税率</w:t>
            </w:r>
          </w:p>
        </w:tc>
      </w:tr>
      <w:tr w:rsidR="007B3DB2" w:rsidRPr="0063248C" w14:paraId="66C3BC57"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B72D03A" w14:textId="77777777" w:rsidR="007B3DB2" w:rsidRPr="0063248C" w:rsidRDefault="00000000">
            <w:pPr>
              <w:spacing w:line="240" w:lineRule="exact"/>
              <w:rPr>
                <w:rFonts w:cs="宋体"/>
                <w:sz w:val="18"/>
                <w:szCs w:val="18"/>
              </w:rPr>
            </w:pPr>
            <w:r w:rsidRPr="0063248C">
              <w:rPr>
                <w:rFonts w:cs="宋体"/>
                <w:sz w:val="18"/>
                <w:szCs w:val="18"/>
              </w:rPr>
              <w:t>江苏龙大沁侬食品有限公司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5EAB2553" w14:textId="77777777" w:rsidR="007B3DB2" w:rsidRPr="0063248C" w:rsidRDefault="00000000">
            <w:pPr>
              <w:spacing w:line="240" w:lineRule="exact"/>
              <w:rPr>
                <w:rFonts w:cs="宋体"/>
                <w:sz w:val="18"/>
                <w:szCs w:val="18"/>
              </w:rPr>
            </w:pPr>
            <w:r w:rsidRPr="0063248C">
              <w:rPr>
                <w:rFonts w:cs="宋体"/>
                <w:sz w:val="18"/>
                <w:szCs w:val="18"/>
              </w:rPr>
              <w:t>自产肉类初加工产品项目所得，免征企业所得税，深加工产品等其他项目所得税率为</w:t>
            </w:r>
            <w:r w:rsidRPr="0063248C">
              <w:rPr>
                <w:rFonts w:cs="宋体"/>
                <w:sz w:val="18"/>
                <w:szCs w:val="18"/>
              </w:rPr>
              <w:t>25%</w:t>
            </w:r>
          </w:p>
        </w:tc>
      </w:tr>
      <w:tr w:rsidR="007B3DB2" w:rsidRPr="0063248C" w14:paraId="04CDF64A"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7E1D319D" w14:textId="77777777" w:rsidR="007B3DB2" w:rsidRPr="0063248C" w:rsidRDefault="00000000">
            <w:pPr>
              <w:spacing w:line="240" w:lineRule="exact"/>
              <w:rPr>
                <w:rFonts w:cs="宋体"/>
                <w:sz w:val="18"/>
                <w:szCs w:val="18"/>
              </w:rPr>
            </w:pPr>
            <w:proofErr w:type="gramStart"/>
            <w:r w:rsidRPr="0063248C">
              <w:rPr>
                <w:rFonts w:cs="宋体"/>
                <w:sz w:val="18"/>
                <w:szCs w:val="18"/>
              </w:rPr>
              <w:t>通辽金泉食品</w:t>
            </w:r>
            <w:proofErr w:type="gramEnd"/>
            <w:r w:rsidRPr="0063248C">
              <w:rPr>
                <w:rFonts w:cs="宋体"/>
                <w:sz w:val="18"/>
                <w:szCs w:val="18"/>
              </w:rPr>
              <w:t>有限责任公司</w:t>
            </w:r>
          </w:p>
        </w:tc>
        <w:tc>
          <w:tcPr>
            <w:tcW w:w="5811" w:type="dxa"/>
            <w:tcBorders>
              <w:top w:val="single" w:sz="2" w:space="0" w:color="auto"/>
              <w:left w:val="single" w:sz="2" w:space="0" w:color="auto"/>
              <w:bottom w:val="single" w:sz="2" w:space="0" w:color="auto"/>
              <w:right w:val="single" w:sz="2" w:space="0" w:color="auto"/>
            </w:tcBorders>
            <w:vAlign w:val="center"/>
          </w:tcPr>
          <w:p w14:paraId="41055656" w14:textId="77777777" w:rsidR="007B3DB2" w:rsidRPr="0063248C" w:rsidRDefault="00000000">
            <w:pPr>
              <w:spacing w:line="240" w:lineRule="exact"/>
              <w:rPr>
                <w:rFonts w:cs="宋体"/>
                <w:sz w:val="18"/>
                <w:szCs w:val="18"/>
              </w:rPr>
            </w:pPr>
            <w:r w:rsidRPr="0063248C">
              <w:rPr>
                <w:rFonts w:cs="宋体"/>
                <w:sz w:val="18"/>
                <w:szCs w:val="18"/>
              </w:rPr>
              <w:t>自产肉类初加工产品项目所得，免征企业所得税，深加工产品等其他项目所得税率为</w:t>
            </w:r>
            <w:r w:rsidRPr="0063248C">
              <w:rPr>
                <w:rFonts w:cs="宋体"/>
                <w:sz w:val="18"/>
                <w:szCs w:val="18"/>
              </w:rPr>
              <w:t>25%</w:t>
            </w:r>
          </w:p>
        </w:tc>
      </w:tr>
      <w:tr w:rsidR="007B3DB2" w:rsidRPr="0063248C" w14:paraId="75967E1B"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6C6E2E93" w14:textId="77777777" w:rsidR="007B3DB2" w:rsidRPr="0063248C" w:rsidRDefault="00000000">
            <w:pPr>
              <w:spacing w:line="240" w:lineRule="exact"/>
              <w:rPr>
                <w:rFonts w:cs="宋体"/>
                <w:sz w:val="18"/>
                <w:szCs w:val="18"/>
              </w:rPr>
            </w:pPr>
            <w:r w:rsidRPr="0063248C">
              <w:rPr>
                <w:rFonts w:cs="宋体"/>
                <w:sz w:val="18"/>
                <w:szCs w:val="18"/>
              </w:rPr>
              <w:t>湖北龙大肉食品有限公司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59FDB85C" w14:textId="77777777" w:rsidR="007B3DB2" w:rsidRPr="0063248C" w:rsidRDefault="00000000">
            <w:pPr>
              <w:spacing w:line="240" w:lineRule="exact"/>
              <w:rPr>
                <w:rFonts w:cs="宋体"/>
                <w:sz w:val="18"/>
                <w:szCs w:val="18"/>
              </w:rPr>
            </w:pPr>
            <w:r w:rsidRPr="0063248C">
              <w:rPr>
                <w:rFonts w:cs="宋体"/>
                <w:sz w:val="18"/>
                <w:szCs w:val="18"/>
              </w:rPr>
              <w:t>自产肉类初加工产品项目所得，免征企业所得税，深加工产品等其他项目所得税率为</w:t>
            </w:r>
            <w:r w:rsidRPr="0063248C">
              <w:rPr>
                <w:rFonts w:cs="宋体"/>
                <w:sz w:val="18"/>
                <w:szCs w:val="18"/>
              </w:rPr>
              <w:t>25%</w:t>
            </w:r>
          </w:p>
        </w:tc>
      </w:tr>
      <w:tr w:rsidR="007B3DB2" w:rsidRPr="0063248C" w14:paraId="6BF6E39D"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2970C619" w14:textId="77777777" w:rsidR="007B3DB2" w:rsidRPr="0063248C" w:rsidRDefault="00000000">
            <w:pPr>
              <w:spacing w:line="240" w:lineRule="exact"/>
              <w:rPr>
                <w:rFonts w:cs="宋体"/>
                <w:sz w:val="18"/>
                <w:szCs w:val="18"/>
              </w:rPr>
            </w:pPr>
            <w:r w:rsidRPr="0063248C">
              <w:rPr>
                <w:rFonts w:cs="宋体"/>
                <w:sz w:val="18"/>
                <w:szCs w:val="18"/>
              </w:rPr>
              <w:t>成都龙大肉食品有限公司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666C8353" w14:textId="77777777" w:rsidR="007B3DB2" w:rsidRPr="0063248C" w:rsidRDefault="00000000">
            <w:pPr>
              <w:spacing w:line="240" w:lineRule="exact"/>
              <w:rPr>
                <w:rFonts w:cs="宋体"/>
                <w:sz w:val="18"/>
                <w:szCs w:val="18"/>
              </w:rPr>
            </w:pPr>
            <w:r w:rsidRPr="0063248C">
              <w:rPr>
                <w:rFonts w:cs="宋体"/>
                <w:sz w:val="18"/>
                <w:szCs w:val="18"/>
              </w:rPr>
              <w:t>自产肉类初加工产品项目所得，免征企业所得税，深加工产品等其他项目所得税率为</w:t>
            </w:r>
            <w:r w:rsidRPr="0063248C">
              <w:rPr>
                <w:rFonts w:cs="宋体"/>
                <w:sz w:val="18"/>
                <w:szCs w:val="18"/>
              </w:rPr>
              <w:t>25%</w:t>
            </w:r>
          </w:p>
        </w:tc>
      </w:tr>
      <w:tr w:rsidR="007B3DB2" w:rsidRPr="0063248C" w14:paraId="1E91E79B"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7986DD6A"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45E9348D" w14:textId="77777777" w:rsidR="007B3DB2" w:rsidRPr="0063248C" w:rsidRDefault="00000000">
            <w:pPr>
              <w:spacing w:line="240" w:lineRule="exact"/>
              <w:rPr>
                <w:rFonts w:cs="宋体"/>
                <w:sz w:val="18"/>
                <w:szCs w:val="18"/>
              </w:rPr>
            </w:pPr>
            <w:r w:rsidRPr="0063248C">
              <w:rPr>
                <w:rFonts w:cs="宋体"/>
                <w:sz w:val="18"/>
                <w:szCs w:val="18"/>
              </w:rPr>
              <w:t>自产肉类初加工产品项目所得，免征企业所得税，深加工产品等其他项目所得税率为</w:t>
            </w:r>
            <w:r w:rsidRPr="0063248C">
              <w:rPr>
                <w:rFonts w:cs="宋体"/>
                <w:sz w:val="18"/>
                <w:szCs w:val="18"/>
              </w:rPr>
              <w:t>25%</w:t>
            </w:r>
          </w:p>
        </w:tc>
      </w:tr>
      <w:tr w:rsidR="007B3DB2" w:rsidRPr="0063248C" w14:paraId="7776CE06"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E6EEBBD" w14:textId="77777777" w:rsidR="007B3DB2" w:rsidRPr="0063248C" w:rsidRDefault="00000000">
            <w:pPr>
              <w:spacing w:line="240" w:lineRule="exact"/>
              <w:rPr>
                <w:rFonts w:cs="宋体"/>
                <w:sz w:val="18"/>
                <w:szCs w:val="18"/>
              </w:rPr>
            </w:pPr>
            <w:r w:rsidRPr="0063248C">
              <w:rPr>
                <w:rFonts w:cs="宋体"/>
                <w:sz w:val="18"/>
                <w:szCs w:val="18"/>
              </w:rPr>
              <w:t>海南龙大美食有限责任公司</w:t>
            </w:r>
          </w:p>
        </w:tc>
        <w:tc>
          <w:tcPr>
            <w:tcW w:w="5811" w:type="dxa"/>
            <w:tcBorders>
              <w:top w:val="single" w:sz="2" w:space="0" w:color="auto"/>
              <w:left w:val="single" w:sz="2" w:space="0" w:color="auto"/>
              <w:bottom w:val="single" w:sz="2" w:space="0" w:color="auto"/>
              <w:right w:val="single" w:sz="2" w:space="0" w:color="auto"/>
            </w:tcBorders>
            <w:vAlign w:val="center"/>
          </w:tcPr>
          <w:p w14:paraId="6056A7F8" w14:textId="77777777" w:rsidR="007B3DB2" w:rsidRPr="0063248C" w:rsidRDefault="00000000">
            <w:pPr>
              <w:spacing w:line="240" w:lineRule="exact"/>
              <w:rPr>
                <w:rFonts w:cs="宋体"/>
                <w:sz w:val="18"/>
                <w:szCs w:val="18"/>
              </w:rPr>
            </w:pPr>
            <w:r w:rsidRPr="0063248C">
              <w:rPr>
                <w:rFonts w:cs="宋体"/>
                <w:sz w:val="18"/>
                <w:szCs w:val="18"/>
              </w:rPr>
              <w:t>符合海南省自贸区鼓励类行业，主营业务达到百分之六十以上，享受企业所得税</w:t>
            </w:r>
            <w:r w:rsidRPr="0063248C">
              <w:rPr>
                <w:rFonts w:cs="宋体"/>
                <w:sz w:val="18"/>
                <w:szCs w:val="18"/>
              </w:rPr>
              <w:t>15%</w:t>
            </w:r>
            <w:r w:rsidRPr="0063248C">
              <w:rPr>
                <w:rFonts w:cs="宋体"/>
                <w:sz w:val="18"/>
                <w:szCs w:val="18"/>
              </w:rPr>
              <w:t>的优惠税率。</w:t>
            </w:r>
          </w:p>
        </w:tc>
      </w:tr>
      <w:tr w:rsidR="007B3DB2" w:rsidRPr="0063248C" w14:paraId="1FDF424A"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23CAC2D4" w14:textId="77777777" w:rsidR="007B3DB2" w:rsidRPr="0063248C" w:rsidRDefault="00000000">
            <w:pPr>
              <w:spacing w:line="240" w:lineRule="exact"/>
              <w:rPr>
                <w:rFonts w:cs="宋体"/>
                <w:sz w:val="18"/>
                <w:szCs w:val="18"/>
              </w:rPr>
            </w:pPr>
            <w:r w:rsidRPr="0063248C">
              <w:rPr>
                <w:rFonts w:cs="宋体"/>
                <w:sz w:val="18"/>
                <w:szCs w:val="18"/>
              </w:rPr>
              <w:t>巴中龙大肉食品有限公司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34A1023A" w14:textId="77777777" w:rsidR="007B3DB2" w:rsidRPr="0063248C" w:rsidRDefault="00000000">
            <w:pPr>
              <w:spacing w:line="240" w:lineRule="exact"/>
              <w:rPr>
                <w:rFonts w:cs="宋体"/>
                <w:sz w:val="18"/>
                <w:szCs w:val="18"/>
              </w:rPr>
            </w:pPr>
            <w:r w:rsidRPr="0063248C">
              <w:rPr>
                <w:rFonts w:cs="宋体"/>
                <w:sz w:val="18"/>
                <w:szCs w:val="18"/>
              </w:rPr>
              <w:t>自产肉类初加工产品项目所得，免征企业所得税，深加工产品等其他项目所得税率为</w:t>
            </w:r>
            <w:r w:rsidRPr="0063248C">
              <w:rPr>
                <w:rFonts w:cs="宋体"/>
                <w:sz w:val="18"/>
                <w:szCs w:val="18"/>
              </w:rPr>
              <w:t>25%</w:t>
            </w:r>
          </w:p>
        </w:tc>
      </w:tr>
      <w:tr w:rsidR="007B3DB2" w:rsidRPr="0063248C" w14:paraId="27FBA50E"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2FED4D8" w14:textId="77777777" w:rsidR="007B3DB2" w:rsidRPr="0063248C" w:rsidRDefault="00000000">
            <w:pPr>
              <w:spacing w:line="240" w:lineRule="exact"/>
              <w:rPr>
                <w:rFonts w:cs="宋体"/>
                <w:sz w:val="18"/>
                <w:szCs w:val="18"/>
              </w:rPr>
            </w:pPr>
            <w:r w:rsidRPr="0063248C">
              <w:rPr>
                <w:rFonts w:cs="宋体"/>
                <w:sz w:val="18"/>
                <w:szCs w:val="18"/>
              </w:rPr>
              <w:t>山东</w:t>
            </w:r>
            <w:proofErr w:type="gramStart"/>
            <w:r w:rsidRPr="0063248C">
              <w:rPr>
                <w:rFonts w:cs="宋体"/>
                <w:sz w:val="18"/>
                <w:szCs w:val="18"/>
              </w:rPr>
              <w:t>龙鲜生供应</w:t>
            </w:r>
            <w:proofErr w:type="gramEnd"/>
            <w:r w:rsidRPr="0063248C">
              <w:rPr>
                <w:rFonts w:cs="宋体"/>
                <w:sz w:val="18"/>
                <w:szCs w:val="18"/>
              </w:rPr>
              <w:t>链管理有限公司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153832A5" w14:textId="77777777" w:rsidR="007B3DB2" w:rsidRPr="0063248C" w:rsidRDefault="00000000">
            <w:pPr>
              <w:spacing w:line="240" w:lineRule="exact"/>
              <w:rPr>
                <w:rFonts w:cs="宋体"/>
                <w:sz w:val="18"/>
                <w:szCs w:val="18"/>
              </w:rPr>
            </w:pPr>
            <w:r w:rsidRPr="0063248C">
              <w:rPr>
                <w:rFonts w:cs="宋体"/>
                <w:sz w:val="18"/>
                <w:szCs w:val="18"/>
              </w:rPr>
              <w:t>小型微利企业所得税率</w:t>
            </w:r>
          </w:p>
        </w:tc>
      </w:tr>
      <w:tr w:rsidR="007B3DB2" w:rsidRPr="0063248C" w14:paraId="55D4CDAB"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7BF7DE01" w14:textId="77777777" w:rsidR="007B3DB2" w:rsidRPr="0063248C" w:rsidRDefault="00000000">
            <w:pPr>
              <w:spacing w:line="240" w:lineRule="exact"/>
              <w:rPr>
                <w:rFonts w:cs="宋体"/>
                <w:sz w:val="18"/>
                <w:szCs w:val="18"/>
              </w:rPr>
            </w:pPr>
            <w:r w:rsidRPr="0063248C">
              <w:rPr>
                <w:rFonts w:cs="宋体"/>
                <w:sz w:val="18"/>
                <w:szCs w:val="18"/>
              </w:rPr>
              <w:t>青岛龙大鲜</w:t>
            </w:r>
            <w:proofErr w:type="gramStart"/>
            <w:r w:rsidRPr="0063248C">
              <w:rPr>
                <w:rFonts w:cs="宋体"/>
                <w:sz w:val="18"/>
                <w:szCs w:val="18"/>
              </w:rPr>
              <w:t>生供应</w:t>
            </w:r>
            <w:proofErr w:type="gramEnd"/>
            <w:r w:rsidRPr="0063248C">
              <w:rPr>
                <w:rFonts w:cs="宋体"/>
                <w:sz w:val="18"/>
                <w:szCs w:val="18"/>
              </w:rPr>
              <w:t>链有限公司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6F0CB6FC" w14:textId="77777777" w:rsidR="007B3DB2" w:rsidRPr="0063248C" w:rsidRDefault="00000000">
            <w:pPr>
              <w:spacing w:line="240" w:lineRule="exact"/>
              <w:rPr>
                <w:rFonts w:cs="宋体"/>
                <w:sz w:val="18"/>
                <w:szCs w:val="18"/>
              </w:rPr>
            </w:pPr>
            <w:r w:rsidRPr="0063248C">
              <w:rPr>
                <w:rFonts w:cs="宋体"/>
                <w:sz w:val="18"/>
                <w:szCs w:val="18"/>
              </w:rPr>
              <w:t>小型微利企业所得税率</w:t>
            </w:r>
          </w:p>
        </w:tc>
      </w:tr>
      <w:tr w:rsidR="007B3DB2" w:rsidRPr="0063248C" w14:paraId="5F5617E6"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FE2F728" w14:textId="77777777" w:rsidR="007B3DB2" w:rsidRPr="0063248C" w:rsidRDefault="00000000">
            <w:pPr>
              <w:spacing w:line="240" w:lineRule="exact"/>
              <w:rPr>
                <w:rFonts w:cs="宋体"/>
                <w:sz w:val="18"/>
                <w:szCs w:val="18"/>
              </w:rPr>
            </w:pPr>
            <w:r w:rsidRPr="0063248C">
              <w:rPr>
                <w:rFonts w:cs="宋体"/>
                <w:sz w:val="18"/>
                <w:szCs w:val="18"/>
              </w:rPr>
              <w:t>四川龙鲜活供应链管理有限公司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213091CD" w14:textId="77777777" w:rsidR="007B3DB2" w:rsidRPr="0063248C" w:rsidRDefault="00000000">
            <w:pPr>
              <w:spacing w:line="240" w:lineRule="exact"/>
              <w:rPr>
                <w:rFonts w:cs="宋体"/>
                <w:sz w:val="18"/>
                <w:szCs w:val="18"/>
              </w:rPr>
            </w:pPr>
            <w:r w:rsidRPr="0063248C">
              <w:rPr>
                <w:rFonts w:cs="宋体"/>
                <w:sz w:val="18"/>
                <w:szCs w:val="18"/>
              </w:rPr>
              <w:t>小型微利企业所得税率</w:t>
            </w:r>
          </w:p>
        </w:tc>
      </w:tr>
      <w:tr w:rsidR="007B3DB2" w:rsidRPr="0063248C" w14:paraId="3C762D82"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04DFB5C4"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食品销售有限公司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154CC033" w14:textId="77777777" w:rsidR="007B3DB2" w:rsidRPr="0063248C" w:rsidRDefault="00000000">
            <w:pPr>
              <w:spacing w:line="240" w:lineRule="exact"/>
              <w:rPr>
                <w:rFonts w:cs="宋体"/>
                <w:sz w:val="18"/>
                <w:szCs w:val="18"/>
              </w:rPr>
            </w:pPr>
            <w:r w:rsidRPr="0063248C">
              <w:rPr>
                <w:rFonts w:cs="宋体"/>
                <w:sz w:val="18"/>
                <w:szCs w:val="18"/>
              </w:rPr>
              <w:t>小型微利企业所得税率</w:t>
            </w:r>
          </w:p>
        </w:tc>
      </w:tr>
      <w:tr w:rsidR="007B3DB2" w:rsidRPr="0063248C" w14:paraId="4E9D65D0"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1CBCAAEC" w14:textId="77777777" w:rsidR="007B3DB2" w:rsidRPr="0063248C" w:rsidRDefault="00000000">
            <w:pPr>
              <w:spacing w:line="240" w:lineRule="exact"/>
              <w:rPr>
                <w:rFonts w:cs="宋体"/>
                <w:sz w:val="18"/>
                <w:szCs w:val="18"/>
              </w:rPr>
            </w:pPr>
            <w:r w:rsidRPr="0063248C">
              <w:rPr>
                <w:rFonts w:cs="宋体"/>
                <w:sz w:val="18"/>
                <w:szCs w:val="18"/>
              </w:rPr>
              <w:t>成都龙大科技有限公司（原成都</w:t>
            </w:r>
            <w:proofErr w:type="gramStart"/>
            <w:r w:rsidRPr="0063248C">
              <w:rPr>
                <w:rFonts w:cs="宋体"/>
                <w:sz w:val="18"/>
                <w:szCs w:val="18"/>
              </w:rPr>
              <w:t>逸享潮代供应</w:t>
            </w:r>
            <w:proofErr w:type="gramEnd"/>
            <w:r w:rsidRPr="0063248C">
              <w:rPr>
                <w:rFonts w:cs="宋体"/>
                <w:sz w:val="18"/>
                <w:szCs w:val="18"/>
              </w:rPr>
              <w:t>链管理有限公司）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0CF5D948" w14:textId="77777777" w:rsidR="007B3DB2" w:rsidRPr="0063248C" w:rsidRDefault="00000000">
            <w:pPr>
              <w:spacing w:line="240" w:lineRule="exact"/>
              <w:rPr>
                <w:rFonts w:cs="宋体"/>
                <w:sz w:val="18"/>
                <w:szCs w:val="18"/>
              </w:rPr>
            </w:pPr>
            <w:r w:rsidRPr="0063248C">
              <w:rPr>
                <w:rFonts w:cs="宋体"/>
                <w:sz w:val="18"/>
                <w:szCs w:val="18"/>
              </w:rPr>
              <w:t>25%</w:t>
            </w:r>
          </w:p>
        </w:tc>
      </w:tr>
      <w:tr w:rsidR="007B3DB2" w:rsidRPr="0063248C" w14:paraId="47A49CAC"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0757C16B" w14:textId="77777777" w:rsidR="007B3DB2" w:rsidRPr="0063248C" w:rsidRDefault="00000000">
            <w:pPr>
              <w:spacing w:line="240" w:lineRule="exact"/>
              <w:rPr>
                <w:rFonts w:cs="宋体"/>
                <w:sz w:val="18"/>
                <w:szCs w:val="18"/>
              </w:rPr>
            </w:pPr>
            <w:r w:rsidRPr="0063248C">
              <w:rPr>
                <w:rFonts w:cs="宋体"/>
                <w:sz w:val="18"/>
                <w:szCs w:val="18"/>
              </w:rPr>
              <w:t>龙大美食</w:t>
            </w:r>
            <w:r w:rsidRPr="0063248C">
              <w:rPr>
                <w:rFonts w:cs="宋体"/>
                <w:sz w:val="18"/>
                <w:szCs w:val="18"/>
              </w:rPr>
              <w:t>(</w:t>
            </w:r>
            <w:r w:rsidRPr="0063248C">
              <w:rPr>
                <w:rFonts w:cs="宋体"/>
                <w:sz w:val="18"/>
                <w:szCs w:val="18"/>
              </w:rPr>
              <w:t>北京</w:t>
            </w:r>
            <w:r w:rsidRPr="0063248C">
              <w:rPr>
                <w:rFonts w:cs="宋体"/>
                <w:sz w:val="18"/>
                <w:szCs w:val="18"/>
              </w:rPr>
              <w:t>)</w:t>
            </w:r>
            <w:r w:rsidRPr="0063248C">
              <w:rPr>
                <w:rFonts w:cs="宋体"/>
                <w:sz w:val="18"/>
                <w:szCs w:val="18"/>
              </w:rPr>
              <w:t>食品科技有限公司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4CA3EC14" w14:textId="77777777" w:rsidR="007B3DB2" w:rsidRPr="0063248C" w:rsidRDefault="00000000">
            <w:pPr>
              <w:spacing w:line="240" w:lineRule="exact"/>
              <w:rPr>
                <w:rFonts w:cs="宋体"/>
                <w:sz w:val="18"/>
                <w:szCs w:val="18"/>
              </w:rPr>
            </w:pPr>
            <w:r w:rsidRPr="0063248C">
              <w:rPr>
                <w:rFonts w:cs="宋体"/>
                <w:sz w:val="18"/>
                <w:szCs w:val="18"/>
              </w:rPr>
              <w:t>25%</w:t>
            </w:r>
          </w:p>
        </w:tc>
      </w:tr>
      <w:tr w:rsidR="007B3DB2" w:rsidRPr="0063248C" w14:paraId="473DE19B"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111B516C" w14:textId="77777777" w:rsidR="007B3DB2" w:rsidRPr="0063248C" w:rsidRDefault="00000000">
            <w:pPr>
              <w:spacing w:line="240" w:lineRule="exact"/>
              <w:rPr>
                <w:rFonts w:cs="宋体"/>
                <w:sz w:val="18"/>
                <w:szCs w:val="18"/>
              </w:rPr>
            </w:pPr>
            <w:r w:rsidRPr="0063248C">
              <w:rPr>
                <w:rFonts w:cs="宋体"/>
                <w:sz w:val="18"/>
                <w:szCs w:val="18"/>
              </w:rPr>
              <w:t>龙大美食</w:t>
            </w:r>
            <w:r w:rsidRPr="0063248C">
              <w:rPr>
                <w:rFonts w:cs="宋体"/>
                <w:sz w:val="18"/>
                <w:szCs w:val="18"/>
              </w:rPr>
              <w:t>(</w:t>
            </w:r>
            <w:r w:rsidRPr="0063248C">
              <w:rPr>
                <w:rFonts w:cs="宋体"/>
                <w:sz w:val="18"/>
                <w:szCs w:val="18"/>
              </w:rPr>
              <w:t>上海</w:t>
            </w:r>
            <w:r w:rsidRPr="0063248C">
              <w:rPr>
                <w:rFonts w:cs="宋体"/>
                <w:sz w:val="18"/>
                <w:szCs w:val="18"/>
              </w:rPr>
              <w:t>)</w:t>
            </w:r>
            <w:r w:rsidRPr="0063248C">
              <w:rPr>
                <w:rFonts w:cs="宋体"/>
                <w:sz w:val="18"/>
                <w:szCs w:val="18"/>
              </w:rPr>
              <w:t>食品科技有限公司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600F5507" w14:textId="77777777" w:rsidR="007B3DB2" w:rsidRPr="0063248C" w:rsidRDefault="00000000">
            <w:pPr>
              <w:spacing w:line="240" w:lineRule="exact"/>
              <w:rPr>
                <w:rFonts w:cs="宋体"/>
                <w:sz w:val="18"/>
                <w:szCs w:val="18"/>
              </w:rPr>
            </w:pPr>
            <w:r w:rsidRPr="0063248C">
              <w:rPr>
                <w:rFonts w:cs="宋体"/>
                <w:sz w:val="18"/>
                <w:szCs w:val="18"/>
              </w:rPr>
              <w:t>25%</w:t>
            </w:r>
          </w:p>
        </w:tc>
      </w:tr>
      <w:tr w:rsidR="007B3DB2" w:rsidRPr="0063248C" w14:paraId="6E42577B" w14:textId="77777777" w:rsidTr="00B425DC">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2C04DF03" w14:textId="77777777" w:rsidR="007B3DB2" w:rsidRPr="0063248C" w:rsidRDefault="00000000">
            <w:pPr>
              <w:spacing w:line="240" w:lineRule="exact"/>
              <w:rPr>
                <w:rFonts w:cs="宋体"/>
                <w:sz w:val="18"/>
                <w:szCs w:val="18"/>
              </w:rPr>
            </w:pPr>
            <w:r w:rsidRPr="0063248C">
              <w:rPr>
                <w:rFonts w:cs="宋体"/>
                <w:sz w:val="18"/>
                <w:szCs w:val="18"/>
              </w:rPr>
              <w:t>龙大美食</w:t>
            </w:r>
            <w:r w:rsidRPr="0063248C">
              <w:rPr>
                <w:rFonts w:cs="宋体"/>
                <w:sz w:val="18"/>
                <w:szCs w:val="18"/>
              </w:rPr>
              <w:t>(</w:t>
            </w:r>
            <w:r w:rsidRPr="0063248C">
              <w:rPr>
                <w:rFonts w:cs="宋体"/>
                <w:sz w:val="18"/>
                <w:szCs w:val="18"/>
              </w:rPr>
              <w:t>广东</w:t>
            </w:r>
            <w:r w:rsidRPr="0063248C">
              <w:rPr>
                <w:rFonts w:cs="宋体"/>
                <w:sz w:val="18"/>
                <w:szCs w:val="18"/>
              </w:rPr>
              <w:t>)</w:t>
            </w:r>
            <w:r w:rsidRPr="0063248C">
              <w:rPr>
                <w:rFonts w:cs="宋体"/>
                <w:sz w:val="18"/>
                <w:szCs w:val="18"/>
              </w:rPr>
              <w:t>食品科技有限公司</w:t>
            </w:r>
          </w:p>
        </w:tc>
        <w:tc>
          <w:tcPr>
            <w:tcW w:w="5811" w:type="dxa"/>
            <w:tcBorders>
              <w:top w:val="single" w:sz="2" w:space="0" w:color="auto"/>
              <w:left w:val="single" w:sz="2" w:space="0" w:color="auto"/>
              <w:bottom w:val="single" w:sz="2" w:space="0" w:color="auto"/>
              <w:right w:val="single" w:sz="2" w:space="0" w:color="auto"/>
            </w:tcBorders>
            <w:vAlign w:val="center"/>
          </w:tcPr>
          <w:p w14:paraId="51EC388D" w14:textId="77777777" w:rsidR="007B3DB2" w:rsidRPr="0063248C" w:rsidRDefault="00000000">
            <w:pPr>
              <w:spacing w:line="240" w:lineRule="exact"/>
              <w:rPr>
                <w:rFonts w:cs="宋体"/>
                <w:sz w:val="18"/>
                <w:szCs w:val="18"/>
              </w:rPr>
            </w:pPr>
            <w:r w:rsidRPr="0063248C">
              <w:rPr>
                <w:rFonts w:cs="宋体"/>
                <w:sz w:val="18"/>
                <w:szCs w:val="18"/>
              </w:rPr>
              <w:t>25%</w:t>
            </w:r>
          </w:p>
        </w:tc>
      </w:tr>
    </w:tbl>
    <w:p w14:paraId="0222F6DC" w14:textId="77777777" w:rsidR="007B3DB2" w:rsidRPr="0063248C" w:rsidRDefault="00000000">
      <w:pPr>
        <w:pStyle w:val="3"/>
        <w:spacing w:line="280" w:lineRule="exact"/>
        <w:jc w:val="left"/>
        <w:rPr>
          <w:rFonts w:cs="宋体"/>
          <w:b/>
          <w:bCs/>
        </w:rPr>
      </w:pPr>
      <w:bookmarkStart w:id="176" w:name="_Toc989065"/>
      <w:r w:rsidRPr="0063248C">
        <w:rPr>
          <w:rFonts w:cs="宋体"/>
          <w:b/>
          <w:bCs/>
        </w:rPr>
        <w:t>2</w:t>
      </w:r>
      <w:r w:rsidRPr="0063248C">
        <w:rPr>
          <w:rFonts w:cs="宋体"/>
          <w:b/>
          <w:bCs/>
        </w:rPr>
        <w:t>、税收优惠</w:t>
      </w:r>
      <w:bookmarkEnd w:id="176"/>
    </w:p>
    <w:p w14:paraId="1264FC10" w14:textId="77777777" w:rsidR="00517D34" w:rsidRPr="0063248C" w:rsidRDefault="00000000" w:rsidP="00B425DC">
      <w:pPr>
        <w:widowControl/>
        <w:spacing w:line="276" w:lineRule="auto"/>
        <w:ind w:firstLineChars="200" w:firstLine="360"/>
        <w:divId w:val="143737273"/>
        <w:rPr>
          <w:kern w:val="0"/>
          <w:sz w:val="18"/>
          <w:szCs w:val="18"/>
          <w14:ligatures w14:val="none"/>
        </w:rPr>
      </w:pPr>
      <w:r w:rsidRPr="0063248C">
        <w:rPr>
          <w:rFonts w:hint="eastAsia"/>
          <w:color w:val="000000"/>
          <w:sz w:val="18"/>
          <w:szCs w:val="18"/>
        </w:rPr>
        <w:t>（</w:t>
      </w:r>
      <w:r w:rsidRPr="0063248C">
        <w:rPr>
          <w:rFonts w:cs="Times New Roman"/>
          <w:color w:val="000000"/>
          <w:sz w:val="18"/>
          <w:szCs w:val="18"/>
        </w:rPr>
        <w:t>1</w:t>
      </w:r>
      <w:r w:rsidRPr="0063248C">
        <w:rPr>
          <w:rFonts w:hint="eastAsia"/>
          <w:color w:val="000000"/>
          <w:sz w:val="18"/>
          <w:szCs w:val="18"/>
        </w:rPr>
        <w:t>）企业所得税优惠</w:t>
      </w:r>
      <w:r w:rsidRPr="0063248C">
        <w:rPr>
          <w:rFonts w:hint="eastAsia"/>
          <w:color w:val="000000"/>
          <w:sz w:val="18"/>
          <w:szCs w:val="18"/>
        </w:rPr>
        <w:t xml:space="preserve"> </w:t>
      </w:r>
    </w:p>
    <w:p w14:paraId="4726B6C0"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①初级农产品加工</w:t>
      </w:r>
    </w:p>
    <w:p w14:paraId="333DB26D"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lastRenderedPageBreak/>
        <w:t>根据《中华人民共和国企业所得税法》及其实施条例、</w:t>
      </w:r>
      <w:r w:rsidRPr="0063248C">
        <w:rPr>
          <w:rFonts w:ascii="Times New Roman" w:hAnsi="Times New Roman" w:cs="Times New Roman"/>
          <w:sz w:val="18"/>
          <w:szCs w:val="18"/>
        </w:rPr>
        <w:t>2008</w:t>
      </w:r>
      <w:r w:rsidRPr="0063248C">
        <w:rPr>
          <w:rFonts w:ascii="Times New Roman" w:hAnsi="Times New Roman" w:hint="eastAsia"/>
          <w:sz w:val="18"/>
          <w:szCs w:val="18"/>
        </w:rPr>
        <w:t>年</w:t>
      </w:r>
      <w:r w:rsidRPr="0063248C">
        <w:rPr>
          <w:rFonts w:ascii="Times New Roman" w:hAnsi="Times New Roman" w:cs="Times New Roman"/>
          <w:sz w:val="18"/>
          <w:szCs w:val="18"/>
        </w:rPr>
        <w:t>11</w:t>
      </w:r>
      <w:r w:rsidRPr="0063248C">
        <w:rPr>
          <w:rFonts w:ascii="Times New Roman" w:hAnsi="Times New Roman" w:hint="eastAsia"/>
          <w:sz w:val="18"/>
          <w:szCs w:val="18"/>
        </w:rPr>
        <w:t>月</w:t>
      </w:r>
      <w:r w:rsidRPr="0063248C">
        <w:rPr>
          <w:rFonts w:ascii="Times New Roman" w:hAnsi="Times New Roman" w:cs="Times New Roman"/>
          <w:sz w:val="18"/>
          <w:szCs w:val="18"/>
        </w:rPr>
        <w:t>20</w:t>
      </w:r>
      <w:r w:rsidRPr="0063248C">
        <w:rPr>
          <w:rFonts w:ascii="Times New Roman" w:hAnsi="Times New Roman" w:hint="eastAsia"/>
          <w:sz w:val="18"/>
          <w:szCs w:val="18"/>
        </w:rPr>
        <w:t>日《财政部国家税务总局关于发布享受企业所得税优惠政策的农产品初加工范围（试行）的通知》（财税〔</w:t>
      </w:r>
      <w:r w:rsidRPr="0063248C">
        <w:rPr>
          <w:rFonts w:ascii="Times New Roman" w:hAnsi="Times New Roman" w:cs="Times New Roman"/>
          <w:sz w:val="18"/>
          <w:szCs w:val="18"/>
        </w:rPr>
        <w:t>2008</w:t>
      </w:r>
      <w:r w:rsidRPr="0063248C">
        <w:rPr>
          <w:rFonts w:ascii="Times New Roman" w:hAnsi="Times New Roman" w:hint="eastAsia"/>
          <w:sz w:val="18"/>
          <w:szCs w:val="18"/>
        </w:rPr>
        <w:t>〕</w:t>
      </w:r>
      <w:r w:rsidRPr="0063248C">
        <w:rPr>
          <w:rFonts w:ascii="Times New Roman" w:hAnsi="Times New Roman" w:cs="Times New Roman"/>
          <w:sz w:val="18"/>
          <w:szCs w:val="18"/>
        </w:rPr>
        <w:t>149</w:t>
      </w:r>
      <w:r w:rsidRPr="0063248C">
        <w:rPr>
          <w:rFonts w:ascii="Times New Roman" w:hAnsi="Times New Roman" w:hint="eastAsia"/>
          <w:sz w:val="18"/>
          <w:szCs w:val="18"/>
        </w:rPr>
        <w:t>号），报告期内本公司及下属子公司从事肉类初加工（冷鲜肉、冷冻肉）所实现的利润，免征企业所得税。</w:t>
      </w:r>
    </w:p>
    <w:p w14:paraId="60F2CECC"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②牲畜、家禽的饲养</w:t>
      </w:r>
    </w:p>
    <w:p w14:paraId="5DF441B9"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根据《中华人民共和国企业所得税法》及其实施条例第八十六条的规定，报告期内本公司下属子公司从事生猪饲养项目的所得，免征企业所得税。</w:t>
      </w:r>
    </w:p>
    <w:p w14:paraId="7E8A3955"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③小微企业</w:t>
      </w:r>
    </w:p>
    <w:p w14:paraId="17C67DFF"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根据《财政部税务总局关于进一步支持小微企业和个体工商户发展有关税费政策的公告》（财税</w:t>
      </w:r>
      <w:r w:rsidRPr="0063248C">
        <w:rPr>
          <w:rFonts w:ascii="Times New Roman" w:hAnsi="Times New Roman" w:cs="Times New Roman"/>
          <w:sz w:val="18"/>
          <w:szCs w:val="18"/>
        </w:rPr>
        <w:t>[2023]12</w:t>
      </w:r>
      <w:r w:rsidRPr="0063248C">
        <w:rPr>
          <w:rFonts w:ascii="Times New Roman" w:hAnsi="Times New Roman" w:hint="eastAsia"/>
          <w:sz w:val="18"/>
          <w:szCs w:val="18"/>
        </w:rPr>
        <w:t>号），自</w:t>
      </w:r>
      <w:r w:rsidRPr="0063248C">
        <w:rPr>
          <w:rFonts w:ascii="Times New Roman" w:hAnsi="Times New Roman" w:cs="Times New Roman"/>
          <w:sz w:val="18"/>
          <w:szCs w:val="18"/>
        </w:rPr>
        <w:t>2023</w:t>
      </w:r>
      <w:r w:rsidRPr="0063248C">
        <w:rPr>
          <w:rFonts w:ascii="Times New Roman" w:hAnsi="Times New Roman" w:hint="eastAsia"/>
          <w:sz w:val="18"/>
          <w:szCs w:val="18"/>
        </w:rPr>
        <w:t>年</w:t>
      </w:r>
      <w:r w:rsidRPr="0063248C">
        <w:rPr>
          <w:rFonts w:ascii="Times New Roman" w:hAnsi="Times New Roman" w:cs="Times New Roman"/>
          <w:sz w:val="18"/>
          <w:szCs w:val="18"/>
        </w:rPr>
        <w:t>1</w:t>
      </w:r>
      <w:r w:rsidRPr="0063248C">
        <w:rPr>
          <w:rFonts w:ascii="Times New Roman" w:hAnsi="Times New Roman" w:hint="eastAsia"/>
          <w:sz w:val="18"/>
          <w:szCs w:val="18"/>
        </w:rPr>
        <w:t>月</w:t>
      </w:r>
      <w:r w:rsidRPr="0063248C">
        <w:rPr>
          <w:rFonts w:ascii="Times New Roman" w:hAnsi="Times New Roman" w:cs="Times New Roman"/>
          <w:sz w:val="18"/>
          <w:szCs w:val="18"/>
        </w:rPr>
        <w:t>1</w:t>
      </w:r>
      <w:r w:rsidRPr="0063248C">
        <w:rPr>
          <w:rFonts w:ascii="Times New Roman" w:hAnsi="Times New Roman" w:hint="eastAsia"/>
          <w:sz w:val="18"/>
          <w:szCs w:val="18"/>
        </w:rPr>
        <w:t>日至</w:t>
      </w:r>
      <w:r w:rsidRPr="0063248C">
        <w:rPr>
          <w:rFonts w:ascii="Times New Roman" w:hAnsi="Times New Roman" w:cs="Times New Roman"/>
          <w:sz w:val="18"/>
          <w:szCs w:val="18"/>
        </w:rPr>
        <w:t>2027</w:t>
      </w:r>
      <w:r w:rsidRPr="0063248C">
        <w:rPr>
          <w:rFonts w:ascii="Times New Roman" w:hAnsi="Times New Roman" w:hint="eastAsia"/>
          <w:sz w:val="18"/>
          <w:szCs w:val="18"/>
        </w:rPr>
        <w:t>年</w:t>
      </w:r>
      <w:r w:rsidRPr="0063248C">
        <w:rPr>
          <w:rFonts w:ascii="Times New Roman" w:hAnsi="Times New Roman" w:cs="Times New Roman"/>
          <w:sz w:val="18"/>
          <w:szCs w:val="18"/>
        </w:rPr>
        <w:t>12</w:t>
      </w:r>
      <w:r w:rsidRPr="0063248C">
        <w:rPr>
          <w:rFonts w:ascii="Times New Roman" w:hAnsi="Times New Roman" w:hint="eastAsia"/>
          <w:sz w:val="18"/>
          <w:szCs w:val="18"/>
        </w:rPr>
        <w:t>月</w:t>
      </w:r>
      <w:r w:rsidRPr="0063248C">
        <w:rPr>
          <w:rFonts w:ascii="Times New Roman" w:hAnsi="Times New Roman" w:cs="Times New Roman"/>
          <w:sz w:val="18"/>
          <w:szCs w:val="18"/>
        </w:rPr>
        <w:t>31</w:t>
      </w:r>
      <w:r w:rsidRPr="0063248C">
        <w:rPr>
          <w:rFonts w:ascii="Times New Roman" w:hAnsi="Times New Roman" w:hint="eastAsia"/>
          <w:sz w:val="18"/>
          <w:szCs w:val="18"/>
        </w:rPr>
        <w:t>日，对小型微利企业减按</w:t>
      </w:r>
      <w:r w:rsidRPr="0063248C">
        <w:rPr>
          <w:rFonts w:ascii="Times New Roman" w:hAnsi="Times New Roman" w:cs="Times New Roman"/>
          <w:sz w:val="18"/>
          <w:szCs w:val="18"/>
        </w:rPr>
        <w:t>25%</w:t>
      </w:r>
      <w:r w:rsidRPr="0063248C">
        <w:rPr>
          <w:rFonts w:ascii="Times New Roman" w:hAnsi="Times New Roman" w:hint="eastAsia"/>
          <w:sz w:val="18"/>
          <w:szCs w:val="18"/>
        </w:rPr>
        <w:t>计算应纳税所得额，按</w:t>
      </w:r>
      <w:r w:rsidRPr="0063248C">
        <w:rPr>
          <w:rFonts w:ascii="Times New Roman" w:hAnsi="Times New Roman" w:cs="Times New Roman"/>
          <w:sz w:val="18"/>
          <w:szCs w:val="18"/>
        </w:rPr>
        <w:t>20%</w:t>
      </w:r>
      <w:r w:rsidRPr="0063248C">
        <w:rPr>
          <w:rFonts w:ascii="Times New Roman" w:hAnsi="Times New Roman" w:hint="eastAsia"/>
          <w:sz w:val="18"/>
          <w:szCs w:val="18"/>
        </w:rPr>
        <w:t>的税率缴纳企业所得税政策。</w:t>
      </w:r>
    </w:p>
    <w:p w14:paraId="34DC6CE4"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④高新技术企业</w:t>
      </w:r>
    </w:p>
    <w:p w14:paraId="074A24B9"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cs="Times New Roman"/>
          <w:sz w:val="18"/>
          <w:szCs w:val="18"/>
        </w:rPr>
        <w:t>2022</w:t>
      </w:r>
      <w:r w:rsidRPr="0063248C">
        <w:rPr>
          <w:rFonts w:ascii="Times New Roman" w:hAnsi="Times New Roman" w:hint="eastAsia"/>
          <w:sz w:val="18"/>
          <w:szCs w:val="18"/>
        </w:rPr>
        <w:t>年</w:t>
      </w:r>
      <w:r w:rsidRPr="0063248C">
        <w:rPr>
          <w:rFonts w:ascii="Times New Roman" w:hAnsi="Times New Roman" w:cs="Times New Roman"/>
          <w:sz w:val="18"/>
          <w:szCs w:val="18"/>
        </w:rPr>
        <w:t>12</w:t>
      </w:r>
      <w:r w:rsidRPr="0063248C">
        <w:rPr>
          <w:rFonts w:ascii="Times New Roman" w:hAnsi="Times New Roman" w:hint="eastAsia"/>
          <w:sz w:val="18"/>
          <w:szCs w:val="18"/>
        </w:rPr>
        <w:t>月</w:t>
      </w:r>
      <w:r w:rsidRPr="0063248C">
        <w:rPr>
          <w:rFonts w:ascii="Times New Roman" w:hAnsi="Times New Roman" w:cs="Times New Roman"/>
          <w:sz w:val="18"/>
          <w:szCs w:val="18"/>
        </w:rPr>
        <w:t>12</w:t>
      </w:r>
      <w:r w:rsidRPr="0063248C">
        <w:rPr>
          <w:rFonts w:ascii="Times New Roman" w:hAnsi="Times New Roman" w:hint="eastAsia"/>
          <w:sz w:val="18"/>
          <w:szCs w:val="18"/>
        </w:rPr>
        <w:t>日本公司之子公司烟台杰科检测服务有限公司取得由山东省科学技术厅、山东省财政厅、国家税务总局山东省税务局批准的“</w:t>
      </w:r>
      <w:r w:rsidRPr="0063248C">
        <w:rPr>
          <w:rFonts w:ascii="Times New Roman" w:hAnsi="Times New Roman" w:cs="Times New Roman"/>
          <w:sz w:val="18"/>
          <w:szCs w:val="18"/>
        </w:rPr>
        <w:t>GR202237001965</w:t>
      </w:r>
      <w:r w:rsidRPr="0063248C">
        <w:rPr>
          <w:rFonts w:ascii="Times New Roman" w:hAnsi="Times New Roman" w:hint="eastAsia"/>
          <w:sz w:val="18"/>
          <w:szCs w:val="18"/>
        </w:rPr>
        <w:t>”号《高新技术企业证书》，有效期为三年，</w:t>
      </w:r>
      <w:r w:rsidRPr="0063248C">
        <w:rPr>
          <w:rFonts w:ascii="Times New Roman" w:hAnsi="Times New Roman" w:cs="Times New Roman"/>
          <w:sz w:val="18"/>
          <w:szCs w:val="18"/>
        </w:rPr>
        <w:t>2022</w:t>
      </w:r>
      <w:r w:rsidRPr="0063248C">
        <w:rPr>
          <w:rFonts w:ascii="Times New Roman" w:hAnsi="Times New Roman" w:hint="eastAsia"/>
          <w:sz w:val="18"/>
          <w:szCs w:val="18"/>
        </w:rPr>
        <w:t>年</w:t>
      </w:r>
      <w:r w:rsidRPr="0063248C">
        <w:rPr>
          <w:rFonts w:ascii="Times New Roman" w:hAnsi="Times New Roman" w:cs="Times New Roman"/>
          <w:sz w:val="18"/>
          <w:szCs w:val="18"/>
        </w:rPr>
        <w:t>1</w:t>
      </w:r>
      <w:r w:rsidRPr="0063248C">
        <w:rPr>
          <w:rFonts w:ascii="Times New Roman" w:hAnsi="Times New Roman" w:hint="eastAsia"/>
          <w:sz w:val="18"/>
          <w:szCs w:val="18"/>
        </w:rPr>
        <w:t>月</w:t>
      </w:r>
      <w:r w:rsidRPr="0063248C">
        <w:rPr>
          <w:rFonts w:ascii="Times New Roman" w:hAnsi="Times New Roman" w:cs="Times New Roman"/>
          <w:sz w:val="18"/>
          <w:szCs w:val="18"/>
        </w:rPr>
        <w:t>1</w:t>
      </w:r>
      <w:r w:rsidRPr="0063248C">
        <w:rPr>
          <w:rFonts w:ascii="Times New Roman" w:hAnsi="Times New Roman" w:hint="eastAsia"/>
          <w:sz w:val="18"/>
          <w:szCs w:val="18"/>
        </w:rPr>
        <w:t>日至</w:t>
      </w:r>
      <w:r w:rsidRPr="0063248C">
        <w:rPr>
          <w:rFonts w:ascii="Times New Roman" w:hAnsi="Times New Roman" w:cs="Times New Roman"/>
          <w:sz w:val="18"/>
          <w:szCs w:val="18"/>
        </w:rPr>
        <w:t>2024</w:t>
      </w:r>
      <w:r w:rsidRPr="0063248C">
        <w:rPr>
          <w:rFonts w:ascii="Times New Roman" w:hAnsi="Times New Roman" w:hint="eastAsia"/>
          <w:sz w:val="18"/>
          <w:szCs w:val="18"/>
        </w:rPr>
        <w:t>年</w:t>
      </w:r>
      <w:r w:rsidRPr="0063248C">
        <w:rPr>
          <w:rFonts w:ascii="Times New Roman" w:hAnsi="Times New Roman" w:cs="Times New Roman"/>
          <w:sz w:val="18"/>
          <w:szCs w:val="18"/>
        </w:rPr>
        <w:t>12</w:t>
      </w:r>
      <w:r w:rsidRPr="0063248C">
        <w:rPr>
          <w:rFonts w:ascii="Times New Roman" w:hAnsi="Times New Roman" w:hint="eastAsia"/>
          <w:sz w:val="18"/>
          <w:szCs w:val="18"/>
        </w:rPr>
        <w:t>月</w:t>
      </w:r>
      <w:r w:rsidRPr="0063248C">
        <w:rPr>
          <w:rFonts w:ascii="Times New Roman" w:hAnsi="Times New Roman" w:cs="Times New Roman"/>
          <w:sz w:val="18"/>
          <w:szCs w:val="18"/>
        </w:rPr>
        <w:t>31</w:t>
      </w:r>
      <w:r w:rsidRPr="0063248C">
        <w:rPr>
          <w:rFonts w:ascii="Times New Roman" w:hAnsi="Times New Roman" w:hint="eastAsia"/>
          <w:sz w:val="18"/>
          <w:szCs w:val="18"/>
        </w:rPr>
        <w:t>日烟台杰科检测服务有限公司适用的所得税率为</w:t>
      </w:r>
      <w:r w:rsidRPr="0063248C">
        <w:rPr>
          <w:rFonts w:ascii="Times New Roman" w:hAnsi="Times New Roman" w:cs="Times New Roman"/>
          <w:sz w:val="18"/>
          <w:szCs w:val="18"/>
        </w:rPr>
        <w:t>15%</w:t>
      </w:r>
      <w:r w:rsidRPr="0063248C">
        <w:rPr>
          <w:rFonts w:ascii="Times New Roman" w:hAnsi="Times New Roman" w:hint="eastAsia"/>
          <w:sz w:val="18"/>
          <w:szCs w:val="18"/>
        </w:rPr>
        <w:t>。</w:t>
      </w:r>
    </w:p>
    <w:p w14:paraId="426F8208" w14:textId="1BFB4F8D"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⑤海南自由贸易港</w:t>
      </w:r>
      <w:r w:rsidR="00B425DC" w:rsidRPr="0063248C">
        <w:rPr>
          <w:rFonts w:ascii="Times New Roman" w:hAnsi="Times New Roman" w:hint="eastAsia"/>
          <w:sz w:val="18"/>
          <w:szCs w:val="18"/>
        </w:rPr>
        <w:t>（</w:t>
      </w:r>
      <w:r w:rsidRPr="0063248C">
        <w:rPr>
          <w:rFonts w:ascii="Times New Roman" w:hAnsi="Times New Roman" w:hint="eastAsia"/>
          <w:sz w:val="18"/>
          <w:szCs w:val="18"/>
        </w:rPr>
        <w:t>“海南自贸港”</w:t>
      </w:r>
      <w:r w:rsidR="00B425DC">
        <w:rPr>
          <w:rFonts w:ascii="Times New Roman" w:hAnsi="Times New Roman" w:cs="Times New Roman" w:hint="eastAsia"/>
          <w:sz w:val="18"/>
          <w:szCs w:val="18"/>
        </w:rPr>
        <w:t>）</w:t>
      </w:r>
      <w:r w:rsidRPr="0063248C">
        <w:rPr>
          <w:rFonts w:ascii="Times New Roman" w:hAnsi="Times New Roman" w:hint="eastAsia"/>
          <w:sz w:val="18"/>
          <w:szCs w:val="18"/>
        </w:rPr>
        <w:t>企业所得税优惠政策</w:t>
      </w:r>
    </w:p>
    <w:p w14:paraId="4ADC48EB" w14:textId="6B62A86C"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根据《财政部税务总局关于海南自由贸易港企业所得税优惠政策的通知》</w:t>
      </w:r>
      <w:r w:rsidR="00B425DC">
        <w:rPr>
          <w:rFonts w:ascii="Times New Roman" w:hAnsi="Times New Roman" w:cs="Times New Roman" w:hint="eastAsia"/>
          <w:sz w:val="18"/>
          <w:szCs w:val="18"/>
        </w:rPr>
        <w:t>（</w:t>
      </w:r>
      <w:r w:rsidRPr="0063248C">
        <w:rPr>
          <w:rFonts w:ascii="Times New Roman" w:hAnsi="Times New Roman" w:hint="eastAsia"/>
          <w:sz w:val="18"/>
          <w:szCs w:val="18"/>
        </w:rPr>
        <w:t>财税〔</w:t>
      </w:r>
      <w:r w:rsidRPr="0063248C">
        <w:rPr>
          <w:rFonts w:ascii="Times New Roman" w:hAnsi="Times New Roman" w:cs="Times New Roman"/>
          <w:sz w:val="18"/>
          <w:szCs w:val="18"/>
        </w:rPr>
        <w:t>2020</w:t>
      </w:r>
      <w:r w:rsidRPr="0063248C">
        <w:rPr>
          <w:rFonts w:ascii="Times New Roman" w:hAnsi="Times New Roman" w:hint="eastAsia"/>
          <w:sz w:val="18"/>
          <w:szCs w:val="18"/>
        </w:rPr>
        <w:t>〕</w:t>
      </w:r>
      <w:r w:rsidRPr="0063248C">
        <w:rPr>
          <w:rFonts w:ascii="Times New Roman" w:hAnsi="Times New Roman" w:cs="Times New Roman"/>
          <w:sz w:val="18"/>
          <w:szCs w:val="18"/>
        </w:rPr>
        <w:t>31</w:t>
      </w:r>
      <w:r w:rsidRPr="0063248C">
        <w:rPr>
          <w:rFonts w:ascii="Times New Roman" w:hAnsi="Times New Roman" w:hint="eastAsia"/>
          <w:sz w:val="18"/>
          <w:szCs w:val="18"/>
        </w:rPr>
        <w:t>号</w:t>
      </w:r>
      <w:r w:rsidR="00B425DC">
        <w:rPr>
          <w:rFonts w:ascii="Times New Roman" w:hAnsi="Times New Roman" w:cs="Times New Roman" w:hint="eastAsia"/>
          <w:sz w:val="18"/>
          <w:szCs w:val="18"/>
        </w:rPr>
        <w:t>）</w:t>
      </w:r>
      <w:r w:rsidRPr="0063248C">
        <w:rPr>
          <w:rFonts w:ascii="Times New Roman" w:hAnsi="Times New Roman" w:hint="eastAsia"/>
          <w:sz w:val="18"/>
          <w:szCs w:val="18"/>
        </w:rPr>
        <w:t>，自</w:t>
      </w:r>
      <w:r w:rsidRPr="0063248C">
        <w:rPr>
          <w:rFonts w:ascii="Times New Roman" w:hAnsi="Times New Roman" w:cs="Times New Roman"/>
          <w:sz w:val="18"/>
          <w:szCs w:val="18"/>
        </w:rPr>
        <w:t>2020</w:t>
      </w:r>
      <w:r w:rsidRPr="0063248C">
        <w:rPr>
          <w:rFonts w:ascii="Times New Roman" w:hAnsi="Times New Roman" w:hint="eastAsia"/>
          <w:sz w:val="18"/>
          <w:szCs w:val="18"/>
        </w:rPr>
        <w:t>年</w:t>
      </w:r>
      <w:r w:rsidRPr="0063248C">
        <w:rPr>
          <w:rFonts w:ascii="Times New Roman" w:hAnsi="Times New Roman" w:cs="Times New Roman"/>
          <w:sz w:val="18"/>
          <w:szCs w:val="18"/>
        </w:rPr>
        <w:t>1</w:t>
      </w:r>
      <w:r w:rsidRPr="0063248C">
        <w:rPr>
          <w:rFonts w:ascii="Times New Roman" w:hAnsi="Times New Roman" w:hint="eastAsia"/>
          <w:sz w:val="18"/>
          <w:szCs w:val="18"/>
        </w:rPr>
        <w:t>月</w:t>
      </w:r>
      <w:r w:rsidRPr="0063248C">
        <w:rPr>
          <w:rFonts w:ascii="Times New Roman" w:hAnsi="Times New Roman" w:cs="Times New Roman"/>
          <w:sz w:val="18"/>
          <w:szCs w:val="18"/>
        </w:rPr>
        <w:t>1</w:t>
      </w:r>
      <w:r w:rsidRPr="0063248C">
        <w:rPr>
          <w:rFonts w:ascii="Times New Roman" w:hAnsi="Times New Roman" w:hint="eastAsia"/>
          <w:sz w:val="18"/>
          <w:szCs w:val="18"/>
        </w:rPr>
        <w:t>日至</w:t>
      </w:r>
      <w:r w:rsidRPr="0063248C">
        <w:rPr>
          <w:rFonts w:ascii="Times New Roman" w:hAnsi="Times New Roman" w:cs="Times New Roman"/>
          <w:sz w:val="18"/>
          <w:szCs w:val="18"/>
        </w:rPr>
        <w:t>2024</w:t>
      </w:r>
      <w:r w:rsidRPr="0063248C">
        <w:rPr>
          <w:rFonts w:ascii="Times New Roman" w:hAnsi="Times New Roman" w:hint="eastAsia"/>
          <w:sz w:val="18"/>
          <w:szCs w:val="18"/>
        </w:rPr>
        <w:t>年</w:t>
      </w:r>
      <w:r w:rsidRPr="0063248C">
        <w:rPr>
          <w:rFonts w:ascii="Times New Roman" w:hAnsi="Times New Roman" w:cs="Times New Roman"/>
          <w:sz w:val="18"/>
          <w:szCs w:val="18"/>
        </w:rPr>
        <w:t>12</w:t>
      </w:r>
      <w:r w:rsidRPr="0063248C">
        <w:rPr>
          <w:rFonts w:ascii="Times New Roman" w:hAnsi="Times New Roman" w:hint="eastAsia"/>
          <w:sz w:val="18"/>
          <w:szCs w:val="18"/>
        </w:rPr>
        <w:t>月</w:t>
      </w:r>
      <w:r w:rsidRPr="0063248C">
        <w:rPr>
          <w:rFonts w:ascii="Times New Roman" w:hAnsi="Times New Roman" w:cs="Times New Roman"/>
          <w:sz w:val="18"/>
          <w:szCs w:val="18"/>
        </w:rPr>
        <w:t>31</w:t>
      </w:r>
      <w:r w:rsidRPr="0063248C">
        <w:rPr>
          <w:rFonts w:ascii="Times New Roman" w:hAnsi="Times New Roman" w:hint="eastAsia"/>
          <w:sz w:val="18"/>
          <w:szCs w:val="18"/>
        </w:rPr>
        <w:t>日，对注册在海南</w:t>
      </w:r>
      <w:proofErr w:type="gramStart"/>
      <w:r w:rsidRPr="0063248C">
        <w:rPr>
          <w:rFonts w:ascii="Times New Roman" w:hAnsi="Times New Roman" w:hint="eastAsia"/>
          <w:sz w:val="18"/>
          <w:szCs w:val="18"/>
        </w:rPr>
        <w:t>自贸港并</w:t>
      </w:r>
      <w:proofErr w:type="gramEnd"/>
      <w:r w:rsidRPr="0063248C">
        <w:rPr>
          <w:rFonts w:ascii="Times New Roman" w:hAnsi="Times New Roman" w:hint="eastAsia"/>
          <w:sz w:val="18"/>
          <w:szCs w:val="18"/>
        </w:rPr>
        <w:t>实质性运营的鼓励类产业企业减按</w:t>
      </w:r>
      <w:r w:rsidRPr="0063248C">
        <w:rPr>
          <w:rFonts w:ascii="Times New Roman" w:hAnsi="Times New Roman" w:cs="Times New Roman"/>
          <w:sz w:val="18"/>
          <w:szCs w:val="18"/>
        </w:rPr>
        <w:t>15%</w:t>
      </w:r>
      <w:r w:rsidRPr="0063248C">
        <w:rPr>
          <w:rFonts w:ascii="Times New Roman" w:hAnsi="Times New Roman" w:hint="eastAsia"/>
          <w:sz w:val="18"/>
          <w:szCs w:val="18"/>
        </w:rPr>
        <w:t>的税率征收企业所得税。上述鼓励类产业企业是指以《产业结构调整指导目录</w:t>
      </w:r>
      <w:r w:rsidR="00B425DC">
        <w:rPr>
          <w:rFonts w:ascii="Times New Roman" w:hAnsi="Times New Roman" w:cs="Times New Roman" w:hint="eastAsia"/>
          <w:sz w:val="18"/>
          <w:szCs w:val="18"/>
        </w:rPr>
        <w:t>（</w:t>
      </w:r>
      <w:r w:rsidRPr="0063248C">
        <w:rPr>
          <w:rFonts w:ascii="Times New Roman" w:hAnsi="Times New Roman" w:cs="Times New Roman"/>
          <w:sz w:val="18"/>
          <w:szCs w:val="18"/>
        </w:rPr>
        <w:t>2019</w:t>
      </w:r>
      <w:r w:rsidRPr="0063248C">
        <w:rPr>
          <w:rFonts w:ascii="Times New Roman" w:hAnsi="Times New Roman" w:hint="eastAsia"/>
          <w:sz w:val="18"/>
          <w:szCs w:val="18"/>
        </w:rPr>
        <w:t>年本</w:t>
      </w:r>
      <w:r w:rsidR="00B425DC">
        <w:rPr>
          <w:rFonts w:ascii="Times New Roman" w:hAnsi="Times New Roman" w:cs="Times New Roman" w:hint="eastAsia"/>
          <w:sz w:val="18"/>
          <w:szCs w:val="18"/>
        </w:rPr>
        <w:t>）</w:t>
      </w:r>
      <w:r w:rsidRPr="0063248C">
        <w:rPr>
          <w:rFonts w:ascii="Times New Roman" w:hAnsi="Times New Roman" w:hint="eastAsia"/>
          <w:sz w:val="18"/>
          <w:szCs w:val="18"/>
        </w:rPr>
        <w:t>》、《鼓励外商投资产业目录</w:t>
      </w:r>
      <w:r w:rsidR="00B425DC">
        <w:rPr>
          <w:rFonts w:ascii="Times New Roman" w:hAnsi="Times New Roman" w:cs="Times New Roman" w:hint="eastAsia"/>
          <w:sz w:val="18"/>
          <w:szCs w:val="18"/>
        </w:rPr>
        <w:t>（</w:t>
      </w:r>
      <w:r w:rsidRPr="0063248C">
        <w:rPr>
          <w:rFonts w:ascii="Times New Roman" w:hAnsi="Times New Roman" w:cs="Times New Roman"/>
          <w:sz w:val="18"/>
          <w:szCs w:val="18"/>
        </w:rPr>
        <w:t>2019</w:t>
      </w:r>
      <w:r w:rsidRPr="0063248C">
        <w:rPr>
          <w:rFonts w:ascii="Times New Roman" w:hAnsi="Times New Roman" w:hint="eastAsia"/>
          <w:sz w:val="18"/>
          <w:szCs w:val="18"/>
        </w:rPr>
        <w:t>年版</w:t>
      </w:r>
      <w:r w:rsidR="00B425DC">
        <w:rPr>
          <w:rFonts w:ascii="Times New Roman" w:hAnsi="Times New Roman" w:cs="Times New Roman" w:hint="eastAsia"/>
          <w:sz w:val="18"/>
          <w:szCs w:val="18"/>
        </w:rPr>
        <w:t>）</w:t>
      </w:r>
      <w:r w:rsidRPr="0063248C">
        <w:rPr>
          <w:rFonts w:ascii="Times New Roman" w:hAnsi="Times New Roman" w:hint="eastAsia"/>
          <w:sz w:val="18"/>
          <w:szCs w:val="18"/>
        </w:rPr>
        <w:t>》和海南自由贸易港新增鼓励类产业目录中规定的产业项目为主营业务，且其主营业务收入占企业收入总额</w:t>
      </w:r>
      <w:r w:rsidRPr="0063248C">
        <w:rPr>
          <w:rFonts w:ascii="Times New Roman" w:hAnsi="Times New Roman" w:cs="Times New Roman"/>
          <w:sz w:val="18"/>
          <w:szCs w:val="18"/>
        </w:rPr>
        <w:t>60%</w:t>
      </w:r>
      <w:r w:rsidRPr="0063248C">
        <w:rPr>
          <w:rFonts w:ascii="Times New Roman" w:hAnsi="Times New Roman" w:hint="eastAsia"/>
          <w:sz w:val="18"/>
          <w:szCs w:val="18"/>
        </w:rPr>
        <w:t>以上的企业。运营公司海南分公司符合于海南</w:t>
      </w:r>
      <w:proofErr w:type="gramStart"/>
      <w:r w:rsidRPr="0063248C">
        <w:rPr>
          <w:rFonts w:ascii="Times New Roman" w:hAnsi="Times New Roman" w:hint="eastAsia"/>
          <w:sz w:val="18"/>
          <w:szCs w:val="18"/>
        </w:rPr>
        <w:t>自贸港注册</w:t>
      </w:r>
      <w:proofErr w:type="gramEnd"/>
      <w:r w:rsidRPr="0063248C">
        <w:rPr>
          <w:rFonts w:ascii="Times New Roman" w:hAnsi="Times New Roman" w:hint="eastAsia"/>
          <w:sz w:val="18"/>
          <w:szCs w:val="18"/>
        </w:rPr>
        <w:t>并实际运营，以国家规定的鼓励类产业项目为主营业务，且预计满足当年主营业务收入占企业总收入的</w:t>
      </w:r>
      <w:r w:rsidRPr="0063248C">
        <w:rPr>
          <w:rFonts w:ascii="Times New Roman" w:hAnsi="Times New Roman" w:cs="Times New Roman"/>
          <w:sz w:val="18"/>
          <w:szCs w:val="18"/>
        </w:rPr>
        <w:t>60%</w:t>
      </w:r>
      <w:r w:rsidRPr="0063248C">
        <w:rPr>
          <w:rFonts w:ascii="Times New Roman" w:hAnsi="Times New Roman" w:hint="eastAsia"/>
          <w:sz w:val="18"/>
          <w:szCs w:val="18"/>
        </w:rPr>
        <w:t>以上的条件，适用海南</w:t>
      </w:r>
      <w:proofErr w:type="gramStart"/>
      <w:r w:rsidRPr="0063248C">
        <w:rPr>
          <w:rFonts w:ascii="Times New Roman" w:hAnsi="Times New Roman" w:hint="eastAsia"/>
          <w:sz w:val="18"/>
          <w:szCs w:val="18"/>
        </w:rPr>
        <w:t>自贸港税收</w:t>
      </w:r>
      <w:proofErr w:type="gramEnd"/>
      <w:r w:rsidRPr="0063248C">
        <w:rPr>
          <w:rFonts w:ascii="Times New Roman" w:hAnsi="Times New Roman" w:hint="eastAsia"/>
          <w:sz w:val="18"/>
          <w:szCs w:val="18"/>
        </w:rPr>
        <w:t>优惠政策，适用于</w:t>
      </w:r>
      <w:r w:rsidRPr="0063248C">
        <w:rPr>
          <w:rFonts w:ascii="Times New Roman" w:hAnsi="Times New Roman" w:cs="Times New Roman"/>
          <w:sz w:val="18"/>
          <w:szCs w:val="18"/>
        </w:rPr>
        <w:t>15%</w:t>
      </w:r>
      <w:r w:rsidRPr="0063248C">
        <w:rPr>
          <w:rFonts w:ascii="Times New Roman" w:hAnsi="Times New Roman" w:hint="eastAsia"/>
          <w:sz w:val="18"/>
          <w:szCs w:val="18"/>
        </w:rPr>
        <w:t>的所得税税率。</w:t>
      </w:r>
    </w:p>
    <w:p w14:paraId="7FE63B4E"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w:t>
      </w:r>
      <w:r w:rsidRPr="0063248C">
        <w:rPr>
          <w:rFonts w:ascii="Times New Roman" w:hAnsi="Times New Roman" w:cs="Times New Roman"/>
          <w:sz w:val="18"/>
          <w:szCs w:val="18"/>
        </w:rPr>
        <w:t>2</w:t>
      </w:r>
      <w:r w:rsidRPr="0063248C">
        <w:rPr>
          <w:rFonts w:ascii="Times New Roman" w:hAnsi="Times New Roman" w:hint="eastAsia"/>
          <w:sz w:val="18"/>
          <w:szCs w:val="18"/>
        </w:rPr>
        <w:t>）增值税优惠</w:t>
      </w:r>
    </w:p>
    <w:p w14:paraId="3E7E1AAB"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①农业生产者销售自产农产品</w:t>
      </w:r>
    </w:p>
    <w:p w14:paraId="06D1EB5D"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根据《中华人民共和国增值税暂行条例》（中华人民共和国国务院令第</w:t>
      </w:r>
      <w:r w:rsidRPr="0063248C">
        <w:rPr>
          <w:rFonts w:ascii="Times New Roman" w:hAnsi="Times New Roman" w:cs="Times New Roman"/>
          <w:sz w:val="18"/>
          <w:szCs w:val="18"/>
        </w:rPr>
        <w:t>538</w:t>
      </w:r>
      <w:r w:rsidRPr="0063248C">
        <w:rPr>
          <w:rFonts w:ascii="Times New Roman" w:hAnsi="Times New Roman" w:hint="eastAsia"/>
          <w:sz w:val="18"/>
          <w:szCs w:val="18"/>
        </w:rPr>
        <w:t>号）第十五条第（一）项规定，农业生产者销售自产农产品免征增值税，报告期内本公司下属子公司烟台龙大养殖有限公司、安丘龙大养殖有限公司、莱阳龙大养殖有限公司、莱州龙大养殖有限公司销售自产生猪，免征增值税。</w:t>
      </w:r>
    </w:p>
    <w:p w14:paraId="3E3F0F13"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②符合条件的饲料产品</w:t>
      </w:r>
    </w:p>
    <w:p w14:paraId="14321FE6"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根据《财政部国家税务总局关于饲料产品免征增值税问题的通知》（财税〔</w:t>
      </w:r>
      <w:r w:rsidRPr="0063248C">
        <w:rPr>
          <w:rFonts w:ascii="Times New Roman" w:hAnsi="Times New Roman" w:cs="Times New Roman"/>
          <w:sz w:val="18"/>
          <w:szCs w:val="18"/>
        </w:rPr>
        <w:t>2001</w:t>
      </w:r>
      <w:r w:rsidRPr="0063248C">
        <w:rPr>
          <w:rFonts w:ascii="Times New Roman" w:hAnsi="Times New Roman" w:hint="eastAsia"/>
          <w:sz w:val="18"/>
          <w:szCs w:val="18"/>
        </w:rPr>
        <w:t>〕</w:t>
      </w:r>
      <w:r w:rsidRPr="0063248C">
        <w:rPr>
          <w:rFonts w:ascii="Times New Roman" w:hAnsi="Times New Roman" w:cs="Times New Roman"/>
          <w:sz w:val="18"/>
          <w:szCs w:val="18"/>
        </w:rPr>
        <w:t>121</w:t>
      </w:r>
      <w:r w:rsidRPr="0063248C">
        <w:rPr>
          <w:rFonts w:ascii="Times New Roman" w:hAnsi="Times New Roman" w:hint="eastAsia"/>
          <w:sz w:val="18"/>
          <w:szCs w:val="18"/>
        </w:rPr>
        <w:t>号）规定，报告期内本公司下属子公司烟台龙大饲料有限公司生产销售符合条件的饲料产品，免征增值税。</w:t>
      </w:r>
    </w:p>
    <w:p w14:paraId="61FE85C8"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③流通环节的鲜活肉蛋产品</w:t>
      </w:r>
    </w:p>
    <w:p w14:paraId="7C5F3194"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根据《财政部国家税务总局关于免征部分鲜活肉蛋产品流通环节增值税政策的通知》（财税〔</w:t>
      </w:r>
      <w:r w:rsidRPr="0063248C">
        <w:rPr>
          <w:rFonts w:ascii="Times New Roman" w:hAnsi="Times New Roman" w:cs="Times New Roman"/>
          <w:sz w:val="18"/>
          <w:szCs w:val="18"/>
        </w:rPr>
        <w:t>2012</w:t>
      </w:r>
      <w:r w:rsidRPr="0063248C">
        <w:rPr>
          <w:rFonts w:ascii="Times New Roman" w:hAnsi="Times New Roman" w:hint="eastAsia"/>
          <w:sz w:val="18"/>
          <w:szCs w:val="18"/>
        </w:rPr>
        <w:t>〕</w:t>
      </w:r>
      <w:r w:rsidRPr="0063248C">
        <w:rPr>
          <w:rFonts w:ascii="Times New Roman" w:hAnsi="Times New Roman" w:cs="Times New Roman"/>
          <w:sz w:val="18"/>
          <w:szCs w:val="18"/>
        </w:rPr>
        <w:t>75</w:t>
      </w:r>
      <w:r w:rsidRPr="0063248C">
        <w:rPr>
          <w:rFonts w:ascii="Times New Roman" w:hAnsi="Times New Roman" w:hint="eastAsia"/>
          <w:sz w:val="18"/>
          <w:szCs w:val="18"/>
        </w:rPr>
        <w:t>号）规定，报告期内本公司下属子公司青岛新胜</w:t>
      </w:r>
      <w:proofErr w:type="gramStart"/>
      <w:r w:rsidRPr="0063248C">
        <w:rPr>
          <w:rFonts w:ascii="Times New Roman" w:hAnsi="Times New Roman" w:hint="eastAsia"/>
          <w:sz w:val="18"/>
          <w:szCs w:val="18"/>
        </w:rPr>
        <w:t>锦食品</w:t>
      </w:r>
      <w:proofErr w:type="gramEnd"/>
      <w:r w:rsidRPr="0063248C">
        <w:rPr>
          <w:rFonts w:ascii="Times New Roman" w:hAnsi="Times New Roman" w:hint="eastAsia"/>
          <w:sz w:val="18"/>
          <w:szCs w:val="18"/>
        </w:rPr>
        <w:t>商贸有限公司销售的鲜活肉产品，免征流通环节增值税。</w:t>
      </w:r>
    </w:p>
    <w:p w14:paraId="6AFDF87E" w14:textId="77777777" w:rsidR="00517D34" w:rsidRPr="0063248C" w:rsidRDefault="00000000" w:rsidP="00B425DC">
      <w:pPr>
        <w:pStyle w:val="a3"/>
        <w:spacing w:before="0" w:beforeAutospacing="0" w:after="0" w:afterAutospacing="0" w:line="276" w:lineRule="auto"/>
        <w:ind w:firstLineChars="200" w:firstLine="360"/>
        <w:jc w:val="both"/>
        <w:divId w:val="1706520506"/>
        <w:rPr>
          <w:rFonts w:ascii="Times New Roman" w:hAnsi="Times New Roman"/>
        </w:rPr>
      </w:pPr>
      <w:r w:rsidRPr="0063248C">
        <w:rPr>
          <w:rFonts w:ascii="Times New Roman" w:hAnsi="Times New Roman" w:hint="eastAsia"/>
          <w:sz w:val="18"/>
          <w:szCs w:val="18"/>
        </w:rPr>
        <w:t>④技术转让、技术开发等</w:t>
      </w:r>
    </w:p>
    <w:p w14:paraId="2C32F22F" w14:textId="77777777" w:rsidR="00517D34" w:rsidRPr="0063248C" w:rsidRDefault="00000000" w:rsidP="00B425DC">
      <w:pPr>
        <w:pStyle w:val="a3"/>
        <w:spacing w:before="0" w:beforeAutospacing="0" w:after="0" w:afterAutospacing="0" w:line="276" w:lineRule="auto"/>
        <w:ind w:firstLineChars="200" w:firstLine="360"/>
        <w:divId w:val="1706520506"/>
        <w:rPr>
          <w:rFonts w:ascii="Times New Roman" w:hAnsi="Times New Roman"/>
          <w:sz w:val="21"/>
          <w:szCs w:val="21"/>
        </w:rPr>
      </w:pPr>
      <w:r w:rsidRPr="0063248C">
        <w:rPr>
          <w:rFonts w:ascii="Times New Roman" w:hAnsi="Times New Roman" w:hint="eastAsia"/>
          <w:sz w:val="18"/>
          <w:szCs w:val="18"/>
        </w:rPr>
        <w:t>根据《财政部、国家税务总局关于全面推开营业税改征增值税试点的通知》（财税〔</w:t>
      </w:r>
      <w:r w:rsidRPr="0063248C">
        <w:rPr>
          <w:rFonts w:ascii="Times New Roman" w:hAnsi="Times New Roman" w:cs="Times New Roman"/>
          <w:sz w:val="18"/>
          <w:szCs w:val="18"/>
        </w:rPr>
        <w:t>2016</w:t>
      </w:r>
      <w:r w:rsidRPr="0063248C">
        <w:rPr>
          <w:rFonts w:ascii="Times New Roman" w:hAnsi="Times New Roman" w:hint="eastAsia"/>
          <w:sz w:val="18"/>
          <w:szCs w:val="18"/>
        </w:rPr>
        <w:t>〕</w:t>
      </w:r>
      <w:r w:rsidRPr="0063248C">
        <w:rPr>
          <w:rFonts w:ascii="Times New Roman" w:hAnsi="Times New Roman" w:cs="Times New Roman"/>
          <w:sz w:val="18"/>
          <w:szCs w:val="18"/>
        </w:rPr>
        <w:t>36</w:t>
      </w:r>
      <w:r w:rsidRPr="0063248C">
        <w:rPr>
          <w:rFonts w:ascii="Times New Roman" w:hAnsi="Times New Roman" w:hint="eastAsia"/>
          <w:sz w:val="18"/>
          <w:szCs w:val="18"/>
        </w:rPr>
        <w:t>号）规定，纳税人提供技术转让、技术开发和与之相关的技术咨询、技术服务免征增值税。报告期内本公司下属子公司山东龙大生猪产品工程技术研究有限公司业务范围内的畜禽领域内的技术开发、技术咨询、技术转让及技术服务免征增值税。</w:t>
      </w:r>
    </w:p>
    <w:p w14:paraId="3981CB05" w14:textId="77777777" w:rsidR="007B3DB2" w:rsidRPr="0063248C" w:rsidRDefault="00000000">
      <w:pPr>
        <w:pStyle w:val="3"/>
        <w:spacing w:line="280" w:lineRule="exact"/>
        <w:jc w:val="left"/>
        <w:rPr>
          <w:rFonts w:cs="宋体"/>
          <w:b/>
          <w:bCs/>
        </w:rPr>
      </w:pPr>
      <w:bookmarkStart w:id="177" w:name="_Toc989066"/>
      <w:r w:rsidRPr="0063248C">
        <w:rPr>
          <w:rFonts w:cs="宋体"/>
          <w:b/>
          <w:bCs/>
        </w:rPr>
        <w:lastRenderedPageBreak/>
        <w:t>3</w:t>
      </w:r>
      <w:r w:rsidRPr="0063248C">
        <w:rPr>
          <w:rFonts w:cs="宋体"/>
          <w:b/>
          <w:bCs/>
        </w:rPr>
        <w:t>、其他</w:t>
      </w:r>
      <w:bookmarkEnd w:id="177"/>
    </w:p>
    <w:p w14:paraId="43563F68" w14:textId="77777777" w:rsidR="00517D34" w:rsidRPr="0063248C" w:rsidRDefault="00000000" w:rsidP="00B425DC">
      <w:pPr>
        <w:pStyle w:val="a3"/>
        <w:spacing w:before="0" w:beforeAutospacing="0" w:after="0" w:afterAutospacing="0" w:line="276" w:lineRule="auto"/>
        <w:ind w:firstLine="357"/>
        <w:jc w:val="both"/>
        <w:divId w:val="1347750782"/>
        <w:rPr>
          <w:rFonts w:ascii="Times New Roman" w:hAnsi="Times New Roman"/>
        </w:rPr>
      </w:pPr>
      <w:r w:rsidRPr="0063248C">
        <w:rPr>
          <w:rFonts w:ascii="Times New Roman" w:hAnsi="Times New Roman" w:hint="eastAsia"/>
          <w:sz w:val="18"/>
          <w:szCs w:val="18"/>
        </w:rPr>
        <w:t>根据《财政部税务总局关于设备、器具扣除有关企业所得税政策的通知》（财税〔</w:t>
      </w:r>
      <w:r w:rsidRPr="0063248C">
        <w:rPr>
          <w:rFonts w:ascii="Times New Roman" w:hAnsi="Times New Roman" w:cs="Times New Roman"/>
          <w:sz w:val="18"/>
          <w:szCs w:val="18"/>
        </w:rPr>
        <w:t>2018</w:t>
      </w:r>
      <w:r w:rsidRPr="0063248C">
        <w:rPr>
          <w:rFonts w:ascii="Times New Roman" w:hAnsi="Times New Roman" w:hint="eastAsia"/>
          <w:sz w:val="18"/>
          <w:szCs w:val="18"/>
        </w:rPr>
        <w:t>〕</w:t>
      </w:r>
      <w:r w:rsidRPr="0063248C">
        <w:rPr>
          <w:rFonts w:ascii="Times New Roman" w:hAnsi="Times New Roman" w:cs="Times New Roman"/>
          <w:sz w:val="18"/>
          <w:szCs w:val="18"/>
        </w:rPr>
        <w:t>54</w:t>
      </w:r>
      <w:r w:rsidRPr="0063248C">
        <w:rPr>
          <w:rFonts w:ascii="Times New Roman" w:hAnsi="Times New Roman" w:hint="eastAsia"/>
          <w:sz w:val="18"/>
          <w:szCs w:val="18"/>
        </w:rPr>
        <w:t>号）规定，企业在</w:t>
      </w:r>
      <w:r w:rsidRPr="0063248C">
        <w:rPr>
          <w:rFonts w:ascii="Times New Roman" w:hAnsi="Times New Roman" w:cs="Times New Roman"/>
          <w:sz w:val="18"/>
          <w:szCs w:val="18"/>
        </w:rPr>
        <w:t>2018</w:t>
      </w:r>
      <w:r w:rsidRPr="0063248C">
        <w:rPr>
          <w:rFonts w:ascii="Times New Roman" w:hAnsi="Times New Roman" w:hint="eastAsia"/>
          <w:sz w:val="18"/>
          <w:szCs w:val="18"/>
        </w:rPr>
        <w:t>年</w:t>
      </w:r>
      <w:r w:rsidRPr="0063248C">
        <w:rPr>
          <w:rFonts w:ascii="Times New Roman" w:hAnsi="Times New Roman" w:cs="Times New Roman"/>
          <w:sz w:val="18"/>
          <w:szCs w:val="18"/>
        </w:rPr>
        <w:t>1</w:t>
      </w:r>
      <w:r w:rsidRPr="0063248C">
        <w:rPr>
          <w:rFonts w:ascii="Times New Roman" w:hAnsi="Times New Roman" w:hint="eastAsia"/>
          <w:sz w:val="18"/>
          <w:szCs w:val="18"/>
        </w:rPr>
        <w:t>月</w:t>
      </w:r>
      <w:r w:rsidRPr="0063248C">
        <w:rPr>
          <w:rFonts w:ascii="Times New Roman" w:hAnsi="Times New Roman" w:cs="Times New Roman"/>
          <w:sz w:val="18"/>
          <w:szCs w:val="18"/>
        </w:rPr>
        <w:t>1</w:t>
      </w:r>
      <w:r w:rsidRPr="0063248C">
        <w:rPr>
          <w:rFonts w:ascii="Times New Roman" w:hAnsi="Times New Roman" w:hint="eastAsia"/>
          <w:sz w:val="18"/>
          <w:szCs w:val="18"/>
        </w:rPr>
        <w:t>日至</w:t>
      </w:r>
      <w:r w:rsidRPr="0063248C">
        <w:rPr>
          <w:rFonts w:ascii="Times New Roman" w:hAnsi="Times New Roman" w:cs="Times New Roman"/>
          <w:sz w:val="18"/>
          <w:szCs w:val="18"/>
        </w:rPr>
        <w:t>2020</w:t>
      </w:r>
      <w:r w:rsidRPr="0063248C">
        <w:rPr>
          <w:rFonts w:ascii="Times New Roman" w:hAnsi="Times New Roman" w:hint="eastAsia"/>
          <w:sz w:val="18"/>
          <w:szCs w:val="18"/>
        </w:rPr>
        <w:t>年</w:t>
      </w:r>
      <w:r w:rsidRPr="0063248C">
        <w:rPr>
          <w:rFonts w:ascii="Times New Roman" w:hAnsi="Times New Roman" w:cs="Times New Roman"/>
          <w:sz w:val="18"/>
          <w:szCs w:val="18"/>
        </w:rPr>
        <w:t>12</w:t>
      </w:r>
      <w:r w:rsidRPr="0063248C">
        <w:rPr>
          <w:rFonts w:ascii="Times New Roman" w:hAnsi="Times New Roman" w:hint="eastAsia"/>
          <w:sz w:val="18"/>
          <w:szCs w:val="18"/>
        </w:rPr>
        <w:t>月</w:t>
      </w:r>
      <w:r w:rsidRPr="0063248C">
        <w:rPr>
          <w:rFonts w:ascii="Times New Roman" w:hAnsi="Times New Roman" w:cs="Times New Roman"/>
          <w:sz w:val="18"/>
          <w:szCs w:val="18"/>
        </w:rPr>
        <w:t>31</w:t>
      </w:r>
      <w:r w:rsidRPr="0063248C">
        <w:rPr>
          <w:rFonts w:ascii="Times New Roman" w:hAnsi="Times New Roman" w:hint="eastAsia"/>
          <w:sz w:val="18"/>
          <w:szCs w:val="18"/>
        </w:rPr>
        <w:t>日期间新购进的设备、器具，单位价值不超过</w:t>
      </w:r>
      <w:r w:rsidRPr="0063248C">
        <w:rPr>
          <w:rFonts w:ascii="Times New Roman" w:hAnsi="Times New Roman" w:cs="Times New Roman"/>
          <w:sz w:val="18"/>
          <w:szCs w:val="18"/>
        </w:rPr>
        <w:t>500</w:t>
      </w:r>
      <w:r w:rsidRPr="0063248C">
        <w:rPr>
          <w:rFonts w:ascii="Times New Roman" w:hAnsi="Times New Roman" w:hint="eastAsia"/>
          <w:sz w:val="18"/>
          <w:szCs w:val="18"/>
        </w:rPr>
        <w:t>万元的，允许一次性计入当期成本费用在计算应纳税所得额时扣除，不再分年度计算折旧。</w:t>
      </w:r>
    </w:p>
    <w:p w14:paraId="5ECB4249" w14:textId="77777777" w:rsidR="00517D34" w:rsidRPr="0063248C" w:rsidRDefault="00000000" w:rsidP="00B425DC">
      <w:pPr>
        <w:pStyle w:val="a3"/>
        <w:spacing w:before="0" w:beforeAutospacing="0" w:after="0" w:afterAutospacing="0" w:line="276" w:lineRule="auto"/>
        <w:ind w:firstLine="357"/>
        <w:jc w:val="both"/>
        <w:divId w:val="1347750782"/>
        <w:rPr>
          <w:rFonts w:ascii="Times New Roman" w:hAnsi="Times New Roman"/>
        </w:rPr>
      </w:pPr>
      <w:r w:rsidRPr="0063248C">
        <w:rPr>
          <w:rFonts w:ascii="Times New Roman" w:hAnsi="Times New Roman" w:hint="eastAsia"/>
          <w:color w:val="333333"/>
          <w:sz w:val="18"/>
          <w:szCs w:val="18"/>
          <w:shd w:val="clear" w:color="auto" w:fill="FFFFFF"/>
        </w:rPr>
        <w:t>企业在</w:t>
      </w:r>
      <w:r w:rsidRPr="0063248C">
        <w:rPr>
          <w:rFonts w:ascii="Times New Roman" w:hAnsi="Times New Roman" w:hint="eastAsia"/>
          <w:color w:val="333333"/>
          <w:sz w:val="18"/>
          <w:szCs w:val="18"/>
          <w:shd w:val="clear" w:color="auto" w:fill="FFFFFF"/>
        </w:rPr>
        <w:t>2024</w:t>
      </w:r>
      <w:r w:rsidRPr="0063248C">
        <w:rPr>
          <w:rFonts w:ascii="Times New Roman" w:hAnsi="Times New Roman" w:hint="eastAsia"/>
          <w:color w:val="333333"/>
          <w:sz w:val="18"/>
          <w:szCs w:val="18"/>
          <w:shd w:val="clear" w:color="auto" w:fill="FFFFFF"/>
        </w:rPr>
        <w:t>年</w:t>
      </w:r>
      <w:r w:rsidRPr="0063248C">
        <w:rPr>
          <w:rFonts w:ascii="Times New Roman" w:hAnsi="Times New Roman" w:hint="eastAsia"/>
          <w:color w:val="333333"/>
          <w:sz w:val="18"/>
          <w:szCs w:val="18"/>
          <w:shd w:val="clear" w:color="auto" w:fill="FFFFFF"/>
        </w:rPr>
        <w:t>1</w:t>
      </w:r>
      <w:r w:rsidRPr="0063248C">
        <w:rPr>
          <w:rFonts w:ascii="Times New Roman" w:hAnsi="Times New Roman" w:hint="eastAsia"/>
          <w:color w:val="333333"/>
          <w:sz w:val="18"/>
          <w:szCs w:val="18"/>
          <w:shd w:val="clear" w:color="auto" w:fill="FFFFFF"/>
        </w:rPr>
        <w:t>月</w:t>
      </w:r>
      <w:r w:rsidRPr="0063248C">
        <w:rPr>
          <w:rFonts w:ascii="Times New Roman" w:hAnsi="Times New Roman" w:hint="eastAsia"/>
          <w:color w:val="333333"/>
          <w:sz w:val="18"/>
          <w:szCs w:val="18"/>
          <w:shd w:val="clear" w:color="auto" w:fill="FFFFFF"/>
        </w:rPr>
        <w:t>1</w:t>
      </w:r>
      <w:r w:rsidRPr="0063248C">
        <w:rPr>
          <w:rFonts w:ascii="Times New Roman" w:hAnsi="Times New Roman" w:hint="eastAsia"/>
          <w:color w:val="333333"/>
          <w:sz w:val="18"/>
          <w:szCs w:val="18"/>
          <w:shd w:val="clear" w:color="auto" w:fill="FFFFFF"/>
        </w:rPr>
        <w:t>日至</w:t>
      </w:r>
      <w:r w:rsidRPr="0063248C">
        <w:rPr>
          <w:rFonts w:ascii="Times New Roman" w:hAnsi="Times New Roman" w:hint="eastAsia"/>
          <w:color w:val="333333"/>
          <w:sz w:val="18"/>
          <w:szCs w:val="18"/>
          <w:shd w:val="clear" w:color="auto" w:fill="FFFFFF"/>
        </w:rPr>
        <w:t>2027</w:t>
      </w:r>
      <w:r w:rsidRPr="0063248C">
        <w:rPr>
          <w:rFonts w:ascii="Times New Roman" w:hAnsi="Times New Roman" w:hint="eastAsia"/>
          <w:color w:val="333333"/>
          <w:sz w:val="18"/>
          <w:szCs w:val="18"/>
          <w:shd w:val="clear" w:color="auto" w:fill="FFFFFF"/>
        </w:rPr>
        <w:t>年</w:t>
      </w:r>
      <w:r w:rsidRPr="0063248C">
        <w:rPr>
          <w:rFonts w:ascii="Times New Roman" w:hAnsi="Times New Roman" w:hint="eastAsia"/>
          <w:color w:val="333333"/>
          <w:sz w:val="18"/>
          <w:szCs w:val="18"/>
          <w:shd w:val="clear" w:color="auto" w:fill="FFFFFF"/>
        </w:rPr>
        <w:t>12</w:t>
      </w:r>
      <w:r w:rsidRPr="0063248C">
        <w:rPr>
          <w:rFonts w:ascii="Times New Roman" w:hAnsi="Times New Roman" w:hint="eastAsia"/>
          <w:color w:val="333333"/>
          <w:sz w:val="18"/>
          <w:szCs w:val="18"/>
          <w:shd w:val="clear" w:color="auto" w:fill="FFFFFF"/>
        </w:rPr>
        <w:t>月</w:t>
      </w:r>
      <w:r w:rsidRPr="0063248C">
        <w:rPr>
          <w:rFonts w:ascii="Times New Roman" w:hAnsi="Times New Roman" w:hint="eastAsia"/>
          <w:color w:val="333333"/>
          <w:sz w:val="18"/>
          <w:szCs w:val="18"/>
          <w:shd w:val="clear" w:color="auto" w:fill="FFFFFF"/>
        </w:rPr>
        <w:t>31</w:t>
      </w:r>
      <w:r w:rsidRPr="0063248C">
        <w:rPr>
          <w:rFonts w:ascii="Times New Roman" w:hAnsi="Times New Roman" w:hint="eastAsia"/>
          <w:color w:val="333333"/>
          <w:sz w:val="18"/>
          <w:szCs w:val="18"/>
          <w:shd w:val="clear" w:color="auto" w:fill="FFFFFF"/>
        </w:rPr>
        <w:t>日期间新购进的设备、器具，单位价值不超过</w:t>
      </w:r>
      <w:r w:rsidRPr="0063248C">
        <w:rPr>
          <w:rFonts w:ascii="Times New Roman" w:hAnsi="Times New Roman" w:hint="eastAsia"/>
          <w:color w:val="333333"/>
          <w:sz w:val="18"/>
          <w:szCs w:val="18"/>
          <w:shd w:val="clear" w:color="auto" w:fill="FFFFFF"/>
        </w:rPr>
        <w:t>500</w:t>
      </w:r>
      <w:r w:rsidRPr="0063248C">
        <w:rPr>
          <w:rFonts w:ascii="Times New Roman" w:hAnsi="Times New Roman" w:hint="eastAsia"/>
          <w:color w:val="333333"/>
          <w:sz w:val="18"/>
          <w:szCs w:val="18"/>
          <w:shd w:val="clear" w:color="auto" w:fill="FFFFFF"/>
        </w:rPr>
        <w:t>万元的，允许一次性计入当期成本费用在计算应纳税所得额时扣除，不再分年度计算折旧；单位价值超过</w:t>
      </w:r>
      <w:r w:rsidRPr="0063248C">
        <w:rPr>
          <w:rFonts w:ascii="Times New Roman" w:hAnsi="Times New Roman" w:hint="eastAsia"/>
          <w:color w:val="333333"/>
          <w:sz w:val="18"/>
          <w:szCs w:val="18"/>
          <w:shd w:val="clear" w:color="auto" w:fill="FFFFFF"/>
        </w:rPr>
        <w:t>500</w:t>
      </w:r>
      <w:r w:rsidRPr="0063248C">
        <w:rPr>
          <w:rFonts w:ascii="Times New Roman" w:hAnsi="Times New Roman" w:hint="eastAsia"/>
          <w:color w:val="333333"/>
          <w:sz w:val="18"/>
          <w:szCs w:val="18"/>
          <w:shd w:val="clear" w:color="auto" w:fill="FFFFFF"/>
        </w:rPr>
        <w:t>万元的，仍按企业所得税法实施条例、《财政部</w:t>
      </w:r>
      <w:r w:rsidRPr="0063248C">
        <w:rPr>
          <w:rFonts w:ascii="Times New Roman" w:hAnsi="Times New Roman" w:hint="eastAsia"/>
          <w:color w:val="333333"/>
          <w:sz w:val="18"/>
          <w:szCs w:val="18"/>
          <w:shd w:val="clear" w:color="auto" w:fill="FFFFFF"/>
        </w:rPr>
        <w:t xml:space="preserve"> </w:t>
      </w:r>
      <w:r w:rsidRPr="0063248C">
        <w:rPr>
          <w:rFonts w:ascii="Times New Roman" w:hAnsi="Times New Roman" w:hint="eastAsia"/>
          <w:color w:val="333333"/>
          <w:sz w:val="18"/>
          <w:szCs w:val="18"/>
          <w:shd w:val="clear" w:color="auto" w:fill="FFFFFF"/>
        </w:rPr>
        <w:t>国家税务总局关于完善固定资产加速折旧企业所得税政策的通知》（财税〔</w:t>
      </w:r>
      <w:r w:rsidRPr="0063248C">
        <w:rPr>
          <w:rFonts w:ascii="Times New Roman" w:hAnsi="Times New Roman" w:hint="eastAsia"/>
          <w:color w:val="333333"/>
          <w:sz w:val="18"/>
          <w:szCs w:val="18"/>
          <w:shd w:val="clear" w:color="auto" w:fill="FFFFFF"/>
        </w:rPr>
        <w:t>2014</w:t>
      </w:r>
      <w:r w:rsidRPr="0063248C">
        <w:rPr>
          <w:rFonts w:ascii="Times New Roman" w:hAnsi="Times New Roman" w:hint="eastAsia"/>
          <w:color w:val="333333"/>
          <w:sz w:val="18"/>
          <w:szCs w:val="18"/>
          <w:shd w:val="clear" w:color="auto" w:fill="FFFFFF"/>
        </w:rPr>
        <w:t>〕</w:t>
      </w:r>
      <w:r w:rsidRPr="0063248C">
        <w:rPr>
          <w:rFonts w:ascii="Times New Roman" w:hAnsi="Times New Roman" w:hint="eastAsia"/>
          <w:color w:val="333333"/>
          <w:sz w:val="18"/>
          <w:szCs w:val="18"/>
          <w:shd w:val="clear" w:color="auto" w:fill="FFFFFF"/>
        </w:rPr>
        <w:t>75</w:t>
      </w:r>
      <w:r w:rsidRPr="0063248C">
        <w:rPr>
          <w:rFonts w:ascii="Times New Roman" w:hAnsi="Times New Roman" w:hint="eastAsia"/>
          <w:color w:val="333333"/>
          <w:sz w:val="18"/>
          <w:szCs w:val="18"/>
          <w:shd w:val="clear" w:color="auto" w:fill="FFFFFF"/>
        </w:rPr>
        <w:t>号）、《财政部</w:t>
      </w:r>
      <w:r w:rsidRPr="0063248C">
        <w:rPr>
          <w:rFonts w:ascii="Times New Roman" w:hAnsi="Times New Roman" w:hint="eastAsia"/>
          <w:color w:val="333333"/>
          <w:sz w:val="18"/>
          <w:szCs w:val="18"/>
          <w:shd w:val="clear" w:color="auto" w:fill="FFFFFF"/>
        </w:rPr>
        <w:t xml:space="preserve"> </w:t>
      </w:r>
      <w:r w:rsidRPr="0063248C">
        <w:rPr>
          <w:rFonts w:ascii="Times New Roman" w:hAnsi="Times New Roman" w:hint="eastAsia"/>
          <w:color w:val="333333"/>
          <w:sz w:val="18"/>
          <w:szCs w:val="18"/>
          <w:shd w:val="clear" w:color="auto" w:fill="FFFFFF"/>
        </w:rPr>
        <w:t>国家税务总局关于进一步完善固定资产加速折旧企业所得税政策的通知》（财税〔</w:t>
      </w:r>
      <w:r w:rsidRPr="0063248C">
        <w:rPr>
          <w:rFonts w:ascii="Times New Roman" w:hAnsi="Times New Roman" w:hint="eastAsia"/>
          <w:color w:val="333333"/>
          <w:sz w:val="18"/>
          <w:szCs w:val="18"/>
          <w:shd w:val="clear" w:color="auto" w:fill="FFFFFF"/>
        </w:rPr>
        <w:t>2015</w:t>
      </w:r>
      <w:r w:rsidRPr="0063248C">
        <w:rPr>
          <w:rFonts w:ascii="Times New Roman" w:hAnsi="Times New Roman" w:hint="eastAsia"/>
          <w:color w:val="333333"/>
          <w:sz w:val="18"/>
          <w:szCs w:val="18"/>
          <w:shd w:val="clear" w:color="auto" w:fill="FFFFFF"/>
        </w:rPr>
        <w:t>〕</w:t>
      </w:r>
      <w:r w:rsidRPr="0063248C">
        <w:rPr>
          <w:rFonts w:ascii="Times New Roman" w:hAnsi="Times New Roman" w:hint="eastAsia"/>
          <w:color w:val="333333"/>
          <w:sz w:val="18"/>
          <w:szCs w:val="18"/>
          <w:shd w:val="clear" w:color="auto" w:fill="FFFFFF"/>
        </w:rPr>
        <w:t>106</w:t>
      </w:r>
      <w:r w:rsidRPr="0063248C">
        <w:rPr>
          <w:rFonts w:ascii="Times New Roman" w:hAnsi="Times New Roman" w:hint="eastAsia"/>
          <w:color w:val="333333"/>
          <w:sz w:val="18"/>
          <w:szCs w:val="18"/>
          <w:shd w:val="clear" w:color="auto" w:fill="FFFFFF"/>
        </w:rPr>
        <w:t>号）等相关规定执行。</w:t>
      </w:r>
    </w:p>
    <w:p w14:paraId="36BACBA1" w14:textId="77777777" w:rsidR="007B3DB2" w:rsidRPr="0063248C" w:rsidRDefault="00000000">
      <w:pPr>
        <w:pStyle w:val="2"/>
        <w:spacing w:before="300" w:after="300" w:line="320" w:lineRule="exact"/>
        <w:rPr>
          <w:rFonts w:cs="宋体"/>
          <w:b/>
          <w:bCs/>
          <w:sz w:val="24"/>
          <w:szCs w:val="24"/>
        </w:rPr>
      </w:pPr>
      <w:bookmarkStart w:id="178" w:name="_Toc989067"/>
      <w:r w:rsidRPr="0063248C">
        <w:rPr>
          <w:rFonts w:cs="宋体"/>
          <w:b/>
          <w:bCs/>
          <w:sz w:val="24"/>
          <w:szCs w:val="24"/>
        </w:rPr>
        <w:t>七、合并财务报表项目注释</w:t>
      </w:r>
      <w:bookmarkEnd w:id="178"/>
    </w:p>
    <w:p w14:paraId="3722A28D" w14:textId="77777777" w:rsidR="007B3DB2" w:rsidRPr="0063248C" w:rsidRDefault="00000000">
      <w:pPr>
        <w:pStyle w:val="3"/>
        <w:spacing w:line="280" w:lineRule="exact"/>
        <w:jc w:val="left"/>
        <w:rPr>
          <w:rFonts w:cs="宋体"/>
          <w:b/>
          <w:bCs/>
        </w:rPr>
      </w:pPr>
      <w:bookmarkStart w:id="179" w:name="_Toc989068"/>
      <w:r w:rsidRPr="0063248C">
        <w:rPr>
          <w:rFonts w:cs="宋体"/>
          <w:b/>
          <w:bCs/>
        </w:rPr>
        <w:t>1</w:t>
      </w:r>
      <w:r w:rsidRPr="0063248C">
        <w:rPr>
          <w:rFonts w:cs="宋体"/>
          <w:b/>
          <w:bCs/>
        </w:rPr>
        <w:t>、货币资金</w:t>
      </w:r>
      <w:bookmarkEnd w:id="179"/>
    </w:p>
    <w:p w14:paraId="46C2C481"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3A43C4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F95511"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413C9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BEA81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534E82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CB32A5" w14:textId="77777777" w:rsidR="007B3DB2" w:rsidRPr="0063248C" w:rsidRDefault="00000000">
            <w:pPr>
              <w:spacing w:before="40" w:after="40" w:line="240" w:lineRule="exact"/>
              <w:rPr>
                <w:rFonts w:cs="宋体"/>
                <w:sz w:val="18"/>
                <w:szCs w:val="18"/>
              </w:rPr>
            </w:pPr>
            <w:r w:rsidRPr="0063248C">
              <w:rPr>
                <w:rFonts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14:paraId="1262B46B" w14:textId="77777777" w:rsidR="007B3DB2" w:rsidRPr="0063248C" w:rsidRDefault="00000000">
            <w:pPr>
              <w:spacing w:line="240" w:lineRule="exact"/>
              <w:jc w:val="right"/>
              <w:rPr>
                <w:rFonts w:cs="宋体"/>
                <w:sz w:val="18"/>
                <w:szCs w:val="18"/>
              </w:rPr>
            </w:pPr>
            <w:r w:rsidRPr="0063248C">
              <w:rPr>
                <w:rFonts w:cs="宋体"/>
                <w:sz w:val="18"/>
                <w:szCs w:val="18"/>
              </w:rPr>
              <w:t>13,206.73</w:t>
            </w:r>
          </w:p>
        </w:tc>
        <w:tc>
          <w:tcPr>
            <w:tcW w:w="3213" w:type="dxa"/>
            <w:tcBorders>
              <w:top w:val="single" w:sz="2" w:space="0" w:color="auto"/>
              <w:left w:val="single" w:sz="2" w:space="0" w:color="auto"/>
              <w:bottom w:val="single" w:sz="2" w:space="0" w:color="auto"/>
              <w:right w:val="single" w:sz="2" w:space="0" w:color="auto"/>
            </w:tcBorders>
            <w:vAlign w:val="center"/>
          </w:tcPr>
          <w:p w14:paraId="6FB0237E" w14:textId="77777777" w:rsidR="007B3DB2" w:rsidRPr="0063248C" w:rsidRDefault="00000000">
            <w:pPr>
              <w:spacing w:line="240" w:lineRule="exact"/>
              <w:jc w:val="right"/>
              <w:rPr>
                <w:rFonts w:cs="宋体"/>
                <w:sz w:val="18"/>
                <w:szCs w:val="18"/>
              </w:rPr>
            </w:pPr>
            <w:r w:rsidRPr="0063248C">
              <w:rPr>
                <w:rFonts w:cs="宋体"/>
                <w:sz w:val="18"/>
                <w:szCs w:val="18"/>
              </w:rPr>
              <w:t>10,752.96</w:t>
            </w:r>
          </w:p>
        </w:tc>
      </w:tr>
      <w:tr w:rsidR="007B3DB2" w:rsidRPr="0063248C" w14:paraId="11703D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F4072A" w14:textId="77777777" w:rsidR="007B3DB2" w:rsidRPr="0063248C" w:rsidRDefault="00000000">
            <w:pPr>
              <w:spacing w:before="40" w:after="40" w:line="240" w:lineRule="exact"/>
              <w:rPr>
                <w:rFonts w:cs="宋体"/>
                <w:sz w:val="18"/>
                <w:szCs w:val="18"/>
              </w:rPr>
            </w:pPr>
            <w:r w:rsidRPr="0063248C">
              <w:rPr>
                <w:rFonts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14:paraId="7DC38DDA" w14:textId="77777777" w:rsidR="007B3DB2" w:rsidRPr="0063248C" w:rsidRDefault="00000000">
            <w:pPr>
              <w:spacing w:line="240" w:lineRule="exact"/>
              <w:jc w:val="right"/>
              <w:rPr>
                <w:rFonts w:cs="宋体"/>
                <w:sz w:val="18"/>
                <w:szCs w:val="18"/>
              </w:rPr>
            </w:pPr>
            <w:r w:rsidRPr="0063248C">
              <w:rPr>
                <w:rFonts w:cs="宋体"/>
                <w:sz w:val="18"/>
                <w:szCs w:val="18"/>
              </w:rPr>
              <w:t>657,889,735.25</w:t>
            </w:r>
          </w:p>
        </w:tc>
        <w:tc>
          <w:tcPr>
            <w:tcW w:w="3213" w:type="dxa"/>
            <w:tcBorders>
              <w:top w:val="single" w:sz="2" w:space="0" w:color="auto"/>
              <w:left w:val="single" w:sz="2" w:space="0" w:color="auto"/>
              <w:bottom w:val="single" w:sz="2" w:space="0" w:color="auto"/>
              <w:right w:val="single" w:sz="2" w:space="0" w:color="auto"/>
            </w:tcBorders>
            <w:vAlign w:val="center"/>
          </w:tcPr>
          <w:p w14:paraId="5225DBDB" w14:textId="77777777" w:rsidR="007B3DB2" w:rsidRPr="0063248C" w:rsidRDefault="00000000">
            <w:pPr>
              <w:spacing w:line="240" w:lineRule="exact"/>
              <w:jc w:val="right"/>
              <w:rPr>
                <w:rFonts w:cs="宋体"/>
                <w:sz w:val="18"/>
                <w:szCs w:val="18"/>
              </w:rPr>
            </w:pPr>
            <w:r w:rsidRPr="0063248C">
              <w:rPr>
                <w:rFonts w:cs="宋体"/>
                <w:sz w:val="18"/>
                <w:szCs w:val="18"/>
              </w:rPr>
              <w:t>904,583,287.76</w:t>
            </w:r>
          </w:p>
        </w:tc>
      </w:tr>
      <w:tr w:rsidR="007B3DB2" w:rsidRPr="0063248C" w14:paraId="2A965B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F5E74C" w14:textId="77777777" w:rsidR="007B3DB2" w:rsidRPr="0063248C" w:rsidRDefault="00000000">
            <w:pPr>
              <w:spacing w:before="40" w:after="40" w:line="240" w:lineRule="exact"/>
              <w:rPr>
                <w:rFonts w:cs="宋体"/>
                <w:sz w:val="18"/>
                <w:szCs w:val="18"/>
              </w:rPr>
            </w:pPr>
            <w:r w:rsidRPr="0063248C">
              <w:rPr>
                <w:rFonts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09B7145F" w14:textId="77777777" w:rsidR="007B3DB2" w:rsidRPr="0063248C" w:rsidRDefault="00000000">
            <w:pPr>
              <w:spacing w:line="240" w:lineRule="exact"/>
              <w:jc w:val="right"/>
              <w:rPr>
                <w:rFonts w:cs="宋体"/>
                <w:sz w:val="18"/>
                <w:szCs w:val="18"/>
              </w:rPr>
            </w:pPr>
            <w:r w:rsidRPr="0063248C">
              <w:rPr>
                <w:rFonts w:cs="宋体"/>
                <w:sz w:val="18"/>
                <w:szCs w:val="18"/>
              </w:rPr>
              <w:t>356,353,194.22</w:t>
            </w:r>
          </w:p>
        </w:tc>
        <w:tc>
          <w:tcPr>
            <w:tcW w:w="3213" w:type="dxa"/>
            <w:tcBorders>
              <w:top w:val="single" w:sz="2" w:space="0" w:color="auto"/>
              <w:left w:val="single" w:sz="2" w:space="0" w:color="auto"/>
              <w:bottom w:val="single" w:sz="2" w:space="0" w:color="auto"/>
              <w:right w:val="single" w:sz="2" w:space="0" w:color="auto"/>
            </w:tcBorders>
            <w:vAlign w:val="center"/>
          </w:tcPr>
          <w:p w14:paraId="4F95381C" w14:textId="77777777" w:rsidR="007B3DB2" w:rsidRPr="0063248C" w:rsidRDefault="00000000">
            <w:pPr>
              <w:spacing w:line="240" w:lineRule="exact"/>
              <w:jc w:val="right"/>
              <w:rPr>
                <w:rFonts w:cs="宋体"/>
                <w:sz w:val="18"/>
                <w:szCs w:val="18"/>
              </w:rPr>
            </w:pPr>
            <w:r w:rsidRPr="0063248C">
              <w:rPr>
                <w:rFonts w:cs="宋体"/>
                <w:sz w:val="18"/>
                <w:szCs w:val="18"/>
              </w:rPr>
              <w:t>487,978,055.79</w:t>
            </w:r>
          </w:p>
        </w:tc>
      </w:tr>
      <w:tr w:rsidR="007B3DB2" w:rsidRPr="0063248C" w14:paraId="3D9942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3FE781"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FA122B1" w14:textId="77777777" w:rsidR="007B3DB2" w:rsidRPr="0063248C" w:rsidRDefault="00000000">
            <w:pPr>
              <w:spacing w:line="240" w:lineRule="exact"/>
              <w:jc w:val="right"/>
              <w:rPr>
                <w:rFonts w:cs="宋体"/>
                <w:sz w:val="18"/>
                <w:szCs w:val="18"/>
              </w:rPr>
            </w:pPr>
            <w:r w:rsidRPr="0063248C">
              <w:rPr>
                <w:rFonts w:cs="宋体"/>
                <w:sz w:val="18"/>
                <w:szCs w:val="18"/>
              </w:rPr>
              <w:t>1,014,256,136.20</w:t>
            </w:r>
          </w:p>
        </w:tc>
        <w:tc>
          <w:tcPr>
            <w:tcW w:w="3213" w:type="dxa"/>
            <w:tcBorders>
              <w:top w:val="single" w:sz="2" w:space="0" w:color="auto"/>
              <w:left w:val="single" w:sz="2" w:space="0" w:color="auto"/>
              <w:bottom w:val="single" w:sz="2" w:space="0" w:color="auto"/>
              <w:right w:val="single" w:sz="2" w:space="0" w:color="auto"/>
            </w:tcBorders>
            <w:vAlign w:val="center"/>
          </w:tcPr>
          <w:p w14:paraId="43BCD08B" w14:textId="77777777" w:rsidR="007B3DB2" w:rsidRPr="0063248C" w:rsidRDefault="00000000">
            <w:pPr>
              <w:spacing w:line="240" w:lineRule="exact"/>
              <w:jc w:val="right"/>
              <w:rPr>
                <w:rFonts w:cs="宋体"/>
                <w:sz w:val="18"/>
                <w:szCs w:val="18"/>
              </w:rPr>
            </w:pPr>
            <w:r w:rsidRPr="0063248C">
              <w:rPr>
                <w:rFonts w:cs="宋体"/>
                <w:sz w:val="18"/>
                <w:szCs w:val="18"/>
              </w:rPr>
              <w:t>1,392,572,096.51</w:t>
            </w:r>
          </w:p>
        </w:tc>
      </w:tr>
    </w:tbl>
    <w:p w14:paraId="3B88F473"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1016AAEF" w14:textId="77777777" w:rsidR="00517D34" w:rsidRPr="0063248C" w:rsidRDefault="00000000">
      <w:pPr>
        <w:pStyle w:val="a3"/>
        <w:divId w:val="1785925582"/>
        <w:rPr>
          <w:rFonts w:ascii="Times New Roman" w:hAnsi="Times New Roman"/>
          <w:sz w:val="18"/>
          <w:szCs w:val="18"/>
        </w:rPr>
      </w:pPr>
      <w:r w:rsidRPr="0063248C">
        <w:rPr>
          <w:rFonts w:ascii="Times New Roman" w:hAnsi="Times New Roman" w:hint="eastAsia"/>
          <w:sz w:val="18"/>
          <w:szCs w:val="18"/>
        </w:rPr>
        <w:t>无</w:t>
      </w:r>
    </w:p>
    <w:p w14:paraId="50A84D6B" w14:textId="77777777" w:rsidR="007B3DB2" w:rsidRPr="0063248C" w:rsidRDefault="00000000">
      <w:pPr>
        <w:spacing w:before="100" w:after="100" w:line="240" w:lineRule="exact"/>
        <w:rPr>
          <w:rFonts w:cs="宋体"/>
          <w:sz w:val="18"/>
          <w:szCs w:val="18"/>
        </w:rPr>
      </w:pPr>
      <w:r w:rsidRPr="0063248C">
        <w:rPr>
          <w:rFonts w:cs="宋体"/>
          <w:sz w:val="18"/>
          <w:szCs w:val="18"/>
        </w:rPr>
        <w:t>酒制造企业应详细披露是否存在与相关方建立资金共管账户等特殊利益安排的情形</w:t>
      </w:r>
    </w:p>
    <w:p w14:paraId="63AEDD5B"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66EE3F2" w14:textId="77777777" w:rsidR="007B3DB2" w:rsidRPr="0063248C" w:rsidRDefault="00000000">
      <w:pPr>
        <w:pStyle w:val="3"/>
        <w:spacing w:line="280" w:lineRule="exact"/>
        <w:jc w:val="left"/>
        <w:rPr>
          <w:rFonts w:cs="宋体"/>
          <w:b/>
          <w:bCs/>
        </w:rPr>
      </w:pPr>
      <w:bookmarkStart w:id="180" w:name="_Toc989069"/>
      <w:r w:rsidRPr="0063248C">
        <w:rPr>
          <w:rFonts w:cs="宋体"/>
          <w:b/>
          <w:bCs/>
        </w:rPr>
        <w:t>2</w:t>
      </w:r>
      <w:r w:rsidRPr="0063248C">
        <w:rPr>
          <w:rFonts w:cs="宋体"/>
          <w:b/>
          <w:bCs/>
        </w:rPr>
        <w:t>、交易性金融资产</w:t>
      </w:r>
      <w:bookmarkEnd w:id="180"/>
    </w:p>
    <w:p w14:paraId="467EB226" w14:textId="77777777" w:rsidR="00517D34" w:rsidRPr="0063248C" w:rsidRDefault="00000000">
      <w:pPr>
        <w:pStyle w:val="a3"/>
        <w:divId w:val="1499613482"/>
        <w:rPr>
          <w:rFonts w:ascii="Times New Roman" w:hAnsi="Times New Roman"/>
          <w:sz w:val="18"/>
          <w:szCs w:val="18"/>
        </w:rPr>
      </w:pPr>
      <w:r w:rsidRPr="0063248C">
        <w:rPr>
          <w:rFonts w:ascii="Times New Roman" w:hAnsi="Times New Roman" w:hint="eastAsia"/>
          <w:sz w:val="18"/>
          <w:szCs w:val="18"/>
        </w:rPr>
        <w:t>无</w:t>
      </w:r>
    </w:p>
    <w:p w14:paraId="058526BD" w14:textId="77777777" w:rsidR="007B3DB2" w:rsidRPr="0063248C" w:rsidRDefault="00000000">
      <w:pPr>
        <w:pStyle w:val="3"/>
        <w:spacing w:line="280" w:lineRule="exact"/>
        <w:jc w:val="left"/>
        <w:rPr>
          <w:rFonts w:cs="宋体"/>
          <w:b/>
          <w:bCs/>
        </w:rPr>
      </w:pPr>
      <w:bookmarkStart w:id="181" w:name="_Toc989070"/>
      <w:r w:rsidRPr="0063248C">
        <w:rPr>
          <w:rFonts w:cs="宋体"/>
          <w:b/>
          <w:bCs/>
        </w:rPr>
        <w:t>3</w:t>
      </w:r>
      <w:r w:rsidRPr="0063248C">
        <w:rPr>
          <w:rFonts w:cs="宋体"/>
          <w:b/>
          <w:bCs/>
        </w:rPr>
        <w:t>、衍生金融资产</w:t>
      </w:r>
      <w:bookmarkEnd w:id="181"/>
    </w:p>
    <w:p w14:paraId="4FBC133E" w14:textId="77777777" w:rsidR="00517D34" w:rsidRPr="0063248C" w:rsidRDefault="00000000">
      <w:pPr>
        <w:pStyle w:val="a3"/>
        <w:divId w:val="2131586326"/>
        <w:rPr>
          <w:rFonts w:ascii="Times New Roman" w:hAnsi="Times New Roman"/>
          <w:sz w:val="18"/>
          <w:szCs w:val="18"/>
        </w:rPr>
      </w:pPr>
      <w:r w:rsidRPr="0063248C">
        <w:rPr>
          <w:rFonts w:ascii="Times New Roman" w:hAnsi="Times New Roman" w:hint="eastAsia"/>
          <w:sz w:val="18"/>
          <w:szCs w:val="18"/>
        </w:rPr>
        <w:t>无</w:t>
      </w:r>
    </w:p>
    <w:p w14:paraId="7D3B176C" w14:textId="77777777" w:rsidR="007B3DB2" w:rsidRPr="0063248C" w:rsidRDefault="00000000">
      <w:pPr>
        <w:pStyle w:val="3"/>
        <w:spacing w:line="280" w:lineRule="exact"/>
        <w:jc w:val="left"/>
        <w:rPr>
          <w:rFonts w:cs="宋体"/>
          <w:b/>
          <w:bCs/>
        </w:rPr>
      </w:pPr>
      <w:bookmarkStart w:id="182" w:name="_Toc989071"/>
      <w:r w:rsidRPr="0063248C">
        <w:rPr>
          <w:rFonts w:cs="宋体"/>
          <w:b/>
          <w:bCs/>
        </w:rPr>
        <w:t>4</w:t>
      </w:r>
      <w:r w:rsidRPr="0063248C">
        <w:rPr>
          <w:rFonts w:cs="宋体"/>
          <w:b/>
          <w:bCs/>
        </w:rPr>
        <w:t>、应收票据</w:t>
      </w:r>
      <w:bookmarkEnd w:id="182"/>
    </w:p>
    <w:p w14:paraId="5EFE8BA2" w14:textId="77777777" w:rsidR="007B3DB2" w:rsidRPr="0063248C" w:rsidRDefault="00000000">
      <w:pPr>
        <w:keepNext/>
        <w:keepLines/>
        <w:spacing w:before="300" w:after="300" w:line="280" w:lineRule="exact"/>
        <w:outlineLvl w:val="3"/>
        <w:rPr>
          <w:rFonts w:cs="宋体"/>
          <w:b/>
          <w:bCs/>
          <w:szCs w:val="21"/>
        </w:rPr>
      </w:pPr>
      <w:bookmarkStart w:id="183" w:name="_Toc989072"/>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应收票据分类列示</w:t>
      </w:r>
      <w:bookmarkEnd w:id="183"/>
    </w:p>
    <w:p w14:paraId="663FBA5D"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51D164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DD6CEF"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A8DCED"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302A3F"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3F841A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0BD28F" w14:textId="77777777" w:rsidR="007B3DB2" w:rsidRPr="0063248C" w:rsidRDefault="00000000">
            <w:pPr>
              <w:spacing w:before="40" w:after="40" w:line="240" w:lineRule="exact"/>
              <w:rPr>
                <w:rFonts w:cs="宋体"/>
                <w:sz w:val="18"/>
                <w:szCs w:val="18"/>
              </w:rPr>
            </w:pPr>
            <w:r w:rsidRPr="0063248C">
              <w:rPr>
                <w:rFonts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0599A785" w14:textId="77777777" w:rsidR="007B3DB2" w:rsidRPr="0063248C" w:rsidRDefault="00000000">
            <w:pPr>
              <w:spacing w:line="240" w:lineRule="exact"/>
              <w:jc w:val="right"/>
              <w:rPr>
                <w:rFonts w:cs="宋体"/>
                <w:sz w:val="18"/>
                <w:szCs w:val="18"/>
              </w:rPr>
            </w:pPr>
            <w:r w:rsidRPr="0063248C">
              <w:rPr>
                <w:rFonts w:cs="宋体"/>
                <w:sz w:val="18"/>
                <w:szCs w:val="18"/>
              </w:rPr>
              <w:t>935,836.78</w:t>
            </w:r>
          </w:p>
        </w:tc>
        <w:tc>
          <w:tcPr>
            <w:tcW w:w="3213" w:type="dxa"/>
            <w:tcBorders>
              <w:top w:val="single" w:sz="2" w:space="0" w:color="auto"/>
              <w:left w:val="single" w:sz="2" w:space="0" w:color="auto"/>
              <w:bottom w:val="single" w:sz="2" w:space="0" w:color="auto"/>
              <w:right w:val="single" w:sz="2" w:space="0" w:color="auto"/>
            </w:tcBorders>
            <w:vAlign w:val="center"/>
          </w:tcPr>
          <w:p w14:paraId="72BC5E8C" w14:textId="77777777" w:rsidR="007B3DB2" w:rsidRPr="0063248C" w:rsidRDefault="00000000">
            <w:pPr>
              <w:spacing w:line="240" w:lineRule="exact"/>
              <w:jc w:val="right"/>
              <w:rPr>
                <w:rFonts w:cs="宋体"/>
                <w:sz w:val="18"/>
                <w:szCs w:val="18"/>
              </w:rPr>
            </w:pPr>
            <w:r w:rsidRPr="0063248C">
              <w:rPr>
                <w:rFonts w:cs="宋体"/>
                <w:sz w:val="18"/>
                <w:szCs w:val="18"/>
              </w:rPr>
              <w:t>2,341,021.98</w:t>
            </w:r>
          </w:p>
        </w:tc>
      </w:tr>
      <w:tr w:rsidR="007B3DB2" w:rsidRPr="0063248C" w14:paraId="250661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03BF6C"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CD3737F" w14:textId="77777777" w:rsidR="007B3DB2" w:rsidRPr="0063248C" w:rsidRDefault="00000000">
            <w:pPr>
              <w:spacing w:line="240" w:lineRule="exact"/>
              <w:jc w:val="right"/>
              <w:rPr>
                <w:rFonts w:cs="宋体"/>
                <w:sz w:val="18"/>
                <w:szCs w:val="18"/>
              </w:rPr>
            </w:pPr>
            <w:r w:rsidRPr="0063248C">
              <w:rPr>
                <w:rFonts w:cs="宋体"/>
                <w:sz w:val="18"/>
                <w:szCs w:val="18"/>
              </w:rPr>
              <w:t>935,836.78</w:t>
            </w:r>
          </w:p>
        </w:tc>
        <w:tc>
          <w:tcPr>
            <w:tcW w:w="3213" w:type="dxa"/>
            <w:tcBorders>
              <w:top w:val="single" w:sz="2" w:space="0" w:color="auto"/>
              <w:left w:val="single" w:sz="2" w:space="0" w:color="auto"/>
              <w:bottom w:val="single" w:sz="2" w:space="0" w:color="auto"/>
              <w:right w:val="single" w:sz="2" w:space="0" w:color="auto"/>
            </w:tcBorders>
            <w:vAlign w:val="center"/>
          </w:tcPr>
          <w:p w14:paraId="270279C6" w14:textId="77777777" w:rsidR="007B3DB2" w:rsidRPr="0063248C" w:rsidRDefault="00000000">
            <w:pPr>
              <w:spacing w:line="240" w:lineRule="exact"/>
              <w:jc w:val="right"/>
              <w:rPr>
                <w:rFonts w:cs="宋体"/>
                <w:sz w:val="18"/>
                <w:szCs w:val="18"/>
              </w:rPr>
            </w:pPr>
            <w:r w:rsidRPr="0063248C">
              <w:rPr>
                <w:rFonts w:cs="宋体"/>
                <w:sz w:val="18"/>
                <w:szCs w:val="18"/>
              </w:rPr>
              <w:t>2,341,021.98</w:t>
            </w:r>
          </w:p>
        </w:tc>
      </w:tr>
    </w:tbl>
    <w:p w14:paraId="00E9340D" w14:textId="77777777" w:rsidR="007B3DB2" w:rsidRPr="0063248C" w:rsidRDefault="00000000">
      <w:pPr>
        <w:keepNext/>
        <w:keepLines/>
        <w:spacing w:before="300" w:after="300" w:line="280" w:lineRule="exact"/>
        <w:outlineLvl w:val="3"/>
        <w:rPr>
          <w:rFonts w:cs="宋体"/>
          <w:b/>
          <w:bCs/>
          <w:szCs w:val="21"/>
        </w:rPr>
      </w:pPr>
      <w:bookmarkStart w:id="184" w:name="_Toc989073"/>
      <w:r w:rsidRPr="0063248C">
        <w:rPr>
          <w:rFonts w:cs="宋体"/>
          <w:b/>
          <w:bCs/>
          <w:szCs w:val="21"/>
        </w:rPr>
        <w:lastRenderedPageBreak/>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按坏账计提方法分类披露</w:t>
      </w:r>
      <w:bookmarkEnd w:id="184"/>
    </w:p>
    <w:p w14:paraId="0D7E78BE"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7B3DB2" w:rsidRPr="0063248C" w14:paraId="4CF0B0A4" w14:textId="7777777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7EAD655" w14:textId="77777777" w:rsidR="007B3DB2" w:rsidRPr="0063248C" w:rsidRDefault="00000000">
            <w:pPr>
              <w:spacing w:before="40" w:after="40" w:line="240" w:lineRule="exact"/>
              <w:jc w:val="center"/>
              <w:rPr>
                <w:rFonts w:cs="宋体"/>
                <w:sz w:val="18"/>
                <w:szCs w:val="18"/>
              </w:rPr>
            </w:pPr>
            <w:r w:rsidRPr="0063248C">
              <w:rPr>
                <w:rFonts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172D60E6"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42EB0376"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58517A4D"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B55733" w14:textId="77777777" w:rsidR="007B3DB2" w:rsidRPr="0063248C" w:rsidRDefault="007B3DB2"/>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FDF0E46"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B338FF6"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426A602"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9BB8C2B"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AFD279C"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E56B49"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r>
      <w:tr w:rsidR="007B3DB2" w:rsidRPr="0063248C" w14:paraId="17854F02"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CDD14F"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AE3AEC6"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BB4AB10" w14:textId="77777777" w:rsidR="007B3DB2" w:rsidRPr="0063248C" w:rsidRDefault="00000000">
            <w:pPr>
              <w:spacing w:before="40" w:after="40" w:line="240" w:lineRule="exact"/>
              <w:jc w:val="center"/>
              <w:rPr>
                <w:rFonts w:cs="宋体"/>
                <w:sz w:val="18"/>
                <w:szCs w:val="18"/>
              </w:rPr>
            </w:pPr>
            <w:r w:rsidRPr="0063248C">
              <w:rPr>
                <w:rFonts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D134314"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7012DEE"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34BF13C"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3724252"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1670E1F" w14:textId="77777777" w:rsidR="007B3DB2" w:rsidRPr="0063248C" w:rsidRDefault="00000000">
            <w:pPr>
              <w:spacing w:before="40" w:after="40" w:line="240" w:lineRule="exact"/>
              <w:jc w:val="center"/>
              <w:rPr>
                <w:rFonts w:cs="宋体"/>
                <w:sz w:val="18"/>
                <w:szCs w:val="18"/>
              </w:rPr>
            </w:pPr>
            <w:r w:rsidRPr="0063248C">
              <w:rPr>
                <w:rFonts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9958CF0"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94C8637"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7C5BA35" w14:textId="77777777" w:rsidR="007B3DB2" w:rsidRPr="0063248C" w:rsidRDefault="007B3DB2"/>
        </w:tc>
      </w:tr>
      <w:tr w:rsidR="007B3DB2" w:rsidRPr="0063248C" w14:paraId="70DB989B"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034CBB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4779946"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B3FE705"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D8EADCB"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5AE0BB4"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103D2C0"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AB91233"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8FC1181"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938800B"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794FB56"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97B0E2D" w14:textId="77777777" w:rsidR="007B3DB2" w:rsidRPr="0063248C" w:rsidRDefault="007B3DB2"/>
        </w:tc>
      </w:tr>
      <w:tr w:rsidR="007B3DB2" w:rsidRPr="0063248C" w14:paraId="111334DC"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37A5E5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882A032"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648A7E2"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C5D5D8B"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4DA9288"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034611E"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47EA373"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9514DAB"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F1D5942"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3F62567"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5058D87" w14:textId="77777777" w:rsidR="007B3DB2" w:rsidRPr="0063248C" w:rsidRDefault="007B3DB2"/>
        </w:tc>
      </w:tr>
    </w:tbl>
    <w:p w14:paraId="28DF93F8" w14:textId="77777777" w:rsidR="007B3DB2" w:rsidRPr="0063248C" w:rsidRDefault="00000000">
      <w:pPr>
        <w:spacing w:before="100" w:after="100" w:line="240" w:lineRule="exact"/>
        <w:rPr>
          <w:rFonts w:cs="宋体"/>
          <w:sz w:val="18"/>
          <w:szCs w:val="18"/>
        </w:rPr>
      </w:pPr>
      <w:r w:rsidRPr="0063248C">
        <w:rPr>
          <w:rFonts w:cs="宋体"/>
          <w:sz w:val="18"/>
          <w:szCs w:val="18"/>
        </w:rPr>
        <w:t>如是按照预期信用损失一般模型计提应收票据坏账准备：</w:t>
      </w:r>
    </w:p>
    <w:p w14:paraId="243C65D7"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3C1BAD4A" w14:textId="77777777" w:rsidR="007B3DB2" w:rsidRPr="0063248C" w:rsidRDefault="00000000">
      <w:pPr>
        <w:keepNext/>
        <w:keepLines/>
        <w:spacing w:before="300" w:after="300" w:line="280" w:lineRule="exact"/>
        <w:outlineLvl w:val="3"/>
        <w:rPr>
          <w:rFonts w:cs="宋体"/>
          <w:b/>
          <w:bCs/>
          <w:szCs w:val="21"/>
        </w:rPr>
      </w:pPr>
      <w:bookmarkStart w:id="185" w:name="_Toc989074"/>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本期计提、收回或转回的坏账准备情况</w:t>
      </w:r>
      <w:bookmarkEnd w:id="185"/>
    </w:p>
    <w:p w14:paraId="0CD3D4F7" w14:textId="77777777" w:rsidR="007B3DB2" w:rsidRPr="0063248C" w:rsidRDefault="00000000">
      <w:pPr>
        <w:spacing w:line="240" w:lineRule="exact"/>
        <w:rPr>
          <w:rFonts w:cs="宋体"/>
          <w:sz w:val="18"/>
          <w:szCs w:val="18"/>
        </w:rPr>
      </w:pPr>
      <w:r w:rsidRPr="0063248C">
        <w:rPr>
          <w:rFonts w:cs="宋体"/>
          <w:sz w:val="18"/>
          <w:szCs w:val="18"/>
        </w:rPr>
        <w:t>本期计提坏账准备情况：</w:t>
      </w:r>
    </w:p>
    <w:p w14:paraId="359DBC7B"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343A7643"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F548FB9" w14:textId="77777777" w:rsidR="007B3DB2" w:rsidRPr="0063248C" w:rsidRDefault="00000000">
            <w:pPr>
              <w:spacing w:before="40" w:after="40" w:line="240" w:lineRule="exact"/>
              <w:jc w:val="center"/>
              <w:rPr>
                <w:rFonts w:cs="宋体"/>
                <w:sz w:val="18"/>
                <w:szCs w:val="18"/>
              </w:rPr>
            </w:pPr>
            <w:r w:rsidRPr="0063248C">
              <w:rPr>
                <w:rFonts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A1AB2A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D439F3C"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64084FB"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49E61913"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1D7C374" w14:textId="77777777" w:rsidR="007B3DB2" w:rsidRPr="0063248C" w:rsidRDefault="007B3DB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D720E30"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B970121"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B1349F3" w14:textId="77777777" w:rsidR="007B3DB2" w:rsidRPr="0063248C" w:rsidRDefault="00000000">
            <w:pPr>
              <w:spacing w:before="40" w:after="40" w:line="240" w:lineRule="exact"/>
              <w:jc w:val="center"/>
              <w:rPr>
                <w:rFonts w:cs="宋体"/>
                <w:sz w:val="18"/>
                <w:szCs w:val="18"/>
              </w:rPr>
            </w:pPr>
            <w:r w:rsidRPr="0063248C">
              <w:rPr>
                <w:rFonts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E08A59A" w14:textId="77777777" w:rsidR="007B3DB2" w:rsidRPr="0063248C" w:rsidRDefault="00000000">
            <w:pPr>
              <w:spacing w:before="40" w:after="40" w:line="240" w:lineRule="exact"/>
              <w:jc w:val="center"/>
              <w:rPr>
                <w:rFonts w:cs="宋体"/>
                <w:sz w:val="18"/>
                <w:szCs w:val="18"/>
              </w:rPr>
            </w:pPr>
            <w:r w:rsidRPr="0063248C">
              <w:rPr>
                <w:rFonts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CC5D2DF"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C378B42" w14:textId="77777777" w:rsidR="007B3DB2" w:rsidRPr="0063248C" w:rsidRDefault="007B3DB2"/>
        </w:tc>
      </w:tr>
    </w:tbl>
    <w:p w14:paraId="1B5CCD4A" w14:textId="77777777" w:rsidR="007B3DB2" w:rsidRPr="0063248C" w:rsidRDefault="00000000">
      <w:pPr>
        <w:spacing w:before="100" w:after="100" w:line="240" w:lineRule="exact"/>
        <w:rPr>
          <w:rFonts w:cs="宋体"/>
          <w:sz w:val="18"/>
          <w:szCs w:val="18"/>
        </w:rPr>
      </w:pPr>
      <w:r w:rsidRPr="0063248C">
        <w:rPr>
          <w:rFonts w:cs="宋体"/>
          <w:sz w:val="18"/>
          <w:szCs w:val="18"/>
        </w:rPr>
        <w:t>其中本期坏账准备收回或转回金额重要的：</w:t>
      </w:r>
    </w:p>
    <w:p w14:paraId="523C4C20"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E4142F6" w14:textId="77777777" w:rsidR="007B3DB2" w:rsidRPr="0063248C" w:rsidRDefault="00000000">
      <w:pPr>
        <w:keepNext/>
        <w:keepLines/>
        <w:spacing w:before="300" w:after="300" w:line="280" w:lineRule="exact"/>
        <w:outlineLvl w:val="3"/>
        <w:rPr>
          <w:rFonts w:cs="宋体"/>
          <w:b/>
          <w:bCs/>
          <w:szCs w:val="21"/>
        </w:rPr>
      </w:pPr>
      <w:bookmarkStart w:id="186" w:name="_Toc989075"/>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期末公司已质押的应收票据</w:t>
      </w:r>
      <w:bookmarkEnd w:id="186"/>
    </w:p>
    <w:p w14:paraId="58B2C151" w14:textId="0A7FFCA2" w:rsidR="007B3DB2" w:rsidRPr="0063248C" w:rsidRDefault="008669F6" w:rsidP="008669F6">
      <w:pPr>
        <w:spacing w:before="40" w:after="40" w:line="240" w:lineRule="exact"/>
        <w:rPr>
          <w:rFonts w:cs="宋体"/>
          <w:sz w:val="18"/>
          <w:szCs w:val="18"/>
        </w:rPr>
      </w:pPr>
      <w:r>
        <w:rPr>
          <w:rFonts w:cs="宋体" w:hint="eastAsia"/>
          <w:sz w:val="18"/>
          <w:szCs w:val="18"/>
        </w:rPr>
        <w:t>无</w:t>
      </w:r>
    </w:p>
    <w:p w14:paraId="4050CEB5" w14:textId="77777777" w:rsidR="007B3DB2" w:rsidRPr="0063248C" w:rsidRDefault="00000000">
      <w:pPr>
        <w:keepNext/>
        <w:keepLines/>
        <w:spacing w:before="300" w:after="300" w:line="280" w:lineRule="exact"/>
        <w:outlineLvl w:val="3"/>
        <w:rPr>
          <w:rFonts w:cs="宋体"/>
          <w:b/>
          <w:bCs/>
          <w:szCs w:val="21"/>
        </w:rPr>
      </w:pPr>
      <w:bookmarkStart w:id="187" w:name="_Toc989076"/>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期末公司已背书或贴现且在资产负债表日尚未到期的应收票据</w:t>
      </w:r>
      <w:bookmarkEnd w:id="187"/>
    </w:p>
    <w:p w14:paraId="7716CEB1"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137CAD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044D71"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1BCCAE"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8806E1"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期末未终止确认金额</w:t>
            </w:r>
          </w:p>
        </w:tc>
      </w:tr>
      <w:tr w:rsidR="007B3DB2" w:rsidRPr="0063248C" w14:paraId="78324D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0B4241" w14:textId="77777777" w:rsidR="007B3DB2" w:rsidRPr="0063248C" w:rsidRDefault="00000000">
            <w:pPr>
              <w:spacing w:before="40" w:after="40" w:line="240" w:lineRule="exact"/>
              <w:rPr>
                <w:rFonts w:cs="宋体"/>
                <w:sz w:val="18"/>
                <w:szCs w:val="18"/>
              </w:rPr>
            </w:pPr>
            <w:r w:rsidRPr="0063248C">
              <w:rPr>
                <w:rFonts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17F97AFA" w14:textId="77777777" w:rsidR="007B3DB2" w:rsidRPr="0063248C" w:rsidRDefault="00000000">
            <w:pPr>
              <w:spacing w:line="240" w:lineRule="exact"/>
              <w:jc w:val="right"/>
              <w:rPr>
                <w:rFonts w:cs="宋体"/>
                <w:sz w:val="18"/>
                <w:szCs w:val="18"/>
              </w:rPr>
            </w:pPr>
            <w:r w:rsidRPr="0063248C">
              <w:rPr>
                <w:rFonts w:cs="宋体"/>
                <w:sz w:val="18"/>
                <w:szCs w:val="18"/>
              </w:rPr>
              <w:t>6,541,056.26</w:t>
            </w:r>
          </w:p>
        </w:tc>
        <w:tc>
          <w:tcPr>
            <w:tcW w:w="3213" w:type="dxa"/>
            <w:tcBorders>
              <w:top w:val="single" w:sz="2" w:space="0" w:color="auto"/>
              <w:left w:val="single" w:sz="2" w:space="0" w:color="auto"/>
              <w:bottom w:val="single" w:sz="2" w:space="0" w:color="auto"/>
              <w:right w:val="single" w:sz="2" w:space="0" w:color="auto"/>
            </w:tcBorders>
            <w:vAlign w:val="center"/>
          </w:tcPr>
          <w:p w14:paraId="58EF879C" w14:textId="77777777" w:rsidR="007B3DB2" w:rsidRPr="0063248C" w:rsidRDefault="007B3DB2">
            <w:pPr>
              <w:spacing w:line="240" w:lineRule="exact"/>
              <w:jc w:val="right"/>
              <w:rPr>
                <w:rFonts w:cs="宋体"/>
                <w:sz w:val="18"/>
                <w:szCs w:val="18"/>
              </w:rPr>
            </w:pPr>
          </w:p>
        </w:tc>
      </w:tr>
      <w:tr w:rsidR="007B3DB2" w:rsidRPr="0063248C" w14:paraId="0E534E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DDB609"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09D57B4" w14:textId="77777777" w:rsidR="007B3DB2" w:rsidRPr="0063248C" w:rsidRDefault="00000000">
            <w:pPr>
              <w:spacing w:line="240" w:lineRule="exact"/>
              <w:jc w:val="right"/>
              <w:rPr>
                <w:rFonts w:cs="宋体"/>
                <w:sz w:val="18"/>
                <w:szCs w:val="18"/>
              </w:rPr>
            </w:pPr>
            <w:r w:rsidRPr="0063248C">
              <w:rPr>
                <w:rFonts w:cs="宋体"/>
                <w:sz w:val="18"/>
                <w:szCs w:val="18"/>
              </w:rPr>
              <w:t>6,541,056.26</w:t>
            </w:r>
          </w:p>
        </w:tc>
        <w:tc>
          <w:tcPr>
            <w:tcW w:w="3213" w:type="dxa"/>
            <w:tcBorders>
              <w:top w:val="single" w:sz="2" w:space="0" w:color="auto"/>
              <w:left w:val="single" w:sz="2" w:space="0" w:color="auto"/>
              <w:bottom w:val="single" w:sz="2" w:space="0" w:color="auto"/>
              <w:right w:val="single" w:sz="2" w:space="0" w:color="auto"/>
            </w:tcBorders>
            <w:vAlign w:val="center"/>
          </w:tcPr>
          <w:p w14:paraId="4F3A6576" w14:textId="77777777" w:rsidR="007B3DB2" w:rsidRPr="0063248C" w:rsidRDefault="007B3DB2">
            <w:pPr>
              <w:spacing w:line="240" w:lineRule="exact"/>
              <w:jc w:val="right"/>
              <w:rPr>
                <w:rFonts w:cs="宋体"/>
                <w:sz w:val="18"/>
                <w:szCs w:val="18"/>
              </w:rPr>
            </w:pPr>
          </w:p>
        </w:tc>
      </w:tr>
    </w:tbl>
    <w:p w14:paraId="2CED42FE" w14:textId="77777777" w:rsidR="007B3DB2" w:rsidRPr="0063248C" w:rsidRDefault="00000000">
      <w:pPr>
        <w:keepNext/>
        <w:keepLines/>
        <w:spacing w:before="300" w:after="300" w:line="280" w:lineRule="exact"/>
        <w:outlineLvl w:val="3"/>
        <w:rPr>
          <w:rFonts w:cs="宋体"/>
          <w:b/>
          <w:bCs/>
          <w:szCs w:val="21"/>
        </w:rPr>
      </w:pPr>
      <w:bookmarkStart w:id="188" w:name="_Toc989077"/>
      <w:r w:rsidRPr="0063248C">
        <w:rPr>
          <w:rFonts w:cs="宋体"/>
          <w:b/>
          <w:bCs/>
          <w:szCs w:val="21"/>
        </w:rPr>
        <w:t>（</w:t>
      </w:r>
      <w:r w:rsidRPr="0063248C">
        <w:rPr>
          <w:rFonts w:cs="宋体"/>
          <w:b/>
          <w:bCs/>
          <w:szCs w:val="21"/>
        </w:rPr>
        <w:t>6</w:t>
      </w:r>
      <w:r w:rsidRPr="0063248C">
        <w:rPr>
          <w:rFonts w:cs="宋体"/>
          <w:b/>
          <w:bCs/>
          <w:szCs w:val="21"/>
        </w:rPr>
        <w:t>）</w:t>
      </w:r>
      <w:r w:rsidRPr="0063248C">
        <w:rPr>
          <w:rFonts w:cs="宋体"/>
          <w:b/>
          <w:bCs/>
          <w:szCs w:val="21"/>
        </w:rPr>
        <w:t xml:space="preserve"> </w:t>
      </w:r>
      <w:r w:rsidRPr="0063248C">
        <w:rPr>
          <w:rFonts w:cs="宋体"/>
          <w:b/>
          <w:bCs/>
          <w:szCs w:val="21"/>
        </w:rPr>
        <w:t>本期实际核销的应收票据情况</w:t>
      </w:r>
      <w:bookmarkEnd w:id="188"/>
    </w:p>
    <w:p w14:paraId="50B37755" w14:textId="77777777" w:rsidR="00517D34" w:rsidRPr="0063248C" w:rsidRDefault="00000000">
      <w:pPr>
        <w:pStyle w:val="a3"/>
        <w:divId w:val="222103456"/>
        <w:rPr>
          <w:rFonts w:ascii="Times New Roman" w:hAnsi="Times New Roman"/>
          <w:sz w:val="18"/>
          <w:szCs w:val="18"/>
        </w:rPr>
      </w:pPr>
      <w:r w:rsidRPr="0063248C">
        <w:rPr>
          <w:rFonts w:ascii="Times New Roman" w:hAnsi="Times New Roman" w:hint="eastAsia"/>
          <w:sz w:val="18"/>
          <w:szCs w:val="18"/>
        </w:rPr>
        <w:t>无</w:t>
      </w:r>
    </w:p>
    <w:p w14:paraId="0FF5D04C" w14:textId="77777777" w:rsidR="007B3DB2" w:rsidRPr="0063248C" w:rsidRDefault="00000000">
      <w:pPr>
        <w:pStyle w:val="3"/>
        <w:spacing w:line="280" w:lineRule="exact"/>
        <w:jc w:val="left"/>
        <w:rPr>
          <w:rFonts w:cs="宋体"/>
          <w:b/>
          <w:bCs/>
        </w:rPr>
      </w:pPr>
      <w:bookmarkStart w:id="189" w:name="_Toc989078"/>
      <w:r w:rsidRPr="0063248C">
        <w:rPr>
          <w:rFonts w:cs="宋体"/>
          <w:b/>
          <w:bCs/>
        </w:rPr>
        <w:t>5</w:t>
      </w:r>
      <w:r w:rsidRPr="0063248C">
        <w:rPr>
          <w:rFonts w:cs="宋体"/>
          <w:b/>
          <w:bCs/>
        </w:rPr>
        <w:t>、应收账款</w:t>
      </w:r>
      <w:bookmarkEnd w:id="189"/>
    </w:p>
    <w:p w14:paraId="6444B3F9" w14:textId="77777777" w:rsidR="007B3DB2" w:rsidRPr="0063248C" w:rsidRDefault="00000000">
      <w:pPr>
        <w:keepNext/>
        <w:keepLines/>
        <w:spacing w:before="300" w:after="300" w:line="280" w:lineRule="exact"/>
        <w:outlineLvl w:val="3"/>
        <w:rPr>
          <w:rFonts w:cs="宋体"/>
          <w:b/>
          <w:bCs/>
          <w:szCs w:val="21"/>
        </w:rPr>
      </w:pPr>
      <w:bookmarkStart w:id="190" w:name="_Toc989079"/>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proofErr w:type="gramStart"/>
      <w:r w:rsidRPr="0063248C">
        <w:rPr>
          <w:rFonts w:cs="宋体"/>
          <w:b/>
          <w:bCs/>
          <w:szCs w:val="21"/>
        </w:rPr>
        <w:t>按账龄</w:t>
      </w:r>
      <w:proofErr w:type="gramEnd"/>
      <w:r w:rsidRPr="0063248C">
        <w:rPr>
          <w:rFonts w:cs="宋体"/>
          <w:b/>
          <w:bCs/>
          <w:szCs w:val="21"/>
        </w:rPr>
        <w:t>披露</w:t>
      </w:r>
      <w:bookmarkEnd w:id="190"/>
    </w:p>
    <w:p w14:paraId="3AB9326C"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6747C0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D02057"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7591E7"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6B4521"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期初账面余额</w:t>
            </w:r>
          </w:p>
        </w:tc>
      </w:tr>
      <w:tr w:rsidR="007B3DB2" w:rsidRPr="0063248C" w14:paraId="62F85C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A853F6"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年以内（含</w:t>
            </w:r>
            <w:r w:rsidRPr="0063248C">
              <w:rPr>
                <w:rFonts w:cs="宋体"/>
                <w:sz w:val="18"/>
                <w:szCs w:val="18"/>
              </w:rPr>
              <w:t>1</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2A9DAFC" w14:textId="77777777" w:rsidR="007B3DB2" w:rsidRPr="0063248C" w:rsidRDefault="00000000">
            <w:pPr>
              <w:spacing w:line="240" w:lineRule="exact"/>
              <w:jc w:val="right"/>
              <w:rPr>
                <w:rFonts w:cs="宋体"/>
                <w:sz w:val="18"/>
                <w:szCs w:val="18"/>
              </w:rPr>
            </w:pPr>
            <w:r w:rsidRPr="0063248C">
              <w:rPr>
                <w:rFonts w:cs="宋体"/>
                <w:sz w:val="18"/>
                <w:szCs w:val="18"/>
              </w:rPr>
              <w:t>315,113,634.61</w:t>
            </w:r>
          </w:p>
        </w:tc>
        <w:tc>
          <w:tcPr>
            <w:tcW w:w="3213" w:type="dxa"/>
            <w:tcBorders>
              <w:top w:val="single" w:sz="2" w:space="0" w:color="auto"/>
              <w:left w:val="single" w:sz="2" w:space="0" w:color="auto"/>
              <w:bottom w:val="single" w:sz="2" w:space="0" w:color="auto"/>
              <w:right w:val="single" w:sz="2" w:space="0" w:color="auto"/>
            </w:tcBorders>
            <w:vAlign w:val="center"/>
          </w:tcPr>
          <w:p w14:paraId="0942CE7E" w14:textId="77777777" w:rsidR="007B3DB2" w:rsidRPr="0063248C" w:rsidRDefault="00000000">
            <w:pPr>
              <w:spacing w:line="240" w:lineRule="exact"/>
              <w:jc w:val="right"/>
              <w:rPr>
                <w:rFonts w:cs="宋体"/>
                <w:sz w:val="18"/>
                <w:szCs w:val="18"/>
              </w:rPr>
            </w:pPr>
            <w:r w:rsidRPr="0063248C">
              <w:rPr>
                <w:rFonts w:cs="宋体"/>
                <w:sz w:val="18"/>
                <w:szCs w:val="18"/>
              </w:rPr>
              <w:t>423,052,751.88</w:t>
            </w:r>
          </w:p>
        </w:tc>
      </w:tr>
      <w:tr w:rsidR="007B3DB2" w:rsidRPr="0063248C" w14:paraId="340184C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CF581EA" w14:textId="77777777" w:rsidR="007B3DB2" w:rsidRPr="0063248C" w:rsidRDefault="00000000">
            <w:pPr>
              <w:spacing w:line="240" w:lineRule="exact"/>
              <w:rPr>
                <w:rFonts w:cs="宋体"/>
                <w:sz w:val="18"/>
                <w:szCs w:val="18"/>
              </w:rPr>
            </w:pPr>
            <w:r w:rsidRPr="0063248C">
              <w:rPr>
                <w:rFonts w:cs="宋体"/>
                <w:sz w:val="18"/>
                <w:szCs w:val="18"/>
              </w:rPr>
              <w:lastRenderedPageBreak/>
              <w:t>1-3</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2185DE1A" w14:textId="77777777" w:rsidR="007B3DB2" w:rsidRPr="0063248C" w:rsidRDefault="00000000">
            <w:pPr>
              <w:spacing w:line="240" w:lineRule="exact"/>
              <w:jc w:val="right"/>
              <w:rPr>
                <w:rFonts w:cs="宋体"/>
                <w:sz w:val="18"/>
                <w:szCs w:val="18"/>
              </w:rPr>
            </w:pPr>
            <w:r w:rsidRPr="0063248C">
              <w:rPr>
                <w:rFonts w:cs="宋体"/>
                <w:sz w:val="18"/>
                <w:szCs w:val="18"/>
              </w:rPr>
              <w:t>263,452,368.73</w:t>
            </w:r>
          </w:p>
        </w:tc>
        <w:tc>
          <w:tcPr>
            <w:tcW w:w="3213" w:type="dxa"/>
            <w:tcBorders>
              <w:top w:val="single" w:sz="2" w:space="0" w:color="auto"/>
              <w:left w:val="single" w:sz="2" w:space="0" w:color="auto"/>
              <w:bottom w:val="single" w:sz="2" w:space="0" w:color="auto"/>
              <w:right w:val="single" w:sz="2" w:space="0" w:color="auto"/>
            </w:tcBorders>
            <w:vAlign w:val="center"/>
          </w:tcPr>
          <w:p w14:paraId="27A65B19" w14:textId="77777777" w:rsidR="007B3DB2" w:rsidRPr="0063248C" w:rsidRDefault="00000000">
            <w:pPr>
              <w:spacing w:line="240" w:lineRule="exact"/>
              <w:jc w:val="right"/>
              <w:rPr>
                <w:rFonts w:cs="宋体"/>
                <w:sz w:val="18"/>
                <w:szCs w:val="18"/>
              </w:rPr>
            </w:pPr>
            <w:r w:rsidRPr="0063248C">
              <w:rPr>
                <w:rFonts w:cs="宋体"/>
                <w:sz w:val="18"/>
                <w:szCs w:val="18"/>
              </w:rPr>
              <w:t>377,982,308.58</w:t>
            </w:r>
          </w:p>
        </w:tc>
      </w:tr>
      <w:tr w:rsidR="007B3DB2" w:rsidRPr="0063248C" w14:paraId="2F13CA5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94FB710" w14:textId="77777777" w:rsidR="007B3DB2" w:rsidRPr="0063248C" w:rsidRDefault="00000000">
            <w:pPr>
              <w:spacing w:line="240" w:lineRule="exact"/>
              <w:rPr>
                <w:rFonts w:cs="宋体"/>
                <w:sz w:val="18"/>
                <w:szCs w:val="18"/>
              </w:rPr>
            </w:pPr>
            <w:r w:rsidRPr="0063248C">
              <w:rPr>
                <w:rFonts w:cs="宋体"/>
                <w:sz w:val="18"/>
                <w:szCs w:val="18"/>
              </w:rPr>
              <w:t>4-6</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422EA273" w14:textId="77777777" w:rsidR="007B3DB2" w:rsidRPr="0063248C" w:rsidRDefault="00000000">
            <w:pPr>
              <w:spacing w:line="240" w:lineRule="exact"/>
              <w:jc w:val="right"/>
              <w:rPr>
                <w:rFonts w:cs="宋体"/>
                <w:sz w:val="18"/>
                <w:szCs w:val="18"/>
              </w:rPr>
            </w:pPr>
            <w:r w:rsidRPr="0063248C">
              <w:rPr>
                <w:rFonts w:cs="宋体"/>
                <w:sz w:val="18"/>
                <w:szCs w:val="18"/>
              </w:rPr>
              <w:t>21,545,002.05</w:t>
            </w:r>
          </w:p>
        </w:tc>
        <w:tc>
          <w:tcPr>
            <w:tcW w:w="3213" w:type="dxa"/>
            <w:tcBorders>
              <w:top w:val="single" w:sz="2" w:space="0" w:color="auto"/>
              <w:left w:val="single" w:sz="2" w:space="0" w:color="auto"/>
              <w:bottom w:val="single" w:sz="2" w:space="0" w:color="auto"/>
              <w:right w:val="single" w:sz="2" w:space="0" w:color="auto"/>
            </w:tcBorders>
            <w:vAlign w:val="center"/>
          </w:tcPr>
          <w:p w14:paraId="121AF41D" w14:textId="77777777" w:rsidR="007B3DB2" w:rsidRPr="0063248C" w:rsidRDefault="00000000">
            <w:pPr>
              <w:spacing w:line="240" w:lineRule="exact"/>
              <w:jc w:val="right"/>
              <w:rPr>
                <w:rFonts w:cs="宋体"/>
                <w:sz w:val="18"/>
                <w:szCs w:val="18"/>
              </w:rPr>
            </w:pPr>
            <w:r w:rsidRPr="0063248C">
              <w:rPr>
                <w:rFonts w:cs="宋体"/>
                <w:sz w:val="18"/>
                <w:szCs w:val="18"/>
              </w:rPr>
              <w:t>37,600,155.37</w:t>
            </w:r>
          </w:p>
        </w:tc>
      </w:tr>
      <w:tr w:rsidR="007B3DB2" w:rsidRPr="0063248C" w14:paraId="5B9F80A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545275F" w14:textId="77777777" w:rsidR="007B3DB2" w:rsidRPr="0063248C" w:rsidRDefault="00000000">
            <w:pPr>
              <w:spacing w:line="240" w:lineRule="exact"/>
              <w:rPr>
                <w:rFonts w:cs="宋体"/>
                <w:sz w:val="18"/>
                <w:szCs w:val="18"/>
              </w:rPr>
            </w:pPr>
            <w:r w:rsidRPr="0063248C">
              <w:rPr>
                <w:rFonts w:cs="宋体"/>
                <w:sz w:val="18"/>
                <w:szCs w:val="18"/>
              </w:rPr>
              <w:t>7-9</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690425DA" w14:textId="77777777" w:rsidR="007B3DB2" w:rsidRPr="0063248C" w:rsidRDefault="00000000">
            <w:pPr>
              <w:spacing w:line="240" w:lineRule="exact"/>
              <w:jc w:val="right"/>
              <w:rPr>
                <w:rFonts w:cs="宋体"/>
                <w:sz w:val="18"/>
                <w:szCs w:val="18"/>
              </w:rPr>
            </w:pPr>
            <w:r w:rsidRPr="0063248C">
              <w:rPr>
                <w:rFonts w:cs="宋体"/>
                <w:sz w:val="18"/>
                <w:szCs w:val="18"/>
              </w:rPr>
              <w:t>26,368,822.12</w:t>
            </w:r>
          </w:p>
        </w:tc>
        <w:tc>
          <w:tcPr>
            <w:tcW w:w="3213" w:type="dxa"/>
            <w:tcBorders>
              <w:top w:val="single" w:sz="2" w:space="0" w:color="auto"/>
              <w:left w:val="single" w:sz="2" w:space="0" w:color="auto"/>
              <w:bottom w:val="single" w:sz="2" w:space="0" w:color="auto"/>
              <w:right w:val="single" w:sz="2" w:space="0" w:color="auto"/>
            </w:tcBorders>
            <w:vAlign w:val="center"/>
          </w:tcPr>
          <w:p w14:paraId="5F2CFAD4" w14:textId="77777777" w:rsidR="007B3DB2" w:rsidRPr="0063248C" w:rsidRDefault="00000000">
            <w:pPr>
              <w:spacing w:line="240" w:lineRule="exact"/>
              <w:jc w:val="right"/>
              <w:rPr>
                <w:rFonts w:cs="宋体"/>
                <w:sz w:val="18"/>
                <w:szCs w:val="18"/>
              </w:rPr>
            </w:pPr>
            <w:r w:rsidRPr="0063248C">
              <w:rPr>
                <w:rFonts w:cs="宋体"/>
                <w:sz w:val="18"/>
                <w:szCs w:val="18"/>
              </w:rPr>
              <w:t>5,104,597.71</w:t>
            </w:r>
          </w:p>
        </w:tc>
      </w:tr>
      <w:tr w:rsidR="007B3DB2" w:rsidRPr="0063248C" w14:paraId="1B59115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117D7F2" w14:textId="77777777" w:rsidR="007B3DB2" w:rsidRPr="0063248C" w:rsidRDefault="00000000">
            <w:pPr>
              <w:spacing w:line="240" w:lineRule="exact"/>
              <w:rPr>
                <w:rFonts w:cs="宋体"/>
                <w:sz w:val="18"/>
                <w:szCs w:val="18"/>
              </w:rPr>
            </w:pPr>
            <w:r w:rsidRPr="0063248C">
              <w:rPr>
                <w:rFonts w:cs="宋体"/>
                <w:sz w:val="18"/>
                <w:szCs w:val="18"/>
              </w:rPr>
              <w:t>10-12</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5AC41EC0" w14:textId="77777777" w:rsidR="007B3DB2" w:rsidRPr="0063248C" w:rsidRDefault="00000000">
            <w:pPr>
              <w:spacing w:line="240" w:lineRule="exact"/>
              <w:jc w:val="right"/>
              <w:rPr>
                <w:rFonts w:cs="宋体"/>
                <w:sz w:val="18"/>
                <w:szCs w:val="18"/>
              </w:rPr>
            </w:pPr>
            <w:r w:rsidRPr="0063248C">
              <w:rPr>
                <w:rFonts w:cs="宋体"/>
                <w:sz w:val="18"/>
                <w:szCs w:val="18"/>
              </w:rPr>
              <w:t>3,747,441.71</w:t>
            </w:r>
          </w:p>
        </w:tc>
        <w:tc>
          <w:tcPr>
            <w:tcW w:w="3213" w:type="dxa"/>
            <w:tcBorders>
              <w:top w:val="single" w:sz="2" w:space="0" w:color="auto"/>
              <w:left w:val="single" w:sz="2" w:space="0" w:color="auto"/>
              <w:bottom w:val="single" w:sz="2" w:space="0" w:color="auto"/>
              <w:right w:val="single" w:sz="2" w:space="0" w:color="auto"/>
            </w:tcBorders>
            <w:vAlign w:val="center"/>
          </w:tcPr>
          <w:p w14:paraId="30DCA2AA" w14:textId="77777777" w:rsidR="007B3DB2" w:rsidRPr="0063248C" w:rsidRDefault="00000000">
            <w:pPr>
              <w:spacing w:line="240" w:lineRule="exact"/>
              <w:jc w:val="right"/>
              <w:rPr>
                <w:rFonts w:cs="宋体"/>
                <w:sz w:val="18"/>
                <w:szCs w:val="18"/>
              </w:rPr>
            </w:pPr>
            <w:r w:rsidRPr="0063248C">
              <w:rPr>
                <w:rFonts w:cs="宋体"/>
                <w:sz w:val="18"/>
                <w:szCs w:val="18"/>
              </w:rPr>
              <w:t>2,365,690.22</w:t>
            </w:r>
          </w:p>
        </w:tc>
      </w:tr>
      <w:tr w:rsidR="007B3DB2" w:rsidRPr="0063248C" w14:paraId="6A3DED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FB6903"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至</w:t>
            </w:r>
            <w:r w:rsidRPr="0063248C">
              <w:rPr>
                <w:rFonts w:cs="宋体"/>
                <w:sz w:val="18"/>
                <w:szCs w:val="18"/>
              </w:rPr>
              <w:t>2</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1F85E39" w14:textId="77777777" w:rsidR="007B3DB2" w:rsidRPr="0063248C" w:rsidRDefault="00000000">
            <w:pPr>
              <w:spacing w:line="240" w:lineRule="exact"/>
              <w:jc w:val="right"/>
              <w:rPr>
                <w:rFonts w:cs="宋体"/>
                <w:sz w:val="18"/>
                <w:szCs w:val="18"/>
              </w:rPr>
            </w:pPr>
            <w:r w:rsidRPr="0063248C">
              <w:rPr>
                <w:rFonts w:cs="宋体"/>
                <w:sz w:val="18"/>
                <w:szCs w:val="18"/>
              </w:rPr>
              <w:t>55,110,612.56</w:t>
            </w:r>
          </w:p>
        </w:tc>
        <w:tc>
          <w:tcPr>
            <w:tcW w:w="3213" w:type="dxa"/>
            <w:tcBorders>
              <w:top w:val="single" w:sz="2" w:space="0" w:color="auto"/>
              <w:left w:val="single" w:sz="2" w:space="0" w:color="auto"/>
              <w:bottom w:val="single" w:sz="2" w:space="0" w:color="auto"/>
              <w:right w:val="single" w:sz="2" w:space="0" w:color="auto"/>
            </w:tcBorders>
            <w:vAlign w:val="center"/>
          </w:tcPr>
          <w:p w14:paraId="70438B25" w14:textId="77777777" w:rsidR="007B3DB2" w:rsidRPr="0063248C" w:rsidRDefault="00000000">
            <w:pPr>
              <w:spacing w:line="240" w:lineRule="exact"/>
              <w:jc w:val="right"/>
              <w:rPr>
                <w:rFonts w:cs="宋体"/>
                <w:sz w:val="18"/>
                <w:szCs w:val="18"/>
              </w:rPr>
            </w:pPr>
            <w:r w:rsidRPr="0063248C">
              <w:rPr>
                <w:rFonts w:cs="宋体"/>
                <w:sz w:val="18"/>
                <w:szCs w:val="18"/>
              </w:rPr>
              <w:t>56,683,372.53</w:t>
            </w:r>
          </w:p>
        </w:tc>
      </w:tr>
      <w:tr w:rsidR="007B3DB2" w:rsidRPr="0063248C" w14:paraId="6694C0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CD0012"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至</w:t>
            </w:r>
            <w:r w:rsidRPr="0063248C">
              <w:rPr>
                <w:rFonts w:cs="宋体"/>
                <w:sz w:val="18"/>
                <w:szCs w:val="18"/>
              </w:rPr>
              <w:t>3</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278891B3" w14:textId="77777777" w:rsidR="007B3DB2" w:rsidRPr="0063248C" w:rsidRDefault="00000000">
            <w:pPr>
              <w:spacing w:line="240" w:lineRule="exact"/>
              <w:jc w:val="right"/>
              <w:rPr>
                <w:rFonts w:cs="宋体"/>
                <w:sz w:val="18"/>
                <w:szCs w:val="18"/>
              </w:rPr>
            </w:pPr>
            <w:r w:rsidRPr="0063248C">
              <w:rPr>
                <w:rFonts w:cs="宋体"/>
                <w:sz w:val="18"/>
                <w:szCs w:val="18"/>
              </w:rPr>
              <w:t>18,641,121.29</w:t>
            </w:r>
          </w:p>
        </w:tc>
        <w:tc>
          <w:tcPr>
            <w:tcW w:w="3213" w:type="dxa"/>
            <w:tcBorders>
              <w:top w:val="single" w:sz="2" w:space="0" w:color="auto"/>
              <w:left w:val="single" w:sz="2" w:space="0" w:color="auto"/>
              <w:bottom w:val="single" w:sz="2" w:space="0" w:color="auto"/>
              <w:right w:val="single" w:sz="2" w:space="0" w:color="auto"/>
            </w:tcBorders>
            <w:vAlign w:val="center"/>
          </w:tcPr>
          <w:p w14:paraId="3D4A4DBA" w14:textId="77777777" w:rsidR="007B3DB2" w:rsidRPr="0063248C" w:rsidRDefault="00000000">
            <w:pPr>
              <w:spacing w:line="240" w:lineRule="exact"/>
              <w:jc w:val="right"/>
              <w:rPr>
                <w:rFonts w:cs="宋体"/>
                <w:sz w:val="18"/>
                <w:szCs w:val="18"/>
              </w:rPr>
            </w:pPr>
            <w:r w:rsidRPr="0063248C">
              <w:rPr>
                <w:rFonts w:cs="宋体"/>
                <w:sz w:val="18"/>
                <w:szCs w:val="18"/>
              </w:rPr>
              <w:t>15,408,067.41</w:t>
            </w:r>
          </w:p>
        </w:tc>
      </w:tr>
      <w:tr w:rsidR="007B3DB2" w:rsidRPr="0063248C" w14:paraId="576398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A0FFE3"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0285AC18" w14:textId="77777777" w:rsidR="007B3DB2" w:rsidRPr="0063248C" w:rsidRDefault="00000000">
            <w:pPr>
              <w:spacing w:line="240" w:lineRule="exact"/>
              <w:jc w:val="right"/>
              <w:rPr>
                <w:rFonts w:cs="宋体"/>
                <w:sz w:val="18"/>
                <w:szCs w:val="18"/>
              </w:rPr>
            </w:pPr>
            <w:r w:rsidRPr="0063248C">
              <w:rPr>
                <w:rFonts w:cs="宋体"/>
                <w:sz w:val="18"/>
                <w:szCs w:val="18"/>
              </w:rPr>
              <w:t>1,404,318.63</w:t>
            </w:r>
          </w:p>
        </w:tc>
        <w:tc>
          <w:tcPr>
            <w:tcW w:w="3213" w:type="dxa"/>
            <w:tcBorders>
              <w:top w:val="single" w:sz="2" w:space="0" w:color="auto"/>
              <w:left w:val="single" w:sz="2" w:space="0" w:color="auto"/>
              <w:bottom w:val="single" w:sz="2" w:space="0" w:color="auto"/>
              <w:right w:val="single" w:sz="2" w:space="0" w:color="auto"/>
            </w:tcBorders>
            <w:vAlign w:val="center"/>
          </w:tcPr>
          <w:p w14:paraId="5D27B550" w14:textId="77777777" w:rsidR="007B3DB2" w:rsidRPr="0063248C" w:rsidRDefault="00000000">
            <w:pPr>
              <w:spacing w:line="240" w:lineRule="exact"/>
              <w:jc w:val="right"/>
              <w:rPr>
                <w:rFonts w:cs="宋体"/>
                <w:sz w:val="18"/>
                <w:szCs w:val="18"/>
              </w:rPr>
            </w:pPr>
            <w:r w:rsidRPr="0063248C">
              <w:rPr>
                <w:rFonts w:cs="宋体"/>
                <w:sz w:val="18"/>
                <w:szCs w:val="18"/>
              </w:rPr>
              <w:t>963,570.66</w:t>
            </w:r>
          </w:p>
        </w:tc>
      </w:tr>
      <w:tr w:rsidR="007B3DB2" w:rsidRPr="0063248C" w14:paraId="460B55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DB80B1"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3</w:t>
            </w:r>
            <w:r w:rsidRPr="0063248C">
              <w:rPr>
                <w:rFonts w:cs="宋体"/>
                <w:sz w:val="18"/>
                <w:szCs w:val="18"/>
              </w:rPr>
              <w:t>至</w:t>
            </w:r>
            <w:r w:rsidRPr="0063248C">
              <w:rPr>
                <w:rFonts w:cs="宋体"/>
                <w:sz w:val="18"/>
                <w:szCs w:val="18"/>
              </w:rPr>
              <w:t>4</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59E4B9C6" w14:textId="77777777" w:rsidR="007B3DB2" w:rsidRPr="0063248C" w:rsidRDefault="00000000">
            <w:pPr>
              <w:spacing w:line="240" w:lineRule="exact"/>
              <w:jc w:val="right"/>
              <w:rPr>
                <w:rFonts w:cs="宋体"/>
                <w:sz w:val="18"/>
                <w:szCs w:val="18"/>
              </w:rPr>
            </w:pPr>
            <w:r w:rsidRPr="0063248C">
              <w:rPr>
                <w:rFonts w:cs="宋体"/>
                <w:sz w:val="18"/>
                <w:szCs w:val="18"/>
              </w:rPr>
              <w:t>1,404,318.63</w:t>
            </w:r>
          </w:p>
        </w:tc>
        <w:tc>
          <w:tcPr>
            <w:tcW w:w="3213" w:type="dxa"/>
            <w:tcBorders>
              <w:top w:val="single" w:sz="2" w:space="0" w:color="auto"/>
              <w:left w:val="single" w:sz="2" w:space="0" w:color="auto"/>
              <w:bottom w:val="single" w:sz="2" w:space="0" w:color="auto"/>
              <w:right w:val="single" w:sz="2" w:space="0" w:color="auto"/>
            </w:tcBorders>
            <w:vAlign w:val="center"/>
          </w:tcPr>
          <w:p w14:paraId="36B7D8F7" w14:textId="77777777" w:rsidR="007B3DB2" w:rsidRPr="0063248C" w:rsidRDefault="00000000">
            <w:pPr>
              <w:spacing w:line="240" w:lineRule="exact"/>
              <w:jc w:val="right"/>
              <w:rPr>
                <w:rFonts w:cs="宋体"/>
                <w:sz w:val="18"/>
                <w:szCs w:val="18"/>
              </w:rPr>
            </w:pPr>
            <w:r w:rsidRPr="0063248C">
              <w:rPr>
                <w:rFonts w:cs="宋体"/>
                <w:sz w:val="18"/>
                <w:szCs w:val="18"/>
              </w:rPr>
              <w:t>963,570.66</w:t>
            </w:r>
          </w:p>
        </w:tc>
      </w:tr>
      <w:tr w:rsidR="007B3DB2" w:rsidRPr="0063248C" w14:paraId="627DDC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CD547D"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F2F0B29" w14:textId="77777777" w:rsidR="007B3DB2" w:rsidRPr="0063248C" w:rsidRDefault="00000000">
            <w:pPr>
              <w:spacing w:line="240" w:lineRule="exact"/>
              <w:jc w:val="right"/>
              <w:rPr>
                <w:rFonts w:cs="宋体"/>
                <w:sz w:val="18"/>
                <w:szCs w:val="18"/>
              </w:rPr>
            </w:pPr>
            <w:r w:rsidRPr="0063248C">
              <w:rPr>
                <w:rFonts w:cs="宋体"/>
                <w:sz w:val="18"/>
                <w:szCs w:val="18"/>
              </w:rPr>
              <w:t>390,269,687.09</w:t>
            </w:r>
          </w:p>
        </w:tc>
        <w:tc>
          <w:tcPr>
            <w:tcW w:w="3213" w:type="dxa"/>
            <w:tcBorders>
              <w:top w:val="single" w:sz="2" w:space="0" w:color="auto"/>
              <w:left w:val="single" w:sz="2" w:space="0" w:color="auto"/>
              <w:bottom w:val="single" w:sz="2" w:space="0" w:color="auto"/>
              <w:right w:val="single" w:sz="2" w:space="0" w:color="auto"/>
            </w:tcBorders>
            <w:vAlign w:val="center"/>
          </w:tcPr>
          <w:p w14:paraId="5ACC163C" w14:textId="77777777" w:rsidR="007B3DB2" w:rsidRPr="0063248C" w:rsidRDefault="00000000">
            <w:pPr>
              <w:spacing w:line="240" w:lineRule="exact"/>
              <w:jc w:val="right"/>
              <w:rPr>
                <w:rFonts w:cs="宋体"/>
                <w:sz w:val="18"/>
                <w:szCs w:val="18"/>
              </w:rPr>
            </w:pPr>
            <w:r w:rsidRPr="0063248C">
              <w:rPr>
                <w:rFonts w:cs="宋体"/>
                <w:sz w:val="18"/>
                <w:szCs w:val="18"/>
              </w:rPr>
              <w:t>496,107,762.48</w:t>
            </w:r>
          </w:p>
        </w:tc>
      </w:tr>
    </w:tbl>
    <w:p w14:paraId="1187D3BC" w14:textId="77777777" w:rsidR="007B3DB2" w:rsidRPr="0063248C" w:rsidRDefault="00000000">
      <w:pPr>
        <w:keepNext/>
        <w:keepLines/>
        <w:spacing w:before="300" w:after="300" w:line="280" w:lineRule="exact"/>
        <w:outlineLvl w:val="3"/>
        <w:rPr>
          <w:rFonts w:cs="宋体"/>
          <w:b/>
          <w:bCs/>
          <w:szCs w:val="21"/>
        </w:rPr>
      </w:pPr>
      <w:bookmarkStart w:id="191" w:name="_Toc989080"/>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按坏账计提方法分类披露</w:t>
      </w:r>
      <w:bookmarkEnd w:id="191"/>
    </w:p>
    <w:p w14:paraId="22D28294"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968"/>
        <w:gridCol w:w="785"/>
        <w:gridCol w:w="876"/>
        <w:gridCol w:w="877"/>
        <w:gridCol w:w="876"/>
        <w:gridCol w:w="876"/>
        <w:gridCol w:w="877"/>
        <w:gridCol w:w="876"/>
        <w:gridCol w:w="877"/>
        <w:gridCol w:w="876"/>
      </w:tblGrid>
      <w:tr w:rsidR="007B3DB2" w:rsidRPr="0063248C" w14:paraId="1AFEEF26" w14:textId="77777777" w:rsidTr="00B425DC">
        <w:trPr>
          <w:trHeight w:val="240"/>
        </w:trPr>
        <w:tc>
          <w:tcPr>
            <w:tcW w:w="8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E832D9" w14:textId="77777777" w:rsidR="007B3DB2" w:rsidRPr="0063248C" w:rsidRDefault="00000000">
            <w:pPr>
              <w:spacing w:before="40" w:after="40" w:line="240" w:lineRule="exact"/>
              <w:jc w:val="center"/>
              <w:rPr>
                <w:rFonts w:cs="宋体"/>
                <w:sz w:val="18"/>
                <w:szCs w:val="18"/>
              </w:rPr>
            </w:pPr>
            <w:r w:rsidRPr="0063248C">
              <w:rPr>
                <w:rFonts w:cs="宋体"/>
                <w:sz w:val="18"/>
                <w:szCs w:val="18"/>
              </w:rPr>
              <w:t>类别</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6F36275"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2215021E"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40E20D36" w14:textId="77777777" w:rsidTr="00B425DC">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1294BC3" w14:textId="77777777" w:rsidR="007B3DB2" w:rsidRPr="0063248C" w:rsidRDefault="007B3DB2"/>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84C5234"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2FA70FA"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CCD09B9"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0FAF56C"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6A5E36A"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120F4F"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r>
      <w:tr w:rsidR="007B3DB2" w:rsidRPr="0063248C" w14:paraId="673A620C" w14:textId="77777777" w:rsidTr="00B425DC">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219D58" w14:textId="77777777" w:rsidR="007B3DB2" w:rsidRPr="0063248C" w:rsidRDefault="007B3DB2"/>
        </w:tc>
        <w:tc>
          <w:tcPr>
            <w:tcW w:w="968" w:type="dxa"/>
            <w:tcBorders>
              <w:top w:val="single" w:sz="2" w:space="0" w:color="auto"/>
              <w:left w:val="single" w:sz="2" w:space="0" w:color="auto"/>
              <w:bottom w:val="single" w:sz="2" w:space="0" w:color="auto"/>
              <w:right w:val="single" w:sz="2" w:space="0" w:color="auto"/>
            </w:tcBorders>
            <w:shd w:val="clear" w:color="auto" w:fill="D3D3D3"/>
            <w:vAlign w:val="center"/>
          </w:tcPr>
          <w:p w14:paraId="139E12D0"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785" w:type="dxa"/>
            <w:tcBorders>
              <w:top w:val="single" w:sz="2" w:space="0" w:color="auto"/>
              <w:left w:val="single" w:sz="2" w:space="0" w:color="auto"/>
              <w:bottom w:val="single" w:sz="2" w:space="0" w:color="auto"/>
              <w:right w:val="single" w:sz="2" w:space="0" w:color="auto"/>
            </w:tcBorders>
            <w:shd w:val="clear" w:color="auto" w:fill="D3D3D3"/>
            <w:vAlign w:val="center"/>
          </w:tcPr>
          <w:p w14:paraId="324460DF" w14:textId="77777777" w:rsidR="007B3DB2" w:rsidRPr="0063248C" w:rsidRDefault="00000000">
            <w:pPr>
              <w:spacing w:before="40" w:after="40" w:line="240" w:lineRule="exact"/>
              <w:jc w:val="center"/>
              <w:rPr>
                <w:rFonts w:cs="宋体"/>
                <w:sz w:val="18"/>
                <w:szCs w:val="18"/>
              </w:rPr>
            </w:pPr>
            <w:r w:rsidRPr="0063248C">
              <w:rPr>
                <w:rFonts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4452468"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B9251A4"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752F2B1"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43562B7"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3F18EE55" w14:textId="77777777" w:rsidR="007B3DB2" w:rsidRPr="0063248C" w:rsidRDefault="00000000">
            <w:pPr>
              <w:spacing w:before="40" w:after="40" w:line="240" w:lineRule="exact"/>
              <w:jc w:val="center"/>
              <w:rPr>
                <w:rFonts w:cs="宋体"/>
                <w:sz w:val="18"/>
                <w:szCs w:val="18"/>
              </w:rPr>
            </w:pPr>
            <w:r w:rsidRPr="0063248C">
              <w:rPr>
                <w:rFonts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A7C036D"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29C508D"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CB16E8" w14:textId="77777777" w:rsidR="007B3DB2" w:rsidRPr="0063248C" w:rsidRDefault="007B3DB2"/>
        </w:tc>
      </w:tr>
      <w:tr w:rsidR="007B3DB2" w:rsidRPr="0063248C" w14:paraId="216D9D97" w14:textId="77777777" w:rsidTr="00B425DC">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45D0672A" w14:textId="77777777" w:rsidR="007B3DB2" w:rsidRPr="0063248C" w:rsidRDefault="00000000">
            <w:pPr>
              <w:spacing w:before="40" w:after="40" w:line="240" w:lineRule="exact"/>
              <w:rPr>
                <w:rFonts w:cs="宋体"/>
                <w:sz w:val="18"/>
                <w:szCs w:val="18"/>
              </w:rPr>
            </w:pPr>
            <w:r w:rsidRPr="0063248C">
              <w:rPr>
                <w:rFonts w:cs="宋体"/>
                <w:sz w:val="18"/>
                <w:szCs w:val="18"/>
              </w:rPr>
              <w:t>按单项计提坏账准备的应收账款</w:t>
            </w:r>
          </w:p>
        </w:tc>
        <w:tc>
          <w:tcPr>
            <w:tcW w:w="968" w:type="dxa"/>
            <w:tcBorders>
              <w:top w:val="single" w:sz="2" w:space="0" w:color="auto"/>
              <w:left w:val="single" w:sz="2" w:space="0" w:color="auto"/>
              <w:bottom w:val="single" w:sz="2" w:space="0" w:color="auto"/>
              <w:right w:val="single" w:sz="2" w:space="0" w:color="auto"/>
            </w:tcBorders>
            <w:vAlign w:val="center"/>
          </w:tcPr>
          <w:p w14:paraId="671289F3" w14:textId="77777777" w:rsidR="007B3DB2" w:rsidRPr="0063248C" w:rsidRDefault="00000000">
            <w:pPr>
              <w:spacing w:line="240" w:lineRule="exact"/>
              <w:jc w:val="right"/>
              <w:rPr>
                <w:rFonts w:cs="宋体"/>
                <w:sz w:val="18"/>
                <w:szCs w:val="18"/>
              </w:rPr>
            </w:pPr>
            <w:r w:rsidRPr="0063248C">
              <w:rPr>
                <w:rFonts w:cs="宋体"/>
                <w:sz w:val="18"/>
                <w:szCs w:val="18"/>
              </w:rPr>
              <w:t>38,474,538.94</w:t>
            </w:r>
          </w:p>
        </w:tc>
        <w:tc>
          <w:tcPr>
            <w:tcW w:w="785" w:type="dxa"/>
            <w:tcBorders>
              <w:top w:val="single" w:sz="2" w:space="0" w:color="auto"/>
              <w:left w:val="single" w:sz="2" w:space="0" w:color="auto"/>
              <w:bottom w:val="single" w:sz="2" w:space="0" w:color="auto"/>
              <w:right w:val="single" w:sz="2" w:space="0" w:color="auto"/>
            </w:tcBorders>
            <w:vAlign w:val="center"/>
          </w:tcPr>
          <w:p w14:paraId="4D432B5C" w14:textId="77777777" w:rsidR="007B3DB2" w:rsidRPr="0063248C" w:rsidRDefault="00000000">
            <w:pPr>
              <w:spacing w:line="240" w:lineRule="exact"/>
              <w:jc w:val="right"/>
              <w:rPr>
                <w:rFonts w:cs="宋体"/>
                <w:sz w:val="18"/>
                <w:szCs w:val="18"/>
              </w:rPr>
            </w:pPr>
            <w:r w:rsidRPr="0063248C">
              <w:rPr>
                <w:rFonts w:cs="宋体"/>
                <w:sz w:val="18"/>
                <w:szCs w:val="18"/>
              </w:rPr>
              <w:t>9.86%</w:t>
            </w:r>
          </w:p>
        </w:tc>
        <w:tc>
          <w:tcPr>
            <w:tcW w:w="876" w:type="dxa"/>
            <w:tcBorders>
              <w:top w:val="single" w:sz="2" w:space="0" w:color="auto"/>
              <w:left w:val="single" w:sz="2" w:space="0" w:color="auto"/>
              <w:bottom w:val="single" w:sz="2" w:space="0" w:color="auto"/>
              <w:right w:val="single" w:sz="2" w:space="0" w:color="auto"/>
            </w:tcBorders>
            <w:vAlign w:val="center"/>
          </w:tcPr>
          <w:p w14:paraId="24E33A78" w14:textId="77777777" w:rsidR="007B3DB2" w:rsidRPr="0063248C" w:rsidRDefault="00000000">
            <w:pPr>
              <w:spacing w:line="240" w:lineRule="exact"/>
              <w:jc w:val="right"/>
              <w:rPr>
                <w:rFonts w:cs="宋体"/>
                <w:sz w:val="18"/>
                <w:szCs w:val="18"/>
              </w:rPr>
            </w:pPr>
            <w:r w:rsidRPr="0063248C">
              <w:rPr>
                <w:rFonts w:cs="宋体"/>
                <w:sz w:val="18"/>
                <w:szCs w:val="18"/>
              </w:rPr>
              <w:t>31,374,538.94</w:t>
            </w:r>
          </w:p>
        </w:tc>
        <w:tc>
          <w:tcPr>
            <w:tcW w:w="877" w:type="dxa"/>
            <w:tcBorders>
              <w:top w:val="single" w:sz="2" w:space="0" w:color="auto"/>
              <w:left w:val="single" w:sz="2" w:space="0" w:color="auto"/>
              <w:bottom w:val="single" w:sz="2" w:space="0" w:color="auto"/>
              <w:right w:val="single" w:sz="2" w:space="0" w:color="auto"/>
            </w:tcBorders>
            <w:vAlign w:val="center"/>
          </w:tcPr>
          <w:p w14:paraId="3C46E376" w14:textId="77777777" w:rsidR="007B3DB2" w:rsidRPr="0063248C" w:rsidRDefault="00000000">
            <w:pPr>
              <w:spacing w:line="240" w:lineRule="exact"/>
              <w:jc w:val="right"/>
              <w:rPr>
                <w:rFonts w:cs="宋体"/>
                <w:sz w:val="18"/>
                <w:szCs w:val="18"/>
              </w:rPr>
            </w:pPr>
            <w:r w:rsidRPr="0063248C">
              <w:rPr>
                <w:rFonts w:cs="宋体"/>
                <w:sz w:val="18"/>
                <w:szCs w:val="18"/>
              </w:rPr>
              <w:t>81.55%</w:t>
            </w:r>
          </w:p>
        </w:tc>
        <w:tc>
          <w:tcPr>
            <w:tcW w:w="876" w:type="dxa"/>
            <w:tcBorders>
              <w:top w:val="single" w:sz="2" w:space="0" w:color="auto"/>
              <w:left w:val="single" w:sz="2" w:space="0" w:color="auto"/>
              <w:bottom w:val="single" w:sz="2" w:space="0" w:color="auto"/>
              <w:right w:val="single" w:sz="2" w:space="0" w:color="auto"/>
            </w:tcBorders>
            <w:vAlign w:val="center"/>
          </w:tcPr>
          <w:p w14:paraId="069105DB" w14:textId="77777777" w:rsidR="007B3DB2" w:rsidRPr="0063248C" w:rsidRDefault="00000000">
            <w:pPr>
              <w:spacing w:line="240" w:lineRule="exact"/>
              <w:jc w:val="right"/>
              <w:rPr>
                <w:rFonts w:cs="宋体"/>
                <w:sz w:val="18"/>
                <w:szCs w:val="18"/>
              </w:rPr>
            </w:pPr>
            <w:r w:rsidRPr="0063248C">
              <w:rPr>
                <w:rFonts w:cs="宋体"/>
                <w:sz w:val="18"/>
                <w:szCs w:val="18"/>
              </w:rPr>
              <w:t>7,100,000.00</w:t>
            </w:r>
          </w:p>
        </w:tc>
        <w:tc>
          <w:tcPr>
            <w:tcW w:w="876" w:type="dxa"/>
            <w:tcBorders>
              <w:top w:val="single" w:sz="2" w:space="0" w:color="auto"/>
              <w:left w:val="single" w:sz="2" w:space="0" w:color="auto"/>
              <w:bottom w:val="single" w:sz="2" w:space="0" w:color="auto"/>
              <w:right w:val="single" w:sz="2" w:space="0" w:color="auto"/>
            </w:tcBorders>
            <w:vAlign w:val="center"/>
          </w:tcPr>
          <w:p w14:paraId="049A49D3" w14:textId="77777777" w:rsidR="007B3DB2" w:rsidRPr="0063248C" w:rsidRDefault="00000000">
            <w:pPr>
              <w:spacing w:line="240" w:lineRule="exact"/>
              <w:jc w:val="right"/>
              <w:rPr>
                <w:rFonts w:cs="宋体"/>
                <w:sz w:val="18"/>
                <w:szCs w:val="18"/>
              </w:rPr>
            </w:pPr>
            <w:r w:rsidRPr="0063248C">
              <w:rPr>
                <w:rFonts w:cs="宋体"/>
                <w:sz w:val="18"/>
                <w:szCs w:val="18"/>
              </w:rPr>
              <w:t>39,843,943.39</w:t>
            </w:r>
          </w:p>
        </w:tc>
        <w:tc>
          <w:tcPr>
            <w:tcW w:w="877" w:type="dxa"/>
            <w:tcBorders>
              <w:top w:val="single" w:sz="2" w:space="0" w:color="auto"/>
              <w:left w:val="single" w:sz="2" w:space="0" w:color="auto"/>
              <w:bottom w:val="single" w:sz="2" w:space="0" w:color="auto"/>
              <w:right w:val="single" w:sz="2" w:space="0" w:color="auto"/>
            </w:tcBorders>
            <w:vAlign w:val="center"/>
          </w:tcPr>
          <w:p w14:paraId="2E0EDE06" w14:textId="77777777" w:rsidR="007B3DB2" w:rsidRPr="0063248C" w:rsidRDefault="00000000">
            <w:pPr>
              <w:spacing w:line="240" w:lineRule="exact"/>
              <w:jc w:val="right"/>
              <w:rPr>
                <w:rFonts w:cs="宋体"/>
                <w:sz w:val="18"/>
                <w:szCs w:val="18"/>
              </w:rPr>
            </w:pPr>
            <w:r w:rsidRPr="0063248C">
              <w:rPr>
                <w:rFonts w:cs="宋体"/>
                <w:sz w:val="18"/>
                <w:szCs w:val="18"/>
              </w:rPr>
              <w:t>8.03%</w:t>
            </w:r>
          </w:p>
        </w:tc>
        <w:tc>
          <w:tcPr>
            <w:tcW w:w="876" w:type="dxa"/>
            <w:tcBorders>
              <w:top w:val="single" w:sz="2" w:space="0" w:color="auto"/>
              <w:left w:val="single" w:sz="2" w:space="0" w:color="auto"/>
              <w:bottom w:val="single" w:sz="2" w:space="0" w:color="auto"/>
              <w:right w:val="single" w:sz="2" w:space="0" w:color="auto"/>
            </w:tcBorders>
            <w:vAlign w:val="center"/>
          </w:tcPr>
          <w:p w14:paraId="0B6852C4" w14:textId="77777777" w:rsidR="007B3DB2" w:rsidRPr="0063248C" w:rsidRDefault="00000000">
            <w:pPr>
              <w:spacing w:line="240" w:lineRule="exact"/>
              <w:jc w:val="right"/>
              <w:rPr>
                <w:rFonts w:cs="宋体"/>
                <w:sz w:val="18"/>
                <w:szCs w:val="18"/>
              </w:rPr>
            </w:pPr>
            <w:r w:rsidRPr="0063248C">
              <w:rPr>
                <w:rFonts w:cs="宋体"/>
                <w:sz w:val="18"/>
                <w:szCs w:val="18"/>
              </w:rPr>
              <w:t>32,323,907.24</w:t>
            </w:r>
          </w:p>
        </w:tc>
        <w:tc>
          <w:tcPr>
            <w:tcW w:w="877" w:type="dxa"/>
            <w:tcBorders>
              <w:top w:val="single" w:sz="2" w:space="0" w:color="auto"/>
              <w:left w:val="single" w:sz="2" w:space="0" w:color="auto"/>
              <w:bottom w:val="single" w:sz="2" w:space="0" w:color="auto"/>
              <w:right w:val="single" w:sz="2" w:space="0" w:color="auto"/>
            </w:tcBorders>
            <w:vAlign w:val="center"/>
          </w:tcPr>
          <w:p w14:paraId="3C3BE0BA" w14:textId="77777777" w:rsidR="007B3DB2" w:rsidRPr="0063248C" w:rsidRDefault="00000000">
            <w:pPr>
              <w:spacing w:line="240" w:lineRule="exact"/>
              <w:jc w:val="right"/>
              <w:rPr>
                <w:rFonts w:cs="宋体"/>
                <w:sz w:val="18"/>
                <w:szCs w:val="18"/>
              </w:rPr>
            </w:pPr>
            <w:r w:rsidRPr="0063248C">
              <w:rPr>
                <w:rFonts w:cs="宋体"/>
                <w:sz w:val="18"/>
                <w:szCs w:val="18"/>
              </w:rPr>
              <w:t>81.13%</w:t>
            </w:r>
          </w:p>
        </w:tc>
        <w:tc>
          <w:tcPr>
            <w:tcW w:w="876" w:type="dxa"/>
            <w:tcBorders>
              <w:top w:val="single" w:sz="2" w:space="0" w:color="auto"/>
              <w:left w:val="single" w:sz="2" w:space="0" w:color="auto"/>
              <w:bottom w:val="single" w:sz="2" w:space="0" w:color="auto"/>
              <w:right w:val="single" w:sz="2" w:space="0" w:color="auto"/>
            </w:tcBorders>
            <w:vAlign w:val="center"/>
          </w:tcPr>
          <w:p w14:paraId="602909E6" w14:textId="77777777" w:rsidR="007B3DB2" w:rsidRPr="0063248C" w:rsidRDefault="00000000">
            <w:pPr>
              <w:spacing w:line="240" w:lineRule="exact"/>
              <w:jc w:val="right"/>
              <w:rPr>
                <w:rFonts w:cs="宋体"/>
                <w:sz w:val="18"/>
                <w:szCs w:val="18"/>
              </w:rPr>
            </w:pPr>
            <w:r w:rsidRPr="0063248C">
              <w:rPr>
                <w:rFonts w:cs="宋体"/>
                <w:sz w:val="18"/>
                <w:szCs w:val="18"/>
              </w:rPr>
              <w:t>7,520,036.15</w:t>
            </w:r>
          </w:p>
        </w:tc>
      </w:tr>
      <w:tr w:rsidR="007B3DB2" w:rsidRPr="0063248C" w14:paraId="6EADD186" w14:textId="77777777" w:rsidTr="00B425DC">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054365F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其中：</w:t>
            </w:r>
          </w:p>
        </w:tc>
        <w:tc>
          <w:tcPr>
            <w:tcW w:w="968" w:type="dxa"/>
            <w:tcBorders>
              <w:top w:val="single" w:sz="2" w:space="0" w:color="auto"/>
              <w:left w:val="single" w:sz="2" w:space="0" w:color="auto"/>
              <w:bottom w:val="single" w:sz="2" w:space="0" w:color="auto"/>
              <w:right w:val="single" w:sz="2" w:space="0" w:color="auto"/>
            </w:tcBorders>
            <w:shd w:val="clear" w:color="auto" w:fill="D3D3D3"/>
            <w:vAlign w:val="center"/>
          </w:tcPr>
          <w:p w14:paraId="05AAE8AF" w14:textId="77777777" w:rsidR="007B3DB2" w:rsidRPr="0063248C" w:rsidRDefault="007B3DB2"/>
        </w:tc>
        <w:tc>
          <w:tcPr>
            <w:tcW w:w="785" w:type="dxa"/>
            <w:tcBorders>
              <w:top w:val="single" w:sz="2" w:space="0" w:color="auto"/>
              <w:left w:val="single" w:sz="2" w:space="0" w:color="auto"/>
              <w:bottom w:val="single" w:sz="2" w:space="0" w:color="auto"/>
              <w:right w:val="single" w:sz="2" w:space="0" w:color="auto"/>
            </w:tcBorders>
            <w:shd w:val="clear" w:color="auto" w:fill="D3D3D3"/>
            <w:vAlign w:val="center"/>
          </w:tcPr>
          <w:p w14:paraId="08AD270B"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5BF7D93" w14:textId="77777777" w:rsidR="007B3DB2" w:rsidRPr="0063248C" w:rsidRDefault="007B3DB2"/>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E417387"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FF9D716"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EBD470C" w14:textId="77777777" w:rsidR="007B3DB2" w:rsidRPr="0063248C" w:rsidRDefault="007B3DB2"/>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E5B9250"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A090A1D" w14:textId="77777777" w:rsidR="007B3DB2" w:rsidRPr="0063248C" w:rsidRDefault="007B3DB2"/>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57D5C889"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F7B0CFB" w14:textId="77777777" w:rsidR="007B3DB2" w:rsidRPr="0063248C" w:rsidRDefault="007B3DB2"/>
        </w:tc>
      </w:tr>
      <w:tr w:rsidR="007B3DB2" w:rsidRPr="0063248C" w14:paraId="3A11060B" w14:textId="77777777" w:rsidTr="00B425DC">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1D4BE171" w14:textId="77777777" w:rsidR="007B3DB2" w:rsidRPr="0063248C" w:rsidRDefault="00000000">
            <w:pPr>
              <w:spacing w:line="240" w:lineRule="exact"/>
              <w:rPr>
                <w:rFonts w:cs="宋体"/>
                <w:sz w:val="18"/>
                <w:szCs w:val="18"/>
              </w:rPr>
            </w:pPr>
            <w:r w:rsidRPr="0063248C">
              <w:rPr>
                <w:rFonts w:cs="宋体"/>
                <w:sz w:val="18"/>
                <w:szCs w:val="18"/>
              </w:rPr>
              <w:t>按单项计提坏账准备</w:t>
            </w:r>
          </w:p>
        </w:tc>
        <w:tc>
          <w:tcPr>
            <w:tcW w:w="968" w:type="dxa"/>
            <w:tcBorders>
              <w:top w:val="single" w:sz="2" w:space="0" w:color="auto"/>
              <w:left w:val="single" w:sz="2" w:space="0" w:color="auto"/>
              <w:bottom w:val="single" w:sz="2" w:space="0" w:color="auto"/>
              <w:right w:val="single" w:sz="2" w:space="0" w:color="auto"/>
            </w:tcBorders>
            <w:vAlign w:val="center"/>
          </w:tcPr>
          <w:p w14:paraId="031464ED" w14:textId="77777777" w:rsidR="007B3DB2" w:rsidRPr="0063248C" w:rsidRDefault="00000000">
            <w:pPr>
              <w:spacing w:line="240" w:lineRule="exact"/>
              <w:jc w:val="right"/>
              <w:rPr>
                <w:rFonts w:cs="宋体"/>
                <w:sz w:val="18"/>
                <w:szCs w:val="18"/>
              </w:rPr>
            </w:pPr>
            <w:r w:rsidRPr="0063248C">
              <w:rPr>
                <w:rFonts w:cs="宋体"/>
                <w:sz w:val="18"/>
                <w:szCs w:val="18"/>
              </w:rPr>
              <w:t>38,474,538.94</w:t>
            </w:r>
          </w:p>
        </w:tc>
        <w:tc>
          <w:tcPr>
            <w:tcW w:w="785" w:type="dxa"/>
            <w:tcBorders>
              <w:top w:val="single" w:sz="2" w:space="0" w:color="auto"/>
              <w:left w:val="single" w:sz="2" w:space="0" w:color="auto"/>
              <w:bottom w:val="single" w:sz="2" w:space="0" w:color="auto"/>
              <w:right w:val="single" w:sz="2" w:space="0" w:color="auto"/>
            </w:tcBorders>
            <w:vAlign w:val="center"/>
          </w:tcPr>
          <w:p w14:paraId="40708667" w14:textId="77777777" w:rsidR="007B3DB2" w:rsidRPr="0063248C" w:rsidRDefault="00000000">
            <w:pPr>
              <w:spacing w:line="240" w:lineRule="exact"/>
              <w:jc w:val="right"/>
              <w:rPr>
                <w:rFonts w:cs="宋体"/>
                <w:sz w:val="18"/>
                <w:szCs w:val="18"/>
              </w:rPr>
            </w:pPr>
            <w:r w:rsidRPr="0063248C">
              <w:rPr>
                <w:rFonts w:cs="宋体"/>
                <w:sz w:val="18"/>
                <w:szCs w:val="18"/>
              </w:rPr>
              <w:t>9.86%</w:t>
            </w:r>
          </w:p>
        </w:tc>
        <w:tc>
          <w:tcPr>
            <w:tcW w:w="876" w:type="dxa"/>
            <w:tcBorders>
              <w:top w:val="single" w:sz="2" w:space="0" w:color="auto"/>
              <w:left w:val="single" w:sz="2" w:space="0" w:color="auto"/>
              <w:bottom w:val="single" w:sz="2" w:space="0" w:color="auto"/>
              <w:right w:val="single" w:sz="2" w:space="0" w:color="auto"/>
            </w:tcBorders>
            <w:vAlign w:val="center"/>
          </w:tcPr>
          <w:p w14:paraId="37E10100" w14:textId="77777777" w:rsidR="007B3DB2" w:rsidRPr="0063248C" w:rsidRDefault="00000000">
            <w:pPr>
              <w:spacing w:line="240" w:lineRule="exact"/>
              <w:jc w:val="right"/>
              <w:rPr>
                <w:rFonts w:cs="宋体"/>
                <w:sz w:val="18"/>
                <w:szCs w:val="18"/>
              </w:rPr>
            </w:pPr>
            <w:r w:rsidRPr="0063248C">
              <w:rPr>
                <w:rFonts w:cs="宋体"/>
                <w:sz w:val="18"/>
                <w:szCs w:val="18"/>
              </w:rPr>
              <w:t>31,374,538.94</w:t>
            </w:r>
          </w:p>
        </w:tc>
        <w:tc>
          <w:tcPr>
            <w:tcW w:w="877" w:type="dxa"/>
            <w:tcBorders>
              <w:top w:val="single" w:sz="2" w:space="0" w:color="auto"/>
              <w:left w:val="single" w:sz="2" w:space="0" w:color="auto"/>
              <w:bottom w:val="single" w:sz="2" w:space="0" w:color="auto"/>
              <w:right w:val="single" w:sz="2" w:space="0" w:color="auto"/>
            </w:tcBorders>
            <w:vAlign w:val="center"/>
          </w:tcPr>
          <w:p w14:paraId="4DF036D7" w14:textId="77777777" w:rsidR="007B3DB2" w:rsidRPr="0063248C" w:rsidRDefault="00000000">
            <w:pPr>
              <w:spacing w:line="240" w:lineRule="exact"/>
              <w:jc w:val="right"/>
              <w:rPr>
                <w:rFonts w:cs="宋体"/>
                <w:sz w:val="18"/>
                <w:szCs w:val="18"/>
              </w:rPr>
            </w:pPr>
            <w:r w:rsidRPr="0063248C">
              <w:rPr>
                <w:rFonts w:cs="宋体"/>
                <w:sz w:val="18"/>
                <w:szCs w:val="18"/>
              </w:rPr>
              <w:t>81.55%</w:t>
            </w:r>
          </w:p>
        </w:tc>
        <w:tc>
          <w:tcPr>
            <w:tcW w:w="876" w:type="dxa"/>
            <w:tcBorders>
              <w:top w:val="single" w:sz="2" w:space="0" w:color="auto"/>
              <w:left w:val="single" w:sz="2" w:space="0" w:color="auto"/>
              <w:bottom w:val="single" w:sz="2" w:space="0" w:color="auto"/>
              <w:right w:val="single" w:sz="2" w:space="0" w:color="auto"/>
            </w:tcBorders>
            <w:vAlign w:val="center"/>
          </w:tcPr>
          <w:p w14:paraId="1374A7C8" w14:textId="77777777" w:rsidR="007B3DB2" w:rsidRPr="0063248C" w:rsidRDefault="00000000">
            <w:pPr>
              <w:spacing w:line="240" w:lineRule="exact"/>
              <w:jc w:val="right"/>
              <w:rPr>
                <w:rFonts w:cs="宋体"/>
                <w:sz w:val="18"/>
                <w:szCs w:val="18"/>
              </w:rPr>
            </w:pPr>
            <w:r w:rsidRPr="0063248C">
              <w:rPr>
                <w:rFonts w:cs="宋体"/>
                <w:sz w:val="18"/>
                <w:szCs w:val="18"/>
              </w:rPr>
              <w:t>7,100,000.00</w:t>
            </w:r>
          </w:p>
        </w:tc>
        <w:tc>
          <w:tcPr>
            <w:tcW w:w="876" w:type="dxa"/>
            <w:tcBorders>
              <w:top w:val="single" w:sz="2" w:space="0" w:color="auto"/>
              <w:left w:val="single" w:sz="2" w:space="0" w:color="auto"/>
              <w:bottom w:val="single" w:sz="2" w:space="0" w:color="auto"/>
              <w:right w:val="single" w:sz="2" w:space="0" w:color="auto"/>
            </w:tcBorders>
            <w:vAlign w:val="center"/>
          </w:tcPr>
          <w:p w14:paraId="7D5556AE" w14:textId="77777777" w:rsidR="007B3DB2" w:rsidRPr="0063248C" w:rsidRDefault="00000000">
            <w:pPr>
              <w:spacing w:line="240" w:lineRule="exact"/>
              <w:jc w:val="right"/>
              <w:rPr>
                <w:rFonts w:cs="宋体"/>
                <w:sz w:val="18"/>
                <w:szCs w:val="18"/>
              </w:rPr>
            </w:pPr>
            <w:r w:rsidRPr="0063248C">
              <w:rPr>
                <w:rFonts w:cs="宋体"/>
                <w:sz w:val="18"/>
                <w:szCs w:val="18"/>
              </w:rPr>
              <w:t>39,843,943.39</w:t>
            </w:r>
          </w:p>
        </w:tc>
        <w:tc>
          <w:tcPr>
            <w:tcW w:w="877" w:type="dxa"/>
            <w:tcBorders>
              <w:top w:val="single" w:sz="2" w:space="0" w:color="auto"/>
              <w:left w:val="single" w:sz="2" w:space="0" w:color="auto"/>
              <w:bottom w:val="single" w:sz="2" w:space="0" w:color="auto"/>
              <w:right w:val="single" w:sz="2" w:space="0" w:color="auto"/>
            </w:tcBorders>
            <w:vAlign w:val="center"/>
          </w:tcPr>
          <w:p w14:paraId="4DEB45CD" w14:textId="77777777" w:rsidR="007B3DB2" w:rsidRPr="0063248C" w:rsidRDefault="00000000">
            <w:pPr>
              <w:spacing w:line="240" w:lineRule="exact"/>
              <w:jc w:val="right"/>
              <w:rPr>
                <w:rFonts w:cs="宋体"/>
                <w:sz w:val="18"/>
                <w:szCs w:val="18"/>
              </w:rPr>
            </w:pPr>
            <w:r w:rsidRPr="0063248C">
              <w:rPr>
                <w:rFonts w:cs="宋体"/>
                <w:sz w:val="18"/>
                <w:szCs w:val="18"/>
              </w:rPr>
              <w:t>8.03%</w:t>
            </w:r>
          </w:p>
        </w:tc>
        <w:tc>
          <w:tcPr>
            <w:tcW w:w="876" w:type="dxa"/>
            <w:tcBorders>
              <w:top w:val="single" w:sz="2" w:space="0" w:color="auto"/>
              <w:left w:val="single" w:sz="2" w:space="0" w:color="auto"/>
              <w:bottom w:val="single" w:sz="2" w:space="0" w:color="auto"/>
              <w:right w:val="single" w:sz="2" w:space="0" w:color="auto"/>
            </w:tcBorders>
            <w:vAlign w:val="center"/>
          </w:tcPr>
          <w:p w14:paraId="55E19539" w14:textId="77777777" w:rsidR="007B3DB2" w:rsidRPr="0063248C" w:rsidRDefault="00000000">
            <w:pPr>
              <w:spacing w:line="240" w:lineRule="exact"/>
              <w:jc w:val="right"/>
              <w:rPr>
                <w:rFonts w:cs="宋体"/>
                <w:sz w:val="18"/>
                <w:szCs w:val="18"/>
              </w:rPr>
            </w:pPr>
            <w:r w:rsidRPr="0063248C">
              <w:rPr>
                <w:rFonts w:cs="宋体"/>
                <w:sz w:val="18"/>
                <w:szCs w:val="18"/>
              </w:rPr>
              <w:t>32,323,907.24</w:t>
            </w:r>
          </w:p>
        </w:tc>
        <w:tc>
          <w:tcPr>
            <w:tcW w:w="877" w:type="dxa"/>
            <w:tcBorders>
              <w:top w:val="single" w:sz="2" w:space="0" w:color="auto"/>
              <w:left w:val="single" w:sz="2" w:space="0" w:color="auto"/>
              <w:bottom w:val="single" w:sz="2" w:space="0" w:color="auto"/>
              <w:right w:val="single" w:sz="2" w:space="0" w:color="auto"/>
            </w:tcBorders>
            <w:vAlign w:val="center"/>
          </w:tcPr>
          <w:p w14:paraId="4A269E0C" w14:textId="77777777" w:rsidR="007B3DB2" w:rsidRPr="0063248C" w:rsidRDefault="00000000">
            <w:pPr>
              <w:spacing w:line="240" w:lineRule="exact"/>
              <w:jc w:val="right"/>
              <w:rPr>
                <w:rFonts w:cs="宋体"/>
                <w:sz w:val="18"/>
                <w:szCs w:val="18"/>
              </w:rPr>
            </w:pPr>
            <w:r w:rsidRPr="0063248C">
              <w:rPr>
                <w:rFonts w:cs="宋体"/>
                <w:sz w:val="18"/>
                <w:szCs w:val="18"/>
              </w:rPr>
              <w:t>81.13%</w:t>
            </w:r>
          </w:p>
        </w:tc>
        <w:tc>
          <w:tcPr>
            <w:tcW w:w="876" w:type="dxa"/>
            <w:tcBorders>
              <w:top w:val="single" w:sz="2" w:space="0" w:color="auto"/>
              <w:left w:val="single" w:sz="2" w:space="0" w:color="auto"/>
              <w:bottom w:val="single" w:sz="2" w:space="0" w:color="auto"/>
              <w:right w:val="single" w:sz="2" w:space="0" w:color="auto"/>
            </w:tcBorders>
            <w:vAlign w:val="center"/>
          </w:tcPr>
          <w:p w14:paraId="468A133E" w14:textId="77777777" w:rsidR="007B3DB2" w:rsidRPr="0063248C" w:rsidRDefault="00000000">
            <w:pPr>
              <w:spacing w:line="240" w:lineRule="exact"/>
              <w:jc w:val="right"/>
              <w:rPr>
                <w:rFonts w:cs="宋体"/>
                <w:sz w:val="18"/>
                <w:szCs w:val="18"/>
              </w:rPr>
            </w:pPr>
            <w:r w:rsidRPr="0063248C">
              <w:rPr>
                <w:rFonts w:cs="宋体"/>
                <w:sz w:val="18"/>
                <w:szCs w:val="18"/>
              </w:rPr>
              <w:t>7,520,036.15</w:t>
            </w:r>
          </w:p>
        </w:tc>
      </w:tr>
      <w:tr w:rsidR="007B3DB2" w:rsidRPr="0063248C" w14:paraId="1DBC6B42" w14:textId="77777777" w:rsidTr="00B425DC">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3A21A9A4" w14:textId="77777777" w:rsidR="007B3DB2" w:rsidRPr="0063248C" w:rsidRDefault="00000000">
            <w:pPr>
              <w:spacing w:before="40" w:after="40" w:line="240" w:lineRule="exact"/>
              <w:rPr>
                <w:rFonts w:cs="宋体"/>
                <w:sz w:val="18"/>
                <w:szCs w:val="18"/>
              </w:rPr>
            </w:pPr>
            <w:r w:rsidRPr="0063248C">
              <w:rPr>
                <w:rFonts w:cs="宋体"/>
                <w:sz w:val="18"/>
                <w:szCs w:val="18"/>
              </w:rPr>
              <w:t>按组合计提坏账准备的应收账款</w:t>
            </w:r>
          </w:p>
        </w:tc>
        <w:tc>
          <w:tcPr>
            <w:tcW w:w="968" w:type="dxa"/>
            <w:tcBorders>
              <w:top w:val="single" w:sz="2" w:space="0" w:color="auto"/>
              <w:left w:val="single" w:sz="2" w:space="0" w:color="auto"/>
              <w:bottom w:val="single" w:sz="2" w:space="0" w:color="auto"/>
              <w:right w:val="single" w:sz="2" w:space="0" w:color="auto"/>
            </w:tcBorders>
            <w:vAlign w:val="center"/>
          </w:tcPr>
          <w:p w14:paraId="3875C3A8" w14:textId="77777777" w:rsidR="007B3DB2" w:rsidRPr="0063248C" w:rsidRDefault="00000000">
            <w:pPr>
              <w:spacing w:line="240" w:lineRule="exact"/>
              <w:jc w:val="right"/>
              <w:rPr>
                <w:rFonts w:cs="宋体"/>
                <w:sz w:val="18"/>
                <w:szCs w:val="18"/>
              </w:rPr>
            </w:pPr>
            <w:r w:rsidRPr="0063248C">
              <w:rPr>
                <w:rFonts w:cs="宋体"/>
                <w:sz w:val="18"/>
                <w:szCs w:val="18"/>
              </w:rPr>
              <w:t>351,795,148.15</w:t>
            </w:r>
          </w:p>
        </w:tc>
        <w:tc>
          <w:tcPr>
            <w:tcW w:w="785" w:type="dxa"/>
            <w:tcBorders>
              <w:top w:val="single" w:sz="2" w:space="0" w:color="auto"/>
              <w:left w:val="single" w:sz="2" w:space="0" w:color="auto"/>
              <w:bottom w:val="single" w:sz="2" w:space="0" w:color="auto"/>
              <w:right w:val="single" w:sz="2" w:space="0" w:color="auto"/>
            </w:tcBorders>
            <w:vAlign w:val="center"/>
          </w:tcPr>
          <w:p w14:paraId="18DFDE06" w14:textId="77777777" w:rsidR="007B3DB2" w:rsidRPr="0063248C" w:rsidRDefault="00000000">
            <w:pPr>
              <w:spacing w:line="240" w:lineRule="exact"/>
              <w:jc w:val="right"/>
              <w:rPr>
                <w:rFonts w:cs="宋体"/>
                <w:sz w:val="18"/>
                <w:szCs w:val="18"/>
              </w:rPr>
            </w:pPr>
            <w:r w:rsidRPr="0063248C">
              <w:rPr>
                <w:rFonts w:cs="宋体"/>
                <w:sz w:val="18"/>
                <w:szCs w:val="18"/>
              </w:rPr>
              <w:t>90.14%</w:t>
            </w:r>
          </w:p>
        </w:tc>
        <w:tc>
          <w:tcPr>
            <w:tcW w:w="876" w:type="dxa"/>
            <w:tcBorders>
              <w:top w:val="single" w:sz="2" w:space="0" w:color="auto"/>
              <w:left w:val="single" w:sz="2" w:space="0" w:color="auto"/>
              <w:bottom w:val="single" w:sz="2" w:space="0" w:color="auto"/>
              <w:right w:val="single" w:sz="2" w:space="0" w:color="auto"/>
            </w:tcBorders>
            <w:vAlign w:val="center"/>
          </w:tcPr>
          <w:p w14:paraId="5F55456C" w14:textId="77777777" w:rsidR="007B3DB2" w:rsidRPr="0063248C" w:rsidRDefault="00000000">
            <w:pPr>
              <w:spacing w:line="240" w:lineRule="exact"/>
              <w:jc w:val="right"/>
              <w:rPr>
                <w:rFonts w:cs="宋体"/>
                <w:sz w:val="18"/>
                <w:szCs w:val="18"/>
              </w:rPr>
            </w:pPr>
            <w:r w:rsidRPr="0063248C">
              <w:rPr>
                <w:rFonts w:cs="宋体"/>
                <w:sz w:val="18"/>
                <w:szCs w:val="18"/>
              </w:rPr>
              <w:t>17,920,799.81</w:t>
            </w:r>
          </w:p>
        </w:tc>
        <w:tc>
          <w:tcPr>
            <w:tcW w:w="877" w:type="dxa"/>
            <w:tcBorders>
              <w:top w:val="single" w:sz="2" w:space="0" w:color="auto"/>
              <w:left w:val="single" w:sz="2" w:space="0" w:color="auto"/>
              <w:bottom w:val="single" w:sz="2" w:space="0" w:color="auto"/>
              <w:right w:val="single" w:sz="2" w:space="0" w:color="auto"/>
            </w:tcBorders>
            <w:vAlign w:val="center"/>
          </w:tcPr>
          <w:p w14:paraId="655537BE" w14:textId="77777777" w:rsidR="007B3DB2" w:rsidRPr="0063248C" w:rsidRDefault="00000000">
            <w:pPr>
              <w:spacing w:line="240" w:lineRule="exact"/>
              <w:jc w:val="right"/>
              <w:rPr>
                <w:rFonts w:cs="宋体"/>
                <w:sz w:val="18"/>
                <w:szCs w:val="18"/>
              </w:rPr>
            </w:pPr>
            <w:r w:rsidRPr="0063248C">
              <w:rPr>
                <w:rFonts w:cs="宋体"/>
                <w:sz w:val="18"/>
                <w:szCs w:val="18"/>
              </w:rPr>
              <w:t>5.09%</w:t>
            </w:r>
          </w:p>
        </w:tc>
        <w:tc>
          <w:tcPr>
            <w:tcW w:w="876" w:type="dxa"/>
            <w:tcBorders>
              <w:top w:val="single" w:sz="2" w:space="0" w:color="auto"/>
              <w:left w:val="single" w:sz="2" w:space="0" w:color="auto"/>
              <w:bottom w:val="single" w:sz="2" w:space="0" w:color="auto"/>
              <w:right w:val="single" w:sz="2" w:space="0" w:color="auto"/>
            </w:tcBorders>
            <w:vAlign w:val="center"/>
          </w:tcPr>
          <w:p w14:paraId="1148695D" w14:textId="77777777" w:rsidR="007B3DB2" w:rsidRPr="0063248C" w:rsidRDefault="00000000">
            <w:pPr>
              <w:spacing w:line="240" w:lineRule="exact"/>
              <w:jc w:val="right"/>
              <w:rPr>
                <w:rFonts w:cs="宋体"/>
                <w:sz w:val="18"/>
                <w:szCs w:val="18"/>
              </w:rPr>
            </w:pPr>
            <w:r w:rsidRPr="0063248C">
              <w:rPr>
                <w:rFonts w:cs="宋体"/>
                <w:sz w:val="18"/>
                <w:szCs w:val="18"/>
              </w:rPr>
              <w:t>333,874,348.34</w:t>
            </w:r>
          </w:p>
        </w:tc>
        <w:tc>
          <w:tcPr>
            <w:tcW w:w="876" w:type="dxa"/>
            <w:tcBorders>
              <w:top w:val="single" w:sz="2" w:space="0" w:color="auto"/>
              <w:left w:val="single" w:sz="2" w:space="0" w:color="auto"/>
              <w:bottom w:val="single" w:sz="2" w:space="0" w:color="auto"/>
              <w:right w:val="single" w:sz="2" w:space="0" w:color="auto"/>
            </w:tcBorders>
            <w:vAlign w:val="center"/>
          </w:tcPr>
          <w:p w14:paraId="21FED97F" w14:textId="77777777" w:rsidR="007B3DB2" w:rsidRPr="0063248C" w:rsidRDefault="00000000">
            <w:pPr>
              <w:spacing w:line="240" w:lineRule="exact"/>
              <w:jc w:val="right"/>
              <w:rPr>
                <w:rFonts w:cs="宋体"/>
                <w:sz w:val="18"/>
                <w:szCs w:val="18"/>
              </w:rPr>
            </w:pPr>
            <w:r w:rsidRPr="0063248C">
              <w:rPr>
                <w:rFonts w:cs="宋体"/>
                <w:sz w:val="18"/>
                <w:szCs w:val="18"/>
              </w:rPr>
              <w:t>456,263,819.09</w:t>
            </w:r>
          </w:p>
        </w:tc>
        <w:tc>
          <w:tcPr>
            <w:tcW w:w="877" w:type="dxa"/>
            <w:tcBorders>
              <w:top w:val="single" w:sz="2" w:space="0" w:color="auto"/>
              <w:left w:val="single" w:sz="2" w:space="0" w:color="auto"/>
              <w:bottom w:val="single" w:sz="2" w:space="0" w:color="auto"/>
              <w:right w:val="single" w:sz="2" w:space="0" w:color="auto"/>
            </w:tcBorders>
            <w:vAlign w:val="center"/>
          </w:tcPr>
          <w:p w14:paraId="48EAA644" w14:textId="77777777" w:rsidR="007B3DB2" w:rsidRPr="0063248C" w:rsidRDefault="00000000">
            <w:pPr>
              <w:spacing w:line="240" w:lineRule="exact"/>
              <w:jc w:val="right"/>
              <w:rPr>
                <w:rFonts w:cs="宋体"/>
                <w:sz w:val="18"/>
                <w:szCs w:val="18"/>
              </w:rPr>
            </w:pPr>
            <w:r w:rsidRPr="0063248C">
              <w:rPr>
                <w:rFonts w:cs="宋体"/>
                <w:sz w:val="18"/>
                <w:szCs w:val="18"/>
              </w:rPr>
              <w:t>91.97%</w:t>
            </w:r>
          </w:p>
        </w:tc>
        <w:tc>
          <w:tcPr>
            <w:tcW w:w="876" w:type="dxa"/>
            <w:tcBorders>
              <w:top w:val="single" w:sz="2" w:space="0" w:color="auto"/>
              <w:left w:val="single" w:sz="2" w:space="0" w:color="auto"/>
              <w:bottom w:val="single" w:sz="2" w:space="0" w:color="auto"/>
              <w:right w:val="single" w:sz="2" w:space="0" w:color="auto"/>
            </w:tcBorders>
            <w:vAlign w:val="center"/>
          </w:tcPr>
          <w:p w14:paraId="6CF96354" w14:textId="77777777" w:rsidR="007B3DB2" w:rsidRPr="0063248C" w:rsidRDefault="00000000">
            <w:pPr>
              <w:spacing w:line="240" w:lineRule="exact"/>
              <w:jc w:val="right"/>
              <w:rPr>
                <w:rFonts w:cs="宋体"/>
                <w:sz w:val="18"/>
                <w:szCs w:val="18"/>
              </w:rPr>
            </w:pPr>
            <w:r w:rsidRPr="0063248C">
              <w:rPr>
                <w:rFonts w:cs="宋体"/>
                <w:sz w:val="18"/>
                <w:szCs w:val="18"/>
              </w:rPr>
              <w:t>19,356,743.17</w:t>
            </w:r>
          </w:p>
        </w:tc>
        <w:tc>
          <w:tcPr>
            <w:tcW w:w="877" w:type="dxa"/>
            <w:tcBorders>
              <w:top w:val="single" w:sz="2" w:space="0" w:color="auto"/>
              <w:left w:val="single" w:sz="2" w:space="0" w:color="auto"/>
              <w:bottom w:val="single" w:sz="2" w:space="0" w:color="auto"/>
              <w:right w:val="single" w:sz="2" w:space="0" w:color="auto"/>
            </w:tcBorders>
            <w:vAlign w:val="center"/>
          </w:tcPr>
          <w:p w14:paraId="36648B8C" w14:textId="77777777" w:rsidR="007B3DB2" w:rsidRPr="0063248C" w:rsidRDefault="00000000">
            <w:pPr>
              <w:spacing w:line="240" w:lineRule="exact"/>
              <w:jc w:val="right"/>
              <w:rPr>
                <w:rFonts w:cs="宋体"/>
                <w:sz w:val="18"/>
                <w:szCs w:val="18"/>
              </w:rPr>
            </w:pPr>
            <w:r w:rsidRPr="0063248C">
              <w:rPr>
                <w:rFonts w:cs="宋体"/>
                <w:sz w:val="18"/>
                <w:szCs w:val="18"/>
              </w:rPr>
              <w:t>4.24%</w:t>
            </w:r>
          </w:p>
        </w:tc>
        <w:tc>
          <w:tcPr>
            <w:tcW w:w="876" w:type="dxa"/>
            <w:tcBorders>
              <w:top w:val="single" w:sz="2" w:space="0" w:color="auto"/>
              <w:left w:val="single" w:sz="2" w:space="0" w:color="auto"/>
              <w:bottom w:val="single" w:sz="2" w:space="0" w:color="auto"/>
              <w:right w:val="single" w:sz="2" w:space="0" w:color="auto"/>
            </w:tcBorders>
            <w:vAlign w:val="center"/>
          </w:tcPr>
          <w:p w14:paraId="4A4A416A" w14:textId="77777777" w:rsidR="007B3DB2" w:rsidRPr="0063248C" w:rsidRDefault="00000000">
            <w:pPr>
              <w:spacing w:line="240" w:lineRule="exact"/>
              <w:jc w:val="right"/>
              <w:rPr>
                <w:rFonts w:cs="宋体"/>
                <w:sz w:val="18"/>
                <w:szCs w:val="18"/>
              </w:rPr>
            </w:pPr>
            <w:r w:rsidRPr="0063248C">
              <w:rPr>
                <w:rFonts w:cs="宋体"/>
                <w:sz w:val="18"/>
                <w:szCs w:val="18"/>
              </w:rPr>
              <w:t>436,907,075.92</w:t>
            </w:r>
          </w:p>
        </w:tc>
      </w:tr>
      <w:tr w:rsidR="007B3DB2" w:rsidRPr="0063248C" w14:paraId="5C758E53" w14:textId="77777777" w:rsidTr="00B425DC">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606B7E18"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其中：</w:t>
            </w:r>
          </w:p>
        </w:tc>
        <w:tc>
          <w:tcPr>
            <w:tcW w:w="968" w:type="dxa"/>
            <w:tcBorders>
              <w:top w:val="single" w:sz="2" w:space="0" w:color="auto"/>
              <w:left w:val="single" w:sz="2" w:space="0" w:color="auto"/>
              <w:bottom w:val="single" w:sz="2" w:space="0" w:color="auto"/>
              <w:right w:val="single" w:sz="2" w:space="0" w:color="auto"/>
            </w:tcBorders>
            <w:shd w:val="clear" w:color="auto" w:fill="D3D3D3"/>
            <w:vAlign w:val="center"/>
          </w:tcPr>
          <w:p w14:paraId="16D144A0" w14:textId="77777777" w:rsidR="007B3DB2" w:rsidRPr="0063248C" w:rsidRDefault="007B3DB2"/>
        </w:tc>
        <w:tc>
          <w:tcPr>
            <w:tcW w:w="785" w:type="dxa"/>
            <w:tcBorders>
              <w:top w:val="single" w:sz="2" w:space="0" w:color="auto"/>
              <w:left w:val="single" w:sz="2" w:space="0" w:color="auto"/>
              <w:bottom w:val="single" w:sz="2" w:space="0" w:color="auto"/>
              <w:right w:val="single" w:sz="2" w:space="0" w:color="auto"/>
            </w:tcBorders>
            <w:shd w:val="clear" w:color="auto" w:fill="D3D3D3"/>
            <w:vAlign w:val="center"/>
          </w:tcPr>
          <w:p w14:paraId="754262CC"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ED5208D" w14:textId="77777777" w:rsidR="007B3DB2" w:rsidRPr="0063248C" w:rsidRDefault="007B3DB2"/>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214E7F31"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B723698"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7A53D1C" w14:textId="77777777" w:rsidR="007B3DB2" w:rsidRPr="0063248C" w:rsidRDefault="007B3DB2"/>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2926377C"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A2B617F" w14:textId="77777777" w:rsidR="007B3DB2" w:rsidRPr="0063248C" w:rsidRDefault="007B3DB2"/>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2D48099F"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FA5F35A" w14:textId="77777777" w:rsidR="007B3DB2" w:rsidRPr="0063248C" w:rsidRDefault="007B3DB2"/>
        </w:tc>
      </w:tr>
      <w:tr w:rsidR="007B3DB2" w:rsidRPr="0063248C" w14:paraId="74A84375" w14:textId="77777777" w:rsidTr="00B425DC">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24E1DCB2" w14:textId="77777777" w:rsidR="007B3DB2" w:rsidRPr="0063248C" w:rsidRDefault="00000000">
            <w:pPr>
              <w:spacing w:line="240" w:lineRule="exact"/>
              <w:rPr>
                <w:rFonts w:cs="宋体"/>
                <w:sz w:val="18"/>
                <w:szCs w:val="18"/>
              </w:rPr>
            </w:pPr>
            <w:proofErr w:type="gramStart"/>
            <w:r w:rsidRPr="0063248C">
              <w:rPr>
                <w:rFonts w:cs="宋体"/>
                <w:sz w:val="18"/>
                <w:szCs w:val="18"/>
              </w:rPr>
              <w:t>账</w:t>
            </w:r>
            <w:proofErr w:type="gramEnd"/>
            <w:r w:rsidRPr="0063248C">
              <w:rPr>
                <w:rFonts w:cs="宋体"/>
                <w:sz w:val="18"/>
                <w:szCs w:val="18"/>
              </w:rPr>
              <w:t>龄组合</w:t>
            </w:r>
          </w:p>
        </w:tc>
        <w:tc>
          <w:tcPr>
            <w:tcW w:w="968" w:type="dxa"/>
            <w:tcBorders>
              <w:top w:val="single" w:sz="2" w:space="0" w:color="auto"/>
              <w:left w:val="single" w:sz="2" w:space="0" w:color="auto"/>
              <w:bottom w:val="single" w:sz="2" w:space="0" w:color="auto"/>
              <w:right w:val="single" w:sz="2" w:space="0" w:color="auto"/>
            </w:tcBorders>
            <w:vAlign w:val="center"/>
          </w:tcPr>
          <w:p w14:paraId="07DC6AA4" w14:textId="77777777" w:rsidR="007B3DB2" w:rsidRPr="0063248C" w:rsidRDefault="00000000">
            <w:pPr>
              <w:spacing w:line="240" w:lineRule="exact"/>
              <w:jc w:val="right"/>
              <w:rPr>
                <w:rFonts w:cs="宋体"/>
                <w:sz w:val="18"/>
                <w:szCs w:val="18"/>
              </w:rPr>
            </w:pPr>
            <w:r w:rsidRPr="0063248C">
              <w:rPr>
                <w:rFonts w:cs="宋体"/>
                <w:sz w:val="18"/>
                <w:szCs w:val="18"/>
              </w:rPr>
              <w:t>351,795,148.15</w:t>
            </w:r>
          </w:p>
        </w:tc>
        <w:tc>
          <w:tcPr>
            <w:tcW w:w="785" w:type="dxa"/>
            <w:tcBorders>
              <w:top w:val="single" w:sz="2" w:space="0" w:color="auto"/>
              <w:left w:val="single" w:sz="2" w:space="0" w:color="auto"/>
              <w:bottom w:val="single" w:sz="2" w:space="0" w:color="auto"/>
              <w:right w:val="single" w:sz="2" w:space="0" w:color="auto"/>
            </w:tcBorders>
            <w:vAlign w:val="center"/>
          </w:tcPr>
          <w:p w14:paraId="2DF3BE1E" w14:textId="77777777" w:rsidR="007B3DB2" w:rsidRPr="0063248C" w:rsidRDefault="00000000">
            <w:pPr>
              <w:spacing w:line="240" w:lineRule="exact"/>
              <w:jc w:val="right"/>
              <w:rPr>
                <w:rFonts w:cs="宋体"/>
                <w:sz w:val="18"/>
                <w:szCs w:val="18"/>
              </w:rPr>
            </w:pPr>
            <w:r w:rsidRPr="0063248C">
              <w:rPr>
                <w:rFonts w:cs="宋体"/>
                <w:sz w:val="18"/>
                <w:szCs w:val="18"/>
              </w:rPr>
              <w:t>90.14%</w:t>
            </w:r>
          </w:p>
        </w:tc>
        <w:tc>
          <w:tcPr>
            <w:tcW w:w="876" w:type="dxa"/>
            <w:tcBorders>
              <w:top w:val="single" w:sz="2" w:space="0" w:color="auto"/>
              <w:left w:val="single" w:sz="2" w:space="0" w:color="auto"/>
              <w:bottom w:val="single" w:sz="2" w:space="0" w:color="auto"/>
              <w:right w:val="single" w:sz="2" w:space="0" w:color="auto"/>
            </w:tcBorders>
            <w:vAlign w:val="center"/>
          </w:tcPr>
          <w:p w14:paraId="7AD142A3" w14:textId="77777777" w:rsidR="007B3DB2" w:rsidRPr="0063248C" w:rsidRDefault="00000000">
            <w:pPr>
              <w:spacing w:line="240" w:lineRule="exact"/>
              <w:jc w:val="right"/>
              <w:rPr>
                <w:rFonts w:cs="宋体"/>
                <w:sz w:val="18"/>
                <w:szCs w:val="18"/>
              </w:rPr>
            </w:pPr>
            <w:r w:rsidRPr="0063248C">
              <w:rPr>
                <w:rFonts w:cs="宋体"/>
                <w:sz w:val="18"/>
                <w:szCs w:val="18"/>
              </w:rPr>
              <w:t>17,920,799.81</w:t>
            </w:r>
          </w:p>
        </w:tc>
        <w:tc>
          <w:tcPr>
            <w:tcW w:w="877" w:type="dxa"/>
            <w:tcBorders>
              <w:top w:val="single" w:sz="2" w:space="0" w:color="auto"/>
              <w:left w:val="single" w:sz="2" w:space="0" w:color="auto"/>
              <w:bottom w:val="single" w:sz="2" w:space="0" w:color="auto"/>
              <w:right w:val="single" w:sz="2" w:space="0" w:color="auto"/>
            </w:tcBorders>
            <w:vAlign w:val="center"/>
          </w:tcPr>
          <w:p w14:paraId="48F65AD4" w14:textId="77777777" w:rsidR="007B3DB2" w:rsidRPr="0063248C" w:rsidRDefault="00000000">
            <w:pPr>
              <w:spacing w:line="240" w:lineRule="exact"/>
              <w:jc w:val="right"/>
              <w:rPr>
                <w:rFonts w:cs="宋体"/>
                <w:sz w:val="18"/>
                <w:szCs w:val="18"/>
              </w:rPr>
            </w:pPr>
            <w:r w:rsidRPr="0063248C">
              <w:rPr>
                <w:rFonts w:cs="宋体"/>
                <w:sz w:val="18"/>
                <w:szCs w:val="18"/>
              </w:rPr>
              <w:t>5.09%</w:t>
            </w:r>
          </w:p>
        </w:tc>
        <w:tc>
          <w:tcPr>
            <w:tcW w:w="876" w:type="dxa"/>
            <w:tcBorders>
              <w:top w:val="single" w:sz="2" w:space="0" w:color="auto"/>
              <w:left w:val="single" w:sz="2" w:space="0" w:color="auto"/>
              <w:bottom w:val="single" w:sz="2" w:space="0" w:color="auto"/>
              <w:right w:val="single" w:sz="2" w:space="0" w:color="auto"/>
            </w:tcBorders>
            <w:vAlign w:val="center"/>
          </w:tcPr>
          <w:p w14:paraId="2E075B59" w14:textId="77777777" w:rsidR="007B3DB2" w:rsidRPr="0063248C" w:rsidRDefault="00000000">
            <w:pPr>
              <w:spacing w:line="240" w:lineRule="exact"/>
              <w:jc w:val="right"/>
              <w:rPr>
                <w:rFonts w:cs="宋体"/>
                <w:sz w:val="18"/>
                <w:szCs w:val="18"/>
              </w:rPr>
            </w:pPr>
            <w:r w:rsidRPr="0063248C">
              <w:rPr>
                <w:rFonts w:cs="宋体"/>
                <w:sz w:val="18"/>
                <w:szCs w:val="18"/>
              </w:rPr>
              <w:t>333,874,348.34</w:t>
            </w:r>
          </w:p>
        </w:tc>
        <w:tc>
          <w:tcPr>
            <w:tcW w:w="876" w:type="dxa"/>
            <w:tcBorders>
              <w:top w:val="single" w:sz="2" w:space="0" w:color="auto"/>
              <w:left w:val="single" w:sz="2" w:space="0" w:color="auto"/>
              <w:bottom w:val="single" w:sz="2" w:space="0" w:color="auto"/>
              <w:right w:val="single" w:sz="2" w:space="0" w:color="auto"/>
            </w:tcBorders>
            <w:vAlign w:val="center"/>
          </w:tcPr>
          <w:p w14:paraId="6B48211F" w14:textId="77777777" w:rsidR="007B3DB2" w:rsidRPr="0063248C" w:rsidRDefault="00000000">
            <w:pPr>
              <w:spacing w:line="240" w:lineRule="exact"/>
              <w:jc w:val="right"/>
              <w:rPr>
                <w:rFonts w:cs="宋体"/>
                <w:sz w:val="18"/>
                <w:szCs w:val="18"/>
              </w:rPr>
            </w:pPr>
            <w:r w:rsidRPr="0063248C">
              <w:rPr>
                <w:rFonts w:cs="宋体"/>
                <w:sz w:val="18"/>
                <w:szCs w:val="18"/>
              </w:rPr>
              <w:t>456,263,819.09</w:t>
            </w:r>
          </w:p>
        </w:tc>
        <w:tc>
          <w:tcPr>
            <w:tcW w:w="877" w:type="dxa"/>
            <w:tcBorders>
              <w:top w:val="single" w:sz="2" w:space="0" w:color="auto"/>
              <w:left w:val="single" w:sz="2" w:space="0" w:color="auto"/>
              <w:bottom w:val="single" w:sz="2" w:space="0" w:color="auto"/>
              <w:right w:val="single" w:sz="2" w:space="0" w:color="auto"/>
            </w:tcBorders>
            <w:vAlign w:val="center"/>
          </w:tcPr>
          <w:p w14:paraId="492BA084" w14:textId="77777777" w:rsidR="007B3DB2" w:rsidRPr="0063248C" w:rsidRDefault="00000000">
            <w:pPr>
              <w:spacing w:line="240" w:lineRule="exact"/>
              <w:jc w:val="right"/>
              <w:rPr>
                <w:rFonts w:cs="宋体"/>
                <w:sz w:val="18"/>
                <w:szCs w:val="18"/>
              </w:rPr>
            </w:pPr>
            <w:r w:rsidRPr="0063248C">
              <w:rPr>
                <w:rFonts w:cs="宋体"/>
                <w:sz w:val="18"/>
                <w:szCs w:val="18"/>
              </w:rPr>
              <w:t>91.97%</w:t>
            </w:r>
          </w:p>
        </w:tc>
        <w:tc>
          <w:tcPr>
            <w:tcW w:w="876" w:type="dxa"/>
            <w:tcBorders>
              <w:top w:val="single" w:sz="2" w:space="0" w:color="auto"/>
              <w:left w:val="single" w:sz="2" w:space="0" w:color="auto"/>
              <w:bottom w:val="single" w:sz="2" w:space="0" w:color="auto"/>
              <w:right w:val="single" w:sz="2" w:space="0" w:color="auto"/>
            </w:tcBorders>
            <w:vAlign w:val="center"/>
          </w:tcPr>
          <w:p w14:paraId="29B9C457" w14:textId="77777777" w:rsidR="007B3DB2" w:rsidRPr="0063248C" w:rsidRDefault="00000000">
            <w:pPr>
              <w:spacing w:line="240" w:lineRule="exact"/>
              <w:jc w:val="right"/>
              <w:rPr>
                <w:rFonts w:cs="宋体"/>
                <w:sz w:val="18"/>
                <w:szCs w:val="18"/>
              </w:rPr>
            </w:pPr>
            <w:r w:rsidRPr="0063248C">
              <w:rPr>
                <w:rFonts w:cs="宋体"/>
                <w:sz w:val="18"/>
                <w:szCs w:val="18"/>
              </w:rPr>
              <w:t>19,356,743.17</w:t>
            </w:r>
          </w:p>
        </w:tc>
        <w:tc>
          <w:tcPr>
            <w:tcW w:w="877" w:type="dxa"/>
            <w:tcBorders>
              <w:top w:val="single" w:sz="2" w:space="0" w:color="auto"/>
              <w:left w:val="single" w:sz="2" w:space="0" w:color="auto"/>
              <w:bottom w:val="single" w:sz="2" w:space="0" w:color="auto"/>
              <w:right w:val="single" w:sz="2" w:space="0" w:color="auto"/>
            </w:tcBorders>
            <w:vAlign w:val="center"/>
          </w:tcPr>
          <w:p w14:paraId="56AE1605" w14:textId="77777777" w:rsidR="007B3DB2" w:rsidRPr="0063248C" w:rsidRDefault="00000000">
            <w:pPr>
              <w:spacing w:line="240" w:lineRule="exact"/>
              <w:jc w:val="right"/>
              <w:rPr>
                <w:rFonts w:cs="宋体"/>
                <w:sz w:val="18"/>
                <w:szCs w:val="18"/>
              </w:rPr>
            </w:pPr>
            <w:r w:rsidRPr="0063248C">
              <w:rPr>
                <w:rFonts w:cs="宋体"/>
                <w:sz w:val="18"/>
                <w:szCs w:val="18"/>
              </w:rPr>
              <w:t>4.24%</w:t>
            </w:r>
          </w:p>
        </w:tc>
        <w:tc>
          <w:tcPr>
            <w:tcW w:w="876" w:type="dxa"/>
            <w:tcBorders>
              <w:top w:val="single" w:sz="2" w:space="0" w:color="auto"/>
              <w:left w:val="single" w:sz="2" w:space="0" w:color="auto"/>
              <w:bottom w:val="single" w:sz="2" w:space="0" w:color="auto"/>
              <w:right w:val="single" w:sz="2" w:space="0" w:color="auto"/>
            </w:tcBorders>
            <w:vAlign w:val="center"/>
          </w:tcPr>
          <w:p w14:paraId="6F8FA48A" w14:textId="77777777" w:rsidR="007B3DB2" w:rsidRPr="0063248C" w:rsidRDefault="00000000">
            <w:pPr>
              <w:spacing w:line="240" w:lineRule="exact"/>
              <w:jc w:val="right"/>
              <w:rPr>
                <w:rFonts w:cs="宋体"/>
                <w:sz w:val="18"/>
                <w:szCs w:val="18"/>
              </w:rPr>
            </w:pPr>
            <w:r w:rsidRPr="0063248C">
              <w:rPr>
                <w:rFonts w:cs="宋体"/>
                <w:sz w:val="18"/>
                <w:szCs w:val="18"/>
              </w:rPr>
              <w:t>436,907,075.92</w:t>
            </w:r>
          </w:p>
        </w:tc>
      </w:tr>
      <w:tr w:rsidR="007B3DB2" w:rsidRPr="0063248C" w14:paraId="12162090" w14:textId="77777777" w:rsidTr="00B425DC">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7630CD1F"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968" w:type="dxa"/>
            <w:tcBorders>
              <w:top w:val="single" w:sz="2" w:space="0" w:color="auto"/>
              <w:left w:val="single" w:sz="2" w:space="0" w:color="auto"/>
              <w:bottom w:val="single" w:sz="2" w:space="0" w:color="auto"/>
              <w:right w:val="single" w:sz="2" w:space="0" w:color="auto"/>
            </w:tcBorders>
            <w:vAlign w:val="center"/>
          </w:tcPr>
          <w:p w14:paraId="493A1493" w14:textId="77777777" w:rsidR="007B3DB2" w:rsidRPr="0063248C" w:rsidRDefault="00000000">
            <w:pPr>
              <w:spacing w:line="240" w:lineRule="exact"/>
              <w:jc w:val="right"/>
              <w:rPr>
                <w:rFonts w:cs="宋体"/>
                <w:sz w:val="18"/>
                <w:szCs w:val="18"/>
              </w:rPr>
            </w:pPr>
            <w:r w:rsidRPr="0063248C">
              <w:rPr>
                <w:rFonts w:cs="宋体"/>
                <w:sz w:val="18"/>
                <w:szCs w:val="18"/>
              </w:rPr>
              <w:t>390,269,687.09</w:t>
            </w:r>
          </w:p>
        </w:tc>
        <w:tc>
          <w:tcPr>
            <w:tcW w:w="785" w:type="dxa"/>
            <w:tcBorders>
              <w:top w:val="single" w:sz="2" w:space="0" w:color="auto"/>
              <w:left w:val="single" w:sz="2" w:space="0" w:color="auto"/>
              <w:bottom w:val="single" w:sz="2" w:space="0" w:color="auto"/>
              <w:right w:val="single" w:sz="2" w:space="0" w:color="auto"/>
            </w:tcBorders>
            <w:vAlign w:val="center"/>
          </w:tcPr>
          <w:p w14:paraId="54341E0C"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6E71999C" w14:textId="77777777" w:rsidR="007B3DB2" w:rsidRPr="0063248C" w:rsidRDefault="00000000">
            <w:pPr>
              <w:spacing w:line="240" w:lineRule="exact"/>
              <w:jc w:val="right"/>
              <w:rPr>
                <w:rFonts w:cs="宋体"/>
                <w:sz w:val="18"/>
                <w:szCs w:val="18"/>
              </w:rPr>
            </w:pPr>
            <w:r w:rsidRPr="0063248C">
              <w:rPr>
                <w:rFonts w:cs="宋体"/>
                <w:sz w:val="18"/>
                <w:szCs w:val="18"/>
              </w:rPr>
              <w:t>49,295,338.75</w:t>
            </w:r>
          </w:p>
        </w:tc>
        <w:tc>
          <w:tcPr>
            <w:tcW w:w="877" w:type="dxa"/>
            <w:tcBorders>
              <w:top w:val="single" w:sz="2" w:space="0" w:color="auto"/>
              <w:left w:val="single" w:sz="2" w:space="0" w:color="auto"/>
              <w:bottom w:val="single" w:sz="2" w:space="0" w:color="auto"/>
              <w:right w:val="single" w:sz="2" w:space="0" w:color="auto"/>
            </w:tcBorders>
            <w:vAlign w:val="center"/>
          </w:tcPr>
          <w:p w14:paraId="171EDB0D" w14:textId="77777777" w:rsidR="007B3DB2" w:rsidRPr="0063248C" w:rsidRDefault="00000000">
            <w:pPr>
              <w:spacing w:line="240" w:lineRule="exact"/>
              <w:jc w:val="right"/>
              <w:rPr>
                <w:rFonts w:cs="宋体"/>
                <w:sz w:val="18"/>
                <w:szCs w:val="18"/>
              </w:rPr>
            </w:pPr>
            <w:r w:rsidRPr="0063248C">
              <w:rPr>
                <w:rFonts w:cs="宋体"/>
                <w:sz w:val="18"/>
                <w:szCs w:val="18"/>
              </w:rPr>
              <w:t>12.63%</w:t>
            </w:r>
          </w:p>
        </w:tc>
        <w:tc>
          <w:tcPr>
            <w:tcW w:w="876" w:type="dxa"/>
            <w:tcBorders>
              <w:top w:val="single" w:sz="2" w:space="0" w:color="auto"/>
              <w:left w:val="single" w:sz="2" w:space="0" w:color="auto"/>
              <w:bottom w:val="single" w:sz="2" w:space="0" w:color="auto"/>
              <w:right w:val="single" w:sz="2" w:space="0" w:color="auto"/>
            </w:tcBorders>
            <w:vAlign w:val="center"/>
          </w:tcPr>
          <w:p w14:paraId="15C6526C" w14:textId="77777777" w:rsidR="007B3DB2" w:rsidRPr="0063248C" w:rsidRDefault="00000000">
            <w:pPr>
              <w:spacing w:line="240" w:lineRule="exact"/>
              <w:jc w:val="right"/>
              <w:rPr>
                <w:rFonts w:cs="宋体"/>
                <w:sz w:val="18"/>
                <w:szCs w:val="18"/>
              </w:rPr>
            </w:pPr>
            <w:r w:rsidRPr="0063248C">
              <w:rPr>
                <w:rFonts w:cs="宋体"/>
                <w:sz w:val="18"/>
                <w:szCs w:val="18"/>
              </w:rPr>
              <w:t>340,974,348.34</w:t>
            </w:r>
          </w:p>
        </w:tc>
        <w:tc>
          <w:tcPr>
            <w:tcW w:w="876" w:type="dxa"/>
            <w:tcBorders>
              <w:top w:val="single" w:sz="2" w:space="0" w:color="auto"/>
              <w:left w:val="single" w:sz="2" w:space="0" w:color="auto"/>
              <w:bottom w:val="single" w:sz="2" w:space="0" w:color="auto"/>
              <w:right w:val="single" w:sz="2" w:space="0" w:color="auto"/>
            </w:tcBorders>
            <w:vAlign w:val="center"/>
          </w:tcPr>
          <w:p w14:paraId="7454C4C2" w14:textId="77777777" w:rsidR="007B3DB2" w:rsidRPr="0063248C" w:rsidRDefault="00000000">
            <w:pPr>
              <w:spacing w:line="240" w:lineRule="exact"/>
              <w:jc w:val="right"/>
              <w:rPr>
                <w:rFonts w:cs="宋体"/>
                <w:sz w:val="18"/>
                <w:szCs w:val="18"/>
              </w:rPr>
            </w:pPr>
            <w:r w:rsidRPr="0063248C">
              <w:rPr>
                <w:rFonts w:cs="宋体"/>
                <w:sz w:val="18"/>
                <w:szCs w:val="18"/>
              </w:rPr>
              <w:t>496,107,762.48</w:t>
            </w:r>
          </w:p>
        </w:tc>
        <w:tc>
          <w:tcPr>
            <w:tcW w:w="877" w:type="dxa"/>
            <w:tcBorders>
              <w:top w:val="single" w:sz="2" w:space="0" w:color="auto"/>
              <w:left w:val="single" w:sz="2" w:space="0" w:color="auto"/>
              <w:bottom w:val="single" w:sz="2" w:space="0" w:color="auto"/>
              <w:right w:val="single" w:sz="2" w:space="0" w:color="auto"/>
            </w:tcBorders>
            <w:vAlign w:val="center"/>
          </w:tcPr>
          <w:p w14:paraId="730D4A46"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5FE74CC0" w14:textId="77777777" w:rsidR="007B3DB2" w:rsidRPr="0063248C" w:rsidRDefault="00000000">
            <w:pPr>
              <w:spacing w:line="240" w:lineRule="exact"/>
              <w:jc w:val="right"/>
              <w:rPr>
                <w:rFonts w:cs="宋体"/>
                <w:sz w:val="18"/>
                <w:szCs w:val="18"/>
              </w:rPr>
            </w:pPr>
            <w:r w:rsidRPr="0063248C">
              <w:rPr>
                <w:rFonts w:cs="宋体"/>
                <w:sz w:val="18"/>
                <w:szCs w:val="18"/>
              </w:rPr>
              <w:t>51,680,650.41</w:t>
            </w:r>
          </w:p>
        </w:tc>
        <w:tc>
          <w:tcPr>
            <w:tcW w:w="877" w:type="dxa"/>
            <w:tcBorders>
              <w:top w:val="single" w:sz="2" w:space="0" w:color="auto"/>
              <w:left w:val="single" w:sz="2" w:space="0" w:color="auto"/>
              <w:bottom w:val="single" w:sz="2" w:space="0" w:color="auto"/>
              <w:right w:val="single" w:sz="2" w:space="0" w:color="auto"/>
            </w:tcBorders>
            <w:vAlign w:val="center"/>
          </w:tcPr>
          <w:p w14:paraId="47783C30" w14:textId="77777777" w:rsidR="007B3DB2" w:rsidRPr="0063248C" w:rsidRDefault="00000000">
            <w:pPr>
              <w:spacing w:line="240" w:lineRule="exact"/>
              <w:jc w:val="right"/>
              <w:rPr>
                <w:rFonts w:cs="宋体"/>
                <w:sz w:val="18"/>
                <w:szCs w:val="18"/>
              </w:rPr>
            </w:pPr>
            <w:r w:rsidRPr="0063248C">
              <w:rPr>
                <w:rFonts w:cs="宋体"/>
                <w:sz w:val="18"/>
                <w:szCs w:val="18"/>
              </w:rPr>
              <w:t>10.42%</w:t>
            </w:r>
          </w:p>
        </w:tc>
        <w:tc>
          <w:tcPr>
            <w:tcW w:w="876" w:type="dxa"/>
            <w:tcBorders>
              <w:top w:val="single" w:sz="2" w:space="0" w:color="auto"/>
              <w:left w:val="single" w:sz="2" w:space="0" w:color="auto"/>
              <w:bottom w:val="single" w:sz="2" w:space="0" w:color="auto"/>
              <w:right w:val="single" w:sz="2" w:space="0" w:color="auto"/>
            </w:tcBorders>
            <w:vAlign w:val="center"/>
          </w:tcPr>
          <w:p w14:paraId="6AA9E07E" w14:textId="77777777" w:rsidR="007B3DB2" w:rsidRPr="0063248C" w:rsidRDefault="00000000">
            <w:pPr>
              <w:spacing w:line="240" w:lineRule="exact"/>
              <w:jc w:val="right"/>
              <w:rPr>
                <w:rFonts w:cs="宋体"/>
                <w:sz w:val="18"/>
                <w:szCs w:val="18"/>
              </w:rPr>
            </w:pPr>
            <w:r w:rsidRPr="0063248C">
              <w:rPr>
                <w:rFonts w:cs="宋体"/>
                <w:sz w:val="18"/>
                <w:szCs w:val="18"/>
              </w:rPr>
              <w:t>444,427,112.07</w:t>
            </w:r>
          </w:p>
        </w:tc>
      </w:tr>
    </w:tbl>
    <w:p w14:paraId="75EBDF2B" w14:textId="77777777" w:rsidR="007B3DB2" w:rsidRPr="0063248C" w:rsidRDefault="00000000">
      <w:pPr>
        <w:spacing w:before="100" w:after="100" w:line="240" w:lineRule="exact"/>
        <w:rPr>
          <w:rFonts w:cs="宋体"/>
          <w:sz w:val="18"/>
          <w:szCs w:val="18"/>
        </w:rPr>
      </w:pPr>
      <w:r w:rsidRPr="0063248C">
        <w:rPr>
          <w:rFonts w:cs="宋体"/>
          <w:sz w:val="18"/>
          <w:szCs w:val="18"/>
        </w:rPr>
        <w:t>按单项计提坏账准备类别名称：</w:t>
      </w:r>
    </w:p>
    <w:p w14:paraId="74DD70ED"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07EB6ED1"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E421B1F" w14:textId="77777777" w:rsidR="007B3DB2" w:rsidRPr="0063248C" w:rsidRDefault="00000000">
            <w:pPr>
              <w:spacing w:before="40" w:after="40" w:line="240" w:lineRule="exact"/>
              <w:jc w:val="center"/>
              <w:rPr>
                <w:rFonts w:cs="宋体"/>
                <w:sz w:val="18"/>
                <w:szCs w:val="18"/>
              </w:rPr>
            </w:pPr>
            <w:r w:rsidRPr="0063248C">
              <w:rPr>
                <w:rFonts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9176B2B"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2775B0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0A36DD11"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E06EA8A"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A60AD31"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9E0EA6D"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48DFEDD"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6771EA8"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2DFD99D"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0AC39EC"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计提理由</w:t>
            </w:r>
          </w:p>
        </w:tc>
      </w:tr>
      <w:tr w:rsidR="007B3DB2" w:rsidRPr="0063248C" w14:paraId="1BFB4A8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5CB8FD7" w14:textId="77777777" w:rsidR="007B3DB2" w:rsidRPr="0063248C" w:rsidRDefault="00000000">
            <w:pPr>
              <w:spacing w:line="240" w:lineRule="exact"/>
              <w:rPr>
                <w:rFonts w:cs="宋体"/>
                <w:sz w:val="18"/>
                <w:szCs w:val="18"/>
              </w:rPr>
            </w:pPr>
            <w:r w:rsidRPr="0063248C">
              <w:rPr>
                <w:rFonts w:cs="宋体"/>
                <w:sz w:val="18"/>
                <w:szCs w:val="18"/>
              </w:rPr>
              <w:t>青岛家乐福商业有限公司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1D5A33ED" w14:textId="77777777" w:rsidR="007B3DB2" w:rsidRPr="0063248C" w:rsidRDefault="00000000">
            <w:pPr>
              <w:spacing w:line="240" w:lineRule="exact"/>
              <w:jc w:val="right"/>
              <w:rPr>
                <w:rFonts w:cs="宋体"/>
                <w:sz w:val="18"/>
                <w:szCs w:val="18"/>
              </w:rPr>
            </w:pPr>
            <w:r w:rsidRPr="0063248C">
              <w:rPr>
                <w:rFonts w:cs="宋体"/>
                <w:sz w:val="18"/>
                <w:szCs w:val="18"/>
              </w:rPr>
              <w:t>779,775.48</w:t>
            </w:r>
          </w:p>
        </w:tc>
        <w:tc>
          <w:tcPr>
            <w:tcW w:w="1377" w:type="dxa"/>
            <w:tcBorders>
              <w:top w:val="single" w:sz="2" w:space="0" w:color="auto"/>
              <w:left w:val="single" w:sz="2" w:space="0" w:color="auto"/>
              <w:bottom w:val="single" w:sz="2" w:space="0" w:color="auto"/>
              <w:right w:val="single" w:sz="2" w:space="0" w:color="auto"/>
            </w:tcBorders>
            <w:vAlign w:val="center"/>
          </w:tcPr>
          <w:p w14:paraId="2886D8A6" w14:textId="77777777" w:rsidR="007B3DB2" w:rsidRPr="0063248C" w:rsidRDefault="00000000">
            <w:pPr>
              <w:spacing w:line="240" w:lineRule="exact"/>
              <w:jc w:val="right"/>
              <w:rPr>
                <w:rFonts w:cs="宋体"/>
                <w:sz w:val="18"/>
                <w:szCs w:val="18"/>
              </w:rPr>
            </w:pPr>
            <w:r w:rsidRPr="0063248C">
              <w:rPr>
                <w:rFonts w:cs="宋体"/>
                <w:sz w:val="18"/>
                <w:szCs w:val="18"/>
              </w:rPr>
              <w:t>779,775.48</w:t>
            </w:r>
          </w:p>
        </w:tc>
        <w:tc>
          <w:tcPr>
            <w:tcW w:w="1377" w:type="dxa"/>
            <w:tcBorders>
              <w:top w:val="single" w:sz="2" w:space="0" w:color="auto"/>
              <w:left w:val="single" w:sz="2" w:space="0" w:color="auto"/>
              <w:bottom w:val="single" w:sz="2" w:space="0" w:color="auto"/>
              <w:right w:val="single" w:sz="2" w:space="0" w:color="auto"/>
            </w:tcBorders>
            <w:vAlign w:val="center"/>
          </w:tcPr>
          <w:p w14:paraId="58323211" w14:textId="77777777" w:rsidR="007B3DB2" w:rsidRPr="0063248C" w:rsidRDefault="00000000">
            <w:pPr>
              <w:spacing w:line="240" w:lineRule="exact"/>
              <w:jc w:val="right"/>
              <w:rPr>
                <w:rFonts w:cs="宋体"/>
                <w:sz w:val="18"/>
                <w:szCs w:val="18"/>
              </w:rPr>
            </w:pPr>
            <w:r w:rsidRPr="0063248C">
              <w:rPr>
                <w:rFonts w:cs="宋体"/>
                <w:sz w:val="18"/>
                <w:szCs w:val="18"/>
              </w:rPr>
              <w:t>779,775.48</w:t>
            </w:r>
          </w:p>
        </w:tc>
        <w:tc>
          <w:tcPr>
            <w:tcW w:w="1377" w:type="dxa"/>
            <w:tcBorders>
              <w:top w:val="single" w:sz="2" w:space="0" w:color="auto"/>
              <w:left w:val="single" w:sz="2" w:space="0" w:color="auto"/>
              <w:bottom w:val="single" w:sz="2" w:space="0" w:color="auto"/>
              <w:right w:val="single" w:sz="2" w:space="0" w:color="auto"/>
            </w:tcBorders>
            <w:vAlign w:val="center"/>
          </w:tcPr>
          <w:p w14:paraId="18B7A73F" w14:textId="77777777" w:rsidR="007B3DB2" w:rsidRPr="0063248C" w:rsidRDefault="00000000">
            <w:pPr>
              <w:spacing w:line="240" w:lineRule="exact"/>
              <w:jc w:val="right"/>
              <w:rPr>
                <w:rFonts w:cs="宋体"/>
                <w:sz w:val="18"/>
                <w:szCs w:val="18"/>
              </w:rPr>
            </w:pPr>
            <w:r w:rsidRPr="0063248C">
              <w:rPr>
                <w:rFonts w:cs="宋体"/>
                <w:sz w:val="18"/>
                <w:szCs w:val="18"/>
              </w:rPr>
              <w:t>779,775.48</w:t>
            </w:r>
          </w:p>
        </w:tc>
        <w:tc>
          <w:tcPr>
            <w:tcW w:w="1377" w:type="dxa"/>
            <w:tcBorders>
              <w:top w:val="single" w:sz="2" w:space="0" w:color="auto"/>
              <w:left w:val="single" w:sz="2" w:space="0" w:color="auto"/>
              <w:bottom w:val="single" w:sz="2" w:space="0" w:color="auto"/>
              <w:right w:val="single" w:sz="2" w:space="0" w:color="auto"/>
            </w:tcBorders>
            <w:vAlign w:val="center"/>
          </w:tcPr>
          <w:p w14:paraId="5897D308"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5387CE1F" w14:textId="77777777" w:rsidR="007B3DB2" w:rsidRPr="0063248C" w:rsidRDefault="00000000">
            <w:pPr>
              <w:spacing w:line="240" w:lineRule="exact"/>
              <w:rPr>
                <w:rFonts w:cs="宋体"/>
                <w:sz w:val="18"/>
                <w:szCs w:val="18"/>
              </w:rPr>
            </w:pPr>
            <w:r w:rsidRPr="0063248C">
              <w:rPr>
                <w:rFonts w:cs="宋体"/>
                <w:sz w:val="18"/>
                <w:szCs w:val="18"/>
              </w:rPr>
              <w:t>客户经营出现问题，无力偿还债务</w:t>
            </w:r>
          </w:p>
        </w:tc>
      </w:tr>
      <w:tr w:rsidR="007B3DB2" w:rsidRPr="0063248C" w14:paraId="67C8A84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2674A5B" w14:textId="77777777" w:rsidR="007B3DB2" w:rsidRPr="0063248C" w:rsidRDefault="00000000">
            <w:pPr>
              <w:spacing w:line="240" w:lineRule="exact"/>
              <w:rPr>
                <w:rFonts w:cs="宋体"/>
                <w:sz w:val="18"/>
                <w:szCs w:val="18"/>
              </w:rPr>
            </w:pPr>
            <w:r w:rsidRPr="0063248C">
              <w:rPr>
                <w:rFonts w:cs="宋体"/>
                <w:sz w:val="18"/>
                <w:szCs w:val="18"/>
              </w:rPr>
              <w:t>步步高商业连锁股份有限公司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1F9C3DB5" w14:textId="77777777" w:rsidR="007B3DB2" w:rsidRPr="0063248C" w:rsidRDefault="00000000">
            <w:pPr>
              <w:spacing w:line="240" w:lineRule="exact"/>
              <w:jc w:val="right"/>
              <w:rPr>
                <w:rFonts w:cs="宋体"/>
                <w:sz w:val="18"/>
                <w:szCs w:val="18"/>
              </w:rPr>
            </w:pPr>
            <w:r w:rsidRPr="0063248C">
              <w:rPr>
                <w:rFonts w:cs="宋体"/>
                <w:sz w:val="18"/>
                <w:szCs w:val="18"/>
              </w:rPr>
              <w:t>6,199,524.11</w:t>
            </w:r>
          </w:p>
        </w:tc>
        <w:tc>
          <w:tcPr>
            <w:tcW w:w="1377" w:type="dxa"/>
            <w:tcBorders>
              <w:top w:val="single" w:sz="2" w:space="0" w:color="auto"/>
              <w:left w:val="single" w:sz="2" w:space="0" w:color="auto"/>
              <w:bottom w:val="single" w:sz="2" w:space="0" w:color="auto"/>
              <w:right w:val="single" w:sz="2" w:space="0" w:color="auto"/>
            </w:tcBorders>
            <w:vAlign w:val="center"/>
          </w:tcPr>
          <w:p w14:paraId="47F80885" w14:textId="77777777" w:rsidR="007B3DB2" w:rsidRPr="0063248C" w:rsidRDefault="00000000">
            <w:pPr>
              <w:spacing w:line="240" w:lineRule="exact"/>
              <w:jc w:val="right"/>
              <w:rPr>
                <w:rFonts w:cs="宋体"/>
                <w:sz w:val="18"/>
                <w:szCs w:val="18"/>
              </w:rPr>
            </w:pPr>
            <w:r w:rsidRPr="0063248C">
              <w:rPr>
                <w:rFonts w:cs="宋体"/>
                <w:sz w:val="18"/>
                <w:szCs w:val="18"/>
              </w:rPr>
              <w:t>6,199,524.11</w:t>
            </w:r>
          </w:p>
        </w:tc>
        <w:tc>
          <w:tcPr>
            <w:tcW w:w="1377" w:type="dxa"/>
            <w:tcBorders>
              <w:top w:val="single" w:sz="2" w:space="0" w:color="auto"/>
              <w:left w:val="single" w:sz="2" w:space="0" w:color="auto"/>
              <w:bottom w:val="single" w:sz="2" w:space="0" w:color="auto"/>
              <w:right w:val="single" w:sz="2" w:space="0" w:color="auto"/>
            </w:tcBorders>
            <w:vAlign w:val="center"/>
          </w:tcPr>
          <w:p w14:paraId="116B9FE6" w14:textId="77777777" w:rsidR="007B3DB2" w:rsidRPr="0063248C" w:rsidRDefault="00000000">
            <w:pPr>
              <w:spacing w:line="240" w:lineRule="exact"/>
              <w:jc w:val="right"/>
              <w:rPr>
                <w:rFonts w:cs="宋体"/>
                <w:sz w:val="18"/>
                <w:szCs w:val="18"/>
              </w:rPr>
            </w:pPr>
            <w:r w:rsidRPr="0063248C">
              <w:rPr>
                <w:rFonts w:cs="宋体"/>
                <w:sz w:val="18"/>
                <w:szCs w:val="18"/>
              </w:rPr>
              <w:t>6,199,524.11</w:t>
            </w:r>
          </w:p>
        </w:tc>
        <w:tc>
          <w:tcPr>
            <w:tcW w:w="1377" w:type="dxa"/>
            <w:tcBorders>
              <w:top w:val="single" w:sz="2" w:space="0" w:color="auto"/>
              <w:left w:val="single" w:sz="2" w:space="0" w:color="auto"/>
              <w:bottom w:val="single" w:sz="2" w:space="0" w:color="auto"/>
              <w:right w:val="single" w:sz="2" w:space="0" w:color="auto"/>
            </w:tcBorders>
            <w:vAlign w:val="center"/>
          </w:tcPr>
          <w:p w14:paraId="68E1FC44" w14:textId="77777777" w:rsidR="007B3DB2" w:rsidRPr="0063248C" w:rsidRDefault="00000000">
            <w:pPr>
              <w:spacing w:line="240" w:lineRule="exact"/>
              <w:jc w:val="right"/>
              <w:rPr>
                <w:rFonts w:cs="宋体"/>
                <w:sz w:val="18"/>
                <w:szCs w:val="18"/>
              </w:rPr>
            </w:pPr>
            <w:r w:rsidRPr="0063248C">
              <w:rPr>
                <w:rFonts w:cs="宋体"/>
                <w:sz w:val="18"/>
                <w:szCs w:val="18"/>
              </w:rPr>
              <w:t>6,199,524.11</w:t>
            </w:r>
          </w:p>
        </w:tc>
        <w:tc>
          <w:tcPr>
            <w:tcW w:w="1377" w:type="dxa"/>
            <w:tcBorders>
              <w:top w:val="single" w:sz="2" w:space="0" w:color="auto"/>
              <w:left w:val="single" w:sz="2" w:space="0" w:color="auto"/>
              <w:bottom w:val="single" w:sz="2" w:space="0" w:color="auto"/>
              <w:right w:val="single" w:sz="2" w:space="0" w:color="auto"/>
            </w:tcBorders>
            <w:vAlign w:val="center"/>
          </w:tcPr>
          <w:p w14:paraId="4097A202"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142EF062" w14:textId="77777777" w:rsidR="007B3DB2" w:rsidRPr="0063248C" w:rsidRDefault="00000000">
            <w:pPr>
              <w:spacing w:line="240" w:lineRule="exact"/>
              <w:rPr>
                <w:rFonts w:cs="宋体"/>
                <w:sz w:val="18"/>
                <w:szCs w:val="18"/>
              </w:rPr>
            </w:pPr>
            <w:r w:rsidRPr="0063248C">
              <w:rPr>
                <w:rFonts w:cs="宋体"/>
                <w:sz w:val="18"/>
                <w:szCs w:val="18"/>
              </w:rPr>
              <w:t>客户经营出现问题，无力偿还债务</w:t>
            </w:r>
          </w:p>
        </w:tc>
      </w:tr>
      <w:tr w:rsidR="007B3DB2" w:rsidRPr="0063248C" w14:paraId="728F0427"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7ECB357" w14:textId="77777777" w:rsidR="007B3DB2" w:rsidRPr="0063248C" w:rsidRDefault="00000000">
            <w:pPr>
              <w:spacing w:line="240" w:lineRule="exact"/>
              <w:rPr>
                <w:rFonts w:cs="宋体"/>
                <w:sz w:val="18"/>
                <w:szCs w:val="18"/>
              </w:rPr>
            </w:pPr>
            <w:r w:rsidRPr="0063248C">
              <w:rPr>
                <w:rFonts w:cs="宋体"/>
                <w:sz w:val="18"/>
                <w:szCs w:val="18"/>
              </w:rPr>
              <w:t>平顶山市正安商贸有限公司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6EA8DAA2" w14:textId="77777777" w:rsidR="007B3DB2" w:rsidRPr="0063248C" w:rsidRDefault="00000000">
            <w:pPr>
              <w:spacing w:line="240" w:lineRule="exact"/>
              <w:jc w:val="right"/>
              <w:rPr>
                <w:rFonts w:cs="宋体"/>
                <w:sz w:val="18"/>
                <w:szCs w:val="18"/>
              </w:rPr>
            </w:pPr>
            <w:r w:rsidRPr="0063248C">
              <w:rPr>
                <w:rFonts w:cs="宋体"/>
                <w:sz w:val="18"/>
                <w:szCs w:val="18"/>
              </w:rPr>
              <w:t>901,530.87</w:t>
            </w:r>
          </w:p>
        </w:tc>
        <w:tc>
          <w:tcPr>
            <w:tcW w:w="1377" w:type="dxa"/>
            <w:tcBorders>
              <w:top w:val="single" w:sz="2" w:space="0" w:color="auto"/>
              <w:left w:val="single" w:sz="2" w:space="0" w:color="auto"/>
              <w:bottom w:val="single" w:sz="2" w:space="0" w:color="auto"/>
              <w:right w:val="single" w:sz="2" w:space="0" w:color="auto"/>
            </w:tcBorders>
            <w:vAlign w:val="center"/>
          </w:tcPr>
          <w:p w14:paraId="5ED8645F" w14:textId="77777777" w:rsidR="007B3DB2" w:rsidRPr="0063248C" w:rsidRDefault="00000000">
            <w:pPr>
              <w:spacing w:line="240" w:lineRule="exact"/>
              <w:jc w:val="right"/>
              <w:rPr>
                <w:rFonts w:cs="宋体"/>
                <w:sz w:val="18"/>
                <w:szCs w:val="18"/>
              </w:rPr>
            </w:pPr>
            <w:r w:rsidRPr="0063248C">
              <w:rPr>
                <w:rFonts w:cs="宋体"/>
                <w:sz w:val="18"/>
                <w:szCs w:val="18"/>
              </w:rPr>
              <w:t>901,530.87</w:t>
            </w:r>
          </w:p>
        </w:tc>
        <w:tc>
          <w:tcPr>
            <w:tcW w:w="1377" w:type="dxa"/>
            <w:tcBorders>
              <w:top w:val="single" w:sz="2" w:space="0" w:color="auto"/>
              <w:left w:val="single" w:sz="2" w:space="0" w:color="auto"/>
              <w:bottom w:val="single" w:sz="2" w:space="0" w:color="auto"/>
              <w:right w:val="single" w:sz="2" w:space="0" w:color="auto"/>
            </w:tcBorders>
            <w:vAlign w:val="center"/>
          </w:tcPr>
          <w:p w14:paraId="2E8F8387" w14:textId="77777777" w:rsidR="007B3DB2" w:rsidRPr="0063248C" w:rsidRDefault="00000000">
            <w:pPr>
              <w:spacing w:line="240" w:lineRule="exact"/>
              <w:jc w:val="right"/>
              <w:rPr>
                <w:rFonts w:cs="宋体"/>
                <w:sz w:val="18"/>
                <w:szCs w:val="18"/>
              </w:rPr>
            </w:pPr>
            <w:r w:rsidRPr="0063248C">
              <w:rPr>
                <w:rFonts w:cs="宋体"/>
                <w:sz w:val="18"/>
                <w:szCs w:val="18"/>
              </w:rPr>
              <w:t>901,530.87</w:t>
            </w:r>
          </w:p>
        </w:tc>
        <w:tc>
          <w:tcPr>
            <w:tcW w:w="1377" w:type="dxa"/>
            <w:tcBorders>
              <w:top w:val="single" w:sz="2" w:space="0" w:color="auto"/>
              <w:left w:val="single" w:sz="2" w:space="0" w:color="auto"/>
              <w:bottom w:val="single" w:sz="2" w:space="0" w:color="auto"/>
              <w:right w:val="single" w:sz="2" w:space="0" w:color="auto"/>
            </w:tcBorders>
            <w:vAlign w:val="center"/>
          </w:tcPr>
          <w:p w14:paraId="52B5A4EA" w14:textId="77777777" w:rsidR="007B3DB2" w:rsidRPr="0063248C" w:rsidRDefault="00000000">
            <w:pPr>
              <w:spacing w:line="240" w:lineRule="exact"/>
              <w:jc w:val="right"/>
              <w:rPr>
                <w:rFonts w:cs="宋体"/>
                <w:sz w:val="18"/>
                <w:szCs w:val="18"/>
              </w:rPr>
            </w:pPr>
            <w:r w:rsidRPr="0063248C">
              <w:rPr>
                <w:rFonts w:cs="宋体"/>
                <w:sz w:val="18"/>
                <w:szCs w:val="18"/>
              </w:rPr>
              <w:t>901,530.87</w:t>
            </w:r>
          </w:p>
        </w:tc>
        <w:tc>
          <w:tcPr>
            <w:tcW w:w="1377" w:type="dxa"/>
            <w:tcBorders>
              <w:top w:val="single" w:sz="2" w:space="0" w:color="auto"/>
              <w:left w:val="single" w:sz="2" w:space="0" w:color="auto"/>
              <w:bottom w:val="single" w:sz="2" w:space="0" w:color="auto"/>
              <w:right w:val="single" w:sz="2" w:space="0" w:color="auto"/>
            </w:tcBorders>
            <w:vAlign w:val="center"/>
          </w:tcPr>
          <w:p w14:paraId="1D847ACE"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7E67E37C" w14:textId="77777777" w:rsidR="007B3DB2" w:rsidRPr="0063248C" w:rsidRDefault="00000000">
            <w:pPr>
              <w:spacing w:line="240" w:lineRule="exact"/>
              <w:rPr>
                <w:rFonts w:cs="宋体"/>
                <w:sz w:val="18"/>
                <w:szCs w:val="18"/>
              </w:rPr>
            </w:pPr>
            <w:r w:rsidRPr="0063248C">
              <w:rPr>
                <w:rFonts w:cs="宋体"/>
                <w:sz w:val="18"/>
                <w:szCs w:val="18"/>
              </w:rPr>
              <w:t>客户经营出现问题，无力偿</w:t>
            </w:r>
            <w:r w:rsidRPr="0063248C">
              <w:rPr>
                <w:rFonts w:cs="宋体"/>
                <w:sz w:val="18"/>
                <w:szCs w:val="18"/>
              </w:rPr>
              <w:lastRenderedPageBreak/>
              <w:t>还债务</w:t>
            </w:r>
          </w:p>
        </w:tc>
      </w:tr>
      <w:tr w:rsidR="007B3DB2" w:rsidRPr="0063248C" w14:paraId="7FFF2F10"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39F52F6" w14:textId="77777777" w:rsidR="007B3DB2" w:rsidRPr="0063248C" w:rsidRDefault="00000000">
            <w:pPr>
              <w:spacing w:line="240" w:lineRule="exact"/>
              <w:rPr>
                <w:rFonts w:cs="宋体"/>
                <w:sz w:val="18"/>
                <w:szCs w:val="18"/>
              </w:rPr>
            </w:pPr>
            <w:r w:rsidRPr="0063248C">
              <w:rPr>
                <w:rFonts w:cs="宋体"/>
                <w:sz w:val="18"/>
                <w:szCs w:val="18"/>
              </w:rPr>
              <w:lastRenderedPageBreak/>
              <w:t>个人批发商云南</w:t>
            </w:r>
            <w:proofErr w:type="gramStart"/>
            <w:r w:rsidRPr="0063248C">
              <w:rPr>
                <w:rFonts w:cs="宋体"/>
                <w:sz w:val="18"/>
                <w:szCs w:val="18"/>
              </w:rPr>
              <w:t>宣威徐欢</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14:paraId="423E9EE1" w14:textId="77777777" w:rsidR="007B3DB2" w:rsidRPr="0063248C" w:rsidRDefault="00000000">
            <w:pPr>
              <w:spacing w:line="240" w:lineRule="exact"/>
              <w:jc w:val="right"/>
              <w:rPr>
                <w:rFonts w:cs="宋体"/>
                <w:sz w:val="18"/>
                <w:szCs w:val="18"/>
              </w:rPr>
            </w:pPr>
            <w:r w:rsidRPr="0063248C">
              <w:rPr>
                <w:rFonts w:cs="宋体"/>
                <w:sz w:val="18"/>
                <w:szCs w:val="18"/>
              </w:rPr>
              <w:t>700,000.00</w:t>
            </w:r>
          </w:p>
        </w:tc>
        <w:tc>
          <w:tcPr>
            <w:tcW w:w="1377" w:type="dxa"/>
            <w:tcBorders>
              <w:top w:val="single" w:sz="2" w:space="0" w:color="auto"/>
              <w:left w:val="single" w:sz="2" w:space="0" w:color="auto"/>
              <w:bottom w:val="single" w:sz="2" w:space="0" w:color="auto"/>
              <w:right w:val="single" w:sz="2" w:space="0" w:color="auto"/>
            </w:tcBorders>
            <w:vAlign w:val="center"/>
          </w:tcPr>
          <w:p w14:paraId="7761ECC9" w14:textId="77777777" w:rsidR="007B3DB2" w:rsidRPr="0063248C" w:rsidRDefault="00000000">
            <w:pPr>
              <w:spacing w:line="240" w:lineRule="exact"/>
              <w:jc w:val="right"/>
              <w:rPr>
                <w:rFonts w:cs="宋体"/>
                <w:sz w:val="18"/>
                <w:szCs w:val="18"/>
              </w:rPr>
            </w:pPr>
            <w:r w:rsidRPr="0063248C">
              <w:rPr>
                <w:rFonts w:cs="宋体"/>
                <w:sz w:val="18"/>
                <w:szCs w:val="18"/>
              </w:rPr>
              <w:t>700,000.00</w:t>
            </w:r>
          </w:p>
        </w:tc>
        <w:tc>
          <w:tcPr>
            <w:tcW w:w="1377" w:type="dxa"/>
            <w:tcBorders>
              <w:top w:val="single" w:sz="2" w:space="0" w:color="auto"/>
              <w:left w:val="single" w:sz="2" w:space="0" w:color="auto"/>
              <w:bottom w:val="single" w:sz="2" w:space="0" w:color="auto"/>
              <w:right w:val="single" w:sz="2" w:space="0" w:color="auto"/>
            </w:tcBorders>
            <w:vAlign w:val="center"/>
          </w:tcPr>
          <w:p w14:paraId="02C5CD11" w14:textId="77777777" w:rsidR="007B3DB2" w:rsidRPr="0063248C" w:rsidRDefault="00000000">
            <w:pPr>
              <w:spacing w:line="240" w:lineRule="exact"/>
              <w:jc w:val="right"/>
              <w:rPr>
                <w:rFonts w:cs="宋体"/>
                <w:sz w:val="18"/>
                <w:szCs w:val="18"/>
              </w:rPr>
            </w:pPr>
            <w:r w:rsidRPr="0063248C">
              <w:rPr>
                <w:rFonts w:cs="宋体"/>
                <w:sz w:val="18"/>
                <w:szCs w:val="18"/>
              </w:rPr>
              <w:t>700,000.00</w:t>
            </w:r>
          </w:p>
        </w:tc>
        <w:tc>
          <w:tcPr>
            <w:tcW w:w="1377" w:type="dxa"/>
            <w:tcBorders>
              <w:top w:val="single" w:sz="2" w:space="0" w:color="auto"/>
              <w:left w:val="single" w:sz="2" w:space="0" w:color="auto"/>
              <w:bottom w:val="single" w:sz="2" w:space="0" w:color="auto"/>
              <w:right w:val="single" w:sz="2" w:space="0" w:color="auto"/>
            </w:tcBorders>
            <w:vAlign w:val="center"/>
          </w:tcPr>
          <w:p w14:paraId="7958A3F8" w14:textId="77777777" w:rsidR="007B3DB2" w:rsidRPr="0063248C" w:rsidRDefault="00000000">
            <w:pPr>
              <w:spacing w:line="240" w:lineRule="exact"/>
              <w:jc w:val="right"/>
              <w:rPr>
                <w:rFonts w:cs="宋体"/>
                <w:sz w:val="18"/>
                <w:szCs w:val="18"/>
              </w:rPr>
            </w:pPr>
            <w:r w:rsidRPr="0063248C">
              <w:rPr>
                <w:rFonts w:cs="宋体"/>
                <w:sz w:val="18"/>
                <w:szCs w:val="18"/>
              </w:rPr>
              <w:t>700,000.00</w:t>
            </w:r>
          </w:p>
        </w:tc>
        <w:tc>
          <w:tcPr>
            <w:tcW w:w="1377" w:type="dxa"/>
            <w:tcBorders>
              <w:top w:val="single" w:sz="2" w:space="0" w:color="auto"/>
              <w:left w:val="single" w:sz="2" w:space="0" w:color="auto"/>
              <w:bottom w:val="single" w:sz="2" w:space="0" w:color="auto"/>
              <w:right w:val="single" w:sz="2" w:space="0" w:color="auto"/>
            </w:tcBorders>
            <w:vAlign w:val="center"/>
          </w:tcPr>
          <w:p w14:paraId="58975409"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407FC040" w14:textId="77777777" w:rsidR="007B3DB2" w:rsidRPr="0063248C" w:rsidRDefault="00000000">
            <w:pPr>
              <w:spacing w:line="240" w:lineRule="exact"/>
              <w:rPr>
                <w:rFonts w:cs="宋体"/>
                <w:sz w:val="18"/>
                <w:szCs w:val="18"/>
              </w:rPr>
            </w:pPr>
            <w:r w:rsidRPr="0063248C">
              <w:rPr>
                <w:rFonts w:cs="宋体"/>
                <w:sz w:val="18"/>
                <w:szCs w:val="18"/>
              </w:rPr>
              <w:t>客户经营出现问题，无力偿还债务</w:t>
            </w:r>
          </w:p>
        </w:tc>
      </w:tr>
      <w:tr w:rsidR="007B3DB2" w:rsidRPr="0063248C" w14:paraId="4AA1D26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BBD7484" w14:textId="77777777" w:rsidR="007B3DB2" w:rsidRPr="0063248C" w:rsidRDefault="00000000">
            <w:pPr>
              <w:spacing w:line="240" w:lineRule="exact"/>
              <w:rPr>
                <w:rFonts w:cs="宋体"/>
                <w:sz w:val="18"/>
                <w:szCs w:val="18"/>
              </w:rPr>
            </w:pPr>
            <w:r w:rsidRPr="0063248C">
              <w:rPr>
                <w:rFonts w:cs="宋体"/>
                <w:sz w:val="18"/>
                <w:szCs w:val="18"/>
              </w:rPr>
              <w:t>贵州杨老奶食品有限公司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2E2BE7F6" w14:textId="77777777" w:rsidR="007B3DB2" w:rsidRPr="0063248C" w:rsidRDefault="00000000">
            <w:pPr>
              <w:spacing w:line="240" w:lineRule="exact"/>
              <w:jc w:val="right"/>
              <w:rPr>
                <w:rFonts w:cs="宋体"/>
                <w:sz w:val="18"/>
                <w:szCs w:val="18"/>
              </w:rPr>
            </w:pPr>
            <w:r w:rsidRPr="0063248C">
              <w:rPr>
                <w:rFonts w:cs="宋体"/>
                <w:sz w:val="18"/>
                <w:szCs w:val="18"/>
              </w:rPr>
              <w:t>648,094.70</w:t>
            </w:r>
          </w:p>
        </w:tc>
        <w:tc>
          <w:tcPr>
            <w:tcW w:w="1377" w:type="dxa"/>
            <w:tcBorders>
              <w:top w:val="single" w:sz="2" w:space="0" w:color="auto"/>
              <w:left w:val="single" w:sz="2" w:space="0" w:color="auto"/>
              <w:bottom w:val="single" w:sz="2" w:space="0" w:color="auto"/>
              <w:right w:val="single" w:sz="2" w:space="0" w:color="auto"/>
            </w:tcBorders>
            <w:vAlign w:val="center"/>
          </w:tcPr>
          <w:p w14:paraId="656E9385" w14:textId="77777777" w:rsidR="007B3DB2" w:rsidRPr="0063248C" w:rsidRDefault="00000000">
            <w:pPr>
              <w:spacing w:line="240" w:lineRule="exact"/>
              <w:jc w:val="right"/>
              <w:rPr>
                <w:rFonts w:cs="宋体"/>
                <w:sz w:val="18"/>
                <w:szCs w:val="18"/>
              </w:rPr>
            </w:pPr>
            <w:r w:rsidRPr="0063248C">
              <w:rPr>
                <w:rFonts w:cs="宋体"/>
                <w:sz w:val="18"/>
                <w:szCs w:val="18"/>
              </w:rPr>
              <w:t>648,094.70</w:t>
            </w:r>
          </w:p>
        </w:tc>
        <w:tc>
          <w:tcPr>
            <w:tcW w:w="1377" w:type="dxa"/>
            <w:tcBorders>
              <w:top w:val="single" w:sz="2" w:space="0" w:color="auto"/>
              <w:left w:val="single" w:sz="2" w:space="0" w:color="auto"/>
              <w:bottom w:val="single" w:sz="2" w:space="0" w:color="auto"/>
              <w:right w:val="single" w:sz="2" w:space="0" w:color="auto"/>
            </w:tcBorders>
            <w:vAlign w:val="center"/>
          </w:tcPr>
          <w:p w14:paraId="5E1E3646" w14:textId="77777777" w:rsidR="007B3DB2" w:rsidRPr="0063248C" w:rsidRDefault="00000000">
            <w:pPr>
              <w:spacing w:line="240" w:lineRule="exact"/>
              <w:jc w:val="right"/>
              <w:rPr>
                <w:rFonts w:cs="宋体"/>
                <w:sz w:val="18"/>
                <w:szCs w:val="18"/>
              </w:rPr>
            </w:pPr>
            <w:r w:rsidRPr="0063248C">
              <w:rPr>
                <w:rFonts w:cs="宋体"/>
                <w:sz w:val="18"/>
                <w:szCs w:val="18"/>
              </w:rPr>
              <w:t>648,094.70</w:t>
            </w:r>
          </w:p>
        </w:tc>
        <w:tc>
          <w:tcPr>
            <w:tcW w:w="1377" w:type="dxa"/>
            <w:tcBorders>
              <w:top w:val="single" w:sz="2" w:space="0" w:color="auto"/>
              <w:left w:val="single" w:sz="2" w:space="0" w:color="auto"/>
              <w:bottom w:val="single" w:sz="2" w:space="0" w:color="auto"/>
              <w:right w:val="single" w:sz="2" w:space="0" w:color="auto"/>
            </w:tcBorders>
            <w:vAlign w:val="center"/>
          </w:tcPr>
          <w:p w14:paraId="4814F6EB" w14:textId="77777777" w:rsidR="007B3DB2" w:rsidRPr="0063248C" w:rsidRDefault="00000000">
            <w:pPr>
              <w:spacing w:line="240" w:lineRule="exact"/>
              <w:jc w:val="right"/>
              <w:rPr>
                <w:rFonts w:cs="宋体"/>
                <w:sz w:val="18"/>
                <w:szCs w:val="18"/>
              </w:rPr>
            </w:pPr>
            <w:r w:rsidRPr="0063248C">
              <w:rPr>
                <w:rFonts w:cs="宋体"/>
                <w:sz w:val="18"/>
                <w:szCs w:val="18"/>
              </w:rPr>
              <w:t>648,094.70</w:t>
            </w:r>
          </w:p>
        </w:tc>
        <w:tc>
          <w:tcPr>
            <w:tcW w:w="1377" w:type="dxa"/>
            <w:tcBorders>
              <w:top w:val="single" w:sz="2" w:space="0" w:color="auto"/>
              <w:left w:val="single" w:sz="2" w:space="0" w:color="auto"/>
              <w:bottom w:val="single" w:sz="2" w:space="0" w:color="auto"/>
              <w:right w:val="single" w:sz="2" w:space="0" w:color="auto"/>
            </w:tcBorders>
            <w:vAlign w:val="center"/>
          </w:tcPr>
          <w:p w14:paraId="675166E4"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38E52AA5" w14:textId="77777777" w:rsidR="007B3DB2" w:rsidRPr="0063248C" w:rsidRDefault="00000000">
            <w:pPr>
              <w:spacing w:line="240" w:lineRule="exact"/>
              <w:rPr>
                <w:rFonts w:cs="宋体"/>
                <w:sz w:val="18"/>
                <w:szCs w:val="18"/>
              </w:rPr>
            </w:pPr>
            <w:r w:rsidRPr="0063248C">
              <w:rPr>
                <w:rFonts w:cs="宋体"/>
                <w:sz w:val="18"/>
                <w:szCs w:val="18"/>
              </w:rPr>
              <w:t>客户经营出现问题，无力偿还债务</w:t>
            </w:r>
          </w:p>
        </w:tc>
      </w:tr>
      <w:tr w:rsidR="007B3DB2" w:rsidRPr="0063248C" w14:paraId="330769A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D11D126" w14:textId="77777777" w:rsidR="007B3DB2" w:rsidRPr="0063248C" w:rsidRDefault="00000000">
            <w:pPr>
              <w:spacing w:line="240" w:lineRule="exact"/>
              <w:rPr>
                <w:rFonts w:cs="宋体"/>
                <w:sz w:val="18"/>
                <w:szCs w:val="18"/>
              </w:rPr>
            </w:pPr>
            <w:r w:rsidRPr="0063248C">
              <w:rPr>
                <w:rFonts w:cs="宋体"/>
                <w:sz w:val="18"/>
                <w:szCs w:val="18"/>
              </w:rPr>
              <w:t>云南森茂食品有限公司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6F9171D3" w14:textId="77777777" w:rsidR="007B3DB2" w:rsidRPr="0063248C" w:rsidRDefault="00000000">
            <w:pPr>
              <w:spacing w:line="240" w:lineRule="exact"/>
              <w:jc w:val="right"/>
              <w:rPr>
                <w:rFonts w:cs="宋体"/>
                <w:sz w:val="18"/>
                <w:szCs w:val="18"/>
              </w:rPr>
            </w:pPr>
            <w:r w:rsidRPr="0063248C">
              <w:rPr>
                <w:rFonts w:cs="宋体"/>
                <w:sz w:val="18"/>
                <w:szCs w:val="18"/>
              </w:rPr>
              <w:t>15,040,162.30</w:t>
            </w:r>
          </w:p>
        </w:tc>
        <w:tc>
          <w:tcPr>
            <w:tcW w:w="1377" w:type="dxa"/>
            <w:tcBorders>
              <w:top w:val="single" w:sz="2" w:space="0" w:color="auto"/>
              <w:left w:val="single" w:sz="2" w:space="0" w:color="auto"/>
              <w:bottom w:val="single" w:sz="2" w:space="0" w:color="auto"/>
              <w:right w:val="single" w:sz="2" w:space="0" w:color="auto"/>
            </w:tcBorders>
            <w:vAlign w:val="center"/>
          </w:tcPr>
          <w:p w14:paraId="39C88F62" w14:textId="77777777" w:rsidR="007B3DB2" w:rsidRPr="0063248C" w:rsidRDefault="00000000">
            <w:pPr>
              <w:spacing w:line="240" w:lineRule="exact"/>
              <w:jc w:val="right"/>
              <w:rPr>
                <w:rFonts w:cs="宋体"/>
                <w:sz w:val="18"/>
                <w:szCs w:val="18"/>
              </w:rPr>
            </w:pPr>
            <w:r w:rsidRPr="0063248C">
              <w:rPr>
                <w:rFonts w:cs="宋体"/>
                <w:sz w:val="18"/>
                <w:szCs w:val="18"/>
              </w:rPr>
              <w:t>7,940,162.30</w:t>
            </w:r>
          </w:p>
        </w:tc>
        <w:tc>
          <w:tcPr>
            <w:tcW w:w="1377" w:type="dxa"/>
            <w:tcBorders>
              <w:top w:val="single" w:sz="2" w:space="0" w:color="auto"/>
              <w:left w:val="single" w:sz="2" w:space="0" w:color="auto"/>
              <w:bottom w:val="single" w:sz="2" w:space="0" w:color="auto"/>
              <w:right w:val="single" w:sz="2" w:space="0" w:color="auto"/>
            </w:tcBorders>
            <w:vAlign w:val="center"/>
          </w:tcPr>
          <w:p w14:paraId="5E317373" w14:textId="77777777" w:rsidR="007B3DB2" w:rsidRPr="0063248C" w:rsidRDefault="00000000">
            <w:pPr>
              <w:spacing w:line="240" w:lineRule="exact"/>
              <w:jc w:val="right"/>
              <w:rPr>
                <w:rFonts w:cs="宋体"/>
                <w:sz w:val="18"/>
                <w:szCs w:val="18"/>
              </w:rPr>
            </w:pPr>
            <w:r w:rsidRPr="0063248C">
              <w:rPr>
                <w:rFonts w:cs="宋体"/>
                <w:sz w:val="18"/>
                <w:szCs w:val="18"/>
              </w:rPr>
              <w:t>15,040,162.30</w:t>
            </w:r>
          </w:p>
        </w:tc>
        <w:tc>
          <w:tcPr>
            <w:tcW w:w="1377" w:type="dxa"/>
            <w:tcBorders>
              <w:top w:val="single" w:sz="2" w:space="0" w:color="auto"/>
              <w:left w:val="single" w:sz="2" w:space="0" w:color="auto"/>
              <w:bottom w:val="single" w:sz="2" w:space="0" w:color="auto"/>
              <w:right w:val="single" w:sz="2" w:space="0" w:color="auto"/>
            </w:tcBorders>
            <w:vAlign w:val="center"/>
          </w:tcPr>
          <w:p w14:paraId="2A26DC3E" w14:textId="77777777" w:rsidR="007B3DB2" w:rsidRPr="0063248C" w:rsidRDefault="00000000">
            <w:pPr>
              <w:spacing w:line="240" w:lineRule="exact"/>
              <w:jc w:val="right"/>
              <w:rPr>
                <w:rFonts w:cs="宋体"/>
                <w:sz w:val="18"/>
                <w:szCs w:val="18"/>
              </w:rPr>
            </w:pPr>
            <w:r w:rsidRPr="0063248C">
              <w:rPr>
                <w:rFonts w:cs="宋体"/>
                <w:sz w:val="18"/>
                <w:szCs w:val="18"/>
              </w:rPr>
              <w:t>7,940,162.30</w:t>
            </w:r>
          </w:p>
        </w:tc>
        <w:tc>
          <w:tcPr>
            <w:tcW w:w="1377" w:type="dxa"/>
            <w:tcBorders>
              <w:top w:val="single" w:sz="2" w:space="0" w:color="auto"/>
              <w:left w:val="single" w:sz="2" w:space="0" w:color="auto"/>
              <w:bottom w:val="single" w:sz="2" w:space="0" w:color="auto"/>
              <w:right w:val="single" w:sz="2" w:space="0" w:color="auto"/>
            </w:tcBorders>
            <w:vAlign w:val="center"/>
          </w:tcPr>
          <w:p w14:paraId="2FDC0BB8" w14:textId="77777777" w:rsidR="007B3DB2" w:rsidRPr="0063248C" w:rsidRDefault="00000000">
            <w:pPr>
              <w:spacing w:line="240" w:lineRule="exact"/>
              <w:jc w:val="right"/>
              <w:rPr>
                <w:rFonts w:cs="宋体"/>
                <w:sz w:val="18"/>
                <w:szCs w:val="18"/>
              </w:rPr>
            </w:pPr>
            <w:r w:rsidRPr="0063248C">
              <w:rPr>
                <w:rFonts w:cs="宋体"/>
                <w:sz w:val="18"/>
                <w:szCs w:val="18"/>
              </w:rPr>
              <w:t>52.79%</w:t>
            </w:r>
          </w:p>
        </w:tc>
        <w:tc>
          <w:tcPr>
            <w:tcW w:w="1377" w:type="dxa"/>
            <w:tcBorders>
              <w:top w:val="single" w:sz="2" w:space="0" w:color="auto"/>
              <w:left w:val="single" w:sz="2" w:space="0" w:color="auto"/>
              <w:bottom w:val="single" w:sz="2" w:space="0" w:color="auto"/>
              <w:right w:val="single" w:sz="2" w:space="0" w:color="auto"/>
            </w:tcBorders>
            <w:vAlign w:val="center"/>
          </w:tcPr>
          <w:p w14:paraId="27BA597A" w14:textId="77777777" w:rsidR="007B3DB2" w:rsidRPr="0063248C" w:rsidRDefault="00000000">
            <w:pPr>
              <w:spacing w:line="240" w:lineRule="exact"/>
              <w:rPr>
                <w:rFonts w:cs="宋体"/>
                <w:sz w:val="18"/>
                <w:szCs w:val="18"/>
              </w:rPr>
            </w:pPr>
            <w:r w:rsidRPr="0063248C">
              <w:rPr>
                <w:rFonts w:cs="宋体"/>
                <w:sz w:val="18"/>
                <w:szCs w:val="18"/>
              </w:rPr>
              <w:t>与客户初步协商后确认预计可收回金额</w:t>
            </w:r>
          </w:p>
        </w:tc>
      </w:tr>
      <w:tr w:rsidR="007B3DB2" w:rsidRPr="0063248C" w14:paraId="06C973B3"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E6DC8D8" w14:textId="77777777" w:rsidR="007B3DB2" w:rsidRPr="0063248C" w:rsidRDefault="00000000">
            <w:pPr>
              <w:spacing w:line="240" w:lineRule="exact"/>
              <w:rPr>
                <w:rFonts w:cs="宋体"/>
                <w:sz w:val="18"/>
                <w:szCs w:val="18"/>
              </w:rPr>
            </w:pPr>
            <w:r w:rsidRPr="0063248C">
              <w:rPr>
                <w:rFonts w:cs="宋体"/>
                <w:sz w:val="18"/>
                <w:szCs w:val="18"/>
              </w:rPr>
              <w:t>云南亚东宏工贸有限公司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14BEECC0" w14:textId="77777777" w:rsidR="007B3DB2" w:rsidRPr="0063248C" w:rsidRDefault="00000000">
            <w:pPr>
              <w:spacing w:line="240" w:lineRule="exact"/>
              <w:jc w:val="right"/>
              <w:rPr>
                <w:rFonts w:cs="宋体"/>
                <w:sz w:val="18"/>
                <w:szCs w:val="18"/>
              </w:rPr>
            </w:pPr>
            <w:r w:rsidRPr="0063248C">
              <w:rPr>
                <w:rFonts w:cs="宋体"/>
                <w:sz w:val="18"/>
                <w:szCs w:val="18"/>
              </w:rPr>
              <w:t>12,692,500.40</w:t>
            </w:r>
          </w:p>
        </w:tc>
        <w:tc>
          <w:tcPr>
            <w:tcW w:w="1377" w:type="dxa"/>
            <w:tcBorders>
              <w:top w:val="single" w:sz="2" w:space="0" w:color="auto"/>
              <w:left w:val="single" w:sz="2" w:space="0" w:color="auto"/>
              <w:bottom w:val="single" w:sz="2" w:space="0" w:color="auto"/>
              <w:right w:val="single" w:sz="2" w:space="0" w:color="auto"/>
            </w:tcBorders>
            <w:vAlign w:val="center"/>
          </w:tcPr>
          <w:p w14:paraId="7B8D32E6" w14:textId="77777777" w:rsidR="007B3DB2" w:rsidRPr="0063248C" w:rsidRDefault="00000000">
            <w:pPr>
              <w:spacing w:line="240" w:lineRule="exact"/>
              <w:jc w:val="right"/>
              <w:rPr>
                <w:rFonts w:cs="宋体"/>
                <w:sz w:val="18"/>
                <w:szCs w:val="18"/>
              </w:rPr>
            </w:pPr>
            <w:r w:rsidRPr="0063248C">
              <w:rPr>
                <w:rFonts w:cs="宋体"/>
                <w:sz w:val="18"/>
                <w:szCs w:val="18"/>
              </w:rPr>
              <w:t>12,692,500.40</w:t>
            </w:r>
          </w:p>
        </w:tc>
        <w:tc>
          <w:tcPr>
            <w:tcW w:w="1377" w:type="dxa"/>
            <w:tcBorders>
              <w:top w:val="single" w:sz="2" w:space="0" w:color="auto"/>
              <w:left w:val="single" w:sz="2" w:space="0" w:color="auto"/>
              <w:bottom w:val="single" w:sz="2" w:space="0" w:color="auto"/>
              <w:right w:val="single" w:sz="2" w:space="0" w:color="auto"/>
            </w:tcBorders>
            <w:vAlign w:val="center"/>
          </w:tcPr>
          <w:p w14:paraId="72E6A7C0" w14:textId="77777777" w:rsidR="007B3DB2" w:rsidRPr="0063248C" w:rsidRDefault="00000000">
            <w:pPr>
              <w:spacing w:line="240" w:lineRule="exact"/>
              <w:jc w:val="right"/>
              <w:rPr>
                <w:rFonts w:cs="宋体"/>
                <w:sz w:val="18"/>
                <w:szCs w:val="18"/>
              </w:rPr>
            </w:pPr>
            <w:r w:rsidRPr="0063248C">
              <w:rPr>
                <w:rFonts w:cs="宋体"/>
                <w:sz w:val="18"/>
                <w:szCs w:val="18"/>
              </w:rPr>
              <w:t>12,692,500.40</w:t>
            </w:r>
          </w:p>
        </w:tc>
        <w:tc>
          <w:tcPr>
            <w:tcW w:w="1377" w:type="dxa"/>
            <w:tcBorders>
              <w:top w:val="single" w:sz="2" w:space="0" w:color="auto"/>
              <w:left w:val="single" w:sz="2" w:space="0" w:color="auto"/>
              <w:bottom w:val="single" w:sz="2" w:space="0" w:color="auto"/>
              <w:right w:val="single" w:sz="2" w:space="0" w:color="auto"/>
            </w:tcBorders>
            <w:vAlign w:val="center"/>
          </w:tcPr>
          <w:p w14:paraId="15BE56E1" w14:textId="77777777" w:rsidR="007B3DB2" w:rsidRPr="0063248C" w:rsidRDefault="00000000">
            <w:pPr>
              <w:spacing w:line="240" w:lineRule="exact"/>
              <w:jc w:val="right"/>
              <w:rPr>
                <w:rFonts w:cs="宋体"/>
                <w:sz w:val="18"/>
                <w:szCs w:val="18"/>
              </w:rPr>
            </w:pPr>
            <w:r w:rsidRPr="0063248C">
              <w:rPr>
                <w:rFonts w:cs="宋体"/>
                <w:sz w:val="18"/>
                <w:szCs w:val="18"/>
              </w:rPr>
              <w:t>12,692,500.40</w:t>
            </w:r>
          </w:p>
        </w:tc>
        <w:tc>
          <w:tcPr>
            <w:tcW w:w="1377" w:type="dxa"/>
            <w:tcBorders>
              <w:top w:val="single" w:sz="2" w:space="0" w:color="auto"/>
              <w:left w:val="single" w:sz="2" w:space="0" w:color="auto"/>
              <w:bottom w:val="single" w:sz="2" w:space="0" w:color="auto"/>
              <w:right w:val="single" w:sz="2" w:space="0" w:color="auto"/>
            </w:tcBorders>
            <w:vAlign w:val="center"/>
          </w:tcPr>
          <w:p w14:paraId="4217BF65"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24164E60" w14:textId="77777777" w:rsidR="007B3DB2" w:rsidRPr="0063248C" w:rsidRDefault="00000000">
            <w:pPr>
              <w:spacing w:line="240" w:lineRule="exact"/>
              <w:rPr>
                <w:rFonts w:cs="宋体"/>
                <w:sz w:val="18"/>
                <w:szCs w:val="18"/>
              </w:rPr>
            </w:pPr>
            <w:r w:rsidRPr="0063248C">
              <w:rPr>
                <w:rFonts w:cs="宋体"/>
                <w:sz w:val="18"/>
                <w:szCs w:val="18"/>
              </w:rPr>
              <w:t>客户经营出现问题，无力偿还债务</w:t>
            </w:r>
          </w:p>
        </w:tc>
      </w:tr>
      <w:tr w:rsidR="007B3DB2" w:rsidRPr="0063248C" w14:paraId="5364141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9683DB1" w14:textId="77777777" w:rsidR="007B3DB2" w:rsidRPr="0063248C" w:rsidRDefault="00000000">
            <w:pPr>
              <w:spacing w:line="240" w:lineRule="exact"/>
              <w:rPr>
                <w:rFonts w:cs="宋体"/>
                <w:sz w:val="18"/>
                <w:szCs w:val="18"/>
              </w:rPr>
            </w:pPr>
            <w:r w:rsidRPr="0063248C">
              <w:rPr>
                <w:rFonts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2F139AD3" w14:textId="77777777" w:rsidR="007B3DB2" w:rsidRPr="0063248C" w:rsidRDefault="00000000">
            <w:pPr>
              <w:spacing w:line="240" w:lineRule="exact"/>
              <w:jc w:val="right"/>
              <w:rPr>
                <w:rFonts w:cs="宋体"/>
                <w:sz w:val="18"/>
                <w:szCs w:val="18"/>
              </w:rPr>
            </w:pPr>
            <w:r w:rsidRPr="0063248C">
              <w:rPr>
                <w:rFonts w:cs="宋体"/>
                <w:sz w:val="18"/>
                <w:szCs w:val="18"/>
              </w:rPr>
              <w:t>2,882,355.53</w:t>
            </w:r>
          </w:p>
        </w:tc>
        <w:tc>
          <w:tcPr>
            <w:tcW w:w="1377" w:type="dxa"/>
            <w:tcBorders>
              <w:top w:val="single" w:sz="2" w:space="0" w:color="auto"/>
              <w:left w:val="single" w:sz="2" w:space="0" w:color="auto"/>
              <w:bottom w:val="single" w:sz="2" w:space="0" w:color="auto"/>
              <w:right w:val="single" w:sz="2" w:space="0" w:color="auto"/>
            </w:tcBorders>
            <w:vAlign w:val="center"/>
          </w:tcPr>
          <w:p w14:paraId="1E275D4E" w14:textId="77777777" w:rsidR="007B3DB2" w:rsidRPr="0063248C" w:rsidRDefault="00000000">
            <w:pPr>
              <w:spacing w:line="240" w:lineRule="exact"/>
              <w:jc w:val="right"/>
              <w:rPr>
                <w:rFonts w:cs="宋体"/>
                <w:sz w:val="18"/>
                <w:szCs w:val="18"/>
              </w:rPr>
            </w:pPr>
            <w:r w:rsidRPr="0063248C">
              <w:rPr>
                <w:rFonts w:cs="宋体"/>
                <w:sz w:val="18"/>
                <w:szCs w:val="18"/>
              </w:rPr>
              <w:t>2,462,319.38</w:t>
            </w:r>
          </w:p>
        </w:tc>
        <w:tc>
          <w:tcPr>
            <w:tcW w:w="1377" w:type="dxa"/>
            <w:tcBorders>
              <w:top w:val="single" w:sz="2" w:space="0" w:color="auto"/>
              <w:left w:val="single" w:sz="2" w:space="0" w:color="auto"/>
              <w:bottom w:val="single" w:sz="2" w:space="0" w:color="auto"/>
              <w:right w:val="single" w:sz="2" w:space="0" w:color="auto"/>
            </w:tcBorders>
            <w:vAlign w:val="center"/>
          </w:tcPr>
          <w:p w14:paraId="67334C34" w14:textId="77777777" w:rsidR="007B3DB2" w:rsidRPr="0063248C" w:rsidRDefault="00000000">
            <w:pPr>
              <w:spacing w:line="240" w:lineRule="exact"/>
              <w:jc w:val="right"/>
              <w:rPr>
                <w:rFonts w:cs="宋体"/>
                <w:sz w:val="18"/>
                <w:szCs w:val="18"/>
              </w:rPr>
            </w:pPr>
            <w:r w:rsidRPr="0063248C">
              <w:rPr>
                <w:rFonts w:cs="宋体"/>
                <w:sz w:val="18"/>
                <w:szCs w:val="18"/>
              </w:rPr>
              <w:t>1,512,951.08</w:t>
            </w:r>
          </w:p>
        </w:tc>
        <w:tc>
          <w:tcPr>
            <w:tcW w:w="1377" w:type="dxa"/>
            <w:tcBorders>
              <w:top w:val="single" w:sz="2" w:space="0" w:color="auto"/>
              <w:left w:val="single" w:sz="2" w:space="0" w:color="auto"/>
              <w:bottom w:val="single" w:sz="2" w:space="0" w:color="auto"/>
              <w:right w:val="single" w:sz="2" w:space="0" w:color="auto"/>
            </w:tcBorders>
            <w:vAlign w:val="center"/>
          </w:tcPr>
          <w:p w14:paraId="35FF630C" w14:textId="77777777" w:rsidR="007B3DB2" w:rsidRPr="0063248C" w:rsidRDefault="00000000">
            <w:pPr>
              <w:spacing w:line="240" w:lineRule="exact"/>
              <w:jc w:val="right"/>
              <w:rPr>
                <w:rFonts w:cs="宋体"/>
                <w:sz w:val="18"/>
                <w:szCs w:val="18"/>
              </w:rPr>
            </w:pPr>
            <w:r w:rsidRPr="0063248C">
              <w:rPr>
                <w:rFonts w:cs="宋体"/>
                <w:sz w:val="18"/>
                <w:szCs w:val="18"/>
              </w:rPr>
              <w:t>1,512,951.08</w:t>
            </w:r>
          </w:p>
        </w:tc>
        <w:tc>
          <w:tcPr>
            <w:tcW w:w="1377" w:type="dxa"/>
            <w:tcBorders>
              <w:top w:val="single" w:sz="2" w:space="0" w:color="auto"/>
              <w:left w:val="single" w:sz="2" w:space="0" w:color="auto"/>
              <w:bottom w:val="single" w:sz="2" w:space="0" w:color="auto"/>
              <w:right w:val="single" w:sz="2" w:space="0" w:color="auto"/>
            </w:tcBorders>
            <w:vAlign w:val="center"/>
          </w:tcPr>
          <w:p w14:paraId="21879C60"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6A86E09F" w14:textId="77777777" w:rsidR="007B3DB2" w:rsidRPr="0063248C" w:rsidRDefault="00000000">
            <w:pPr>
              <w:spacing w:line="240" w:lineRule="exact"/>
              <w:rPr>
                <w:rFonts w:cs="宋体"/>
                <w:sz w:val="18"/>
                <w:szCs w:val="18"/>
              </w:rPr>
            </w:pPr>
            <w:r w:rsidRPr="0063248C">
              <w:rPr>
                <w:rFonts w:cs="宋体"/>
                <w:sz w:val="18"/>
                <w:szCs w:val="18"/>
              </w:rPr>
              <w:t>客户经营出现问题，无力偿还债务</w:t>
            </w:r>
          </w:p>
        </w:tc>
      </w:tr>
      <w:tr w:rsidR="007B3DB2" w:rsidRPr="0063248C" w14:paraId="738D5AA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164B35E"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4F41E946" w14:textId="77777777" w:rsidR="007B3DB2" w:rsidRPr="0063248C" w:rsidRDefault="00000000">
            <w:pPr>
              <w:spacing w:line="240" w:lineRule="exact"/>
              <w:jc w:val="right"/>
              <w:rPr>
                <w:rFonts w:cs="宋体"/>
                <w:sz w:val="18"/>
                <w:szCs w:val="18"/>
              </w:rPr>
            </w:pPr>
            <w:r w:rsidRPr="0063248C">
              <w:rPr>
                <w:rFonts w:cs="宋体"/>
                <w:sz w:val="18"/>
                <w:szCs w:val="18"/>
              </w:rPr>
              <w:t>39,843,943.39</w:t>
            </w:r>
          </w:p>
        </w:tc>
        <w:tc>
          <w:tcPr>
            <w:tcW w:w="1377" w:type="dxa"/>
            <w:tcBorders>
              <w:top w:val="single" w:sz="2" w:space="0" w:color="auto"/>
              <w:left w:val="single" w:sz="2" w:space="0" w:color="auto"/>
              <w:bottom w:val="single" w:sz="2" w:space="0" w:color="auto"/>
              <w:right w:val="single" w:sz="2" w:space="0" w:color="auto"/>
            </w:tcBorders>
            <w:vAlign w:val="center"/>
          </w:tcPr>
          <w:p w14:paraId="2E9F1140" w14:textId="77777777" w:rsidR="007B3DB2" w:rsidRPr="0063248C" w:rsidRDefault="00000000">
            <w:pPr>
              <w:spacing w:line="240" w:lineRule="exact"/>
              <w:jc w:val="right"/>
              <w:rPr>
                <w:rFonts w:cs="宋体"/>
                <w:sz w:val="18"/>
                <w:szCs w:val="18"/>
              </w:rPr>
            </w:pPr>
            <w:r w:rsidRPr="0063248C">
              <w:rPr>
                <w:rFonts w:cs="宋体"/>
                <w:sz w:val="18"/>
                <w:szCs w:val="18"/>
              </w:rPr>
              <w:t>32,323,907.24</w:t>
            </w:r>
          </w:p>
        </w:tc>
        <w:tc>
          <w:tcPr>
            <w:tcW w:w="1377" w:type="dxa"/>
            <w:tcBorders>
              <w:top w:val="single" w:sz="2" w:space="0" w:color="auto"/>
              <w:left w:val="single" w:sz="2" w:space="0" w:color="auto"/>
              <w:bottom w:val="single" w:sz="2" w:space="0" w:color="auto"/>
              <w:right w:val="single" w:sz="2" w:space="0" w:color="auto"/>
            </w:tcBorders>
            <w:vAlign w:val="center"/>
          </w:tcPr>
          <w:p w14:paraId="27659087" w14:textId="77777777" w:rsidR="007B3DB2" w:rsidRPr="0063248C" w:rsidRDefault="00000000">
            <w:pPr>
              <w:spacing w:line="240" w:lineRule="exact"/>
              <w:jc w:val="right"/>
              <w:rPr>
                <w:rFonts w:cs="宋体"/>
                <w:sz w:val="18"/>
                <w:szCs w:val="18"/>
              </w:rPr>
            </w:pPr>
            <w:r w:rsidRPr="0063248C">
              <w:rPr>
                <w:rFonts w:cs="宋体"/>
                <w:sz w:val="18"/>
                <w:szCs w:val="18"/>
              </w:rPr>
              <w:t>38,474,538.94</w:t>
            </w:r>
          </w:p>
        </w:tc>
        <w:tc>
          <w:tcPr>
            <w:tcW w:w="1377" w:type="dxa"/>
            <w:tcBorders>
              <w:top w:val="single" w:sz="2" w:space="0" w:color="auto"/>
              <w:left w:val="single" w:sz="2" w:space="0" w:color="auto"/>
              <w:bottom w:val="single" w:sz="2" w:space="0" w:color="auto"/>
              <w:right w:val="single" w:sz="2" w:space="0" w:color="auto"/>
            </w:tcBorders>
            <w:vAlign w:val="center"/>
          </w:tcPr>
          <w:p w14:paraId="7E66616F" w14:textId="77777777" w:rsidR="007B3DB2" w:rsidRPr="0063248C" w:rsidRDefault="00000000">
            <w:pPr>
              <w:spacing w:line="240" w:lineRule="exact"/>
              <w:jc w:val="right"/>
              <w:rPr>
                <w:rFonts w:cs="宋体"/>
                <w:sz w:val="18"/>
                <w:szCs w:val="18"/>
              </w:rPr>
            </w:pPr>
            <w:r w:rsidRPr="0063248C">
              <w:rPr>
                <w:rFonts w:cs="宋体"/>
                <w:sz w:val="18"/>
                <w:szCs w:val="18"/>
              </w:rPr>
              <w:t>31,374,538.94</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B4C9B9"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AAB955A" w14:textId="77777777" w:rsidR="007B3DB2" w:rsidRPr="0063248C" w:rsidRDefault="007B3DB2"/>
        </w:tc>
      </w:tr>
    </w:tbl>
    <w:p w14:paraId="10DCE63C" w14:textId="77777777" w:rsidR="007B3DB2" w:rsidRPr="0063248C" w:rsidRDefault="00000000">
      <w:pPr>
        <w:spacing w:before="100" w:after="100" w:line="240" w:lineRule="exact"/>
        <w:rPr>
          <w:rFonts w:cs="宋体"/>
          <w:sz w:val="18"/>
          <w:szCs w:val="18"/>
        </w:rPr>
      </w:pPr>
      <w:r w:rsidRPr="0063248C">
        <w:rPr>
          <w:rFonts w:cs="宋体"/>
          <w:sz w:val="18"/>
          <w:szCs w:val="18"/>
        </w:rPr>
        <w:t>按组合计提坏账准备类别名称：</w:t>
      </w:r>
      <w:r w:rsidRPr="0063248C">
        <w:rPr>
          <w:rFonts w:cs="宋体"/>
          <w:sz w:val="18"/>
          <w:szCs w:val="18"/>
        </w:rPr>
        <w:t>1</w:t>
      </w:r>
    </w:p>
    <w:p w14:paraId="05794C9D"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64BBEC0F"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97CDB16" w14:textId="77777777" w:rsidR="007B3DB2" w:rsidRPr="0063248C" w:rsidRDefault="00000000">
            <w:pPr>
              <w:spacing w:before="40" w:after="40" w:line="240" w:lineRule="exact"/>
              <w:jc w:val="center"/>
              <w:rPr>
                <w:rFonts w:cs="宋体"/>
                <w:sz w:val="18"/>
                <w:szCs w:val="18"/>
              </w:rPr>
            </w:pPr>
            <w:r w:rsidRPr="0063248C">
              <w:rPr>
                <w:rFonts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5ED895F"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169C679D"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85BE088"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7C17629"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DEB192"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14F3476"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r>
      <w:tr w:rsidR="007B3DB2" w:rsidRPr="0063248C" w14:paraId="48DDBEE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93FB639" w14:textId="77777777" w:rsidR="007B3DB2" w:rsidRPr="0063248C" w:rsidRDefault="00000000">
            <w:pPr>
              <w:spacing w:line="240" w:lineRule="exact"/>
              <w:rPr>
                <w:rFonts w:cs="宋体"/>
                <w:sz w:val="18"/>
                <w:szCs w:val="18"/>
              </w:rPr>
            </w:pPr>
            <w:r w:rsidRPr="0063248C">
              <w:rPr>
                <w:rFonts w:cs="宋体"/>
                <w:sz w:val="18"/>
                <w:szCs w:val="18"/>
              </w:rPr>
              <w:t>1-3</w:t>
            </w:r>
            <w:r w:rsidRPr="0063248C">
              <w:rPr>
                <w:rFonts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6C3E676B" w14:textId="77777777" w:rsidR="007B3DB2" w:rsidRPr="0063248C" w:rsidRDefault="00000000">
            <w:pPr>
              <w:spacing w:line="240" w:lineRule="exact"/>
              <w:jc w:val="right"/>
              <w:rPr>
                <w:rFonts w:cs="宋体"/>
                <w:sz w:val="18"/>
                <w:szCs w:val="18"/>
              </w:rPr>
            </w:pPr>
            <w:r w:rsidRPr="0063248C">
              <w:rPr>
                <w:rFonts w:cs="宋体"/>
                <w:sz w:val="18"/>
                <w:szCs w:val="18"/>
              </w:rPr>
              <w:t>263,452,368.73</w:t>
            </w:r>
          </w:p>
        </w:tc>
        <w:tc>
          <w:tcPr>
            <w:tcW w:w="2410" w:type="dxa"/>
            <w:tcBorders>
              <w:top w:val="single" w:sz="2" w:space="0" w:color="auto"/>
              <w:left w:val="single" w:sz="2" w:space="0" w:color="auto"/>
              <w:bottom w:val="single" w:sz="2" w:space="0" w:color="auto"/>
              <w:right w:val="single" w:sz="2" w:space="0" w:color="auto"/>
            </w:tcBorders>
            <w:vAlign w:val="center"/>
          </w:tcPr>
          <w:p w14:paraId="31127559" w14:textId="77777777" w:rsidR="007B3DB2" w:rsidRPr="0063248C" w:rsidRDefault="00000000">
            <w:pPr>
              <w:spacing w:line="240" w:lineRule="exact"/>
              <w:jc w:val="right"/>
              <w:rPr>
                <w:rFonts w:cs="宋体"/>
                <w:sz w:val="18"/>
                <w:szCs w:val="18"/>
              </w:rPr>
            </w:pPr>
            <w:r w:rsidRPr="0063248C">
              <w:rPr>
                <w:rFonts w:cs="宋体"/>
                <w:sz w:val="18"/>
                <w:szCs w:val="18"/>
              </w:rPr>
              <w:t>5,894,488.08</w:t>
            </w:r>
          </w:p>
        </w:tc>
        <w:tc>
          <w:tcPr>
            <w:tcW w:w="2410" w:type="dxa"/>
            <w:tcBorders>
              <w:top w:val="single" w:sz="2" w:space="0" w:color="auto"/>
              <w:left w:val="single" w:sz="2" w:space="0" w:color="auto"/>
              <w:bottom w:val="single" w:sz="2" w:space="0" w:color="auto"/>
              <w:right w:val="single" w:sz="2" w:space="0" w:color="auto"/>
            </w:tcBorders>
            <w:vAlign w:val="center"/>
          </w:tcPr>
          <w:p w14:paraId="2C2CAC61" w14:textId="77777777" w:rsidR="007B3DB2" w:rsidRPr="0063248C" w:rsidRDefault="00000000">
            <w:pPr>
              <w:spacing w:line="240" w:lineRule="exact"/>
              <w:jc w:val="right"/>
              <w:rPr>
                <w:rFonts w:cs="宋体"/>
                <w:sz w:val="18"/>
                <w:szCs w:val="18"/>
              </w:rPr>
            </w:pPr>
            <w:r w:rsidRPr="0063248C">
              <w:rPr>
                <w:rFonts w:cs="宋体"/>
                <w:sz w:val="18"/>
                <w:szCs w:val="18"/>
              </w:rPr>
              <w:t>2.24%</w:t>
            </w:r>
          </w:p>
        </w:tc>
      </w:tr>
      <w:tr w:rsidR="007B3DB2" w:rsidRPr="0063248C" w14:paraId="22D00BA9"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DF2AB6A" w14:textId="77777777" w:rsidR="007B3DB2" w:rsidRPr="0063248C" w:rsidRDefault="00000000">
            <w:pPr>
              <w:spacing w:line="240" w:lineRule="exact"/>
              <w:rPr>
                <w:rFonts w:cs="宋体"/>
                <w:sz w:val="18"/>
                <w:szCs w:val="18"/>
              </w:rPr>
            </w:pPr>
            <w:r w:rsidRPr="0063248C">
              <w:rPr>
                <w:rFonts w:cs="宋体"/>
                <w:sz w:val="18"/>
                <w:szCs w:val="18"/>
              </w:rPr>
              <w:t>4-6</w:t>
            </w:r>
            <w:r w:rsidRPr="0063248C">
              <w:rPr>
                <w:rFonts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61A7047B" w14:textId="77777777" w:rsidR="007B3DB2" w:rsidRPr="0063248C" w:rsidRDefault="00000000">
            <w:pPr>
              <w:spacing w:line="240" w:lineRule="exact"/>
              <w:jc w:val="right"/>
              <w:rPr>
                <w:rFonts w:cs="宋体"/>
                <w:sz w:val="18"/>
                <w:szCs w:val="18"/>
              </w:rPr>
            </w:pPr>
            <w:r w:rsidRPr="0063248C">
              <w:rPr>
                <w:rFonts w:cs="宋体"/>
                <w:sz w:val="18"/>
                <w:szCs w:val="18"/>
              </w:rPr>
              <w:t>21,545,002.05</w:t>
            </w:r>
          </w:p>
        </w:tc>
        <w:tc>
          <w:tcPr>
            <w:tcW w:w="2410" w:type="dxa"/>
            <w:tcBorders>
              <w:top w:val="single" w:sz="2" w:space="0" w:color="auto"/>
              <w:left w:val="single" w:sz="2" w:space="0" w:color="auto"/>
              <w:bottom w:val="single" w:sz="2" w:space="0" w:color="auto"/>
              <w:right w:val="single" w:sz="2" w:space="0" w:color="auto"/>
            </w:tcBorders>
            <w:vAlign w:val="center"/>
          </w:tcPr>
          <w:p w14:paraId="5F63D001" w14:textId="77777777" w:rsidR="007B3DB2" w:rsidRPr="0063248C" w:rsidRDefault="00000000">
            <w:pPr>
              <w:spacing w:line="240" w:lineRule="exact"/>
              <w:jc w:val="right"/>
              <w:rPr>
                <w:rFonts w:cs="宋体"/>
                <w:sz w:val="18"/>
                <w:szCs w:val="18"/>
              </w:rPr>
            </w:pPr>
            <w:r w:rsidRPr="0063248C">
              <w:rPr>
                <w:rFonts w:cs="宋体"/>
                <w:sz w:val="18"/>
                <w:szCs w:val="18"/>
              </w:rPr>
              <w:t>470,883.21</w:t>
            </w:r>
          </w:p>
        </w:tc>
        <w:tc>
          <w:tcPr>
            <w:tcW w:w="2410" w:type="dxa"/>
            <w:tcBorders>
              <w:top w:val="single" w:sz="2" w:space="0" w:color="auto"/>
              <w:left w:val="single" w:sz="2" w:space="0" w:color="auto"/>
              <w:bottom w:val="single" w:sz="2" w:space="0" w:color="auto"/>
              <w:right w:val="single" w:sz="2" w:space="0" w:color="auto"/>
            </w:tcBorders>
            <w:vAlign w:val="center"/>
          </w:tcPr>
          <w:p w14:paraId="132F90BB" w14:textId="77777777" w:rsidR="007B3DB2" w:rsidRPr="0063248C" w:rsidRDefault="00000000">
            <w:pPr>
              <w:spacing w:line="240" w:lineRule="exact"/>
              <w:jc w:val="right"/>
              <w:rPr>
                <w:rFonts w:cs="宋体"/>
                <w:sz w:val="18"/>
                <w:szCs w:val="18"/>
              </w:rPr>
            </w:pPr>
            <w:r w:rsidRPr="0063248C">
              <w:rPr>
                <w:rFonts w:cs="宋体"/>
                <w:sz w:val="18"/>
                <w:szCs w:val="18"/>
              </w:rPr>
              <w:t>2.19%</w:t>
            </w:r>
          </w:p>
        </w:tc>
      </w:tr>
      <w:tr w:rsidR="007B3DB2" w:rsidRPr="0063248C" w14:paraId="69379E67"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25C0EF0" w14:textId="77777777" w:rsidR="007B3DB2" w:rsidRPr="0063248C" w:rsidRDefault="00000000">
            <w:pPr>
              <w:spacing w:line="240" w:lineRule="exact"/>
              <w:rPr>
                <w:rFonts w:cs="宋体"/>
                <w:sz w:val="18"/>
                <w:szCs w:val="18"/>
              </w:rPr>
            </w:pPr>
            <w:r w:rsidRPr="0063248C">
              <w:rPr>
                <w:rFonts w:cs="宋体"/>
                <w:sz w:val="18"/>
                <w:szCs w:val="18"/>
              </w:rPr>
              <w:t>7-9</w:t>
            </w:r>
            <w:r w:rsidRPr="0063248C">
              <w:rPr>
                <w:rFonts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40B5DE09" w14:textId="77777777" w:rsidR="007B3DB2" w:rsidRPr="0063248C" w:rsidRDefault="00000000">
            <w:pPr>
              <w:spacing w:line="240" w:lineRule="exact"/>
              <w:jc w:val="right"/>
              <w:rPr>
                <w:rFonts w:cs="宋体"/>
                <w:sz w:val="18"/>
                <w:szCs w:val="18"/>
              </w:rPr>
            </w:pPr>
            <w:r w:rsidRPr="0063248C">
              <w:rPr>
                <w:rFonts w:cs="宋体"/>
                <w:sz w:val="18"/>
                <w:szCs w:val="18"/>
              </w:rPr>
              <w:t>26,368,822.12</w:t>
            </w:r>
          </w:p>
        </w:tc>
        <w:tc>
          <w:tcPr>
            <w:tcW w:w="2410" w:type="dxa"/>
            <w:tcBorders>
              <w:top w:val="single" w:sz="2" w:space="0" w:color="auto"/>
              <w:left w:val="single" w:sz="2" w:space="0" w:color="auto"/>
              <w:bottom w:val="single" w:sz="2" w:space="0" w:color="auto"/>
              <w:right w:val="single" w:sz="2" w:space="0" w:color="auto"/>
            </w:tcBorders>
            <w:vAlign w:val="center"/>
          </w:tcPr>
          <w:p w14:paraId="1C13D8BD" w14:textId="77777777" w:rsidR="007B3DB2" w:rsidRPr="0063248C" w:rsidRDefault="00000000">
            <w:pPr>
              <w:spacing w:line="240" w:lineRule="exact"/>
              <w:jc w:val="right"/>
              <w:rPr>
                <w:rFonts w:cs="宋体"/>
                <w:sz w:val="18"/>
                <w:szCs w:val="18"/>
              </w:rPr>
            </w:pPr>
            <w:r w:rsidRPr="0063248C">
              <w:rPr>
                <w:rFonts w:cs="宋体"/>
                <w:sz w:val="18"/>
                <w:szCs w:val="18"/>
              </w:rPr>
              <w:t>831,277.90</w:t>
            </w:r>
          </w:p>
        </w:tc>
        <w:tc>
          <w:tcPr>
            <w:tcW w:w="2410" w:type="dxa"/>
            <w:tcBorders>
              <w:top w:val="single" w:sz="2" w:space="0" w:color="auto"/>
              <w:left w:val="single" w:sz="2" w:space="0" w:color="auto"/>
              <w:bottom w:val="single" w:sz="2" w:space="0" w:color="auto"/>
              <w:right w:val="single" w:sz="2" w:space="0" w:color="auto"/>
            </w:tcBorders>
            <w:vAlign w:val="center"/>
          </w:tcPr>
          <w:p w14:paraId="406E797E" w14:textId="77777777" w:rsidR="007B3DB2" w:rsidRPr="0063248C" w:rsidRDefault="00000000">
            <w:pPr>
              <w:spacing w:line="240" w:lineRule="exact"/>
              <w:jc w:val="right"/>
              <w:rPr>
                <w:rFonts w:cs="宋体"/>
                <w:sz w:val="18"/>
                <w:szCs w:val="18"/>
              </w:rPr>
            </w:pPr>
            <w:r w:rsidRPr="0063248C">
              <w:rPr>
                <w:rFonts w:cs="宋体"/>
                <w:sz w:val="18"/>
                <w:szCs w:val="18"/>
              </w:rPr>
              <w:t>3.15%</w:t>
            </w:r>
          </w:p>
        </w:tc>
      </w:tr>
      <w:tr w:rsidR="007B3DB2" w:rsidRPr="0063248C" w14:paraId="5A42401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5C4C823" w14:textId="77777777" w:rsidR="007B3DB2" w:rsidRPr="0063248C" w:rsidRDefault="00000000">
            <w:pPr>
              <w:spacing w:line="240" w:lineRule="exact"/>
              <w:rPr>
                <w:rFonts w:cs="宋体"/>
                <w:sz w:val="18"/>
                <w:szCs w:val="18"/>
              </w:rPr>
            </w:pPr>
            <w:r w:rsidRPr="0063248C">
              <w:rPr>
                <w:rFonts w:cs="宋体"/>
                <w:sz w:val="18"/>
                <w:szCs w:val="18"/>
              </w:rPr>
              <w:t>10-12</w:t>
            </w:r>
            <w:r w:rsidRPr="0063248C">
              <w:rPr>
                <w:rFonts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393E9DB7" w14:textId="77777777" w:rsidR="007B3DB2" w:rsidRPr="0063248C" w:rsidRDefault="00000000">
            <w:pPr>
              <w:spacing w:line="240" w:lineRule="exact"/>
              <w:jc w:val="right"/>
              <w:rPr>
                <w:rFonts w:cs="宋体"/>
                <w:sz w:val="18"/>
                <w:szCs w:val="18"/>
              </w:rPr>
            </w:pPr>
            <w:r w:rsidRPr="0063248C">
              <w:rPr>
                <w:rFonts w:cs="宋体"/>
                <w:sz w:val="18"/>
                <w:szCs w:val="18"/>
              </w:rPr>
              <w:t>3,375,401.71</w:t>
            </w:r>
          </w:p>
        </w:tc>
        <w:tc>
          <w:tcPr>
            <w:tcW w:w="2410" w:type="dxa"/>
            <w:tcBorders>
              <w:top w:val="single" w:sz="2" w:space="0" w:color="auto"/>
              <w:left w:val="single" w:sz="2" w:space="0" w:color="auto"/>
              <w:bottom w:val="single" w:sz="2" w:space="0" w:color="auto"/>
              <w:right w:val="single" w:sz="2" w:space="0" w:color="auto"/>
            </w:tcBorders>
            <w:vAlign w:val="center"/>
          </w:tcPr>
          <w:p w14:paraId="32353565" w14:textId="77777777" w:rsidR="007B3DB2" w:rsidRPr="0063248C" w:rsidRDefault="00000000">
            <w:pPr>
              <w:spacing w:line="240" w:lineRule="exact"/>
              <w:jc w:val="right"/>
              <w:rPr>
                <w:rFonts w:cs="宋体"/>
                <w:sz w:val="18"/>
                <w:szCs w:val="18"/>
              </w:rPr>
            </w:pPr>
            <w:r w:rsidRPr="0063248C">
              <w:rPr>
                <w:rFonts w:cs="宋体"/>
                <w:sz w:val="18"/>
                <w:szCs w:val="18"/>
              </w:rPr>
              <w:t>75,363.50</w:t>
            </w:r>
          </w:p>
        </w:tc>
        <w:tc>
          <w:tcPr>
            <w:tcW w:w="2410" w:type="dxa"/>
            <w:tcBorders>
              <w:top w:val="single" w:sz="2" w:space="0" w:color="auto"/>
              <w:left w:val="single" w:sz="2" w:space="0" w:color="auto"/>
              <w:bottom w:val="single" w:sz="2" w:space="0" w:color="auto"/>
              <w:right w:val="single" w:sz="2" w:space="0" w:color="auto"/>
            </w:tcBorders>
            <w:vAlign w:val="center"/>
          </w:tcPr>
          <w:p w14:paraId="3E4E3B35" w14:textId="77777777" w:rsidR="007B3DB2" w:rsidRPr="0063248C" w:rsidRDefault="00000000">
            <w:pPr>
              <w:spacing w:line="240" w:lineRule="exact"/>
              <w:jc w:val="right"/>
              <w:rPr>
                <w:rFonts w:cs="宋体"/>
                <w:sz w:val="18"/>
                <w:szCs w:val="18"/>
              </w:rPr>
            </w:pPr>
            <w:r w:rsidRPr="0063248C">
              <w:rPr>
                <w:rFonts w:cs="宋体"/>
                <w:sz w:val="18"/>
                <w:szCs w:val="18"/>
              </w:rPr>
              <w:t>2.23%</w:t>
            </w:r>
          </w:p>
        </w:tc>
      </w:tr>
      <w:tr w:rsidR="007B3DB2" w:rsidRPr="0063248C" w14:paraId="439A45B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AA1720C" w14:textId="77777777" w:rsidR="007B3DB2" w:rsidRPr="0063248C" w:rsidRDefault="00000000">
            <w:pPr>
              <w:spacing w:line="240" w:lineRule="exact"/>
              <w:rPr>
                <w:rFonts w:cs="宋体"/>
                <w:sz w:val="18"/>
                <w:szCs w:val="18"/>
              </w:rPr>
            </w:pPr>
            <w:r w:rsidRPr="0063248C">
              <w:rPr>
                <w:rFonts w:cs="宋体"/>
                <w:sz w:val="18"/>
                <w:szCs w:val="18"/>
              </w:rPr>
              <w:t>1-2</w:t>
            </w:r>
            <w:r w:rsidRPr="0063248C">
              <w:rPr>
                <w:rFonts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5EA0F8F8" w14:textId="77777777" w:rsidR="007B3DB2" w:rsidRPr="0063248C" w:rsidRDefault="00000000">
            <w:pPr>
              <w:spacing w:line="240" w:lineRule="exact"/>
              <w:jc w:val="right"/>
              <w:rPr>
                <w:rFonts w:cs="宋体"/>
                <w:sz w:val="18"/>
                <w:szCs w:val="18"/>
              </w:rPr>
            </w:pPr>
            <w:r w:rsidRPr="0063248C">
              <w:rPr>
                <w:rFonts w:cs="宋体"/>
                <w:sz w:val="18"/>
                <w:szCs w:val="18"/>
              </w:rPr>
              <w:t>32,328,035.05</w:t>
            </w:r>
          </w:p>
        </w:tc>
        <w:tc>
          <w:tcPr>
            <w:tcW w:w="2410" w:type="dxa"/>
            <w:tcBorders>
              <w:top w:val="single" w:sz="2" w:space="0" w:color="auto"/>
              <w:left w:val="single" w:sz="2" w:space="0" w:color="auto"/>
              <w:bottom w:val="single" w:sz="2" w:space="0" w:color="auto"/>
              <w:right w:val="single" w:sz="2" w:space="0" w:color="auto"/>
            </w:tcBorders>
            <w:vAlign w:val="center"/>
          </w:tcPr>
          <w:p w14:paraId="607C2E4A" w14:textId="77777777" w:rsidR="007B3DB2" w:rsidRPr="0063248C" w:rsidRDefault="00000000">
            <w:pPr>
              <w:spacing w:line="240" w:lineRule="exact"/>
              <w:jc w:val="right"/>
              <w:rPr>
                <w:rFonts w:cs="宋体"/>
                <w:sz w:val="18"/>
                <w:szCs w:val="18"/>
              </w:rPr>
            </w:pPr>
            <w:r w:rsidRPr="0063248C">
              <w:rPr>
                <w:rFonts w:cs="宋体"/>
                <w:sz w:val="18"/>
                <w:szCs w:val="18"/>
              </w:rPr>
              <w:t>8,074,732.28</w:t>
            </w:r>
          </w:p>
        </w:tc>
        <w:tc>
          <w:tcPr>
            <w:tcW w:w="2410" w:type="dxa"/>
            <w:tcBorders>
              <w:top w:val="single" w:sz="2" w:space="0" w:color="auto"/>
              <w:left w:val="single" w:sz="2" w:space="0" w:color="auto"/>
              <w:bottom w:val="single" w:sz="2" w:space="0" w:color="auto"/>
              <w:right w:val="single" w:sz="2" w:space="0" w:color="auto"/>
            </w:tcBorders>
            <w:vAlign w:val="center"/>
          </w:tcPr>
          <w:p w14:paraId="1708B1D0" w14:textId="77777777" w:rsidR="007B3DB2" w:rsidRPr="0063248C" w:rsidRDefault="00000000">
            <w:pPr>
              <w:spacing w:line="240" w:lineRule="exact"/>
              <w:jc w:val="right"/>
              <w:rPr>
                <w:rFonts w:cs="宋体"/>
                <w:sz w:val="18"/>
                <w:szCs w:val="18"/>
              </w:rPr>
            </w:pPr>
            <w:r w:rsidRPr="0063248C">
              <w:rPr>
                <w:rFonts w:cs="宋体"/>
                <w:sz w:val="18"/>
                <w:szCs w:val="18"/>
              </w:rPr>
              <w:t>24.98%</w:t>
            </w:r>
          </w:p>
        </w:tc>
      </w:tr>
      <w:tr w:rsidR="007B3DB2" w:rsidRPr="0063248C" w14:paraId="253DB72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07240F3" w14:textId="77777777" w:rsidR="007B3DB2" w:rsidRPr="0063248C" w:rsidRDefault="00000000">
            <w:pPr>
              <w:spacing w:line="240" w:lineRule="exact"/>
              <w:rPr>
                <w:rFonts w:cs="宋体"/>
                <w:sz w:val="18"/>
                <w:szCs w:val="18"/>
              </w:rPr>
            </w:pPr>
            <w:r w:rsidRPr="0063248C">
              <w:rPr>
                <w:rFonts w:cs="宋体"/>
                <w:sz w:val="18"/>
                <w:szCs w:val="18"/>
              </w:rPr>
              <w:t>2-3</w:t>
            </w:r>
            <w:r w:rsidRPr="0063248C">
              <w:rPr>
                <w:rFonts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0A32633A" w14:textId="77777777" w:rsidR="007B3DB2" w:rsidRPr="0063248C" w:rsidRDefault="00000000">
            <w:pPr>
              <w:spacing w:line="240" w:lineRule="exact"/>
              <w:jc w:val="right"/>
              <w:rPr>
                <w:rFonts w:cs="宋体"/>
                <w:sz w:val="18"/>
                <w:szCs w:val="18"/>
              </w:rPr>
            </w:pPr>
            <w:r w:rsidRPr="0063248C">
              <w:rPr>
                <w:rFonts w:cs="宋体"/>
                <w:sz w:val="18"/>
                <w:szCs w:val="18"/>
              </w:rPr>
              <w:t>4,021,199.86</w:t>
            </w:r>
          </w:p>
        </w:tc>
        <w:tc>
          <w:tcPr>
            <w:tcW w:w="2410" w:type="dxa"/>
            <w:tcBorders>
              <w:top w:val="single" w:sz="2" w:space="0" w:color="auto"/>
              <w:left w:val="single" w:sz="2" w:space="0" w:color="auto"/>
              <w:bottom w:val="single" w:sz="2" w:space="0" w:color="auto"/>
              <w:right w:val="single" w:sz="2" w:space="0" w:color="auto"/>
            </w:tcBorders>
            <w:vAlign w:val="center"/>
          </w:tcPr>
          <w:p w14:paraId="4A155D58" w14:textId="77777777" w:rsidR="007B3DB2" w:rsidRPr="0063248C" w:rsidRDefault="00000000">
            <w:pPr>
              <w:spacing w:line="240" w:lineRule="exact"/>
              <w:jc w:val="right"/>
              <w:rPr>
                <w:rFonts w:cs="宋体"/>
                <w:sz w:val="18"/>
                <w:szCs w:val="18"/>
              </w:rPr>
            </w:pPr>
            <w:r w:rsidRPr="0063248C">
              <w:rPr>
                <w:rFonts w:cs="宋体"/>
                <w:sz w:val="18"/>
                <w:szCs w:val="18"/>
              </w:rPr>
              <w:t>2,010,599.94</w:t>
            </w:r>
          </w:p>
        </w:tc>
        <w:tc>
          <w:tcPr>
            <w:tcW w:w="2410" w:type="dxa"/>
            <w:tcBorders>
              <w:top w:val="single" w:sz="2" w:space="0" w:color="auto"/>
              <w:left w:val="single" w:sz="2" w:space="0" w:color="auto"/>
              <w:bottom w:val="single" w:sz="2" w:space="0" w:color="auto"/>
              <w:right w:val="single" w:sz="2" w:space="0" w:color="auto"/>
            </w:tcBorders>
            <w:vAlign w:val="center"/>
          </w:tcPr>
          <w:p w14:paraId="30AAD86E" w14:textId="77777777" w:rsidR="007B3DB2" w:rsidRPr="0063248C" w:rsidRDefault="00000000">
            <w:pPr>
              <w:spacing w:line="240" w:lineRule="exact"/>
              <w:jc w:val="right"/>
              <w:rPr>
                <w:rFonts w:cs="宋体"/>
                <w:sz w:val="18"/>
                <w:szCs w:val="18"/>
              </w:rPr>
            </w:pPr>
            <w:r w:rsidRPr="0063248C">
              <w:rPr>
                <w:rFonts w:cs="宋体"/>
                <w:sz w:val="18"/>
                <w:szCs w:val="18"/>
              </w:rPr>
              <w:t>50.00%</w:t>
            </w:r>
          </w:p>
        </w:tc>
      </w:tr>
      <w:tr w:rsidR="007B3DB2" w:rsidRPr="0063248C" w14:paraId="40691A0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BA8EA33" w14:textId="77777777" w:rsidR="007B3DB2" w:rsidRPr="0063248C" w:rsidRDefault="00000000">
            <w:pPr>
              <w:spacing w:line="240" w:lineRule="exact"/>
              <w:rPr>
                <w:rFonts w:cs="宋体"/>
                <w:sz w:val="18"/>
                <w:szCs w:val="18"/>
              </w:rPr>
            </w:pPr>
            <w:r w:rsidRPr="0063248C">
              <w:rPr>
                <w:rFonts w:cs="宋体"/>
                <w:sz w:val="18"/>
                <w:szCs w:val="18"/>
              </w:rPr>
              <w:t>3-4</w:t>
            </w:r>
            <w:r w:rsidRPr="0063248C">
              <w:rPr>
                <w:rFonts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2A2D90DA" w14:textId="77777777" w:rsidR="007B3DB2" w:rsidRPr="0063248C" w:rsidRDefault="00000000">
            <w:pPr>
              <w:spacing w:line="240" w:lineRule="exact"/>
              <w:jc w:val="right"/>
              <w:rPr>
                <w:rFonts w:cs="宋体"/>
                <w:sz w:val="18"/>
                <w:szCs w:val="18"/>
              </w:rPr>
            </w:pPr>
            <w:r w:rsidRPr="0063248C">
              <w:rPr>
                <w:rFonts w:cs="宋体"/>
                <w:sz w:val="18"/>
                <w:szCs w:val="18"/>
              </w:rPr>
              <w:t>704,318.63</w:t>
            </w:r>
          </w:p>
        </w:tc>
        <w:tc>
          <w:tcPr>
            <w:tcW w:w="2410" w:type="dxa"/>
            <w:tcBorders>
              <w:top w:val="single" w:sz="2" w:space="0" w:color="auto"/>
              <w:left w:val="single" w:sz="2" w:space="0" w:color="auto"/>
              <w:bottom w:val="single" w:sz="2" w:space="0" w:color="auto"/>
              <w:right w:val="single" w:sz="2" w:space="0" w:color="auto"/>
            </w:tcBorders>
            <w:vAlign w:val="center"/>
          </w:tcPr>
          <w:p w14:paraId="311ACB5F" w14:textId="77777777" w:rsidR="007B3DB2" w:rsidRPr="0063248C" w:rsidRDefault="00000000">
            <w:pPr>
              <w:spacing w:line="240" w:lineRule="exact"/>
              <w:jc w:val="right"/>
              <w:rPr>
                <w:rFonts w:cs="宋体"/>
                <w:sz w:val="18"/>
                <w:szCs w:val="18"/>
              </w:rPr>
            </w:pPr>
            <w:r w:rsidRPr="0063248C">
              <w:rPr>
                <w:rFonts w:cs="宋体"/>
                <w:sz w:val="18"/>
                <w:szCs w:val="18"/>
              </w:rPr>
              <w:t>563,454.90</w:t>
            </w:r>
          </w:p>
        </w:tc>
        <w:tc>
          <w:tcPr>
            <w:tcW w:w="2410" w:type="dxa"/>
            <w:tcBorders>
              <w:top w:val="single" w:sz="2" w:space="0" w:color="auto"/>
              <w:left w:val="single" w:sz="2" w:space="0" w:color="auto"/>
              <w:bottom w:val="single" w:sz="2" w:space="0" w:color="auto"/>
              <w:right w:val="single" w:sz="2" w:space="0" w:color="auto"/>
            </w:tcBorders>
            <w:vAlign w:val="center"/>
          </w:tcPr>
          <w:p w14:paraId="6BF8BC9F" w14:textId="77777777" w:rsidR="007B3DB2" w:rsidRPr="0063248C" w:rsidRDefault="00000000">
            <w:pPr>
              <w:spacing w:line="240" w:lineRule="exact"/>
              <w:jc w:val="right"/>
              <w:rPr>
                <w:rFonts w:cs="宋体"/>
                <w:sz w:val="18"/>
                <w:szCs w:val="18"/>
              </w:rPr>
            </w:pPr>
            <w:r w:rsidRPr="0063248C">
              <w:rPr>
                <w:rFonts w:cs="宋体"/>
                <w:sz w:val="18"/>
                <w:szCs w:val="18"/>
              </w:rPr>
              <w:t>80.00%</w:t>
            </w:r>
          </w:p>
        </w:tc>
      </w:tr>
      <w:tr w:rsidR="007B3DB2" w:rsidRPr="0063248C" w14:paraId="4B7B4B1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B19029F"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29865372" w14:textId="77777777" w:rsidR="007B3DB2" w:rsidRPr="0063248C" w:rsidRDefault="00000000">
            <w:pPr>
              <w:spacing w:line="240" w:lineRule="exact"/>
              <w:jc w:val="right"/>
              <w:rPr>
                <w:rFonts w:cs="宋体"/>
                <w:sz w:val="18"/>
                <w:szCs w:val="18"/>
              </w:rPr>
            </w:pPr>
            <w:r w:rsidRPr="0063248C">
              <w:rPr>
                <w:rFonts w:cs="宋体"/>
                <w:sz w:val="18"/>
                <w:szCs w:val="18"/>
              </w:rPr>
              <w:t>351,795,148.15</w:t>
            </w:r>
          </w:p>
        </w:tc>
        <w:tc>
          <w:tcPr>
            <w:tcW w:w="2410" w:type="dxa"/>
            <w:tcBorders>
              <w:top w:val="single" w:sz="2" w:space="0" w:color="auto"/>
              <w:left w:val="single" w:sz="2" w:space="0" w:color="auto"/>
              <w:bottom w:val="single" w:sz="2" w:space="0" w:color="auto"/>
              <w:right w:val="single" w:sz="2" w:space="0" w:color="auto"/>
            </w:tcBorders>
            <w:vAlign w:val="center"/>
          </w:tcPr>
          <w:p w14:paraId="213C1368" w14:textId="77777777" w:rsidR="007B3DB2" w:rsidRPr="0063248C" w:rsidRDefault="00000000">
            <w:pPr>
              <w:spacing w:line="240" w:lineRule="exact"/>
              <w:jc w:val="right"/>
              <w:rPr>
                <w:rFonts w:cs="宋体"/>
                <w:sz w:val="18"/>
                <w:szCs w:val="18"/>
              </w:rPr>
            </w:pPr>
            <w:r w:rsidRPr="0063248C">
              <w:rPr>
                <w:rFonts w:cs="宋体"/>
                <w:sz w:val="18"/>
                <w:szCs w:val="18"/>
              </w:rPr>
              <w:t>17,920,799.81</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8C15234" w14:textId="77777777" w:rsidR="007B3DB2" w:rsidRPr="0063248C" w:rsidRDefault="007B3DB2"/>
        </w:tc>
      </w:tr>
    </w:tbl>
    <w:p w14:paraId="53FB8B2A" w14:textId="77777777" w:rsidR="007B3DB2" w:rsidRPr="0063248C" w:rsidRDefault="00000000">
      <w:pPr>
        <w:spacing w:before="100" w:after="100" w:line="240" w:lineRule="exact"/>
        <w:rPr>
          <w:rFonts w:cs="宋体"/>
          <w:sz w:val="18"/>
          <w:szCs w:val="18"/>
        </w:rPr>
      </w:pPr>
      <w:r w:rsidRPr="0063248C">
        <w:rPr>
          <w:rFonts w:cs="宋体"/>
          <w:sz w:val="18"/>
          <w:szCs w:val="18"/>
        </w:rPr>
        <w:t>确定该组合依据的说明：</w:t>
      </w:r>
    </w:p>
    <w:p w14:paraId="7416A8BD" w14:textId="77777777" w:rsidR="00517D34" w:rsidRPr="0063248C" w:rsidRDefault="00000000">
      <w:pPr>
        <w:pStyle w:val="a3"/>
        <w:divId w:val="383724179"/>
        <w:rPr>
          <w:rFonts w:ascii="Times New Roman" w:hAnsi="Times New Roman"/>
          <w:sz w:val="18"/>
          <w:szCs w:val="18"/>
        </w:rPr>
      </w:pPr>
      <w:r w:rsidRPr="0063248C">
        <w:rPr>
          <w:rFonts w:ascii="Times New Roman" w:hAnsi="Times New Roman" w:hint="eastAsia"/>
          <w:sz w:val="18"/>
          <w:szCs w:val="18"/>
        </w:rPr>
        <w:t>无</w:t>
      </w:r>
    </w:p>
    <w:p w14:paraId="24545CBD" w14:textId="77777777" w:rsidR="007B3DB2" w:rsidRPr="0063248C" w:rsidRDefault="00000000">
      <w:pPr>
        <w:spacing w:before="100" w:after="100" w:line="240" w:lineRule="exact"/>
        <w:rPr>
          <w:rFonts w:cs="宋体"/>
          <w:sz w:val="18"/>
          <w:szCs w:val="18"/>
        </w:rPr>
      </w:pPr>
      <w:r w:rsidRPr="0063248C">
        <w:rPr>
          <w:rFonts w:cs="宋体"/>
          <w:sz w:val="18"/>
          <w:szCs w:val="18"/>
        </w:rPr>
        <w:t>如是按照预期信用损失一般模型计提应收账款坏账准备：</w:t>
      </w:r>
    </w:p>
    <w:p w14:paraId="53767EB9"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3E864AA" w14:textId="77777777" w:rsidR="007B3DB2" w:rsidRPr="0063248C" w:rsidRDefault="00000000">
      <w:pPr>
        <w:keepNext/>
        <w:keepLines/>
        <w:spacing w:before="300" w:after="300" w:line="280" w:lineRule="exact"/>
        <w:outlineLvl w:val="3"/>
        <w:rPr>
          <w:rFonts w:cs="宋体"/>
          <w:b/>
          <w:bCs/>
          <w:szCs w:val="21"/>
        </w:rPr>
      </w:pPr>
      <w:bookmarkStart w:id="192" w:name="_Toc989081"/>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本期计提、收回或转回的坏账准备情况</w:t>
      </w:r>
      <w:bookmarkEnd w:id="192"/>
    </w:p>
    <w:p w14:paraId="056A7EFD" w14:textId="77777777" w:rsidR="007B3DB2" w:rsidRPr="0063248C" w:rsidRDefault="00000000">
      <w:pPr>
        <w:spacing w:before="40" w:after="40" w:line="240" w:lineRule="exact"/>
        <w:rPr>
          <w:rFonts w:cs="宋体"/>
          <w:sz w:val="18"/>
          <w:szCs w:val="18"/>
        </w:rPr>
      </w:pPr>
      <w:r w:rsidRPr="0063248C">
        <w:rPr>
          <w:rFonts w:cs="宋体"/>
          <w:sz w:val="18"/>
          <w:szCs w:val="18"/>
        </w:rPr>
        <w:t>本期计提坏账准备情况：</w:t>
      </w:r>
    </w:p>
    <w:p w14:paraId="61967059"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43F7E279" w14:textId="77777777" w:rsidTr="00B425DC">
        <w:trPr>
          <w:trHeight w:val="240"/>
        </w:trPr>
        <w:tc>
          <w:tcPr>
            <w:tcW w:w="1377" w:type="dxa"/>
            <w:vMerge w:val="restart"/>
            <w:shd w:val="clear" w:color="auto" w:fill="D3D3D3"/>
            <w:vAlign w:val="center"/>
          </w:tcPr>
          <w:p w14:paraId="6360E843" w14:textId="77777777" w:rsidR="007B3DB2" w:rsidRPr="0063248C" w:rsidRDefault="00000000">
            <w:pPr>
              <w:spacing w:before="40" w:after="40" w:line="240" w:lineRule="exact"/>
              <w:jc w:val="center"/>
              <w:rPr>
                <w:rFonts w:cs="宋体"/>
                <w:sz w:val="18"/>
                <w:szCs w:val="18"/>
              </w:rPr>
            </w:pPr>
            <w:r w:rsidRPr="0063248C">
              <w:rPr>
                <w:rFonts w:cs="宋体"/>
                <w:sz w:val="18"/>
                <w:szCs w:val="18"/>
              </w:rPr>
              <w:t>类别</w:t>
            </w:r>
          </w:p>
        </w:tc>
        <w:tc>
          <w:tcPr>
            <w:tcW w:w="1377" w:type="dxa"/>
            <w:vMerge w:val="restart"/>
            <w:shd w:val="clear" w:color="auto" w:fill="D3D3D3"/>
            <w:vAlign w:val="center"/>
          </w:tcPr>
          <w:p w14:paraId="17BB3BB1"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5508" w:type="dxa"/>
            <w:gridSpan w:val="4"/>
            <w:shd w:val="clear" w:color="auto" w:fill="D3D3D3"/>
            <w:vAlign w:val="center"/>
          </w:tcPr>
          <w:p w14:paraId="04EDB79E"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本期变动金额</w:t>
            </w:r>
          </w:p>
        </w:tc>
        <w:tc>
          <w:tcPr>
            <w:tcW w:w="1377" w:type="dxa"/>
            <w:vMerge w:val="restart"/>
            <w:shd w:val="clear" w:color="auto" w:fill="D3D3D3"/>
            <w:vAlign w:val="center"/>
          </w:tcPr>
          <w:p w14:paraId="2EA9D25C"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423140AD" w14:textId="77777777" w:rsidTr="00B425DC">
        <w:trPr>
          <w:trHeight w:val="240"/>
        </w:trPr>
        <w:tc>
          <w:tcPr>
            <w:tcW w:w="1377" w:type="dxa"/>
            <w:vMerge/>
            <w:shd w:val="clear" w:color="auto" w:fill="D3D3D3"/>
            <w:vAlign w:val="center"/>
          </w:tcPr>
          <w:p w14:paraId="17B807A3" w14:textId="77777777" w:rsidR="007B3DB2" w:rsidRPr="0063248C" w:rsidRDefault="007B3DB2"/>
        </w:tc>
        <w:tc>
          <w:tcPr>
            <w:tcW w:w="1377" w:type="dxa"/>
            <w:vMerge/>
            <w:shd w:val="clear" w:color="auto" w:fill="D3D3D3"/>
            <w:vAlign w:val="center"/>
          </w:tcPr>
          <w:p w14:paraId="0A09BD3A" w14:textId="77777777" w:rsidR="007B3DB2" w:rsidRPr="0063248C" w:rsidRDefault="007B3DB2"/>
        </w:tc>
        <w:tc>
          <w:tcPr>
            <w:tcW w:w="1377" w:type="dxa"/>
            <w:shd w:val="clear" w:color="auto" w:fill="D3D3D3"/>
            <w:vAlign w:val="center"/>
          </w:tcPr>
          <w:p w14:paraId="32AD18B6"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w:t>
            </w:r>
          </w:p>
        </w:tc>
        <w:tc>
          <w:tcPr>
            <w:tcW w:w="1377" w:type="dxa"/>
            <w:shd w:val="clear" w:color="auto" w:fill="D3D3D3"/>
            <w:vAlign w:val="center"/>
          </w:tcPr>
          <w:p w14:paraId="3599D243" w14:textId="77777777" w:rsidR="007B3DB2" w:rsidRPr="0063248C" w:rsidRDefault="00000000">
            <w:pPr>
              <w:spacing w:before="40" w:after="40" w:line="240" w:lineRule="exact"/>
              <w:jc w:val="center"/>
              <w:rPr>
                <w:rFonts w:cs="宋体"/>
                <w:sz w:val="18"/>
                <w:szCs w:val="18"/>
              </w:rPr>
            </w:pPr>
            <w:r w:rsidRPr="0063248C">
              <w:rPr>
                <w:rFonts w:cs="宋体"/>
                <w:sz w:val="18"/>
                <w:szCs w:val="18"/>
              </w:rPr>
              <w:t>收回或转回</w:t>
            </w:r>
          </w:p>
        </w:tc>
        <w:tc>
          <w:tcPr>
            <w:tcW w:w="1377" w:type="dxa"/>
            <w:shd w:val="clear" w:color="auto" w:fill="D3D3D3"/>
            <w:vAlign w:val="center"/>
          </w:tcPr>
          <w:p w14:paraId="69242D81" w14:textId="77777777" w:rsidR="007B3DB2" w:rsidRPr="0063248C" w:rsidRDefault="00000000">
            <w:pPr>
              <w:spacing w:before="40" w:after="40" w:line="240" w:lineRule="exact"/>
              <w:jc w:val="center"/>
              <w:rPr>
                <w:rFonts w:cs="宋体"/>
                <w:sz w:val="18"/>
                <w:szCs w:val="18"/>
              </w:rPr>
            </w:pPr>
            <w:r w:rsidRPr="0063248C">
              <w:rPr>
                <w:rFonts w:cs="宋体"/>
                <w:sz w:val="18"/>
                <w:szCs w:val="18"/>
              </w:rPr>
              <w:t>核销</w:t>
            </w:r>
          </w:p>
        </w:tc>
        <w:tc>
          <w:tcPr>
            <w:tcW w:w="1377" w:type="dxa"/>
            <w:shd w:val="clear" w:color="auto" w:fill="D3D3D3"/>
            <w:vAlign w:val="center"/>
          </w:tcPr>
          <w:p w14:paraId="2BF28D8C"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1377" w:type="dxa"/>
            <w:vMerge/>
            <w:shd w:val="clear" w:color="auto" w:fill="D3D3D3"/>
            <w:vAlign w:val="center"/>
          </w:tcPr>
          <w:p w14:paraId="132D0BFA" w14:textId="77777777" w:rsidR="007B3DB2" w:rsidRPr="0063248C" w:rsidRDefault="007B3DB2"/>
        </w:tc>
      </w:tr>
      <w:tr w:rsidR="007B3DB2" w:rsidRPr="0063248C" w14:paraId="011E9AF2" w14:textId="77777777" w:rsidTr="00B425DC">
        <w:trPr>
          <w:trHeight w:val="240"/>
        </w:trPr>
        <w:tc>
          <w:tcPr>
            <w:tcW w:w="1377" w:type="dxa"/>
            <w:vAlign w:val="center"/>
          </w:tcPr>
          <w:p w14:paraId="768AF1EE" w14:textId="77777777" w:rsidR="007B3DB2" w:rsidRPr="0063248C" w:rsidRDefault="00000000">
            <w:pPr>
              <w:spacing w:line="240" w:lineRule="exact"/>
              <w:rPr>
                <w:rFonts w:cs="宋体"/>
                <w:sz w:val="18"/>
                <w:szCs w:val="18"/>
              </w:rPr>
            </w:pPr>
            <w:r w:rsidRPr="0063248C">
              <w:rPr>
                <w:rFonts w:cs="宋体"/>
                <w:sz w:val="18"/>
                <w:szCs w:val="18"/>
              </w:rPr>
              <w:t>应收账款</w:t>
            </w:r>
          </w:p>
        </w:tc>
        <w:tc>
          <w:tcPr>
            <w:tcW w:w="1377" w:type="dxa"/>
            <w:vAlign w:val="center"/>
          </w:tcPr>
          <w:p w14:paraId="4B70236F" w14:textId="77777777" w:rsidR="007B3DB2" w:rsidRPr="0063248C" w:rsidRDefault="00000000">
            <w:pPr>
              <w:spacing w:line="240" w:lineRule="exact"/>
              <w:jc w:val="right"/>
              <w:rPr>
                <w:rFonts w:cs="宋体"/>
                <w:sz w:val="18"/>
                <w:szCs w:val="18"/>
              </w:rPr>
            </w:pPr>
            <w:r w:rsidRPr="0063248C">
              <w:rPr>
                <w:rFonts w:cs="宋体"/>
                <w:sz w:val="18"/>
                <w:szCs w:val="18"/>
              </w:rPr>
              <w:t>51,680,650.41</w:t>
            </w:r>
          </w:p>
        </w:tc>
        <w:tc>
          <w:tcPr>
            <w:tcW w:w="1377" w:type="dxa"/>
            <w:vAlign w:val="center"/>
          </w:tcPr>
          <w:p w14:paraId="280C296D" w14:textId="77777777" w:rsidR="007B3DB2" w:rsidRPr="0063248C" w:rsidRDefault="00000000">
            <w:pPr>
              <w:spacing w:line="240" w:lineRule="exact"/>
              <w:jc w:val="right"/>
              <w:rPr>
                <w:rFonts w:cs="宋体"/>
                <w:sz w:val="18"/>
                <w:szCs w:val="18"/>
              </w:rPr>
            </w:pPr>
            <w:r w:rsidRPr="0063248C">
              <w:rPr>
                <w:rFonts w:cs="宋体"/>
                <w:sz w:val="18"/>
                <w:szCs w:val="18"/>
              </w:rPr>
              <w:t>-2,385,311.66</w:t>
            </w:r>
          </w:p>
        </w:tc>
        <w:tc>
          <w:tcPr>
            <w:tcW w:w="1377" w:type="dxa"/>
            <w:vAlign w:val="center"/>
          </w:tcPr>
          <w:p w14:paraId="759DF4BD" w14:textId="77777777" w:rsidR="007B3DB2" w:rsidRPr="0063248C" w:rsidRDefault="007B3DB2">
            <w:pPr>
              <w:spacing w:line="240" w:lineRule="exact"/>
              <w:jc w:val="right"/>
              <w:rPr>
                <w:rFonts w:cs="宋体"/>
                <w:sz w:val="18"/>
                <w:szCs w:val="18"/>
              </w:rPr>
            </w:pPr>
          </w:p>
        </w:tc>
        <w:tc>
          <w:tcPr>
            <w:tcW w:w="1377" w:type="dxa"/>
            <w:vAlign w:val="center"/>
          </w:tcPr>
          <w:p w14:paraId="47C2F510" w14:textId="77777777" w:rsidR="007B3DB2" w:rsidRPr="0063248C" w:rsidRDefault="007B3DB2">
            <w:pPr>
              <w:spacing w:line="240" w:lineRule="exact"/>
              <w:jc w:val="right"/>
              <w:rPr>
                <w:rFonts w:cs="宋体"/>
                <w:sz w:val="18"/>
                <w:szCs w:val="18"/>
              </w:rPr>
            </w:pPr>
          </w:p>
        </w:tc>
        <w:tc>
          <w:tcPr>
            <w:tcW w:w="1377" w:type="dxa"/>
            <w:vAlign w:val="center"/>
          </w:tcPr>
          <w:p w14:paraId="1D405123" w14:textId="77777777" w:rsidR="007B3DB2" w:rsidRPr="0063248C" w:rsidRDefault="007B3DB2">
            <w:pPr>
              <w:spacing w:line="240" w:lineRule="exact"/>
              <w:jc w:val="right"/>
              <w:rPr>
                <w:rFonts w:cs="宋体"/>
                <w:sz w:val="18"/>
                <w:szCs w:val="18"/>
              </w:rPr>
            </w:pPr>
          </w:p>
        </w:tc>
        <w:tc>
          <w:tcPr>
            <w:tcW w:w="1377" w:type="dxa"/>
            <w:vAlign w:val="center"/>
          </w:tcPr>
          <w:p w14:paraId="47757BE3" w14:textId="77777777" w:rsidR="007B3DB2" w:rsidRPr="0063248C" w:rsidRDefault="00000000">
            <w:pPr>
              <w:spacing w:line="240" w:lineRule="exact"/>
              <w:jc w:val="right"/>
              <w:rPr>
                <w:rFonts w:cs="宋体"/>
                <w:sz w:val="18"/>
                <w:szCs w:val="18"/>
              </w:rPr>
            </w:pPr>
            <w:r w:rsidRPr="0063248C">
              <w:rPr>
                <w:rFonts w:cs="宋体"/>
                <w:sz w:val="18"/>
                <w:szCs w:val="18"/>
              </w:rPr>
              <w:t>49,295,338.75</w:t>
            </w:r>
          </w:p>
        </w:tc>
      </w:tr>
      <w:tr w:rsidR="007B3DB2" w:rsidRPr="0063248C" w14:paraId="36F75FC2" w14:textId="77777777" w:rsidTr="00B425DC">
        <w:trPr>
          <w:trHeight w:val="240"/>
        </w:trPr>
        <w:tc>
          <w:tcPr>
            <w:tcW w:w="1377" w:type="dxa"/>
            <w:shd w:val="clear" w:color="auto" w:fill="D3D3D3"/>
            <w:vAlign w:val="center"/>
          </w:tcPr>
          <w:p w14:paraId="0E2AE379"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377" w:type="dxa"/>
            <w:vAlign w:val="center"/>
          </w:tcPr>
          <w:p w14:paraId="1E655D38" w14:textId="77777777" w:rsidR="007B3DB2" w:rsidRPr="0063248C" w:rsidRDefault="00000000">
            <w:pPr>
              <w:spacing w:line="240" w:lineRule="exact"/>
              <w:jc w:val="right"/>
              <w:rPr>
                <w:rFonts w:cs="宋体"/>
                <w:sz w:val="18"/>
                <w:szCs w:val="18"/>
              </w:rPr>
            </w:pPr>
            <w:r w:rsidRPr="0063248C">
              <w:rPr>
                <w:rFonts w:cs="宋体"/>
                <w:sz w:val="18"/>
                <w:szCs w:val="18"/>
              </w:rPr>
              <w:t>51,680,650.41</w:t>
            </w:r>
          </w:p>
        </w:tc>
        <w:tc>
          <w:tcPr>
            <w:tcW w:w="1377" w:type="dxa"/>
            <w:vAlign w:val="center"/>
          </w:tcPr>
          <w:p w14:paraId="31B5FE88" w14:textId="77777777" w:rsidR="007B3DB2" w:rsidRPr="0063248C" w:rsidRDefault="00000000">
            <w:pPr>
              <w:spacing w:line="240" w:lineRule="exact"/>
              <w:jc w:val="right"/>
              <w:rPr>
                <w:rFonts w:cs="宋体"/>
                <w:sz w:val="18"/>
                <w:szCs w:val="18"/>
              </w:rPr>
            </w:pPr>
            <w:r w:rsidRPr="0063248C">
              <w:rPr>
                <w:rFonts w:cs="宋体"/>
                <w:sz w:val="18"/>
                <w:szCs w:val="18"/>
              </w:rPr>
              <w:t>-2,385,311.66</w:t>
            </w:r>
          </w:p>
        </w:tc>
        <w:tc>
          <w:tcPr>
            <w:tcW w:w="1377" w:type="dxa"/>
            <w:vAlign w:val="center"/>
          </w:tcPr>
          <w:p w14:paraId="2DF266AF" w14:textId="77777777" w:rsidR="007B3DB2" w:rsidRPr="0063248C" w:rsidRDefault="007B3DB2">
            <w:pPr>
              <w:spacing w:line="240" w:lineRule="exact"/>
              <w:jc w:val="right"/>
              <w:rPr>
                <w:rFonts w:cs="宋体"/>
                <w:sz w:val="18"/>
                <w:szCs w:val="18"/>
              </w:rPr>
            </w:pPr>
          </w:p>
        </w:tc>
        <w:tc>
          <w:tcPr>
            <w:tcW w:w="1377" w:type="dxa"/>
            <w:vAlign w:val="center"/>
          </w:tcPr>
          <w:p w14:paraId="475A1D68" w14:textId="77777777" w:rsidR="007B3DB2" w:rsidRPr="0063248C" w:rsidRDefault="007B3DB2">
            <w:pPr>
              <w:spacing w:line="240" w:lineRule="exact"/>
              <w:jc w:val="right"/>
              <w:rPr>
                <w:rFonts w:cs="宋体"/>
                <w:sz w:val="18"/>
                <w:szCs w:val="18"/>
              </w:rPr>
            </w:pPr>
          </w:p>
        </w:tc>
        <w:tc>
          <w:tcPr>
            <w:tcW w:w="1377" w:type="dxa"/>
            <w:vAlign w:val="center"/>
          </w:tcPr>
          <w:p w14:paraId="6726E819" w14:textId="77777777" w:rsidR="007B3DB2" w:rsidRPr="0063248C" w:rsidRDefault="007B3DB2">
            <w:pPr>
              <w:spacing w:line="240" w:lineRule="exact"/>
              <w:jc w:val="right"/>
              <w:rPr>
                <w:rFonts w:cs="宋体"/>
                <w:sz w:val="18"/>
                <w:szCs w:val="18"/>
              </w:rPr>
            </w:pPr>
          </w:p>
        </w:tc>
        <w:tc>
          <w:tcPr>
            <w:tcW w:w="1377" w:type="dxa"/>
            <w:vAlign w:val="center"/>
          </w:tcPr>
          <w:p w14:paraId="5AA2E9FC" w14:textId="77777777" w:rsidR="007B3DB2" w:rsidRPr="0063248C" w:rsidRDefault="00000000">
            <w:pPr>
              <w:spacing w:line="240" w:lineRule="exact"/>
              <w:jc w:val="right"/>
              <w:rPr>
                <w:rFonts w:cs="宋体"/>
                <w:sz w:val="18"/>
                <w:szCs w:val="18"/>
              </w:rPr>
            </w:pPr>
            <w:r w:rsidRPr="0063248C">
              <w:rPr>
                <w:rFonts w:cs="宋体"/>
                <w:sz w:val="18"/>
                <w:szCs w:val="18"/>
              </w:rPr>
              <w:t>49,295,338.75</w:t>
            </w:r>
          </w:p>
        </w:tc>
      </w:tr>
    </w:tbl>
    <w:p w14:paraId="4F844C87" w14:textId="6B0B9024" w:rsidR="007B3DB2" w:rsidRPr="008669F6" w:rsidRDefault="00000000" w:rsidP="008669F6">
      <w:pPr>
        <w:spacing w:before="100" w:after="100" w:line="240" w:lineRule="exact"/>
        <w:rPr>
          <w:rFonts w:cs="宋体"/>
          <w:sz w:val="18"/>
          <w:szCs w:val="18"/>
        </w:rPr>
      </w:pPr>
      <w:r w:rsidRPr="0063248C">
        <w:rPr>
          <w:rFonts w:cs="宋体"/>
          <w:sz w:val="18"/>
          <w:szCs w:val="18"/>
        </w:rPr>
        <w:t>其中本期坏账准备收回或转回金额重要的：</w:t>
      </w:r>
    </w:p>
    <w:p w14:paraId="2178AC2B" w14:textId="77777777" w:rsidR="00517D34" w:rsidRPr="0063248C" w:rsidRDefault="00000000">
      <w:pPr>
        <w:pStyle w:val="a3"/>
        <w:divId w:val="1412432051"/>
        <w:rPr>
          <w:rFonts w:ascii="Times New Roman" w:hAnsi="Times New Roman"/>
          <w:sz w:val="18"/>
          <w:szCs w:val="18"/>
        </w:rPr>
      </w:pPr>
      <w:r w:rsidRPr="0063248C">
        <w:rPr>
          <w:rFonts w:ascii="Times New Roman" w:hAnsi="Times New Roman" w:hint="eastAsia"/>
          <w:sz w:val="18"/>
          <w:szCs w:val="18"/>
        </w:rPr>
        <w:t>无</w:t>
      </w:r>
    </w:p>
    <w:p w14:paraId="2D719EED" w14:textId="77777777" w:rsidR="007B3DB2" w:rsidRPr="0063248C" w:rsidRDefault="00000000">
      <w:pPr>
        <w:keepNext/>
        <w:keepLines/>
        <w:spacing w:before="300" w:after="300" w:line="280" w:lineRule="exact"/>
        <w:outlineLvl w:val="3"/>
        <w:rPr>
          <w:rFonts w:cs="宋体"/>
          <w:b/>
          <w:bCs/>
          <w:szCs w:val="21"/>
        </w:rPr>
      </w:pPr>
      <w:bookmarkStart w:id="193" w:name="_Toc989082"/>
      <w:r w:rsidRPr="0063248C">
        <w:rPr>
          <w:rFonts w:cs="宋体"/>
          <w:b/>
          <w:bCs/>
          <w:szCs w:val="21"/>
        </w:rPr>
        <w:lastRenderedPageBreak/>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本期实际核销的应收账款情况</w:t>
      </w:r>
      <w:bookmarkEnd w:id="193"/>
    </w:p>
    <w:p w14:paraId="6B43A001" w14:textId="77777777" w:rsidR="00517D34" w:rsidRPr="0063248C" w:rsidRDefault="00000000">
      <w:pPr>
        <w:pStyle w:val="a3"/>
        <w:divId w:val="1597905483"/>
        <w:rPr>
          <w:rFonts w:ascii="Times New Roman" w:hAnsi="Times New Roman"/>
          <w:sz w:val="18"/>
          <w:szCs w:val="18"/>
        </w:rPr>
      </w:pPr>
      <w:r w:rsidRPr="0063248C">
        <w:rPr>
          <w:rFonts w:ascii="Times New Roman" w:hAnsi="Times New Roman" w:hint="eastAsia"/>
          <w:sz w:val="18"/>
          <w:szCs w:val="18"/>
        </w:rPr>
        <w:t>无</w:t>
      </w:r>
    </w:p>
    <w:p w14:paraId="1C5E2779" w14:textId="77777777" w:rsidR="007B3DB2" w:rsidRPr="0063248C" w:rsidRDefault="00000000">
      <w:pPr>
        <w:keepNext/>
        <w:keepLines/>
        <w:spacing w:before="300" w:after="300" w:line="280" w:lineRule="exact"/>
        <w:outlineLvl w:val="3"/>
        <w:rPr>
          <w:rFonts w:cs="宋体"/>
          <w:b/>
          <w:bCs/>
          <w:szCs w:val="21"/>
        </w:rPr>
      </w:pPr>
      <w:bookmarkStart w:id="194" w:name="_Toc989083"/>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按欠款方归集的期末余额前五名的应收账款和合同资产情况</w:t>
      </w:r>
      <w:bookmarkEnd w:id="194"/>
    </w:p>
    <w:p w14:paraId="631D1004"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B3DB2" w:rsidRPr="0063248C" w14:paraId="7050CEE2"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CFC5918" w14:textId="77777777" w:rsidR="007B3DB2" w:rsidRPr="0063248C" w:rsidRDefault="00000000">
            <w:pPr>
              <w:spacing w:before="40" w:after="40" w:line="240" w:lineRule="exact"/>
              <w:jc w:val="center"/>
              <w:rPr>
                <w:rFonts w:cs="宋体"/>
                <w:sz w:val="18"/>
                <w:szCs w:val="18"/>
              </w:rPr>
            </w:pPr>
            <w:r w:rsidRPr="0063248C">
              <w:rPr>
                <w:rFonts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7F2E049" w14:textId="77777777" w:rsidR="007B3DB2" w:rsidRPr="0063248C" w:rsidRDefault="00000000">
            <w:pPr>
              <w:spacing w:before="40" w:after="40" w:line="240" w:lineRule="exact"/>
              <w:jc w:val="center"/>
              <w:rPr>
                <w:rFonts w:cs="宋体"/>
                <w:sz w:val="18"/>
                <w:szCs w:val="18"/>
              </w:rPr>
            </w:pPr>
            <w:r w:rsidRPr="0063248C">
              <w:rPr>
                <w:rFonts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B932005" w14:textId="77777777" w:rsidR="007B3DB2" w:rsidRPr="0063248C" w:rsidRDefault="00000000">
            <w:pPr>
              <w:spacing w:before="40" w:after="40" w:line="240" w:lineRule="exact"/>
              <w:jc w:val="center"/>
              <w:rPr>
                <w:rFonts w:cs="宋体"/>
                <w:sz w:val="18"/>
                <w:szCs w:val="18"/>
              </w:rPr>
            </w:pPr>
            <w:r w:rsidRPr="0063248C">
              <w:rPr>
                <w:rFonts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6402EF1" w14:textId="77777777" w:rsidR="007B3DB2" w:rsidRPr="0063248C" w:rsidRDefault="00000000">
            <w:pPr>
              <w:spacing w:before="40" w:after="40" w:line="240" w:lineRule="exact"/>
              <w:jc w:val="center"/>
              <w:rPr>
                <w:rFonts w:cs="宋体"/>
                <w:sz w:val="18"/>
                <w:szCs w:val="18"/>
              </w:rPr>
            </w:pPr>
            <w:r w:rsidRPr="0063248C">
              <w:rPr>
                <w:rFonts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755A633" w14:textId="77777777" w:rsidR="007B3DB2" w:rsidRPr="0063248C" w:rsidRDefault="00000000">
            <w:pPr>
              <w:spacing w:before="40" w:after="40" w:line="240" w:lineRule="exact"/>
              <w:jc w:val="center"/>
              <w:rPr>
                <w:rFonts w:cs="宋体"/>
                <w:sz w:val="18"/>
                <w:szCs w:val="18"/>
              </w:rPr>
            </w:pPr>
            <w:r w:rsidRPr="0063248C">
              <w:rPr>
                <w:rFonts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BD5B36B" w14:textId="77777777" w:rsidR="007B3DB2" w:rsidRPr="0063248C" w:rsidRDefault="00000000">
            <w:pPr>
              <w:spacing w:before="40" w:after="40" w:line="240" w:lineRule="exact"/>
              <w:jc w:val="center"/>
              <w:rPr>
                <w:rFonts w:cs="宋体"/>
                <w:sz w:val="18"/>
                <w:szCs w:val="18"/>
              </w:rPr>
            </w:pPr>
            <w:r w:rsidRPr="0063248C">
              <w:rPr>
                <w:rFonts w:cs="宋体"/>
                <w:sz w:val="18"/>
                <w:szCs w:val="18"/>
              </w:rPr>
              <w:t>应收账款坏账准备和合同资产减值准备期末余额</w:t>
            </w:r>
          </w:p>
        </w:tc>
      </w:tr>
      <w:tr w:rsidR="007B3DB2" w:rsidRPr="0063248C" w14:paraId="185F514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71DAB16"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A</w:t>
            </w:r>
          </w:p>
        </w:tc>
        <w:tc>
          <w:tcPr>
            <w:tcW w:w="1606" w:type="dxa"/>
            <w:tcBorders>
              <w:top w:val="single" w:sz="2" w:space="0" w:color="auto"/>
              <w:left w:val="single" w:sz="2" w:space="0" w:color="auto"/>
              <w:bottom w:val="single" w:sz="2" w:space="0" w:color="auto"/>
              <w:right w:val="single" w:sz="2" w:space="0" w:color="auto"/>
            </w:tcBorders>
            <w:vAlign w:val="center"/>
          </w:tcPr>
          <w:p w14:paraId="783955E9" w14:textId="77777777" w:rsidR="007B3DB2" w:rsidRPr="0063248C" w:rsidRDefault="00000000">
            <w:pPr>
              <w:spacing w:line="240" w:lineRule="exact"/>
              <w:jc w:val="right"/>
              <w:rPr>
                <w:rFonts w:cs="宋体"/>
                <w:sz w:val="18"/>
                <w:szCs w:val="18"/>
              </w:rPr>
            </w:pPr>
            <w:r w:rsidRPr="0063248C">
              <w:rPr>
                <w:rFonts w:cs="宋体"/>
                <w:sz w:val="18"/>
                <w:szCs w:val="18"/>
              </w:rPr>
              <w:t>27,426,911.94</w:t>
            </w:r>
          </w:p>
        </w:tc>
        <w:tc>
          <w:tcPr>
            <w:tcW w:w="1606" w:type="dxa"/>
            <w:tcBorders>
              <w:top w:val="single" w:sz="2" w:space="0" w:color="auto"/>
              <w:left w:val="single" w:sz="2" w:space="0" w:color="auto"/>
              <w:bottom w:val="single" w:sz="2" w:space="0" w:color="auto"/>
              <w:right w:val="single" w:sz="2" w:space="0" w:color="auto"/>
            </w:tcBorders>
            <w:vAlign w:val="center"/>
          </w:tcPr>
          <w:p w14:paraId="4AA1D390"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D3E2855" w14:textId="77777777" w:rsidR="007B3DB2" w:rsidRPr="0063248C" w:rsidRDefault="00000000">
            <w:pPr>
              <w:spacing w:line="240" w:lineRule="exact"/>
              <w:jc w:val="right"/>
              <w:rPr>
                <w:rFonts w:cs="宋体"/>
                <w:sz w:val="18"/>
                <w:szCs w:val="18"/>
              </w:rPr>
            </w:pPr>
            <w:r w:rsidRPr="0063248C">
              <w:rPr>
                <w:rFonts w:cs="宋体"/>
                <w:sz w:val="18"/>
                <w:szCs w:val="18"/>
              </w:rPr>
              <w:t>27,426,911.94</w:t>
            </w:r>
          </w:p>
        </w:tc>
        <w:tc>
          <w:tcPr>
            <w:tcW w:w="1606" w:type="dxa"/>
            <w:tcBorders>
              <w:top w:val="single" w:sz="2" w:space="0" w:color="auto"/>
              <w:left w:val="single" w:sz="2" w:space="0" w:color="auto"/>
              <w:bottom w:val="single" w:sz="2" w:space="0" w:color="auto"/>
              <w:right w:val="single" w:sz="2" w:space="0" w:color="auto"/>
            </w:tcBorders>
            <w:vAlign w:val="center"/>
          </w:tcPr>
          <w:p w14:paraId="149E29BC" w14:textId="77777777" w:rsidR="007B3DB2" w:rsidRPr="0063248C" w:rsidRDefault="00000000">
            <w:pPr>
              <w:spacing w:line="240" w:lineRule="exact"/>
              <w:jc w:val="right"/>
              <w:rPr>
                <w:rFonts w:cs="宋体"/>
                <w:sz w:val="18"/>
                <w:szCs w:val="18"/>
              </w:rPr>
            </w:pPr>
            <w:r w:rsidRPr="0063248C">
              <w:rPr>
                <w:rFonts w:cs="宋体"/>
                <w:sz w:val="18"/>
                <w:szCs w:val="18"/>
              </w:rPr>
              <w:t>7.03%</w:t>
            </w:r>
          </w:p>
        </w:tc>
        <w:tc>
          <w:tcPr>
            <w:tcW w:w="1606" w:type="dxa"/>
            <w:tcBorders>
              <w:top w:val="single" w:sz="2" w:space="0" w:color="auto"/>
              <w:left w:val="single" w:sz="2" w:space="0" w:color="auto"/>
              <w:bottom w:val="single" w:sz="2" w:space="0" w:color="auto"/>
              <w:right w:val="single" w:sz="2" w:space="0" w:color="auto"/>
            </w:tcBorders>
            <w:vAlign w:val="center"/>
          </w:tcPr>
          <w:p w14:paraId="12B3D782" w14:textId="77777777" w:rsidR="007B3DB2" w:rsidRPr="0063248C" w:rsidRDefault="00000000">
            <w:pPr>
              <w:spacing w:line="240" w:lineRule="exact"/>
              <w:jc w:val="right"/>
              <w:rPr>
                <w:rFonts w:cs="宋体"/>
                <w:sz w:val="18"/>
                <w:szCs w:val="18"/>
              </w:rPr>
            </w:pPr>
            <w:r w:rsidRPr="0063248C">
              <w:rPr>
                <w:rFonts w:cs="宋体"/>
                <w:sz w:val="18"/>
                <w:szCs w:val="18"/>
              </w:rPr>
              <w:t>6,856,727.99</w:t>
            </w:r>
          </w:p>
        </w:tc>
      </w:tr>
      <w:tr w:rsidR="007B3DB2" w:rsidRPr="0063248C" w14:paraId="0CAEFE6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BBDA301"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B</w:t>
            </w:r>
          </w:p>
        </w:tc>
        <w:tc>
          <w:tcPr>
            <w:tcW w:w="1606" w:type="dxa"/>
            <w:tcBorders>
              <w:top w:val="single" w:sz="2" w:space="0" w:color="auto"/>
              <w:left w:val="single" w:sz="2" w:space="0" w:color="auto"/>
              <w:bottom w:val="single" w:sz="2" w:space="0" w:color="auto"/>
              <w:right w:val="single" w:sz="2" w:space="0" w:color="auto"/>
            </w:tcBorders>
            <w:vAlign w:val="center"/>
          </w:tcPr>
          <w:p w14:paraId="55231628" w14:textId="77777777" w:rsidR="007B3DB2" w:rsidRPr="0063248C" w:rsidRDefault="00000000">
            <w:pPr>
              <w:spacing w:line="240" w:lineRule="exact"/>
              <w:jc w:val="right"/>
              <w:rPr>
                <w:rFonts w:cs="宋体"/>
                <w:sz w:val="18"/>
                <w:szCs w:val="18"/>
              </w:rPr>
            </w:pPr>
            <w:r w:rsidRPr="0063248C">
              <w:rPr>
                <w:rFonts w:cs="宋体"/>
                <w:sz w:val="18"/>
                <w:szCs w:val="18"/>
              </w:rPr>
              <w:t>22,609,092.00</w:t>
            </w:r>
          </w:p>
        </w:tc>
        <w:tc>
          <w:tcPr>
            <w:tcW w:w="1606" w:type="dxa"/>
            <w:tcBorders>
              <w:top w:val="single" w:sz="2" w:space="0" w:color="auto"/>
              <w:left w:val="single" w:sz="2" w:space="0" w:color="auto"/>
              <w:bottom w:val="single" w:sz="2" w:space="0" w:color="auto"/>
              <w:right w:val="single" w:sz="2" w:space="0" w:color="auto"/>
            </w:tcBorders>
            <w:vAlign w:val="center"/>
          </w:tcPr>
          <w:p w14:paraId="3E15F098"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ABBDEEB" w14:textId="77777777" w:rsidR="007B3DB2" w:rsidRPr="0063248C" w:rsidRDefault="00000000">
            <w:pPr>
              <w:spacing w:line="240" w:lineRule="exact"/>
              <w:jc w:val="right"/>
              <w:rPr>
                <w:rFonts w:cs="宋体"/>
                <w:sz w:val="18"/>
                <w:szCs w:val="18"/>
              </w:rPr>
            </w:pPr>
            <w:r w:rsidRPr="0063248C">
              <w:rPr>
                <w:rFonts w:cs="宋体"/>
                <w:sz w:val="18"/>
                <w:szCs w:val="18"/>
              </w:rPr>
              <w:t>22,609,092.00</w:t>
            </w:r>
          </w:p>
        </w:tc>
        <w:tc>
          <w:tcPr>
            <w:tcW w:w="1606" w:type="dxa"/>
            <w:tcBorders>
              <w:top w:val="single" w:sz="2" w:space="0" w:color="auto"/>
              <w:left w:val="single" w:sz="2" w:space="0" w:color="auto"/>
              <w:bottom w:val="single" w:sz="2" w:space="0" w:color="auto"/>
              <w:right w:val="single" w:sz="2" w:space="0" w:color="auto"/>
            </w:tcBorders>
            <w:vAlign w:val="center"/>
          </w:tcPr>
          <w:p w14:paraId="4463C632" w14:textId="77777777" w:rsidR="007B3DB2" w:rsidRPr="0063248C" w:rsidRDefault="00000000">
            <w:pPr>
              <w:spacing w:line="240" w:lineRule="exact"/>
              <w:jc w:val="right"/>
              <w:rPr>
                <w:rFonts w:cs="宋体"/>
                <w:sz w:val="18"/>
                <w:szCs w:val="18"/>
              </w:rPr>
            </w:pPr>
            <w:r w:rsidRPr="0063248C">
              <w:rPr>
                <w:rFonts w:cs="宋体"/>
                <w:sz w:val="18"/>
                <w:szCs w:val="18"/>
              </w:rPr>
              <w:t>5.79%</w:t>
            </w:r>
          </w:p>
        </w:tc>
        <w:tc>
          <w:tcPr>
            <w:tcW w:w="1606" w:type="dxa"/>
            <w:tcBorders>
              <w:top w:val="single" w:sz="2" w:space="0" w:color="auto"/>
              <w:left w:val="single" w:sz="2" w:space="0" w:color="auto"/>
              <w:bottom w:val="single" w:sz="2" w:space="0" w:color="auto"/>
              <w:right w:val="single" w:sz="2" w:space="0" w:color="auto"/>
            </w:tcBorders>
            <w:vAlign w:val="center"/>
          </w:tcPr>
          <w:p w14:paraId="42B74A6D" w14:textId="77777777" w:rsidR="007B3DB2" w:rsidRPr="0063248C" w:rsidRDefault="00000000">
            <w:pPr>
              <w:spacing w:line="240" w:lineRule="exact"/>
              <w:jc w:val="right"/>
              <w:rPr>
                <w:rFonts w:cs="宋体"/>
                <w:sz w:val="18"/>
                <w:szCs w:val="18"/>
              </w:rPr>
            </w:pPr>
            <w:r w:rsidRPr="0063248C">
              <w:rPr>
                <w:rFonts w:cs="宋体"/>
                <w:sz w:val="18"/>
                <w:szCs w:val="18"/>
              </w:rPr>
              <w:t>508,704.57</w:t>
            </w:r>
          </w:p>
        </w:tc>
      </w:tr>
      <w:tr w:rsidR="007B3DB2" w:rsidRPr="0063248C" w14:paraId="1920992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062A836"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C</w:t>
            </w:r>
          </w:p>
        </w:tc>
        <w:tc>
          <w:tcPr>
            <w:tcW w:w="1606" w:type="dxa"/>
            <w:tcBorders>
              <w:top w:val="single" w:sz="2" w:space="0" w:color="auto"/>
              <w:left w:val="single" w:sz="2" w:space="0" w:color="auto"/>
              <w:bottom w:val="single" w:sz="2" w:space="0" w:color="auto"/>
              <w:right w:val="single" w:sz="2" w:space="0" w:color="auto"/>
            </w:tcBorders>
            <w:vAlign w:val="center"/>
          </w:tcPr>
          <w:p w14:paraId="53DBDD95" w14:textId="77777777" w:rsidR="007B3DB2" w:rsidRPr="0063248C" w:rsidRDefault="00000000">
            <w:pPr>
              <w:spacing w:line="240" w:lineRule="exact"/>
              <w:jc w:val="right"/>
              <w:rPr>
                <w:rFonts w:cs="宋体"/>
                <w:sz w:val="18"/>
                <w:szCs w:val="18"/>
              </w:rPr>
            </w:pPr>
            <w:r w:rsidRPr="0063248C">
              <w:rPr>
                <w:rFonts w:cs="宋体"/>
                <w:sz w:val="18"/>
                <w:szCs w:val="18"/>
              </w:rPr>
              <w:t>22,089,966.73</w:t>
            </w:r>
          </w:p>
        </w:tc>
        <w:tc>
          <w:tcPr>
            <w:tcW w:w="1606" w:type="dxa"/>
            <w:tcBorders>
              <w:top w:val="single" w:sz="2" w:space="0" w:color="auto"/>
              <w:left w:val="single" w:sz="2" w:space="0" w:color="auto"/>
              <w:bottom w:val="single" w:sz="2" w:space="0" w:color="auto"/>
              <w:right w:val="single" w:sz="2" w:space="0" w:color="auto"/>
            </w:tcBorders>
            <w:vAlign w:val="center"/>
          </w:tcPr>
          <w:p w14:paraId="34D07F49"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DAFEB69" w14:textId="77777777" w:rsidR="007B3DB2" w:rsidRPr="0063248C" w:rsidRDefault="00000000">
            <w:pPr>
              <w:spacing w:line="240" w:lineRule="exact"/>
              <w:jc w:val="right"/>
              <w:rPr>
                <w:rFonts w:cs="宋体"/>
                <w:sz w:val="18"/>
                <w:szCs w:val="18"/>
              </w:rPr>
            </w:pPr>
            <w:r w:rsidRPr="0063248C">
              <w:rPr>
                <w:rFonts w:cs="宋体"/>
                <w:sz w:val="18"/>
                <w:szCs w:val="18"/>
              </w:rPr>
              <w:t>22,089,966.73</w:t>
            </w:r>
          </w:p>
        </w:tc>
        <w:tc>
          <w:tcPr>
            <w:tcW w:w="1606" w:type="dxa"/>
            <w:tcBorders>
              <w:top w:val="single" w:sz="2" w:space="0" w:color="auto"/>
              <w:left w:val="single" w:sz="2" w:space="0" w:color="auto"/>
              <w:bottom w:val="single" w:sz="2" w:space="0" w:color="auto"/>
              <w:right w:val="single" w:sz="2" w:space="0" w:color="auto"/>
            </w:tcBorders>
            <w:vAlign w:val="center"/>
          </w:tcPr>
          <w:p w14:paraId="20E6F775" w14:textId="77777777" w:rsidR="007B3DB2" w:rsidRPr="0063248C" w:rsidRDefault="00000000">
            <w:pPr>
              <w:spacing w:line="240" w:lineRule="exact"/>
              <w:jc w:val="right"/>
              <w:rPr>
                <w:rFonts w:cs="宋体"/>
                <w:sz w:val="18"/>
                <w:szCs w:val="18"/>
              </w:rPr>
            </w:pPr>
            <w:r w:rsidRPr="0063248C">
              <w:rPr>
                <w:rFonts w:cs="宋体"/>
                <w:sz w:val="18"/>
                <w:szCs w:val="18"/>
              </w:rPr>
              <w:t>5.66%</w:t>
            </w:r>
          </w:p>
        </w:tc>
        <w:tc>
          <w:tcPr>
            <w:tcW w:w="1606" w:type="dxa"/>
            <w:tcBorders>
              <w:top w:val="single" w:sz="2" w:space="0" w:color="auto"/>
              <w:left w:val="single" w:sz="2" w:space="0" w:color="auto"/>
              <w:bottom w:val="single" w:sz="2" w:space="0" w:color="auto"/>
              <w:right w:val="single" w:sz="2" w:space="0" w:color="auto"/>
            </w:tcBorders>
            <w:vAlign w:val="center"/>
          </w:tcPr>
          <w:p w14:paraId="57B014F3" w14:textId="77777777" w:rsidR="007B3DB2" w:rsidRPr="0063248C" w:rsidRDefault="00000000">
            <w:pPr>
              <w:spacing w:line="240" w:lineRule="exact"/>
              <w:jc w:val="right"/>
              <w:rPr>
                <w:rFonts w:cs="宋体"/>
                <w:sz w:val="18"/>
                <w:szCs w:val="18"/>
              </w:rPr>
            </w:pPr>
            <w:r w:rsidRPr="0063248C">
              <w:rPr>
                <w:rFonts w:cs="宋体"/>
                <w:sz w:val="18"/>
                <w:szCs w:val="18"/>
              </w:rPr>
              <w:t>497,024.25</w:t>
            </w:r>
          </w:p>
        </w:tc>
      </w:tr>
      <w:tr w:rsidR="007B3DB2" w:rsidRPr="0063248C" w14:paraId="1DF3EBD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29F3B37"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D</w:t>
            </w:r>
          </w:p>
        </w:tc>
        <w:tc>
          <w:tcPr>
            <w:tcW w:w="1606" w:type="dxa"/>
            <w:tcBorders>
              <w:top w:val="single" w:sz="2" w:space="0" w:color="auto"/>
              <w:left w:val="single" w:sz="2" w:space="0" w:color="auto"/>
              <w:bottom w:val="single" w:sz="2" w:space="0" w:color="auto"/>
              <w:right w:val="single" w:sz="2" w:space="0" w:color="auto"/>
            </w:tcBorders>
            <w:vAlign w:val="center"/>
          </w:tcPr>
          <w:p w14:paraId="01AF779D" w14:textId="77777777" w:rsidR="007B3DB2" w:rsidRPr="0063248C" w:rsidRDefault="00000000">
            <w:pPr>
              <w:spacing w:line="240" w:lineRule="exact"/>
              <w:jc w:val="right"/>
              <w:rPr>
                <w:rFonts w:cs="宋体"/>
                <w:sz w:val="18"/>
                <w:szCs w:val="18"/>
              </w:rPr>
            </w:pPr>
            <w:r w:rsidRPr="0063248C">
              <w:rPr>
                <w:rFonts w:cs="宋体"/>
                <w:sz w:val="18"/>
                <w:szCs w:val="18"/>
              </w:rPr>
              <w:t>21,767,824.20</w:t>
            </w:r>
          </w:p>
        </w:tc>
        <w:tc>
          <w:tcPr>
            <w:tcW w:w="1606" w:type="dxa"/>
            <w:tcBorders>
              <w:top w:val="single" w:sz="2" w:space="0" w:color="auto"/>
              <w:left w:val="single" w:sz="2" w:space="0" w:color="auto"/>
              <w:bottom w:val="single" w:sz="2" w:space="0" w:color="auto"/>
              <w:right w:val="single" w:sz="2" w:space="0" w:color="auto"/>
            </w:tcBorders>
            <w:vAlign w:val="center"/>
          </w:tcPr>
          <w:p w14:paraId="438C7237"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E0679F3" w14:textId="77777777" w:rsidR="007B3DB2" w:rsidRPr="0063248C" w:rsidRDefault="00000000">
            <w:pPr>
              <w:spacing w:line="240" w:lineRule="exact"/>
              <w:jc w:val="right"/>
              <w:rPr>
                <w:rFonts w:cs="宋体"/>
                <w:sz w:val="18"/>
                <w:szCs w:val="18"/>
              </w:rPr>
            </w:pPr>
            <w:r w:rsidRPr="0063248C">
              <w:rPr>
                <w:rFonts w:cs="宋体"/>
                <w:sz w:val="18"/>
                <w:szCs w:val="18"/>
              </w:rPr>
              <w:t>21,767,824.20</w:t>
            </w:r>
          </w:p>
        </w:tc>
        <w:tc>
          <w:tcPr>
            <w:tcW w:w="1606" w:type="dxa"/>
            <w:tcBorders>
              <w:top w:val="single" w:sz="2" w:space="0" w:color="auto"/>
              <w:left w:val="single" w:sz="2" w:space="0" w:color="auto"/>
              <w:bottom w:val="single" w:sz="2" w:space="0" w:color="auto"/>
              <w:right w:val="single" w:sz="2" w:space="0" w:color="auto"/>
            </w:tcBorders>
            <w:vAlign w:val="center"/>
          </w:tcPr>
          <w:p w14:paraId="59816B8B" w14:textId="77777777" w:rsidR="007B3DB2" w:rsidRPr="0063248C" w:rsidRDefault="00000000">
            <w:pPr>
              <w:spacing w:line="240" w:lineRule="exact"/>
              <w:jc w:val="right"/>
              <w:rPr>
                <w:rFonts w:cs="宋体"/>
                <w:sz w:val="18"/>
                <w:szCs w:val="18"/>
              </w:rPr>
            </w:pPr>
            <w:r w:rsidRPr="0063248C">
              <w:rPr>
                <w:rFonts w:cs="宋体"/>
                <w:sz w:val="18"/>
                <w:szCs w:val="18"/>
              </w:rPr>
              <w:t>5.58%</w:t>
            </w:r>
          </w:p>
        </w:tc>
        <w:tc>
          <w:tcPr>
            <w:tcW w:w="1606" w:type="dxa"/>
            <w:tcBorders>
              <w:top w:val="single" w:sz="2" w:space="0" w:color="auto"/>
              <w:left w:val="single" w:sz="2" w:space="0" w:color="auto"/>
              <w:bottom w:val="single" w:sz="2" w:space="0" w:color="auto"/>
              <w:right w:val="single" w:sz="2" w:space="0" w:color="auto"/>
            </w:tcBorders>
            <w:vAlign w:val="center"/>
          </w:tcPr>
          <w:p w14:paraId="55078E88" w14:textId="77777777" w:rsidR="007B3DB2" w:rsidRPr="0063248C" w:rsidRDefault="00000000">
            <w:pPr>
              <w:spacing w:line="240" w:lineRule="exact"/>
              <w:jc w:val="right"/>
              <w:rPr>
                <w:rFonts w:cs="宋体"/>
                <w:sz w:val="18"/>
                <w:szCs w:val="18"/>
              </w:rPr>
            </w:pPr>
            <w:r w:rsidRPr="0063248C">
              <w:rPr>
                <w:rFonts w:cs="宋体"/>
                <w:sz w:val="18"/>
                <w:szCs w:val="18"/>
              </w:rPr>
              <w:t>590,296.03</w:t>
            </w:r>
          </w:p>
        </w:tc>
      </w:tr>
      <w:tr w:rsidR="007B3DB2" w:rsidRPr="0063248C" w14:paraId="59BF944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1ABA1A6"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E</w:t>
            </w:r>
          </w:p>
        </w:tc>
        <w:tc>
          <w:tcPr>
            <w:tcW w:w="1606" w:type="dxa"/>
            <w:tcBorders>
              <w:top w:val="single" w:sz="2" w:space="0" w:color="auto"/>
              <w:left w:val="single" w:sz="2" w:space="0" w:color="auto"/>
              <w:bottom w:val="single" w:sz="2" w:space="0" w:color="auto"/>
              <w:right w:val="single" w:sz="2" w:space="0" w:color="auto"/>
            </w:tcBorders>
            <w:vAlign w:val="center"/>
          </w:tcPr>
          <w:p w14:paraId="20653187" w14:textId="77777777" w:rsidR="007B3DB2" w:rsidRPr="0063248C" w:rsidRDefault="00000000">
            <w:pPr>
              <w:spacing w:line="240" w:lineRule="exact"/>
              <w:jc w:val="right"/>
              <w:rPr>
                <w:rFonts w:cs="宋体"/>
                <w:sz w:val="18"/>
                <w:szCs w:val="18"/>
              </w:rPr>
            </w:pPr>
            <w:r w:rsidRPr="0063248C">
              <w:rPr>
                <w:rFonts w:cs="宋体"/>
                <w:sz w:val="18"/>
                <w:szCs w:val="18"/>
              </w:rPr>
              <w:t>15,040,162.30</w:t>
            </w:r>
          </w:p>
        </w:tc>
        <w:tc>
          <w:tcPr>
            <w:tcW w:w="1606" w:type="dxa"/>
            <w:tcBorders>
              <w:top w:val="single" w:sz="2" w:space="0" w:color="auto"/>
              <w:left w:val="single" w:sz="2" w:space="0" w:color="auto"/>
              <w:bottom w:val="single" w:sz="2" w:space="0" w:color="auto"/>
              <w:right w:val="single" w:sz="2" w:space="0" w:color="auto"/>
            </w:tcBorders>
            <w:vAlign w:val="center"/>
          </w:tcPr>
          <w:p w14:paraId="6529C1D0"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DFD2421" w14:textId="77777777" w:rsidR="007B3DB2" w:rsidRPr="0063248C" w:rsidRDefault="00000000">
            <w:pPr>
              <w:spacing w:line="240" w:lineRule="exact"/>
              <w:jc w:val="right"/>
              <w:rPr>
                <w:rFonts w:cs="宋体"/>
                <w:sz w:val="18"/>
                <w:szCs w:val="18"/>
              </w:rPr>
            </w:pPr>
            <w:r w:rsidRPr="0063248C">
              <w:rPr>
                <w:rFonts w:cs="宋体"/>
                <w:sz w:val="18"/>
                <w:szCs w:val="18"/>
              </w:rPr>
              <w:t>15,040,162.30</w:t>
            </w:r>
          </w:p>
        </w:tc>
        <w:tc>
          <w:tcPr>
            <w:tcW w:w="1606" w:type="dxa"/>
            <w:tcBorders>
              <w:top w:val="single" w:sz="2" w:space="0" w:color="auto"/>
              <w:left w:val="single" w:sz="2" w:space="0" w:color="auto"/>
              <w:bottom w:val="single" w:sz="2" w:space="0" w:color="auto"/>
              <w:right w:val="single" w:sz="2" w:space="0" w:color="auto"/>
            </w:tcBorders>
            <w:vAlign w:val="center"/>
          </w:tcPr>
          <w:p w14:paraId="435FB81E" w14:textId="77777777" w:rsidR="007B3DB2" w:rsidRPr="0063248C" w:rsidRDefault="00000000">
            <w:pPr>
              <w:spacing w:line="240" w:lineRule="exact"/>
              <w:jc w:val="right"/>
              <w:rPr>
                <w:rFonts w:cs="宋体"/>
                <w:sz w:val="18"/>
                <w:szCs w:val="18"/>
              </w:rPr>
            </w:pPr>
            <w:r w:rsidRPr="0063248C">
              <w:rPr>
                <w:rFonts w:cs="宋体"/>
                <w:sz w:val="18"/>
                <w:szCs w:val="18"/>
              </w:rPr>
              <w:t>3.85%</w:t>
            </w:r>
          </w:p>
        </w:tc>
        <w:tc>
          <w:tcPr>
            <w:tcW w:w="1606" w:type="dxa"/>
            <w:tcBorders>
              <w:top w:val="single" w:sz="2" w:space="0" w:color="auto"/>
              <w:left w:val="single" w:sz="2" w:space="0" w:color="auto"/>
              <w:bottom w:val="single" w:sz="2" w:space="0" w:color="auto"/>
              <w:right w:val="single" w:sz="2" w:space="0" w:color="auto"/>
            </w:tcBorders>
            <w:vAlign w:val="center"/>
          </w:tcPr>
          <w:p w14:paraId="4A271E3B" w14:textId="77777777" w:rsidR="007B3DB2" w:rsidRPr="0063248C" w:rsidRDefault="00000000">
            <w:pPr>
              <w:spacing w:line="240" w:lineRule="exact"/>
              <w:jc w:val="right"/>
              <w:rPr>
                <w:rFonts w:cs="宋体"/>
                <w:sz w:val="18"/>
                <w:szCs w:val="18"/>
              </w:rPr>
            </w:pPr>
            <w:r w:rsidRPr="0063248C">
              <w:rPr>
                <w:rFonts w:cs="宋体"/>
                <w:sz w:val="18"/>
                <w:szCs w:val="18"/>
              </w:rPr>
              <w:t>7,940,162.30</w:t>
            </w:r>
          </w:p>
        </w:tc>
      </w:tr>
      <w:tr w:rsidR="007B3DB2" w:rsidRPr="0063248C" w14:paraId="74E32B4C"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5A82F47"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402A7535" w14:textId="77777777" w:rsidR="007B3DB2" w:rsidRPr="0063248C" w:rsidRDefault="00000000">
            <w:pPr>
              <w:spacing w:line="240" w:lineRule="exact"/>
              <w:jc w:val="right"/>
              <w:rPr>
                <w:rFonts w:cs="宋体"/>
                <w:sz w:val="18"/>
                <w:szCs w:val="18"/>
              </w:rPr>
            </w:pPr>
            <w:r w:rsidRPr="0063248C">
              <w:rPr>
                <w:rFonts w:cs="宋体"/>
                <w:sz w:val="18"/>
                <w:szCs w:val="18"/>
              </w:rPr>
              <w:t>108,933,957.17</w:t>
            </w:r>
          </w:p>
        </w:tc>
        <w:tc>
          <w:tcPr>
            <w:tcW w:w="1606" w:type="dxa"/>
            <w:tcBorders>
              <w:top w:val="single" w:sz="2" w:space="0" w:color="auto"/>
              <w:left w:val="single" w:sz="2" w:space="0" w:color="auto"/>
              <w:bottom w:val="single" w:sz="2" w:space="0" w:color="auto"/>
              <w:right w:val="single" w:sz="2" w:space="0" w:color="auto"/>
            </w:tcBorders>
            <w:vAlign w:val="center"/>
          </w:tcPr>
          <w:p w14:paraId="37DF57DC"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E3A5217" w14:textId="77777777" w:rsidR="007B3DB2" w:rsidRPr="0063248C" w:rsidRDefault="00000000">
            <w:pPr>
              <w:spacing w:line="240" w:lineRule="exact"/>
              <w:jc w:val="right"/>
              <w:rPr>
                <w:rFonts w:cs="宋体"/>
                <w:sz w:val="18"/>
                <w:szCs w:val="18"/>
              </w:rPr>
            </w:pPr>
            <w:r w:rsidRPr="0063248C">
              <w:rPr>
                <w:rFonts w:cs="宋体"/>
                <w:sz w:val="18"/>
                <w:szCs w:val="18"/>
              </w:rPr>
              <w:t>108,933,957.17</w:t>
            </w:r>
          </w:p>
        </w:tc>
        <w:tc>
          <w:tcPr>
            <w:tcW w:w="1606" w:type="dxa"/>
            <w:tcBorders>
              <w:top w:val="single" w:sz="2" w:space="0" w:color="auto"/>
              <w:left w:val="single" w:sz="2" w:space="0" w:color="auto"/>
              <w:bottom w:val="single" w:sz="2" w:space="0" w:color="auto"/>
              <w:right w:val="single" w:sz="2" w:space="0" w:color="auto"/>
            </w:tcBorders>
            <w:vAlign w:val="center"/>
          </w:tcPr>
          <w:p w14:paraId="6E6BF48D" w14:textId="77777777" w:rsidR="007B3DB2" w:rsidRPr="0063248C" w:rsidRDefault="00000000">
            <w:pPr>
              <w:spacing w:line="240" w:lineRule="exact"/>
              <w:jc w:val="right"/>
              <w:rPr>
                <w:rFonts w:cs="宋体"/>
                <w:sz w:val="18"/>
                <w:szCs w:val="18"/>
              </w:rPr>
            </w:pPr>
            <w:r w:rsidRPr="0063248C">
              <w:rPr>
                <w:rFonts w:cs="宋体"/>
                <w:sz w:val="18"/>
                <w:szCs w:val="18"/>
              </w:rPr>
              <w:t>27.91%</w:t>
            </w:r>
          </w:p>
        </w:tc>
        <w:tc>
          <w:tcPr>
            <w:tcW w:w="1606" w:type="dxa"/>
            <w:tcBorders>
              <w:top w:val="single" w:sz="2" w:space="0" w:color="auto"/>
              <w:left w:val="single" w:sz="2" w:space="0" w:color="auto"/>
              <w:bottom w:val="single" w:sz="2" w:space="0" w:color="auto"/>
              <w:right w:val="single" w:sz="2" w:space="0" w:color="auto"/>
            </w:tcBorders>
            <w:vAlign w:val="center"/>
          </w:tcPr>
          <w:p w14:paraId="3E91A7E7" w14:textId="77777777" w:rsidR="007B3DB2" w:rsidRPr="0063248C" w:rsidRDefault="00000000">
            <w:pPr>
              <w:spacing w:line="240" w:lineRule="exact"/>
              <w:jc w:val="right"/>
              <w:rPr>
                <w:rFonts w:cs="宋体"/>
                <w:sz w:val="18"/>
                <w:szCs w:val="18"/>
              </w:rPr>
            </w:pPr>
            <w:r w:rsidRPr="0063248C">
              <w:rPr>
                <w:rFonts w:cs="宋体"/>
                <w:sz w:val="18"/>
                <w:szCs w:val="18"/>
              </w:rPr>
              <w:t>16,392,915.14</w:t>
            </w:r>
          </w:p>
        </w:tc>
      </w:tr>
    </w:tbl>
    <w:p w14:paraId="4A00EF68" w14:textId="77777777" w:rsidR="007B3DB2" w:rsidRPr="0063248C" w:rsidRDefault="00000000">
      <w:pPr>
        <w:pStyle w:val="3"/>
        <w:spacing w:line="280" w:lineRule="exact"/>
        <w:jc w:val="left"/>
        <w:rPr>
          <w:rFonts w:cs="宋体"/>
          <w:b/>
          <w:bCs/>
        </w:rPr>
      </w:pPr>
      <w:bookmarkStart w:id="195" w:name="_Toc989084"/>
      <w:r w:rsidRPr="0063248C">
        <w:rPr>
          <w:rFonts w:cs="宋体"/>
          <w:b/>
          <w:bCs/>
        </w:rPr>
        <w:t>6</w:t>
      </w:r>
      <w:r w:rsidRPr="0063248C">
        <w:rPr>
          <w:rFonts w:cs="宋体"/>
          <w:b/>
          <w:bCs/>
        </w:rPr>
        <w:t>、合同资产</w:t>
      </w:r>
      <w:bookmarkEnd w:id="195"/>
    </w:p>
    <w:p w14:paraId="20ED38BB" w14:textId="77777777" w:rsidR="007B3DB2" w:rsidRPr="0063248C" w:rsidRDefault="00000000">
      <w:pPr>
        <w:keepNext/>
        <w:keepLines/>
        <w:spacing w:before="300" w:after="300" w:line="280" w:lineRule="exact"/>
        <w:outlineLvl w:val="3"/>
        <w:rPr>
          <w:rFonts w:cs="宋体"/>
          <w:b/>
          <w:bCs/>
          <w:szCs w:val="21"/>
        </w:rPr>
      </w:pPr>
      <w:bookmarkStart w:id="196" w:name="_Toc989085"/>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合同资产情况</w:t>
      </w:r>
      <w:bookmarkEnd w:id="196"/>
    </w:p>
    <w:p w14:paraId="47A63081" w14:textId="2EC13895" w:rsidR="007B3DB2" w:rsidRPr="0063248C" w:rsidRDefault="008669F6" w:rsidP="008669F6">
      <w:pPr>
        <w:spacing w:before="40" w:after="40" w:line="240" w:lineRule="exact"/>
        <w:rPr>
          <w:rFonts w:cs="宋体"/>
          <w:sz w:val="18"/>
          <w:szCs w:val="18"/>
        </w:rPr>
      </w:pPr>
      <w:r>
        <w:rPr>
          <w:rFonts w:cs="宋体" w:hint="eastAsia"/>
          <w:sz w:val="18"/>
          <w:szCs w:val="18"/>
        </w:rPr>
        <w:t>无</w:t>
      </w:r>
    </w:p>
    <w:p w14:paraId="150C6384" w14:textId="77777777" w:rsidR="007B3DB2" w:rsidRPr="0063248C" w:rsidRDefault="00000000">
      <w:pPr>
        <w:keepNext/>
        <w:keepLines/>
        <w:spacing w:before="300" w:after="300" w:line="280" w:lineRule="exact"/>
        <w:outlineLvl w:val="3"/>
        <w:rPr>
          <w:rFonts w:cs="宋体"/>
          <w:b/>
          <w:bCs/>
          <w:szCs w:val="21"/>
        </w:rPr>
      </w:pPr>
      <w:bookmarkStart w:id="197" w:name="_Toc989086"/>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报告期内账面价值发生的重大变动金额和原因</w:t>
      </w:r>
      <w:bookmarkEnd w:id="197"/>
    </w:p>
    <w:p w14:paraId="7FC1DE20" w14:textId="77777777" w:rsidR="008669F6" w:rsidRPr="0063248C" w:rsidRDefault="008669F6" w:rsidP="008669F6">
      <w:pPr>
        <w:spacing w:before="40" w:after="40" w:line="240" w:lineRule="exact"/>
        <w:rPr>
          <w:rFonts w:cs="宋体"/>
          <w:sz w:val="18"/>
          <w:szCs w:val="18"/>
        </w:rPr>
      </w:pPr>
      <w:r>
        <w:rPr>
          <w:rFonts w:cs="宋体" w:hint="eastAsia"/>
          <w:sz w:val="18"/>
          <w:szCs w:val="18"/>
        </w:rPr>
        <w:t>无</w:t>
      </w:r>
    </w:p>
    <w:p w14:paraId="6499F80E" w14:textId="77777777" w:rsidR="007B3DB2" w:rsidRPr="0063248C" w:rsidRDefault="00000000">
      <w:pPr>
        <w:keepNext/>
        <w:keepLines/>
        <w:spacing w:before="300" w:after="300" w:line="280" w:lineRule="exact"/>
        <w:outlineLvl w:val="3"/>
        <w:rPr>
          <w:rFonts w:cs="宋体"/>
          <w:b/>
          <w:bCs/>
          <w:szCs w:val="21"/>
        </w:rPr>
      </w:pPr>
      <w:bookmarkStart w:id="198" w:name="_Toc989087"/>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按坏账计提方法分类披露</w:t>
      </w:r>
      <w:bookmarkEnd w:id="198"/>
    </w:p>
    <w:p w14:paraId="72B6A346" w14:textId="77777777" w:rsidR="008669F6" w:rsidRPr="0063248C" w:rsidRDefault="008669F6" w:rsidP="008669F6">
      <w:pPr>
        <w:spacing w:before="40" w:after="40" w:line="240" w:lineRule="exact"/>
        <w:rPr>
          <w:rFonts w:cs="宋体"/>
          <w:sz w:val="18"/>
          <w:szCs w:val="18"/>
        </w:rPr>
      </w:pPr>
      <w:r>
        <w:rPr>
          <w:rFonts w:cs="宋体" w:hint="eastAsia"/>
          <w:sz w:val="18"/>
          <w:szCs w:val="18"/>
        </w:rPr>
        <w:t>无</w:t>
      </w:r>
    </w:p>
    <w:p w14:paraId="42D64D06" w14:textId="77777777" w:rsidR="007B3DB2" w:rsidRPr="0063248C" w:rsidRDefault="00000000">
      <w:pPr>
        <w:spacing w:before="100" w:after="100" w:line="240" w:lineRule="exact"/>
        <w:rPr>
          <w:rFonts w:cs="宋体"/>
          <w:sz w:val="18"/>
          <w:szCs w:val="18"/>
        </w:rPr>
      </w:pPr>
      <w:r w:rsidRPr="0063248C">
        <w:rPr>
          <w:rFonts w:cs="宋体"/>
          <w:sz w:val="18"/>
          <w:szCs w:val="18"/>
        </w:rPr>
        <w:t>按预期信用损失一般模型计提坏账准备</w:t>
      </w:r>
    </w:p>
    <w:p w14:paraId="3255C48F"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F627293" w14:textId="77777777" w:rsidR="007B3DB2" w:rsidRPr="0063248C" w:rsidRDefault="00000000">
      <w:pPr>
        <w:keepNext/>
        <w:keepLines/>
        <w:spacing w:before="300" w:after="300" w:line="280" w:lineRule="exact"/>
        <w:outlineLvl w:val="3"/>
        <w:rPr>
          <w:rFonts w:cs="宋体"/>
          <w:b/>
          <w:bCs/>
          <w:szCs w:val="21"/>
        </w:rPr>
      </w:pPr>
      <w:bookmarkStart w:id="199" w:name="_Toc989088"/>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本期计提、收回或转回的坏账准备情况</w:t>
      </w:r>
      <w:bookmarkEnd w:id="199"/>
    </w:p>
    <w:p w14:paraId="2C0CB296" w14:textId="77777777" w:rsidR="00517D34" w:rsidRPr="0063248C" w:rsidRDefault="00000000">
      <w:pPr>
        <w:pStyle w:val="a3"/>
        <w:divId w:val="976955257"/>
        <w:rPr>
          <w:rFonts w:ascii="Times New Roman" w:hAnsi="Times New Roman"/>
          <w:sz w:val="18"/>
          <w:szCs w:val="18"/>
        </w:rPr>
      </w:pPr>
      <w:r w:rsidRPr="0063248C">
        <w:rPr>
          <w:rFonts w:ascii="Times New Roman" w:hAnsi="Times New Roman" w:hint="eastAsia"/>
          <w:sz w:val="18"/>
          <w:szCs w:val="18"/>
        </w:rPr>
        <w:t>无</w:t>
      </w:r>
    </w:p>
    <w:p w14:paraId="7E2BE141" w14:textId="77777777" w:rsidR="007B3DB2" w:rsidRPr="0063248C" w:rsidRDefault="00000000">
      <w:pPr>
        <w:keepNext/>
        <w:keepLines/>
        <w:spacing w:before="300" w:after="300" w:line="280" w:lineRule="exact"/>
        <w:outlineLvl w:val="3"/>
        <w:rPr>
          <w:rFonts w:cs="宋体"/>
          <w:b/>
          <w:bCs/>
          <w:szCs w:val="21"/>
        </w:rPr>
      </w:pPr>
      <w:bookmarkStart w:id="200" w:name="_Toc989089"/>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本期实际核销的合同资产情况</w:t>
      </w:r>
      <w:bookmarkEnd w:id="200"/>
    </w:p>
    <w:p w14:paraId="06018104" w14:textId="77777777" w:rsidR="00517D34" w:rsidRPr="0063248C" w:rsidRDefault="00000000">
      <w:pPr>
        <w:pStyle w:val="a3"/>
        <w:divId w:val="1460143660"/>
        <w:rPr>
          <w:rFonts w:ascii="Times New Roman" w:hAnsi="Times New Roman"/>
          <w:sz w:val="18"/>
          <w:szCs w:val="18"/>
        </w:rPr>
      </w:pPr>
      <w:r w:rsidRPr="0063248C">
        <w:rPr>
          <w:rFonts w:ascii="Times New Roman" w:hAnsi="Times New Roman" w:hint="eastAsia"/>
          <w:sz w:val="18"/>
          <w:szCs w:val="18"/>
        </w:rPr>
        <w:t>无</w:t>
      </w:r>
    </w:p>
    <w:p w14:paraId="338F04D0" w14:textId="77777777" w:rsidR="007B3DB2" w:rsidRPr="0063248C" w:rsidRDefault="00000000">
      <w:pPr>
        <w:pStyle w:val="3"/>
        <w:spacing w:line="280" w:lineRule="exact"/>
        <w:jc w:val="left"/>
        <w:rPr>
          <w:rFonts w:cs="宋体"/>
          <w:b/>
          <w:bCs/>
        </w:rPr>
      </w:pPr>
      <w:bookmarkStart w:id="201" w:name="_Toc989090"/>
      <w:r w:rsidRPr="0063248C">
        <w:rPr>
          <w:rFonts w:cs="宋体"/>
          <w:b/>
          <w:bCs/>
        </w:rPr>
        <w:t>7</w:t>
      </w:r>
      <w:r w:rsidRPr="0063248C">
        <w:rPr>
          <w:rFonts w:cs="宋体"/>
          <w:b/>
          <w:bCs/>
        </w:rPr>
        <w:t>、应收款项融资</w:t>
      </w:r>
      <w:bookmarkEnd w:id="201"/>
    </w:p>
    <w:p w14:paraId="10B87582" w14:textId="77777777" w:rsidR="007B3DB2" w:rsidRPr="0063248C" w:rsidRDefault="00000000">
      <w:pPr>
        <w:keepNext/>
        <w:keepLines/>
        <w:spacing w:before="300" w:after="300" w:line="280" w:lineRule="exact"/>
        <w:outlineLvl w:val="3"/>
        <w:rPr>
          <w:rFonts w:cs="宋体"/>
          <w:b/>
          <w:bCs/>
          <w:szCs w:val="21"/>
        </w:rPr>
      </w:pPr>
      <w:bookmarkStart w:id="202" w:name="_Toc989091"/>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应收款项融资分类列示</w:t>
      </w:r>
      <w:bookmarkEnd w:id="202"/>
    </w:p>
    <w:p w14:paraId="63A2B36E" w14:textId="77777777" w:rsidR="008669F6" w:rsidRPr="0063248C" w:rsidRDefault="008669F6" w:rsidP="008669F6">
      <w:pPr>
        <w:spacing w:before="40" w:after="40" w:line="240" w:lineRule="exact"/>
        <w:rPr>
          <w:rFonts w:cs="宋体"/>
          <w:sz w:val="18"/>
          <w:szCs w:val="18"/>
        </w:rPr>
      </w:pPr>
      <w:bookmarkStart w:id="203" w:name="_Toc989092"/>
      <w:r>
        <w:rPr>
          <w:rFonts w:cs="宋体" w:hint="eastAsia"/>
          <w:sz w:val="18"/>
          <w:szCs w:val="18"/>
        </w:rPr>
        <w:t>无</w:t>
      </w:r>
    </w:p>
    <w:p w14:paraId="56C696C6"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lastRenderedPageBreak/>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按坏账计提方法分类披露</w:t>
      </w:r>
      <w:bookmarkEnd w:id="203"/>
    </w:p>
    <w:p w14:paraId="0A9A8B6A" w14:textId="77777777" w:rsidR="00517D34" w:rsidRPr="0063248C" w:rsidRDefault="00000000">
      <w:pPr>
        <w:pStyle w:val="a3"/>
        <w:divId w:val="1820345524"/>
        <w:rPr>
          <w:rFonts w:ascii="Times New Roman" w:hAnsi="Times New Roman"/>
          <w:sz w:val="18"/>
          <w:szCs w:val="18"/>
        </w:rPr>
      </w:pPr>
      <w:r w:rsidRPr="0063248C">
        <w:rPr>
          <w:rFonts w:ascii="Times New Roman" w:hAnsi="Times New Roman" w:hint="eastAsia"/>
          <w:sz w:val="18"/>
          <w:szCs w:val="18"/>
        </w:rPr>
        <w:t>无</w:t>
      </w:r>
    </w:p>
    <w:p w14:paraId="65E31DAC" w14:textId="77777777" w:rsidR="007B3DB2" w:rsidRPr="0063248C" w:rsidRDefault="00000000">
      <w:pPr>
        <w:keepNext/>
        <w:keepLines/>
        <w:spacing w:before="300" w:after="300" w:line="280" w:lineRule="exact"/>
        <w:outlineLvl w:val="3"/>
        <w:rPr>
          <w:rFonts w:cs="宋体"/>
          <w:b/>
          <w:bCs/>
          <w:szCs w:val="21"/>
        </w:rPr>
      </w:pPr>
      <w:bookmarkStart w:id="204" w:name="_Toc989093"/>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本期计提、收回或转回的坏账准备的情况</w:t>
      </w:r>
      <w:bookmarkEnd w:id="204"/>
    </w:p>
    <w:p w14:paraId="78F3716D" w14:textId="77777777" w:rsidR="00517D34" w:rsidRPr="0063248C" w:rsidRDefault="00000000">
      <w:pPr>
        <w:pStyle w:val="a3"/>
        <w:divId w:val="951202828"/>
        <w:rPr>
          <w:rFonts w:ascii="Times New Roman" w:hAnsi="Times New Roman"/>
          <w:sz w:val="18"/>
          <w:szCs w:val="18"/>
        </w:rPr>
      </w:pPr>
      <w:r w:rsidRPr="0063248C">
        <w:rPr>
          <w:rFonts w:ascii="Times New Roman" w:hAnsi="Times New Roman" w:hint="eastAsia"/>
          <w:sz w:val="18"/>
          <w:szCs w:val="18"/>
        </w:rPr>
        <w:t>无</w:t>
      </w:r>
    </w:p>
    <w:p w14:paraId="2E535756" w14:textId="77777777" w:rsidR="007B3DB2" w:rsidRPr="0063248C" w:rsidRDefault="00000000">
      <w:pPr>
        <w:keepNext/>
        <w:keepLines/>
        <w:spacing w:before="300" w:after="300" w:line="280" w:lineRule="exact"/>
        <w:outlineLvl w:val="3"/>
        <w:rPr>
          <w:rFonts w:cs="宋体"/>
          <w:b/>
          <w:bCs/>
          <w:szCs w:val="21"/>
        </w:rPr>
      </w:pPr>
      <w:bookmarkStart w:id="205" w:name="_Toc989094"/>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期末公司已质押的应收款项融资</w:t>
      </w:r>
      <w:bookmarkEnd w:id="205"/>
    </w:p>
    <w:p w14:paraId="73CA7EAA" w14:textId="77777777" w:rsidR="008669F6" w:rsidRPr="0063248C" w:rsidRDefault="008669F6" w:rsidP="008669F6">
      <w:pPr>
        <w:spacing w:before="40" w:after="40" w:line="240" w:lineRule="exact"/>
        <w:rPr>
          <w:rFonts w:cs="宋体"/>
          <w:sz w:val="18"/>
          <w:szCs w:val="18"/>
        </w:rPr>
      </w:pPr>
      <w:bookmarkStart w:id="206" w:name="_Toc989095"/>
      <w:r>
        <w:rPr>
          <w:rFonts w:cs="宋体" w:hint="eastAsia"/>
          <w:sz w:val="18"/>
          <w:szCs w:val="18"/>
        </w:rPr>
        <w:t>无</w:t>
      </w:r>
    </w:p>
    <w:p w14:paraId="7996AAD7"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期末公司已背书或贴现且在资产负债表日尚未到期的应收款项融资</w:t>
      </w:r>
      <w:bookmarkEnd w:id="206"/>
    </w:p>
    <w:p w14:paraId="3A6A3BB1" w14:textId="77777777" w:rsidR="008669F6" w:rsidRPr="0063248C" w:rsidRDefault="008669F6" w:rsidP="008669F6">
      <w:pPr>
        <w:spacing w:before="40" w:after="40" w:line="240" w:lineRule="exact"/>
        <w:rPr>
          <w:rFonts w:cs="宋体"/>
          <w:sz w:val="18"/>
          <w:szCs w:val="18"/>
        </w:rPr>
      </w:pPr>
      <w:bookmarkStart w:id="207" w:name="_Toc989096"/>
      <w:r>
        <w:rPr>
          <w:rFonts w:cs="宋体" w:hint="eastAsia"/>
          <w:sz w:val="18"/>
          <w:szCs w:val="18"/>
        </w:rPr>
        <w:t>无</w:t>
      </w:r>
    </w:p>
    <w:p w14:paraId="67770930"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6</w:t>
      </w:r>
      <w:r w:rsidRPr="0063248C">
        <w:rPr>
          <w:rFonts w:cs="宋体"/>
          <w:b/>
          <w:bCs/>
          <w:szCs w:val="21"/>
        </w:rPr>
        <w:t>）</w:t>
      </w:r>
      <w:r w:rsidRPr="0063248C">
        <w:rPr>
          <w:rFonts w:cs="宋体"/>
          <w:b/>
          <w:bCs/>
          <w:szCs w:val="21"/>
        </w:rPr>
        <w:t xml:space="preserve"> </w:t>
      </w:r>
      <w:r w:rsidRPr="0063248C">
        <w:rPr>
          <w:rFonts w:cs="宋体"/>
          <w:b/>
          <w:bCs/>
          <w:szCs w:val="21"/>
        </w:rPr>
        <w:t>本期实际核销的应收款项融资情况</w:t>
      </w:r>
      <w:bookmarkEnd w:id="207"/>
    </w:p>
    <w:p w14:paraId="1BCF7359" w14:textId="77777777" w:rsidR="00517D34" w:rsidRPr="0063248C" w:rsidRDefault="00000000">
      <w:pPr>
        <w:pStyle w:val="a3"/>
        <w:divId w:val="1062564744"/>
        <w:rPr>
          <w:rFonts w:ascii="Times New Roman" w:hAnsi="Times New Roman"/>
          <w:sz w:val="18"/>
          <w:szCs w:val="18"/>
        </w:rPr>
      </w:pPr>
      <w:r w:rsidRPr="0063248C">
        <w:rPr>
          <w:rFonts w:ascii="Times New Roman" w:hAnsi="Times New Roman" w:hint="eastAsia"/>
          <w:sz w:val="18"/>
          <w:szCs w:val="18"/>
        </w:rPr>
        <w:t>无</w:t>
      </w:r>
    </w:p>
    <w:p w14:paraId="0088E199" w14:textId="77777777" w:rsidR="007B3DB2" w:rsidRPr="0063248C" w:rsidRDefault="00000000">
      <w:pPr>
        <w:keepNext/>
        <w:keepLines/>
        <w:spacing w:before="300" w:after="300" w:line="280" w:lineRule="exact"/>
        <w:outlineLvl w:val="3"/>
        <w:rPr>
          <w:rFonts w:cs="宋体"/>
          <w:b/>
          <w:bCs/>
          <w:szCs w:val="21"/>
        </w:rPr>
      </w:pPr>
      <w:bookmarkStart w:id="208" w:name="_Toc989097"/>
      <w:r w:rsidRPr="0063248C">
        <w:rPr>
          <w:rFonts w:cs="宋体"/>
          <w:b/>
          <w:bCs/>
          <w:szCs w:val="21"/>
        </w:rPr>
        <w:t>（</w:t>
      </w:r>
      <w:r w:rsidRPr="0063248C">
        <w:rPr>
          <w:rFonts w:cs="宋体"/>
          <w:b/>
          <w:bCs/>
          <w:szCs w:val="21"/>
        </w:rPr>
        <w:t>7</w:t>
      </w:r>
      <w:r w:rsidRPr="0063248C">
        <w:rPr>
          <w:rFonts w:cs="宋体"/>
          <w:b/>
          <w:bCs/>
          <w:szCs w:val="21"/>
        </w:rPr>
        <w:t>）</w:t>
      </w:r>
      <w:r w:rsidRPr="0063248C">
        <w:rPr>
          <w:rFonts w:cs="宋体"/>
          <w:b/>
          <w:bCs/>
          <w:szCs w:val="21"/>
        </w:rPr>
        <w:t xml:space="preserve"> </w:t>
      </w:r>
      <w:r w:rsidRPr="0063248C">
        <w:rPr>
          <w:rFonts w:cs="宋体"/>
          <w:b/>
          <w:bCs/>
          <w:szCs w:val="21"/>
        </w:rPr>
        <w:t>应收款项融资本期增减变动及公允价值变动情况</w:t>
      </w:r>
      <w:bookmarkEnd w:id="208"/>
    </w:p>
    <w:p w14:paraId="1E4349E8" w14:textId="77777777" w:rsidR="00517D34" w:rsidRPr="0063248C" w:rsidRDefault="00000000">
      <w:pPr>
        <w:pStyle w:val="a3"/>
        <w:divId w:val="1192106040"/>
        <w:rPr>
          <w:rFonts w:ascii="Times New Roman" w:hAnsi="Times New Roman"/>
          <w:sz w:val="18"/>
          <w:szCs w:val="18"/>
        </w:rPr>
      </w:pPr>
      <w:r w:rsidRPr="0063248C">
        <w:rPr>
          <w:rFonts w:ascii="Times New Roman" w:hAnsi="Times New Roman" w:hint="eastAsia"/>
          <w:sz w:val="18"/>
          <w:szCs w:val="18"/>
        </w:rPr>
        <w:t>无</w:t>
      </w:r>
    </w:p>
    <w:p w14:paraId="1676F9EA" w14:textId="77777777" w:rsidR="007B3DB2" w:rsidRPr="0063248C" w:rsidRDefault="00000000">
      <w:pPr>
        <w:keepNext/>
        <w:keepLines/>
        <w:spacing w:before="300" w:after="300" w:line="280" w:lineRule="exact"/>
        <w:outlineLvl w:val="3"/>
        <w:rPr>
          <w:rFonts w:cs="宋体"/>
          <w:b/>
          <w:bCs/>
          <w:szCs w:val="21"/>
        </w:rPr>
      </w:pPr>
      <w:bookmarkStart w:id="209" w:name="_Toc989098"/>
      <w:r w:rsidRPr="0063248C">
        <w:rPr>
          <w:rFonts w:cs="宋体"/>
          <w:b/>
          <w:bCs/>
          <w:szCs w:val="21"/>
        </w:rPr>
        <w:t>（</w:t>
      </w:r>
      <w:r w:rsidRPr="0063248C">
        <w:rPr>
          <w:rFonts w:cs="宋体"/>
          <w:b/>
          <w:bCs/>
          <w:szCs w:val="21"/>
        </w:rPr>
        <w:t>8</w:t>
      </w:r>
      <w:r w:rsidRPr="0063248C">
        <w:rPr>
          <w:rFonts w:cs="宋体"/>
          <w:b/>
          <w:bCs/>
          <w:szCs w:val="21"/>
        </w:rPr>
        <w:t>）</w:t>
      </w:r>
      <w:r w:rsidRPr="0063248C">
        <w:rPr>
          <w:rFonts w:cs="宋体"/>
          <w:b/>
          <w:bCs/>
          <w:szCs w:val="21"/>
        </w:rPr>
        <w:t xml:space="preserve"> </w:t>
      </w:r>
      <w:r w:rsidRPr="0063248C">
        <w:rPr>
          <w:rFonts w:cs="宋体"/>
          <w:b/>
          <w:bCs/>
          <w:szCs w:val="21"/>
        </w:rPr>
        <w:t>其他说明</w:t>
      </w:r>
      <w:bookmarkEnd w:id="209"/>
    </w:p>
    <w:p w14:paraId="6D5E4090" w14:textId="77777777" w:rsidR="00517D34" w:rsidRPr="0063248C" w:rsidRDefault="00000000">
      <w:pPr>
        <w:pStyle w:val="a3"/>
        <w:divId w:val="828326405"/>
        <w:rPr>
          <w:rFonts w:ascii="Times New Roman" w:hAnsi="Times New Roman"/>
          <w:sz w:val="18"/>
          <w:szCs w:val="18"/>
        </w:rPr>
      </w:pPr>
      <w:r w:rsidRPr="0063248C">
        <w:rPr>
          <w:rFonts w:ascii="Times New Roman" w:hAnsi="Times New Roman" w:hint="eastAsia"/>
          <w:sz w:val="18"/>
          <w:szCs w:val="18"/>
        </w:rPr>
        <w:t>无</w:t>
      </w:r>
    </w:p>
    <w:p w14:paraId="53DFBF7F" w14:textId="77777777" w:rsidR="007B3DB2" w:rsidRPr="0063248C" w:rsidRDefault="00000000">
      <w:pPr>
        <w:pStyle w:val="3"/>
        <w:spacing w:line="280" w:lineRule="exact"/>
        <w:jc w:val="left"/>
        <w:rPr>
          <w:rFonts w:cs="宋体"/>
          <w:b/>
          <w:bCs/>
        </w:rPr>
      </w:pPr>
      <w:bookmarkStart w:id="210" w:name="_Toc989099"/>
      <w:r w:rsidRPr="0063248C">
        <w:rPr>
          <w:rFonts w:cs="宋体"/>
          <w:b/>
          <w:bCs/>
        </w:rPr>
        <w:t>8</w:t>
      </w:r>
      <w:r w:rsidRPr="0063248C">
        <w:rPr>
          <w:rFonts w:cs="宋体"/>
          <w:b/>
          <w:bCs/>
        </w:rPr>
        <w:t>、其他应收款</w:t>
      </w:r>
      <w:bookmarkEnd w:id="210"/>
    </w:p>
    <w:p w14:paraId="49C25203"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0F4197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D125FD"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AB402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C867C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18BAF5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50A1E9" w14:textId="77777777" w:rsidR="007B3DB2" w:rsidRPr="0063248C" w:rsidRDefault="00000000">
            <w:pPr>
              <w:spacing w:before="40" w:after="40" w:line="240" w:lineRule="exact"/>
              <w:rPr>
                <w:rFonts w:cs="宋体"/>
                <w:sz w:val="18"/>
                <w:szCs w:val="18"/>
              </w:rPr>
            </w:pPr>
            <w:r w:rsidRPr="0063248C">
              <w:rPr>
                <w:rFonts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4A605351" w14:textId="77777777" w:rsidR="007B3DB2" w:rsidRPr="0063248C" w:rsidRDefault="00000000">
            <w:pPr>
              <w:spacing w:line="240" w:lineRule="exact"/>
              <w:jc w:val="right"/>
              <w:rPr>
                <w:rFonts w:cs="宋体"/>
                <w:sz w:val="18"/>
                <w:szCs w:val="18"/>
              </w:rPr>
            </w:pPr>
            <w:r w:rsidRPr="0063248C">
              <w:rPr>
                <w:rFonts w:cs="宋体"/>
                <w:sz w:val="18"/>
                <w:szCs w:val="18"/>
              </w:rPr>
              <w:t>49,195,639.85</w:t>
            </w:r>
          </w:p>
        </w:tc>
        <w:tc>
          <w:tcPr>
            <w:tcW w:w="3213" w:type="dxa"/>
            <w:tcBorders>
              <w:top w:val="single" w:sz="2" w:space="0" w:color="auto"/>
              <w:left w:val="single" w:sz="2" w:space="0" w:color="auto"/>
              <w:bottom w:val="single" w:sz="2" w:space="0" w:color="auto"/>
              <w:right w:val="single" w:sz="2" w:space="0" w:color="auto"/>
            </w:tcBorders>
            <w:vAlign w:val="center"/>
          </w:tcPr>
          <w:p w14:paraId="6C6924F0" w14:textId="77777777" w:rsidR="007B3DB2" w:rsidRPr="0063248C" w:rsidRDefault="00000000">
            <w:pPr>
              <w:spacing w:line="240" w:lineRule="exact"/>
              <w:jc w:val="right"/>
              <w:rPr>
                <w:rFonts w:cs="宋体"/>
                <w:sz w:val="18"/>
                <w:szCs w:val="18"/>
              </w:rPr>
            </w:pPr>
            <w:r w:rsidRPr="0063248C">
              <w:rPr>
                <w:rFonts w:cs="宋体"/>
                <w:sz w:val="18"/>
                <w:szCs w:val="18"/>
              </w:rPr>
              <w:t>44,828,566.76</w:t>
            </w:r>
          </w:p>
        </w:tc>
      </w:tr>
      <w:tr w:rsidR="007B3DB2" w:rsidRPr="0063248C" w14:paraId="6A7122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5DF35B"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A4DC2A0" w14:textId="77777777" w:rsidR="007B3DB2" w:rsidRPr="0063248C" w:rsidRDefault="00000000">
            <w:pPr>
              <w:spacing w:line="240" w:lineRule="exact"/>
              <w:jc w:val="right"/>
              <w:rPr>
                <w:rFonts w:cs="宋体"/>
                <w:sz w:val="18"/>
                <w:szCs w:val="18"/>
              </w:rPr>
            </w:pPr>
            <w:r w:rsidRPr="0063248C">
              <w:rPr>
                <w:rFonts w:cs="宋体"/>
                <w:sz w:val="18"/>
                <w:szCs w:val="18"/>
              </w:rPr>
              <w:t>49,195,639.85</w:t>
            </w:r>
          </w:p>
        </w:tc>
        <w:tc>
          <w:tcPr>
            <w:tcW w:w="3213" w:type="dxa"/>
            <w:tcBorders>
              <w:top w:val="single" w:sz="2" w:space="0" w:color="auto"/>
              <w:left w:val="single" w:sz="2" w:space="0" w:color="auto"/>
              <w:bottom w:val="single" w:sz="2" w:space="0" w:color="auto"/>
              <w:right w:val="single" w:sz="2" w:space="0" w:color="auto"/>
            </w:tcBorders>
            <w:vAlign w:val="center"/>
          </w:tcPr>
          <w:p w14:paraId="2430426D" w14:textId="77777777" w:rsidR="007B3DB2" w:rsidRPr="0063248C" w:rsidRDefault="00000000">
            <w:pPr>
              <w:spacing w:line="240" w:lineRule="exact"/>
              <w:jc w:val="right"/>
              <w:rPr>
                <w:rFonts w:cs="宋体"/>
                <w:sz w:val="18"/>
                <w:szCs w:val="18"/>
              </w:rPr>
            </w:pPr>
            <w:r w:rsidRPr="0063248C">
              <w:rPr>
                <w:rFonts w:cs="宋体"/>
                <w:sz w:val="18"/>
                <w:szCs w:val="18"/>
              </w:rPr>
              <w:t>44,828,566.76</w:t>
            </w:r>
          </w:p>
        </w:tc>
      </w:tr>
    </w:tbl>
    <w:p w14:paraId="113E6BA6" w14:textId="77777777" w:rsidR="007B3DB2" w:rsidRPr="0063248C" w:rsidRDefault="00000000">
      <w:pPr>
        <w:keepNext/>
        <w:keepLines/>
        <w:spacing w:before="300" w:after="300" w:line="280" w:lineRule="exact"/>
        <w:outlineLvl w:val="3"/>
        <w:rPr>
          <w:rFonts w:cs="宋体"/>
          <w:b/>
          <w:bCs/>
          <w:szCs w:val="21"/>
        </w:rPr>
      </w:pPr>
      <w:bookmarkStart w:id="211" w:name="_Toc989100"/>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应收利息</w:t>
      </w:r>
      <w:bookmarkEnd w:id="211"/>
    </w:p>
    <w:p w14:paraId="22B47A33" w14:textId="77777777" w:rsidR="007B3DB2" w:rsidRPr="0063248C" w:rsidRDefault="00000000">
      <w:pPr>
        <w:keepNext/>
        <w:keepLines/>
        <w:spacing w:before="300" w:after="300" w:line="280" w:lineRule="exact"/>
        <w:outlineLvl w:val="4"/>
        <w:rPr>
          <w:rFonts w:cs="宋体"/>
          <w:b/>
          <w:bCs/>
          <w:szCs w:val="21"/>
        </w:rPr>
      </w:pPr>
      <w:bookmarkStart w:id="212" w:name="_Toc989101"/>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应收利息分类</w:t>
      </w:r>
      <w:bookmarkEnd w:id="212"/>
    </w:p>
    <w:p w14:paraId="1880B990" w14:textId="77777777" w:rsidR="008669F6" w:rsidRPr="0063248C" w:rsidRDefault="008669F6" w:rsidP="008669F6">
      <w:pPr>
        <w:spacing w:before="40" w:after="40" w:line="240" w:lineRule="exact"/>
        <w:rPr>
          <w:rFonts w:cs="宋体"/>
          <w:sz w:val="18"/>
          <w:szCs w:val="18"/>
        </w:rPr>
      </w:pPr>
      <w:bookmarkStart w:id="213" w:name="_Toc989102"/>
      <w:r>
        <w:rPr>
          <w:rFonts w:cs="宋体" w:hint="eastAsia"/>
          <w:sz w:val="18"/>
          <w:szCs w:val="18"/>
        </w:rPr>
        <w:t>无</w:t>
      </w:r>
    </w:p>
    <w:p w14:paraId="0C452A20" w14:textId="77777777" w:rsidR="007B3DB2" w:rsidRPr="0063248C" w:rsidRDefault="00000000">
      <w:pPr>
        <w:keepNext/>
        <w:keepLines/>
        <w:spacing w:before="300" w:after="300" w:line="280" w:lineRule="exact"/>
        <w:outlineLvl w:val="4"/>
        <w:rPr>
          <w:rFonts w:cs="宋体"/>
          <w:b/>
          <w:bCs/>
          <w:szCs w:val="21"/>
        </w:rPr>
      </w:pP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重要逾期利息</w:t>
      </w:r>
      <w:bookmarkEnd w:id="213"/>
    </w:p>
    <w:p w14:paraId="3455F057" w14:textId="77777777" w:rsidR="00517D34" w:rsidRPr="0063248C" w:rsidRDefault="00000000">
      <w:pPr>
        <w:pStyle w:val="a3"/>
        <w:divId w:val="1357734240"/>
        <w:rPr>
          <w:rFonts w:ascii="Times New Roman" w:hAnsi="Times New Roman"/>
          <w:sz w:val="18"/>
          <w:szCs w:val="18"/>
        </w:rPr>
      </w:pPr>
      <w:r w:rsidRPr="0063248C">
        <w:rPr>
          <w:rFonts w:ascii="Times New Roman" w:hAnsi="Times New Roman" w:hint="eastAsia"/>
          <w:sz w:val="18"/>
          <w:szCs w:val="18"/>
        </w:rPr>
        <w:t>无</w:t>
      </w:r>
    </w:p>
    <w:p w14:paraId="5FF202E2" w14:textId="77777777" w:rsidR="007B3DB2" w:rsidRPr="0063248C" w:rsidRDefault="00000000">
      <w:pPr>
        <w:keepNext/>
        <w:keepLines/>
        <w:spacing w:before="300" w:after="300" w:line="280" w:lineRule="exact"/>
        <w:outlineLvl w:val="4"/>
        <w:rPr>
          <w:rFonts w:cs="宋体"/>
          <w:b/>
          <w:bCs/>
          <w:szCs w:val="21"/>
        </w:rPr>
      </w:pPr>
      <w:bookmarkStart w:id="214" w:name="_Toc989103"/>
      <w:r w:rsidRPr="0063248C">
        <w:rPr>
          <w:rFonts w:cs="宋体"/>
          <w:b/>
          <w:bCs/>
          <w:szCs w:val="21"/>
        </w:rPr>
        <w:lastRenderedPageBreak/>
        <w:t>3</w:t>
      </w:r>
      <w:r w:rsidRPr="0063248C">
        <w:rPr>
          <w:rFonts w:cs="宋体"/>
          <w:b/>
          <w:bCs/>
          <w:szCs w:val="21"/>
        </w:rPr>
        <w:t>）</w:t>
      </w:r>
      <w:r w:rsidRPr="0063248C">
        <w:rPr>
          <w:rFonts w:cs="宋体"/>
          <w:b/>
          <w:bCs/>
          <w:szCs w:val="21"/>
        </w:rPr>
        <w:t xml:space="preserve"> </w:t>
      </w:r>
      <w:r w:rsidRPr="0063248C">
        <w:rPr>
          <w:rFonts w:cs="宋体"/>
          <w:b/>
          <w:bCs/>
          <w:szCs w:val="21"/>
        </w:rPr>
        <w:t>按坏账计提方法分类披露</w:t>
      </w:r>
      <w:bookmarkEnd w:id="214"/>
    </w:p>
    <w:p w14:paraId="62658AAA"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C85918B" w14:textId="77777777" w:rsidR="007B3DB2" w:rsidRPr="0063248C" w:rsidRDefault="00000000">
      <w:pPr>
        <w:keepNext/>
        <w:keepLines/>
        <w:spacing w:before="300" w:after="300" w:line="280" w:lineRule="exact"/>
        <w:outlineLvl w:val="4"/>
        <w:rPr>
          <w:rFonts w:cs="宋体"/>
          <w:b/>
          <w:bCs/>
          <w:sz w:val="18"/>
          <w:szCs w:val="18"/>
        </w:rPr>
      </w:pPr>
      <w:bookmarkStart w:id="215" w:name="_Toc989104"/>
      <w:r w:rsidRPr="0063248C">
        <w:rPr>
          <w:rFonts w:cs="宋体"/>
          <w:b/>
          <w:bCs/>
          <w:sz w:val="18"/>
          <w:szCs w:val="18"/>
        </w:rPr>
        <w:t>4</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本期计提、收回或转回的坏账准备的情况</w:t>
      </w:r>
      <w:bookmarkEnd w:id="215"/>
    </w:p>
    <w:p w14:paraId="540F09B9" w14:textId="77777777" w:rsidR="00517D34" w:rsidRPr="0063248C" w:rsidRDefault="00000000">
      <w:pPr>
        <w:pStyle w:val="a3"/>
        <w:divId w:val="1475952241"/>
        <w:rPr>
          <w:rFonts w:ascii="Times New Roman" w:hAnsi="Times New Roman"/>
          <w:sz w:val="18"/>
          <w:szCs w:val="18"/>
        </w:rPr>
      </w:pPr>
      <w:r w:rsidRPr="0063248C">
        <w:rPr>
          <w:rFonts w:ascii="Times New Roman" w:hAnsi="Times New Roman" w:hint="eastAsia"/>
          <w:sz w:val="18"/>
          <w:szCs w:val="18"/>
        </w:rPr>
        <w:t>无</w:t>
      </w:r>
    </w:p>
    <w:p w14:paraId="5FF4E8C1" w14:textId="77777777" w:rsidR="007B3DB2" w:rsidRPr="0063248C" w:rsidRDefault="00000000">
      <w:pPr>
        <w:keepNext/>
        <w:keepLines/>
        <w:spacing w:before="300" w:after="300" w:line="280" w:lineRule="exact"/>
        <w:outlineLvl w:val="4"/>
        <w:rPr>
          <w:rFonts w:cs="宋体"/>
          <w:b/>
          <w:bCs/>
          <w:sz w:val="18"/>
          <w:szCs w:val="18"/>
        </w:rPr>
      </w:pPr>
      <w:bookmarkStart w:id="216" w:name="_Toc989105"/>
      <w:r w:rsidRPr="0063248C">
        <w:rPr>
          <w:rFonts w:cs="宋体"/>
          <w:b/>
          <w:bCs/>
          <w:sz w:val="18"/>
          <w:szCs w:val="18"/>
        </w:rPr>
        <w:t>5</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本期实际核销的应收利息情况</w:t>
      </w:r>
      <w:bookmarkEnd w:id="216"/>
    </w:p>
    <w:p w14:paraId="79045ACB" w14:textId="77777777" w:rsidR="00517D34" w:rsidRPr="0063248C" w:rsidRDefault="00000000">
      <w:pPr>
        <w:pStyle w:val="a3"/>
        <w:divId w:val="2115324838"/>
        <w:rPr>
          <w:rFonts w:ascii="Times New Roman" w:hAnsi="Times New Roman"/>
          <w:sz w:val="18"/>
          <w:szCs w:val="18"/>
        </w:rPr>
      </w:pPr>
      <w:r w:rsidRPr="0063248C">
        <w:rPr>
          <w:rFonts w:ascii="Times New Roman" w:hAnsi="Times New Roman" w:hint="eastAsia"/>
          <w:sz w:val="18"/>
          <w:szCs w:val="18"/>
        </w:rPr>
        <w:t>无</w:t>
      </w:r>
    </w:p>
    <w:p w14:paraId="371C08F8" w14:textId="77777777" w:rsidR="007B3DB2" w:rsidRPr="0063248C" w:rsidRDefault="00000000">
      <w:pPr>
        <w:keepNext/>
        <w:keepLines/>
        <w:spacing w:before="300" w:after="300" w:line="280" w:lineRule="exact"/>
        <w:outlineLvl w:val="3"/>
        <w:rPr>
          <w:rFonts w:cs="宋体"/>
          <w:b/>
          <w:bCs/>
          <w:szCs w:val="21"/>
        </w:rPr>
      </w:pPr>
      <w:bookmarkStart w:id="217" w:name="_Toc989106"/>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应收股利</w:t>
      </w:r>
      <w:bookmarkEnd w:id="217"/>
    </w:p>
    <w:p w14:paraId="4990E93C" w14:textId="77777777" w:rsidR="007B3DB2" w:rsidRPr="0063248C" w:rsidRDefault="00000000">
      <w:pPr>
        <w:keepNext/>
        <w:keepLines/>
        <w:spacing w:before="300" w:after="300" w:line="280" w:lineRule="exact"/>
        <w:outlineLvl w:val="4"/>
        <w:rPr>
          <w:rFonts w:cs="宋体"/>
          <w:b/>
          <w:bCs/>
          <w:sz w:val="18"/>
          <w:szCs w:val="18"/>
        </w:rPr>
      </w:pPr>
      <w:bookmarkStart w:id="218" w:name="_Toc989107"/>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应收股利分类</w:t>
      </w:r>
      <w:bookmarkEnd w:id="218"/>
    </w:p>
    <w:p w14:paraId="56629CD1" w14:textId="77777777" w:rsidR="008669F6" w:rsidRPr="0063248C" w:rsidRDefault="008669F6" w:rsidP="008669F6">
      <w:pPr>
        <w:spacing w:before="40" w:after="40" w:line="240" w:lineRule="exact"/>
        <w:rPr>
          <w:rFonts w:cs="宋体"/>
          <w:sz w:val="18"/>
          <w:szCs w:val="18"/>
        </w:rPr>
      </w:pPr>
      <w:bookmarkStart w:id="219" w:name="_Toc989108"/>
      <w:r>
        <w:rPr>
          <w:rFonts w:cs="宋体" w:hint="eastAsia"/>
          <w:sz w:val="18"/>
          <w:szCs w:val="18"/>
        </w:rPr>
        <w:t>无</w:t>
      </w:r>
    </w:p>
    <w:p w14:paraId="52EC3D2D" w14:textId="77777777" w:rsidR="007B3DB2" w:rsidRPr="0063248C" w:rsidRDefault="00000000">
      <w:pPr>
        <w:keepNext/>
        <w:keepLines/>
        <w:spacing w:before="300" w:after="300" w:line="280" w:lineRule="exact"/>
        <w:outlineLvl w:val="4"/>
        <w:rPr>
          <w:rFonts w:cs="宋体"/>
          <w:b/>
          <w:bCs/>
          <w:sz w:val="18"/>
          <w:szCs w:val="18"/>
        </w:rPr>
      </w:pP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重要的账龄超过</w:t>
      </w:r>
      <w:r w:rsidRPr="0063248C">
        <w:rPr>
          <w:rFonts w:cs="宋体"/>
          <w:b/>
          <w:bCs/>
          <w:sz w:val="18"/>
          <w:szCs w:val="18"/>
        </w:rPr>
        <w:t>1</w:t>
      </w:r>
      <w:r w:rsidRPr="0063248C">
        <w:rPr>
          <w:rFonts w:cs="宋体"/>
          <w:b/>
          <w:bCs/>
          <w:sz w:val="18"/>
          <w:szCs w:val="18"/>
        </w:rPr>
        <w:t>年的应收股利</w:t>
      </w:r>
      <w:bookmarkEnd w:id="219"/>
    </w:p>
    <w:p w14:paraId="2026E448" w14:textId="77777777" w:rsidR="008669F6" w:rsidRPr="0063248C" w:rsidRDefault="008669F6" w:rsidP="008669F6">
      <w:pPr>
        <w:spacing w:before="40" w:after="40" w:line="240" w:lineRule="exact"/>
        <w:rPr>
          <w:rFonts w:cs="宋体"/>
          <w:sz w:val="18"/>
          <w:szCs w:val="18"/>
        </w:rPr>
      </w:pPr>
      <w:bookmarkStart w:id="220" w:name="_Toc989109"/>
      <w:r>
        <w:rPr>
          <w:rFonts w:cs="宋体" w:hint="eastAsia"/>
          <w:sz w:val="18"/>
          <w:szCs w:val="18"/>
        </w:rPr>
        <w:t>无</w:t>
      </w:r>
    </w:p>
    <w:p w14:paraId="45F30377" w14:textId="77777777" w:rsidR="007B3DB2" w:rsidRPr="0063248C" w:rsidRDefault="00000000">
      <w:pPr>
        <w:keepNext/>
        <w:keepLines/>
        <w:spacing w:before="300" w:after="300" w:line="280" w:lineRule="exact"/>
        <w:outlineLvl w:val="4"/>
        <w:rPr>
          <w:rFonts w:cs="宋体"/>
          <w:b/>
          <w:bCs/>
          <w:sz w:val="18"/>
          <w:szCs w:val="18"/>
        </w:rPr>
      </w:pPr>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按坏账计提方法分类披露</w:t>
      </w:r>
      <w:bookmarkEnd w:id="220"/>
    </w:p>
    <w:p w14:paraId="16D8CF10"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68C62B2" w14:textId="77777777" w:rsidR="007B3DB2" w:rsidRPr="0063248C" w:rsidRDefault="00000000">
      <w:pPr>
        <w:keepNext/>
        <w:keepLines/>
        <w:spacing w:before="300" w:after="300" w:line="280" w:lineRule="exact"/>
        <w:outlineLvl w:val="4"/>
        <w:rPr>
          <w:rFonts w:cs="宋体"/>
          <w:b/>
          <w:bCs/>
          <w:sz w:val="18"/>
          <w:szCs w:val="18"/>
        </w:rPr>
      </w:pPr>
      <w:bookmarkStart w:id="221" w:name="_Toc989110"/>
      <w:r w:rsidRPr="0063248C">
        <w:rPr>
          <w:rFonts w:cs="宋体"/>
          <w:b/>
          <w:bCs/>
          <w:sz w:val="18"/>
          <w:szCs w:val="18"/>
        </w:rPr>
        <w:t>4</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本期计提、收回或转回的坏账准备的情况</w:t>
      </w:r>
      <w:bookmarkEnd w:id="221"/>
    </w:p>
    <w:p w14:paraId="3E129D8A" w14:textId="77777777" w:rsidR="00517D34" w:rsidRPr="0063248C" w:rsidRDefault="00000000">
      <w:pPr>
        <w:pStyle w:val="a3"/>
        <w:divId w:val="1191648652"/>
        <w:rPr>
          <w:rFonts w:ascii="Times New Roman" w:hAnsi="Times New Roman"/>
          <w:sz w:val="18"/>
          <w:szCs w:val="18"/>
        </w:rPr>
      </w:pPr>
      <w:r w:rsidRPr="0063248C">
        <w:rPr>
          <w:rFonts w:ascii="Times New Roman" w:hAnsi="Times New Roman" w:hint="eastAsia"/>
          <w:sz w:val="18"/>
          <w:szCs w:val="18"/>
        </w:rPr>
        <w:t>无</w:t>
      </w:r>
    </w:p>
    <w:p w14:paraId="6B329D2F" w14:textId="77777777" w:rsidR="007B3DB2" w:rsidRPr="0063248C" w:rsidRDefault="00000000">
      <w:pPr>
        <w:keepNext/>
        <w:keepLines/>
        <w:spacing w:before="300" w:after="300" w:line="280" w:lineRule="exact"/>
        <w:outlineLvl w:val="4"/>
        <w:rPr>
          <w:rFonts w:cs="宋体"/>
          <w:b/>
          <w:bCs/>
          <w:sz w:val="18"/>
          <w:szCs w:val="18"/>
        </w:rPr>
      </w:pPr>
      <w:bookmarkStart w:id="222" w:name="_Toc989111"/>
      <w:r w:rsidRPr="0063248C">
        <w:rPr>
          <w:rFonts w:cs="宋体"/>
          <w:b/>
          <w:bCs/>
          <w:sz w:val="18"/>
          <w:szCs w:val="18"/>
        </w:rPr>
        <w:t>5</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本期实际核销的应收股利情况</w:t>
      </w:r>
      <w:bookmarkEnd w:id="222"/>
    </w:p>
    <w:p w14:paraId="04CFCB6C" w14:textId="77777777" w:rsidR="00517D34" w:rsidRPr="0063248C" w:rsidRDefault="00000000">
      <w:pPr>
        <w:pStyle w:val="a3"/>
        <w:divId w:val="1010452469"/>
        <w:rPr>
          <w:rFonts w:ascii="Times New Roman" w:hAnsi="Times New Roman"/>
          <w:sz w:val="18"/>
          <w:szCs w:val="18"/>
        </w:rPr>
      </w:pPr>
      <w:r w:rsidRPr="0063248C">
        <w:rPr>
          <w:rFonts w:ascii="Times New Roman" w:hAnsi="Times New Roman" w:hint="eastAsia"/>
          <w:sz w:val="18"/>
          <w:szCs w:val="18"/>
        </w:rPr>
        <w:t>无</w:t>
      </w:r>
    </w:p>
    <w:p w14:paraId="32BB8F5B" w14:textId="77777777" w:rsidR="007B3DB2" w:rsidRPr="0063248C" w:rsidRDefault="00000000">
      <w:pPr>
        <w:keepNext/>
        <w:keepLines/>
        <w:spacing w:before="300" w:after="300" w:line="280" w:lineRule="exact"/>
        <w:outlineLvl w:val="3"/>
        <w:rPr>
          <w:rFonts w:cs="宋体"/>
          <w:b/>
          <w:bCs/>
          <w:szCs w:val="21"/>
        </w:rPr>
      </w:pPr>
      <w:bookmarkStart w:id="223" w:name="_Toc989112"/>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其他应收款</w:t>
      </w:r>
      <w:bookmarkEnd w:id="223"/>
    </w:p>
    <w:p w14:paraId="60775479" w14:textId="77777777" w:rsidR="007B3DB2" w:rsidRPr="0063248C" w:rsidRDefault="00000000">
      <w:pPr>
        <w:keepNext/>
        <w:keepLines/>
        <w:spacing w:before="300" w:after="300" w:line="280" w:lineRule="exact"/>
        <w:outlineLvl w:val="4"/>
        <w:rPr>
          <w:rFonts w:cs="宋体"/>
          <w:b/>
          <w:bCs/>
          <w:sz w:val="18"/>
          <w:szCs w:val="18"/>
        </w:rPr>
      </w:pPr>
      <w:bookmarkStart w:id="224" w:name="_Toc989113"/>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其他应收款按款项性质分类情况</w:t>
      </w:r>
      <w:bookmarkEnd w:id="224"/>
    </w:p>
    <w:p w14:paraId="5CF08B8F"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543BCD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26D27B" w14:textId="77777777" w:rsidR="007B3DB2" w:rsidRPr="0063248C" w:rsidRDefault="00000000">
            <w:pPr>
              <w:spacing w:before="40" w:after="40" w:line="240" w:lineRule="exact"/>
              <w:jc w:val="center"/>
              <w:rPr>
                <w:rFonts w:cs="宋体"/>
                <w:sz w:val="18"/>
                <w:szCs w:val="18"/>
              </w:rPr>
            </w:pPr>
            <w:r w:rsidRPr="0063248C">
              <w:rPr>
                <w:rFonts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6570E1"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A84A6A"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期初账面余额</w:t>
            </w:r>
          </w:p>
        </w:tc>
      </w:tr>
      <w:tr w:rsidR="007B3DB2" w:rsidRPr="0063248C" w14:paraId="600431F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53B1D2E" w14:textId="77777777" w:rsidR="007B3DB2" w:rsidRPr="0063248C" w:rsidRDefault="00000000">
            <w:pPr>
              <w:spacing w:line="240" w:lineRule="exact"/>
              <w:rPr>
                <w:rFonts w:cs="宋体"/>
                <w:sz w:val="18"/>
                <w:szCs w:val="18"/>
              </w:rPr>
            </w:pPr>
            <w:r w:rsidRPr="0063248C">
              <w:rPr>
                <w:rFonts w:cs="宋体"/>
                <w:sz w:val="18"/>
                <w:szCs w:val="18"/>
              </w:rPr>
              <w:t>备用金借支</w:t>
            </w:r>
          </w:p>
        </w:tc>
        <w:tc>
          <w:tcPr>
            <w:tcW w:w="3213" w:type="dxa"/>
            <w:tcBorders>
              <w:top w:val="single" w:sz="2" w:space="0" w:color="auto"/>
              <w:left w:val="single" w:sz="2" w:space="0" w:color="auto"/>
              <w:bottom w:val="single" w:sz="2" w:space="0" w:color="auto"/>
              <w:right w:val="single" w:sz="2" w:space="0" w:color="auto"/>
            </w:tcBorders>
            <w:vAlign w:val="center"/>
          </w:tcPr>
          <w:p w14:paraId="17DB1B6C" w14:textId="77777777" w:rsidR="007B3DB2" w:rsidRPr="0063248C" w:rsidRDefault="00000000">
            <w:pPr>
              <w:spacing w:line="240" w:lineRule="exact"/>
              <w:jc w:val="right"/>
              <w:rPr>
                <w:rFonts w:cs="宋体"/>
                <w:sz w:val="18"/>
                <w:szCs w:val="18"/>
              </w:rPr>
            </w:pPr>
            <w:r w:rsidRPr="0063248C">
              <w:rPr>
                <w:rFonts w:cs="宋体"/>
                <w:sz w:val="18"/>
                <w:szCs w:val="18"/>
              </w:rPr>
              <w:t>3,508,845.14</w:t>
            </w:r>
          </w:p>
        </w:tc>
        <w:tc>
          <w:tcPr>
            <w:tcW w:w="3213" w:type="dxa"/>
            <w:tcBorders>
              <w:top w:val="single" w:sz="2" w:space="0" w:color="auto"/>
              <w:left w:val="single" w:sz="2" w:space="0" w:color="auto"/>
              <w:bottom w:val="single" w:sz="2" w:space="0" w:color="auto"/>
              <w:right w:val="single" w:sz="2" w:space="0" w:color="auto"/>
            </w:tcBorders>
            <w:vAlign w:val="center"/>
          </w:tcPr>
          <w:p w14:paraId="4BB7AA11" w14:textId="77777777" w:rsidR="007B3DB2" w:rsidRPr="0063248C" w:rsidRDefault="00000000">
            <w:pPr>
              <w:spacing w:line="240" w:lineRule="exact"/>
              <w:jc w:val="right"/>
              <w:rPr>
                <w:rFonts w:cs="宋体"/>
                <w:sz w:val="18"/>
                <w:szCs w:val="18"/>
              </w:rPr>
            </w:pPr>
            <w:r w:rsidRPr="0063248C">
              <w:rPr>
                <w:rFonts w:cs="宋体"/>
                <w:sz w:val="18"/>
                <w:szCs w:val="18"/>
              </w:rPr>
              <w:t>3,503,026.69</w:t>
            </w:r>
          </w:p>
        </w:tc>
      </w:tr>
      <w:tr w:rsidR="007B3DB2" w:rsidRPr="0063248C" w14:paraId="03E27A0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BFE41ED" w14:textId="77777777" w:rsidR="007B3DB2" w:rsidRPr="0063248C" w:rsidRDefault="00000000">
            <w:pPr>
              <w:spacing w:line="240" w:lineRule="exact"/>
              <w:rPr>
                <w:rFonts w:cs="宋体"/>
                <w:sz w:val="18"/>
                <w:szCs w:val="18"/>
              </w:rPr>
            </w:pPr>
            <w:r w:rsidRPr="0063248C">
              <w:rPr>
                <w:rFonts w:cs="宋体"/>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vAlign w:val="center"/>
          </w:tcPr>
          <w:p w14:paraId="0433EF7A" w14:textId="77777777" w:rsidR="007B3DB2" w:rsidRPr="0063248C" w:rsidRDefault="00000000">
            <w:pPr>
              <w:spacing w:line="240" w:lineRule="exact"/>
              <w:jc w:val="right"/>
              <w:rPr>
                <w:rFonts w:cs="宋体"/>
                <w:sz w:val="18"/>
                <w:szCs w:val="18"/>
              </w:rPr>
            </w:pPr>
            <w:r w:rsidRPr="0063248C">
              <w:rPr>
                <w:rFonts w:cs="宋体"/>
                <w:sz w:val="18"/>
                <w:szCs w:val="18"/>
              </w:rPr>
              <w:t>54,631,478.10</w:t>
            </w:r>
          </w:p>
        </w:tc>
        <w:tc>
          <w:tcPr>
            <w:tcW w:w="3213" w:type="dxa"/>
            <w:tcBorders>
              <w:top w:val="single" w:sz="2" w:space="0" w:color="auto"/>
              <w:left w:val="single" w:sz="2" w:space="0" w:color="auto"/>
              <w:bottom w:val="single" w:sz="2" w:space="0" w:color="auto"/>
              <w:right w:val="single" w:sz="2" w:space="0" w:color="auto"/>
            </w:tcBorders>
            <w:vAlign w:val="center"/>
          </w:tcPr>
          <w:p w14:paraId="5776CEA5" w14:textId="77777777" w:rsidR="007B3DB2" w:rsidRPr="0063248C" w:rsidRDefault="00000000">
            <w:pPr>
              <w:spacing w:line="240" w:lineRule="exact"/>
              <w:jc w:val="right"/>
              <w:rPr>
                <w:rFonts w:cs="宋体"/>
                <w:sz w:val="18"/>
                <w:szCs w:val="18"/>
              </w:rPr>
            </w:pPr>
            <w:r w:rsidRPr="0063248C">
              <w:rPr>
                <w:rFonts w:cs="宋体"/>
                <w:sz w:val="18"/>
                <w:szCs w:val="18"/>
              </w:rPr>
              <w:t>45,544,005.01</w:t>
            </w:r>
          </w:p>
        </w:tc>
      </w:tr>
      <w:tr w:rsidR="007B3DB2" w:rsidRPr="0063248C" w14:paraId="6012B20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270B344" w14:textId="77777777" w:rsidR="007B3DB2" w:rsidRPr="0063248C" w:rsidRDefault="00000000">
            <w:pPr>
              <w:spacing w:line="240" w:lineRule="exact"/>
              <w:rPr>
                <w:rFonts w:cs="宋体"/>
                <w:sz w:val="18"/>
                <w:szCs w:val="18"/>
              </w:rPr>
            </w:pPr>
            <w:r w:rsidRPr="0063248C">
              <w:rPr>
                <w:rFonts w:cs="宋体"/>
                <w:sz w:val="18"/>
                <w:szCs w:val="18"/>
              </w:rPr>
              <w:t>国储补贴收入</w:t>
            </w:r>
          </w:p>
        </w:tc>
        <w:tc>
          <w:tcPr>
            <w:tcW w:w="3213" w:type="dxa"/>
            <w:tcBorders>
              <w:top w:val="single" w:sz="2" w:space="0" w:color="auto"/>
              <w:left w:val="single" w:sz="2" w:space="0" w:color="auto"/>
              <w:bottom w:val="single" w:sz="2" w:space="0" w:color="auto"/>
              <w:right w:val="single" w:sz="2" w:space="0" w:color="auto"/>
            </w:tcBorders>
            <w:vAlign w:val="center"/>
          </w:tcPr>
          <w:p w14:paraId="589A052E" w14:textId="77777777" w:rsidR="007B3DB2" w:rsidRPr="0063248C" w:rsidRDefault="00000000">
            <w:pPr>
              <w:spacing w:line="240" w:lineRule="exact"/>
              <w:jc w:val="right"/>
              <w:rPr>
                <w:rFonts w:cs="宋体"/>
                <w:sz w:val="18"/>
                <w:szCs w:val="18"/>
              </w:rPr>
            </w:pPr>
            <w:r w:rsidRPr="0063248C">
              <w:rPr>
                <w:rFonts w:cs="宋体"/>
                <w:sz w:val="18"/>
                <w:szCs w:val="18"/>
              </w:rPr>
              <w:t>5,827,196.67</w:t>
            </w:r>
          </w:p>
        </w:tc>
        <w:tc>
          <w:tcPr>
            <w:tcW w:w="3213" w:type="dxa"/>
            <w:tcBorders>
              <w:top w:val="single" w:sz="2" w:space="0" w:color="auto"/>
              <w:left w:val="single" w:sz="2" w:space="0" w:color="auto"/>
              <w:bottom w:val="single" w:sz="2" w:space="0" w:color="auto"/>
              <w:right w:val="single" w:sz="2" w:space="0" w:color="auto"/>
            </w:tcBorders>
            <w:vAlign w:val="center"/>
          </w:tcPr>
          <w:p w14:paraId="27C58882" w14:textId="77777777" w:rsidR="007B3DB2" w:rsidRPr="0063248C" w:rsidRDefault="00000000">
            <w:pPr>
              <w:spacing w:line="240" w:lineRule="exact"/>
              <w:jc w:val="right"/>
              <w:rPr>
                <w:rFonts w:cs="宋体"/>
                <w:sz w:val="18"/>
                <w:szCs w:val="18"/>
              </w:rPr>
            </w:pPr>
            <w:r w:rsidRPr="0063248C">
              <w:rPr>
                <w:rFonts w:cs="宋体"/>
                <w:sz w:val="18"/>
                <w:szCs w:val="18"/>
              </w:rPr>
              <w:t>5,827,196.67</w:t>
            </w:r>
          </w:p>
        </w:tc>
      </w:tr>
      <w:tr w:rsidR="007B3DB2" w:rsidRPr="0063248C" w14:paraId="0DF6D55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84579DC" w14:textId="77777777" w:rsidR="007B3DB2" w:rsidRPr="0063248C" w:rsidRDefault="00000000">
            <w:pPr>
              <w:spacing w:line="240" w:lineRule="exact"/>
              <w:rPr>
                <w:rFonts w:cs="宋体"/>
                <w:sz w:val="18"/>
                <w:szCs w:val="18"/>
              </w:rPr>
            </w:pPr>
            <w:r w:rsidRPr="0063248C">
              <w:rPr>
                <w:rFonts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2C60BE4C" w14:textId="77777777" w:rsidR="007B3DB2" w:rsidRPr="0063248C" w:rsidRDefault="00000000">
            <w:pPr>
              <w:spacing w:line="240" w:lineRule="exact"/>
              <w:jc w:val="right"/>
              <w:rPr>
                <w:rFonts w:cs="宋体"/>
                <w:sz w:val="18"/>
                <w:szCs w:val="18"/>
              </w:rPr>
            </w:pPr>
            <w:r w:rsidRPr="0063248C">
              <w:rPr>
                <w:rFonts w:cs="宋体"/>
                <w:sz w:val="18"/>
                <w:szCs w:val="18"/>
              </w:rPr>
              <w:t>6,665,525.57</w:t>
            </w:r>
          </w:p>
        </w:tc>
        <w:tc>
          <w:tcPr>
            <w:tcW w:w="3213" w:type="dxa"/>
            <w:tcBorders>
              <w:top w:val="single" w:sz="2" w:space="0" w:color="auto"/>
              <w:left w:val="single" w:sz="2" w:space="0" w:color="auto"/>
              <w:bottom w:val="single" w:sz="2" w:space="0" w:color="auto"/>
              <w:right w:val="single" w:sz="2" w:space="0" w:color="auto"/>
            </w:tcBorders>
            <w:vAlign w:val="center"/>
          </w:tcPr>
          <w:p w14:paraId="16712721" w14:textId="77777777" w:rsidR="007B3DB2" w:rsidRPr="0063248C" w:rsidRDefault="00000000">
            <w:pPr>
              <w:spacing w:line="240" w:lineRule="exact"/>
              <w:jc w:val="right"/>
              <w:rPr>
                <w:rFonts w:cs="宋体"/>
                <w:sz w:val="18"/>
                <w:szCs w:val="18"/>
              </w:rPr>
            </w:pPr>
            <w:r w:rsidRPr="0063248C">
              <w:rPr>
                <w:rFonts w:cs="宋体"/>
                <w:sz w:val="18"/>
                <w:szCs w:val="18"/>
              </w:rPr>
              <w:t>7,712,934.67</w:t>
            </w:r>
          </w:p>
        </w:tc>
      </w:tr>
      <w:tr w:rsidR="007B3DB2" w:rsidRPr="0063248C" w14:paraId="75EB0FD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1630E7F" w14:textId="77777777" w:rsidR="007B3DB2" w:rsidRPr="0063248C" w:rsidRDefault="00000000">
            <w:pPr>
              <w:spacing w:line="240" w:lineRule="exact"/>
              <w:rPr>
                <w:rFonts w:cs="宋体"/>
                <w:sz w:val="18"/>
                <w:szCs w:val="18"/>
              </w:rPr>
            </w:pPr>
            <w:r w:rsidRPr="0063248C">
              <w:rPr>
                <w:rFonts w:cs="宋体"/>
                <w:sz w:val="18"/>
                <w:szCs w:val="18"/>
              </w:rPr>
              <w:t>减：坏账准备</w:t>
            </w:r>
          </w:p>
        </w:tc>
        <w:tc>
          <w:tcPr>
            <w:tcW w:w="3213" w:type="dxa"/>
            <w:tcBorders>
              <w:top w:val="single" w:sz="2" w:space="0" w:color="auto"/>
              <w:left w:val="single" w:sz="2" w:space="0" w:color="auto"/>
              <w:bottom w:val="single" w:sz="2" w:space="0" w:color="auto"/>
              <w:right w:val="single" w:sz="2" w:space="0" w:color="auto"/>
            </w:tcBorders>
            <w:vAlign w:val="center"/>
          </w:tcPr>
          <w:p w14:paraId="602FF833" w14:textId="77777777" w:rsidR="007B3DB2" w:rsidRPr="0063248C" w:rsidRDefault="00000000">
            <w:pPr>
              <w:spacing w:line="240" w:lineRule="exact"/>
              <w:jc w:val="right"/>
              <w:rPr>
                <w:rFonts w:cs="宋体"/>
                <w:sz w:val="18"/>
                <w:szCs w:val="18"/>
              </w:rPr>
            </w:pPr>
            <w:r w:rsidRPr="0063248C">
              <w:rPr>
                <w:rFonts w:cs="宋体"/>
                <w:sz w:val="18"/>
                <w:szCs w:val="18"/>
              </w:rPr>
              <w:t>-21,437,405.63</w:t>
            </w:r>
          </w:p>
        </w:tc>
        <w:tc>
          <w:tcPr>
            <w:tcW w:w="3213" w:type="dxa"/>
            <w:tcBorders>
              <w:top w:val="single" w:sz="2" w:space="0" w:color="auto"/>
              <w:left w:val="single" w:sz="2" w:space="0" w:color="auto"/>
              <w:bottom w:val="single" w:sz="2" w:space="0" w:color="auto"/>
              <w:right w:val="single" w:sz="2" w:space="0" w:color="auto"/>
            </w:tcBorders>
            <w:vAlign w:val="center"/>
          </w:tcPr>
          <w:p w14:paraId="2B51A31B" w14:textId="77777777" w:rsidR="007B3DB2" w:rsidRPr="0063248C" w:rsidRDefault="00000000">
            <w:pPr>
              <w:spacing w:line="240" w:lineRule="exact"/>
              <w:jc w:val="right"/>
              <w:rPr>
                <w:rFonts w:cs="宋体"/>
                <w:sz w:val="18"/>
                <w:szCs w:val="18"/>
              </w:rPr>
            </w:pPr>
            <w:r w:rsidRPr="0063248C">
              <w:rPr>
                <w:rFonts w:cs="宋体"/>
                <w:sz w:val="18"/>
                <w:szCs w:val="18"/>
              </w:rPr>
              <w:t>-17,758,596.28</w:t>
            </w:r>
          </w:p>
        </w:tc>
      </w:tr>
      <w:tr w:rsidR="007B3DB2" w:rsidRPr="0063248C" w14:paraId="76640A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CB5417"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465DDFA" w14:textId="77777777" w:rsidR="007B3DB2" w:rsidRPr="0063248C" w:rsidRDefault="00000000">
            <w:pPr>
              <w:spacing w:line="240" w:lineRule="exact"/>
              <w:jc w:val="right"/>
              <w:rPr>
                <w:rFonts w:cs="宋体"/>
                <w:sz w:val="18"/>
                <w:szCs w:val="18"/>
              </w:rPr>
            </w:pPr>
            <w:r w:rsidRPr="0063248C">
              <w:rPr>
                <w:rFonts w:cs="宋体"/>
                <w:sz w:val="18"/>
                <w:szCs w:val="18"/>
              </w:rPr>
              <w:t>49,195,639.85</w:t>
            </w:r>
          </w:p>
        </w:tc>
        <w:tc>
          <w:tcPr>
            <w:tcW w:w="3213" w:type="dxa"/>
            <w:tcBorders>
              <w:top w:val="single" w:sz="2" w:space="0" w:color="auto"/>
              <w:left w:val="single" w:sz="2" w:space="0" w:color="auto"/>
              <w:bottom w:val="single" w:sz="2" w:space="0" w:color="auto"/>
              <w:right w:val="single" w:sz="2" w:space="0" w:color="auto"/>
            </w:tcBorders>
            <w:vAlign w:val="center"/>
          </w:tcPr>
          <w:p w14:paraId="0301C80B" w14:textId="77777777" w:rsidR="007B3DB2" w:rsidRPr="0063248C" w:rsidRDefault="00000000">
            <w:pPr>
              <w:spacing w:line="240" w:lineRule="exact"/>
              <w:jc w:val="right"/>
              <w:rPr>
                <w:rFonts w:cs="宋体"/>
                <w:sz w:val="18"/>
                <w:szCs w:val="18"/>
              </w:rPr>
            </w:pPr>
            <w:r w:rsidRPr="0063248C">
              <w:rPr>
                <w:rFonts w:cs="宋体"/>
                <w:sz w:val="18"/>
                <w:szCs w:val="18"/>
              </w:rPr>
              <w:t>44,828,566.76</w:t>
            </w:r>
          </w:p>
        </w:tc>
      </w:tr>
    </w:tbl>
    <w:p w14:paraId="76E6C1A0" w14:textId="77777777" w:rsidR="007B3DB2" w:rsidRPr="0063248C" w:rsidRDefault="00000000">
      <w:pPr>
        <w:keepNext/>
        <w:keepLines/>
        <w:spacing w:before="300" w:after="300" w:line="280" w:lineRule="exact"/>
        <w:outlineLvl w:val="4"/>
        <w:rPr>
          <w:rFonts w:cs="宋体"/>
          <w:b/>
          <w:bCs/>
          <w:sz w:val="18"/>
          <w:szCs w:val="18"/>
        </w:rPr>
      </w:pPr>
      <w:bookmarkStart w:id="225" w:name="_Toc989114"/>
      <w:r w:rsidRPr="0063248C">
        <w:rPr>
          <w:rFonts w:cs="宋体"/>
          <w:b/>
          <w:bCs/>
          <w:sz w:val="18"/>
          <w:szCs w:val="18"/>
        </w:rPr>
        <w:lastRenderedPageBreak/>
        <w:t>2</w:t>
      </w:r>
      <w:r w:rsidRPr="0063248C">
        <w:rPr>
          <w:rFonts w:cs="宋体"/>
          <w:b/>
          <w:bCs/>
          <w:sz w:val="18"/>
          <w:szCs w:val="18"/>
        </w:rPr>
        <w:t>）</w:t>
      </w:r>
      <w:r w:rsidRPr="0063248C">
        <w:rPr>
          <w:rFonts w:cs="宋体"/>
          <w:b/>
          <w:bCs/>
          <w:sz w:val="18"/>
          <w:szCs w:val="18"/>
        </w:rPr>
        <w:t xml:space="preserve"> </w:t>
      </w:r>
      <w:proofErr w:type="gramStart"/>
      <w:r w:rsidRPr="0063248C">
        <w:rPr>
          <w:rFonts w:cs="宋体"/>
          <w:b/>
          <w:bCs/>
          <w:sz w:val="18"/>
          <w:szCs w:val="18"/>
        </w:rPr>
        <w:t>按账龄</w:t>
      </w:r>
      <w:proofErr w:type="gramEnd"/>
      <w:r w:rsidRPr="0063248C">
        <w:rPr>
          <w:rFonts w:cs="宋体"/>
          <w:b/>
          <w:bCs/>
          <w:sz w:val="18"/>
          <w:szCs w:val="18"/>
        </w:rPr>
        <w:t>披露</w:t>
      </w:r>
      <w:bookmarkEnd w:id="225"/>
    </w:p>
    <w:p w14:paraId="0D9F1C47"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6EDCFC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0C7ABA"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CD0E7A"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B1678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期初账面余额</w:t>
            </w:r>
          </w:p>
        </w:tc>
      </w:tr>
      <w:tr w:rsidR="007B3DB2" w:rsidRPr="0063248C" w14:paraId="792BE6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DF34D6"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年以内（含</w:t>
            </w:r>
            <w:r w:rsidRPr="0063248C">
              <w:rPr>
                <w:rFonts w:cs="宋体"/>
                <w:sz w:val="18"/>
                <w:szCs w:val="18"/>
              </w:rPr>
              <w:t>1</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3FAC697" w14:textId="77777777" w:rsidR="007B3DB2" w:rsidRPr="0063248C" w:rsidRDefault="00000000">
            <w:pPr>
              <w:spacing w:line="240" w:lineRule="exact"/>
              <w:jc w:val="right"/>
              <w:rPr>
                <w:rFonts w:cs="宋体"/>
                <w:sz w:val="18"/>
                <w:szCs w:val="18"/>
              </w:rPr>
            </w:pPr>
            <w:r w:rsidRPr="0063248C">
              <w:rPr>
                <w:rFonts w:cs="宋体"/>
                <w:sz w:val="18"/>
                <w:szCs w:val="18"/>
              </w:rPr>
              <w:t>24,133,404.09</w:t>
            </w:r>
          </w:p>
        </w:tc>
        <w:tc>
          <w:tcPr>
            <w:tcW w:w="3213" w:type="dxa"/>
            <w:tcBorders>
              <w:top w:val="single" w:sz="2" w:space="0" w:color="auto"/>
              <w:left w:val="single" w:sz="2" w:space="0" w:color="auto"/>
              <w:bottom w:val="single" w:sz="2" w:space="0" w:color="auto"/>
              <w:right w:val="single" w:sz="2" w:space="0" w:color="auto"/>
            </w:tcBorders>
            <w:vAlign w:val="center"/>
          </w:tcPr>
          <w:p w14:paraId="06A16853" w14:textId="77777777" w:rsidR="007B3DB2" w:rsidRPr="0063248C" w:rsidRDefault="00000000">
            <w:pPr>
              <w:spacing w:line="240" w:lineRule="exact"/>
              <w:jc w:val="right"/>
              <w:rPr>
                <w:rFonts w:cs="宋体"/>
                <w:sz w:val="18"/>
                <w:szCs w:val="18"/>
              </w:rPr>
            </w:pPr>
            <w:r w:rsidRPr="0063248C">
              <w:rPr>
                <w:rFonts w:cs="宋体"/>
                <w:sz w:val="18"/>
                <w:szCs w:val="18"/>
              </w:rPr>
              <w:t>19,932,481.67</w:t>
            </w:r>
          </w:p>
        </w:tc>
      </w:tr>
      <w:tr w:rsidR="007B3DB2" w:rsidRPr="0063248C" w14:paraId="7AA94B4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449192E" w14:textId="77777777" w:rsidR="007B3DB2" w:rsidRPr="0063248C" w:rsidRDefault="00000000">
            <w:pPr>
              <w:spacing w:line="240" w:lineRule="exact"/>
              <w:rPr>
                <w:rFonts w:cs="宋体"/>
                <w:sz w:val="18"/>
                <w:szCs w:val="18"/>
              </w:rPr>
            </w:pPr>
            <w:r w:rsidRPr="0063248C">
              <w:rPr>
                <w:rFonts w:cs="宋体"/>
                <w:sz w:val="18"/>
                <w:szCs w:val="18"/>
              </w:rPr>
              <w:t>1-3</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2357C611" w14:textId="77777777" w:rsidR="007B3DB2" w:rsidRPr="0063248C" w:rsidRDefault="00000000">
            <w:pPr>
              <w:spacing w:line="240" w:lineRule="exact"/>
              <w:jc w:val="right"/>
              <w:rPr>
                <w:rFonts w:cs="宋体"/>
                <w:sz w:val="18"/>
                <w:szCs w:val="18"/>
              </w:rPr>
            </w:pPr>
            <w:r w:rsidRPr="0063248C">
              <w:rPr>
                <w:rFonts w:cs="宋体"/>
                <w:sz w:val="18"/>
                <w:szCs w:val="18"/>
              </w:rPr>
              <w:t>10,925,287.13</w:t>
            </w:r>
          </w:p>
        </w:tc>
        <w:tc>
          <w:tcPr>
            <w:tcW w:w="3213" w:type="dxa"/>
            <w:tcBorders>
              <w:top w:val="single" w:sz="2" w:space="0" w:color="auto"/>
              <w:left w:val="single" w:sz="2" w:space="0" w:color="auto"/>
              <w:bottom w:val="single" w:sz="2" w:space="0" w:color="auto"/>
              <w:right w:val="single" w:sz="2" w:space="0" w:color="auto"/>
            </w:tcBorders>
            <w:vAlign w:val="center"/>
          </w:tcPr>
          <w:p w14:paraId="7956312C" w14:textId="77777777" w:rsidR="007B3DB2" w:rsidRPr="0063248C" w:rsidRDefault="00000000">
            <w:pPr>
              <w:spacing w:line="240" w:lineRule="exact"/>
              <w:jc w:val="right"/>
              <w:rPr>
                <w:rFonts w:cs="宋体"/>
                <w:sz w:val="18"/>
                <w:szCs w:val="18"/>
              </w:rPr>
            </w:pPr>
            <w:r w:rsidRPr="0063248C">
              <w:rPr>
                <w:rFonts w:cs="宋体"/>
                <w:sz w:val="18"/>
                <w:szCs w:val="18"/>
              </w:rPr>
              <w:t>12,640,249.71</w:t>
            </w:r>
          </w:p>
        </w:tc>
      </w:tr>
      <w:tr w:rsidR="007B3DB2" w:rsidRPr="0063248C" w14:paraId="2685DF4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BB920EE" w14:textId="77777777" w:rsidR="007B3DB2" w:rsidRPr="0063248C" w:rsidRDefault="00000000">
            <w:pPr>
              <w:spacing w:line="240" w:lineRule="exact"/>
              <w:rPr>
                <w:rFonts w:cs="宋体"/>
                <w:sz w:val="18"/>
                <w:szCs w:val="18"/>
              </w:rPr>
            </w:pPr>
            <w:r w:rsidRPr="0063248C">
              <w:rPr>
                <w:rFonts w:cs="宋体"/>
                <w:sz w:val="18"/>
                <w:szCs w:val="18"/>
              </w:rPr>
              <w:t>4-6</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18313157" w14:textId="77777777" w:rsidR="007B3DB2" w:rsidRPr="0063248C" w:rsidRDefault="00000000">
            <w:pPr>
              <w:spacing w:line="240" w:lineRule="exact"/>
              <w:jc w:val="right"/>
              <w:rPr>
                <w:rFonts w:cs="宋体"/>
                <w:sz w:val="18"/>
                <w:szCs w:val="18"/>
              </w:rPr>
            </w:pPr>
            <w:r w:rsidRPr="0063248C">
              <w:rPr>
                <w:rFonts w:cs="宋体"/>
                <w:sz w:val="18"/>
                <w:szCs w:val="18"/>
              </w:rPr>
              <w:t>6,051,031.96</w:t>
            </w:r>
          </w:p>
        </w:tc>
        <w:tc>
          <w:tcPr>
            <w:tcW w:w="3213" w:type="dxa"/>
            <w:tcBorders>
              <w:top w:val="single" w:sz="2" w:space="0" w:color="auto"/>
              <w:left w:val="single" w:sz="2" w:space="0" w:color="auto"/>
              <w:bottom w:val="single" w:sz="2" w:space="0" w:color="auto"/>
              <w:right w:val="single" w:sz="2" w:space="0" w:color="auto"/>
            </w:tcBorders>
            <w:vAlign w:val="center"/>
          </w:tcPr>
          <w:p w14:paraId="323E9925" w14:textId="77777777" w:rsidR="007B3DB2" w:rsidRPr="0063248C" w:rsidRDefault="00000000">
            <w:pPr>
              <w:spacing w:line="240" w:lineRule="exact"/>
              <w:jc w:val="right"/>
              <w:rPr>
                <w:rFonts w:cs="宋体"/>
                <w:sz w:val="18"/>
                <w:szCs w:val="18"/>
              </w:rPr>
            </w:pPr>
            <w:r w:rsidRPr="0063248C">
              <w:rPr>
                <w:rFonts w:cs="宋体"/>
                <w:sz w:val="18"/>
                <w:szCs w:val="18"/>
              </w:rPr>
              <w:t>1,589,711.47</w:t>
            </w:r>
          </w:p>
        </w:tc>
      </w:tr>
      <w:tr w:rsidR="007B3DB2" w:rsidRPr="0063248C" w14:paraId="563C9E8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8D49C62" w14:textId="77777777" w:rsidR="007B3DB2" w:rsidRPr="0063248C" w:rsidRDefault="00000000">
            <w:pPr>
              <w:spacing w:line="240" w:lineRule="exact"/>
              <w:rPr>
                <w:rFonts w:cs="宋体"/>
                <w:sz w:val="18"/>
                <w:szCs w:val="18"/>
              </w:rPr>
            </w:pPr>
            <w:r w:rsidRPr="0063248C">
              <w:rPr>
                <w:rFonts w:cs="宋体"/>
                <w:sz w:val="18"/>
                <w:szCs w:val="18"/>
              </w:rPr>
              <w:t>7-9</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0F804EC5" w14:textId="77777777" w:rsidR="007B3DB2" w:rsidRPr="0063248C" w:rsidRDefault="00000000">
            <w:pPr>
              <w:spacing w:line="240" w:lineRule="exact"/>
              <w:jc w:val="right"/>
              <w:rPr>
                <w:rFonts w:cs="宋体"/>
                <w:sz w:val="18"/>
                <w:szCs w:val="18"/>
              </w:rPr>
            </w:pPr>
            <w:r w:rsidRPr="0063248C">
              <w:rPr>
                <w:rFonts w:cs="宋体"/>
                <w:sz w:val="18"/>
                <w:szCs w:val="18"/>
              </w:rPr>
              <w:t>6,375,475.00</w:t>
            </w:r>
          </w:p>
        </w:tc>
        <w:tc>
          <w:tcPr>
            <w:tcW w:w="3213" w:type="dxa"/>
            <w:tcBorders>
              <w:top w:val="single" w:sz="2" w:space="0" w:color="auto"/>
              <w:left w:val="single" w:sz="2" w:space="0" w:color="auto"/>
              <w:bottom w:val="single" w:sz="2" w:space="0" w:color="auto"/>
              <w:right w:val="single" w:sz="2" w:space="0" w:color="auto"/>
            </w:tcBorders>
            <w:vAlign w:val="center"/>
          </w:tcPr>
          <w:p w14:paraId="485A9616" w14:textId="77777777" w:rsidR="007B3DB2" w:rsidRPr="0063248C" w:rsidRDefault="00000000">
            <w:pPr>
              <w:spacing w:line="240" w:lineRule="exact"/>
              <w:jc w:val="right"/>
              <w:rPr>
                <w:rFonts w:cs="宋体"/>
                <w:sz w:val="18"/>
                <w:szCs w:val="18"/>
              </w:rPr>
            </w:pPr>
            <w:r w:rsidRPr="0063248C">
              <w:rPr>
                <w:rFonts w:cs="宋体"/>
                <w:sz w:val="18"/>
                <w:szCs w:val="18"/>
              </w:rPr>
              <w:t>4,229,371.07</w:t>
            </w:r>
          </w:p>
        </w:tc>
      </w:tr>
      <w:tr w:rsidR="007B3DB2" w:rsidRPr="0063248C" w14:paraId="744AC72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E99DD3B" w14:textId="77777777" w:rsidR="007B3DB2" w:rsidRPr="0063248C" w:rsidRDefault="00000000">
            <w:pPr>
              <w:spacing w:line="240" w:lineRule="exact"/>
              <w:rPr>
                <w:rFonts w:cs="宋体"/>
                <w:sz w:val="18"/>
                <w:szCs w:val="18"/>
              </w:rPr>
            </w:pPr>
            <w:r w:rsidRPr="0063248C">
              <w:rPr>
                <w:rFonts w:cs="宋体"/>
                <w:sz w:val="18"/>
                <w:szCs w:val="18"/>
              </w:rPr>
              <w:t>10-12</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1FC911E1" w14:textId="77777777" w:rsidR="007B3DB2" w:rsidRPr="0063248C" w:rsidRDefault="00000000">
            <w:pPr>
              <w:spacing w:line="240" w:lineRule="exact"/>
              <w:jc w:val="right"/>
              <w:rPr>
                <w:rFonts w:cs="宋体"/>
                <w:sz w:val="18"/>
                <w:szCs w:val="18"/>
              </w:rPr>
            </w:pPr>
            <w:r w:rsidRPr="0063248C">
              <w:rPr>
                <w:rFonts w:cs="宋体"/>
                <w:sz w:val="18"/>
                <w:szCs w:val="18"/>
              </w:rPr>
              <w:t>781,610.00</w:t>
            </w:r>
          </w:p>
        </w:tc>
        <w:tc>
          <w:tcPr>
            <w:tcW w:w="3213" w:type="dxa"/>
            <w:tcBorders>
              <w:top w:val="single" w:sz="2" w:space="0" w:color="auto"/>
              <w:left w:val="single" w:sz="2" w:space="0" w:color="auto"/>
              <w:bottom w:val="single" w:sz="2" w:space="0" w:color="auto"/>
              <w:right w:val="single" w:sz="2" w:space="0" w:color="auto"/>
            </w:tcBorders>
            <w:vAlign w:val="center"/>
          </w:tcPr>
          <w:p w14:paraId="7FBF9883" w14:textId="77777777" w:rsidR="007B3DB2" w:rsidRPr="0063248C" w:rsidRDefault="00000000">
            <w:pPr>
              <w:spacing w:line="240" w:lineRule="exact"/>
              <w:jc w:val="right"/>
              <w:rPr>
                <w:rFonts w:cs="宋体"/>
                <w:sz w:val="18"/>
                <w:szCs w:val="18"/>
              </w:rPr>
            </w:pPr>
            <w:r w:rsidRPr="0063248C">
              <w:rPr>
                <w:rFonts w:cs="宋体"/>
                <w:sz w:val="18"/>
                <w:szCs w:val="18"/>
              </w:rPr>
              <w:t>1,473,149.42</w:t>
            </w:r>
          </w:p>
        </w:tc>
      </w:tr>
      <w:tr w:rsidR="007B3DB2" w:rsidRPr="0063248C" w14:paraId="586139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C652C4"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至</w:t>
            </w:r>
            <w:r w:rsidRPr="0063248C">
              <w:rPr>
                <w:rFonts w:cs="宋体"/>
                <w:sz w:val="18"/>
                <w:szCs w:val="18"/>
              </w:rPr>
              <w:t>2</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1A622D4E" w14:textId="77777777" w:rsidR="007B3DB2" w:rsidRPr="0063248C" w:rsidRDefault="00000000">
            <w:pPr>
              <w:spacing w:line="240" w:lineRule="exact"/>
              <w:jc w:val="right"/>
              <w:rPr>
                <w:rFonts w:cs="宋体"/>
                <w:sz w:val="18"/>
                <w:szCs w:val="18"/>
              </w:rPr>
            </w:pPr>
            <w:r w:rsidRPr="0063248C">
              <w:rPr>
                <w:rFonts w:cs="宋体"/>
                <w:sz w:val="18"/>
                <w:szCs w:val="18"/>
              </w:rPr>
              <w:t>26,566,085.97</w:t>
            </w:r>
          </w:p>
        </w:tc>
        <w:tc>
          <w:tcPr>
            <w:tcW w:w="3213" w:type="dxa"/>
            <w:tcBorders>
              <w:top w:val="single" w:sz="2" w:space="0" w:color="auto"/>
              <w:left w:val="single" w:sz="2" w:space="0" w:color="auto"/>
              <w:bottom w:val="single" w:sz="2" w:space="0" w:color="auto"/>
              <w:right w:val="single" w:sz="2" w:space="0" w:color="auto"/>
            </w:tcBorders>
            <w:vAlign w:val="center"/>
          </w:tcPr>
          <w:p w14:paraId="4370C5CE" w14:textId="77777777" w:rsidR="007B3DB2" w:rsidRPr="0063248C" w:rsidRDefault="00000000">
            <w:pPr>
              <w:spacing w:line="240" w:lineRule="exact"/>
              <w:jc w:val="right"/>
              <w:rPr>
                <w:rFonts w:cs="宋体"/>
                <w:sz w:val="18"/>
                <w:szCs w:val="18"/>
              </w:rPr>
            </w:pPr>
            <w:r w:rsidRPr="0063248C">
              <w:rPr>
                <w:rFonts w:cs="宋体"/>
                <w:sz w:val="18"/>
                <w:szCs w:val="18"/>
              </w:rPr>
              <w:t>28,916,450.03</w:t>
            </w:r>
          </w:p>
        </w:tc>
      </w:tr>
      <w:tr w:rsidR="007B3DB2" w:rsidRPr="0063248C" w14:paraId="2CB2DE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EFFF11"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至</w:t>
            </w:r>
            <w:r w:rsidRPr="0063248C">
              <w:rPr>
                <w:rFonts w:cs="宋体"/>
                <w:sz w:val="18"/>
                <w:szCs w:val="18"/>
              </w:rPr>
              <w:t>3</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261903FF" w14:textId="77777777" w:rsidR="007B3DB2" w:rsidRPr="0063248C" w:rsidRDefault="00000000">
            <w:pPr>
              <w:spacing w:line="240" w:lineRule="exact"/>
              <w:jc w:val="right"/>
              <w:rPr>
                <w:rFonts w:cs="宋体"/>
                <w:sz w:val="18"/>
                <w:szCs w:val="18"/>
              </w:rPr>
            </w:pPr>
            <w:r w:rsidRPr="0063248C">
              <w:rPr>
                <w:rFonts w:cs="宋体"/>
                <w:sz w:val="18"/>
                <w:szCs w:val="18"/>
              </w:rPr>
              <w:t>15,238,768.33</w:t>
            </w:r>
          </w:p>
        </w:tc>
        <w:tc>
          <w:tcPr>
            <w:tcW w:w="3213" w:type="dxa"/>
            <w:tcBorders>
              <w:top w:val="single" w:sz="2" w:space="0" w:color="auto"/>
              <w:left w:val="single" w:sz="2" w:space="0" w:color="auto"/>
              <w:bottom w:val="single" w:sz="2" w:space="0" w:color="auto"/>
              <w:right w:val="single" w:sz="2" w:space="0" w:color="auto"/>
            </w:tcBorders>
            <w:vAlign w:val="center"/>
          </w:tcPr>
          <w:p w14:paraId="28BB18CB" w14:textId="77777777" w:rsidR="007B3DB2" w:rsidRPr="0063248C" w:rsidRDefault="00000000">
            <w:pPr>
              <w:spacing w:line="240" w:lineRule="exact"/>
              <w:jc w:val="right"/>
              <w:rPr>
                <w:rFonts w:cs="宋体"/>
                <w:sz w:val="18"/>
                <w:szCs w:val="18"/>
              </w:rPr>
            </w:pPr>
            <w:r w:rsidRPr="0063248C">
              <w:rPr>
                <w:rFonts w:cs="宋体"/>
                <w:sz w:val="18"/>
                <w:szCs w:val="18"/>
              </w:rPr>
              <w:t>9,002,837.26</w:t>
            </w:r>
          </w:p>
        </w:tc>
      </w:tr>
      <w:tr w:rsidR="007B3DB2" w:rsidRPr="0063248C" w14:paraId="643DDF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088B17"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13CCE93E" w14:textId="77777777" w:rsidR="007B3DB2" w:rsidRPr="0063248C" w:rsidRDefault="00000000">
            <w:pPr>
              <w:spacing w:line="240" w:lineRule="exact"/>
              <w:jc w:val="right"/>
              <w:rPr>
                <w:rFonts w:cs="宋体"/>
                <w:sz w:val="18"/>
                <w:szCs w:val="18"/>
              </w:rPr>
            </w:pPr>
            <w:r w:rsidRPr="0063248C">
              <w:rPr>
                <w:rFonts w:cs="宋体"/>
                <w:sz w:val="18"/>
                <w:szCs w:val="18"/>
              </w:rPr>
              <w:t>4,694,787.09</w:t>
            </w:r>
          </w:p>
        </w:tc>
        <w:tc>
          <w:tcPr>
            <w:tcW w:w="3213" w:type="dxa"/>
            <w:tcBorders>
              <w:top w:val="single" w:sz="2" w:space="0" w:color="auto"/>
              <w:left w:val="single" w:sz="2" w:space="0" w:color="auto"/>
              <w:bottom w:val="single" w:sz="2" w:space="0" w:color="auto"/>
              <w:right w:val="single" w:sz="2" w:space="0" w:color="auto"/>
            </w:tcBorders>
            <w:vAlign w:val="center"/>
          </w:tcPr>
          <w:p w14:paraId="371CBAFA" w14:textId="77777777" w:rsidR="007B3DB2" w:rsidRPr="0063248C" w:rsidRDefault="00000000">
            <w:pPr>
              <w:spacing w:line="240" w:lineRule="exact"/>
              <w:jc w:val="right"/>
              <w:rPr>
                <w:rFonts w:cs="宋体"/>
                <w:sz w:val="18"/>
                <w:szCs w:val="18"/>
              </w:rPr>
            </w:pPr>
            <w:r w:rsidRPr="0063248C">
              <w:rPr>
                <w:rFonts w:cs="宋体"/>
                <w:sz w:val="18"/>
                <w:szCs w:val="18"/>
              </w:rPr>
              <w:t>4,735,394.08</w:t>
            </w:r>
          </w:p>
        </w:tc>
      </w:tr>
      <w:tr w:rsidR="007B3DB2" w:rsidRPr="0063248C" w14:paraId="34667E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ABE4E3" w14:textId="77777777" w:rsidR="007B3DB2" w:rsidRPr="0063248C" w:rsidRDefault="00000000" w:rsidP="00FA083A">
            <w:pPr>
              <w:spacing w:before="40" w:after="40" w:line="240" w:lineRule="exact"/>
              <w:rPr>
                <w:rFonts w:cs="宋体"/>
                <w:sz w:val="18"/>
                <w:szCs w:val="18"/>
              </w:rPr>
            </w:pPr>
            <w:r w:rsidRPr="0063248C">
              <w:rPr>
                <w:rFonts w:cs="宋体"/>
                <w:sz w:val="18"/>
                <w:szCs w:val="18"/>
              </w:rPr>
              <w:t>3</w:t>
            </w:r>
            <w:r w:rsidRPr="0063248C">
              <w:rPr>
                <w:rFonts w:cs="宋体"/>
                <w:sz w:val="18"/>
                <w:szCs w:val="18"/>
              </w:rPr>
              <w:t>至</w:t>
            </w:r>
            <w:r w:rsidRPr="0063248C">
              <w:rPr>
                <w:rFonts w:cs="宋体"/>
                <w:sz w:val="18"/>
                <w:szCs w:val="18"/>
              </w:rPr>
              <w:t>4</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178AB7C" w14:textId="77777777" w:rsidR="007B3DB2" w:rsidRPr="0063248C" w:rsidRDefault="00000000">
            <w:pPr>
              <w:spacing w:line="240" w:lineRule="exact"/>
              <w:jc w:val="right"/>
              <w:rPr>
                <w:rFonts w:cs="宋体"/>
                <w:sz w:val="18"/>
                <w:szCs w:val="18"/>
              </w:rPr>
            </w:pPr>
            <w:r w:rsidRPr="0063248C">
              <w:rPr>
                <w:rFonts w:cs="宋体"/>
                <w:sz w:val="18"/>
                <w:szCs w:val="18"/>
              </w:rPr>
              <w:t>526,488.57</w:t>
            </w:r>
          </w:p>
        </w:tc>
        <w:tc>
          <w:tcPr>
            <w:tcW w:w="3213" w:type="dxa"/>
            <w:tcBorders>
              <w:top w:val="single" w:sz="2" w:space="0" w:color="auto"/>
              <w:left w:val="single" w:sz="2" w:space="0" w:color="auto"/>
              <w:bottom w:val="single" w:sz="2" w:space="0" w:color="auto"/>
              <w:right w:val="single" w:sz="2" w:space="0" w:color="auto"/>
            </w:tcBorders>
            <w:vAlign w:val="center"/>
          </w:tcPr>
          <w:p w14:paraId="4D5797C7" w14:textId="77777777" w:rsidR="007B3DB2" w:rsidRPr="0063248C" w:rsidRDefault="00000000">
            <w:pPr>
              <w:spacing w:line="240" w:lineRule="exact"/>
              <w:jc w:val="right"/>
              <w:rPr>
                <w:rFonts w:cs="宋体"/>
                <w:sz w:val="18"/>
                <w:szCs w:val="18"/>
              </w:rPr>
            </w:pPr>
            <w:r w:rsidRPr="0063248C">
              <w:rPr>
                <w:rFonts w:cs="宋体"/>
                <w:sz w:val="18"/>
                <w:szCs w:val="18"/>
              </w:rPr>
              <w:t>3,260,995.56</w:t>
            </w:r>
          </w:p>
        </w:tc>
      </w:tr>
      <w:tr w:rsidR="007B3DB2" w:rsidRPr="0063248C" w14:paraId="2BA183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FF24AC" w14:textId="77777777" w:rsidR="007B3DB2" w:rsidRPr="0063248C" w:rsidRDefault="00000000" w:rsidP="00FA083A">
            <w:pPr>
              <w:spacing w:before="40" w:after="40" w:line="240" w:lineRule="exact"/>
              <w:rPr>
                <w:rFonts w:cs="宋体"/>
                <w:sz w:val="18"/>
                <w:szCs w:val="18"/>
              </w:rPr>
            </w:pPr>
            <w:r w:rsidRPr="0063248C">
              <w:rPr>
                <w:rFonts w:cs="宋体"/>
                <w:sz w:val="18"/>
                <w:szCs w:val="18"/>
              </w:rPr>
              <w:t>4</w:t>
            </w:r>
            <w:r w:rsidRPr="0063248C">
              <w:rPr>
                <w:rFonts w:cs="宋体"/>
                <w:sz w:val="18"/>
                <w:szCs w:val="18"/>
              </w:rPr>
              <w:t>至</w:t>
            </w:r>
            <w:r w:rsidRPr="0063248C">
              <w:rPr>
                <w:rFonts w:cs="宋体"/>
                <w:sz w:val="18"/>
                <w:szCs w:val="18"/>
              </w:rPr>
              <w:t>5</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092EB3CD" w14:textId="77777777" w:rsidR="007B3DB2" w:rsidRPr="0063248C" w:rsidRDefault="00000000">
            <w:pPr>
              <w:spacing w:line="240" w:lineRule="exact"/>
              <w:jc w:val="right"/>
              <w:rPr>
                <w:rFonts w:cs="宋体"/>
                <w:sz w:val="18"/>
                <w:szCs w:val="18"/>
              </w:rPr>
            </w:pPr>
            <w:r w:rsidRPr="0063248C">
              <w:rPr>
                <w:rFonts w:cs="宋体"/>
                <w:sz w:val="18"/>
                <w:szCs w:val="18"/>
              </w:rPr>
              <w:t>3,673,672.50</w:t>
            </w:r>
          </w:p>
        </w:tc>
        <w:tc>
          <w:tcPr>
            <w:tcW w:w="3213" w:type="dxa"/>
            <w:tcBorders>
              <w:top w:val="single" w:sz="2" w:space="0" w:color="auto"/>
              <w:left w:val="single" w:sz="2" w:space="0" w:color="auto"/>
              <w:bottom w:val="single" w:sz="2" w:space="0" w:color="auto"/>
              <w:right w:val="single" w:sz="2" w:space="0" w:color="auto"/>
            </w:tcBorders>
            <w:vAlign w:val="center"/>
          </w:tcPr>
          <w:p w14:paraId="5FB486BA" w14:textId="77777777" w:rsidR="007B3DB2" w:rsidRPr="0063248C" w:rsidRDefault="00000000">
            <w:pPr>
              <w:spacing w:line="240" w:lineRule="exact"/>
              <w:jc w:val="right"/>
              <w:rPr>
                <w:rFonts w:cs="宋体"/>
                <w:sz w:val="18"/>
                <w:szCs w:val="18"/>
              </w:rPr>
            </w:pPr>
            <w:r w:rsidRPr="0063248C">
              <w:rPr>
                <w:rFonts w:cs="宋体"/>
                <w:sz w:val="18"/>
                <w:szCs w:val="18"/>
              </w:rPr>
              <w:t>181,912.50</w:t>
            </w:r>
          </w:p>
        </w:tc>
      </w:tr>
      <w:tr w:rsidR="007B3DB2" w:rsidRPr="0063248C" w14:paraId="7973D3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4A67CD" w14:textId="77777777" w:rsidR="007B3DB2" w:rsidRPr="0063248C" w:rsidRDefault="00000000" w:rsidP="00FA083A">
            <w:pPr>
              <w:spacing w:before="40" w:after="40" w:line="240" w:lineRule="exact"/>
              <w:rPr>
                <w:rFonts w:cs="宋体"/>
                <w:sz w:val="18"/>
                <w:szCs w:val="18"/>
              </w:rPr>
            </w:pPr>
            <w:r w:rsidRPr="0063248C">
              <w:rPr>
                <w:rFonts w:cs="宋体"/>
                <w:sz w:val="18"/>
                <w:szCs w:val="18"/>
              </w:rPr>
              <w:t>5</w:t>
            </w:r>
            <w:r w:rsidRPr="0063248C">
              <w:rPr>
                <w:rFonts w:cs="宋体"/>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377D07E1" w14:textId="77777777" w:rsidR="007B3DB2" w:rsidRPr="0063248C" w:rsidRDefault="00000000">
            <w:pPr>
              <w:spacing w:line="240" w:lineRule="exact"/>
              <w:jc w:val="right"/>
              <w:rPr>
                <w:rFonts w:cs="宋体"/>
                <w:sz w:val="18"/>
                <w:szCs w:val="18"/>
              </w:rPr>
            </w:pPr>
            <w:r w:rsidRPr="0063248C">
              <w:rPr>
                <w:rFonts w:cs="宋体"/>
                <w:sz w:val="18"/>
                <w:szCs w:val="18"/>
              </w:rPr>
              <w:t>494,626.02</w:t>
            </w:r>
          </w:p>
        </w:tc>
        <w:tc>
          <w:tcPr>
            <w:tcW w:w="3213" w:type="dxa"/>
            <w:tcBorders>
              <w:top w:val="single" w:sz="2" w:space="0" w:color="auto"/>
              <w:left w:val="single" w:sz="2" w:space="0" w:color="auto"/>
              <w:bottom w:val="single" w:sz="2" w:space="0" w:color="auto"/>
              <w:right w:val="single" w:sz="2" w:space="0" w:color="auto"/>
            </w:tcBorders>
            <w:vAlign w:val="center"/>
          </w:tcPr>
          <w:p w14:paraId="52A40580" w14:textId="77777777" w:rsidR="007B3DB2" w:rsidRPr="0063248C" w:rsidRDefault="00000000">
            <w:pPr>
              <w:spacing w:line="240" w:lineRule="exact"/>
              <w:jc w:val="right"/>
              <w:rPr>
                <w:rFonts w:cs="宋体"/>
                <w:sz w:val="18"/>
                <w:szCs w:val="18"/>
              </w:rPr>
            </w:pPr>
            <w:r w:rsidRPr="0063248C">
              <w:rPr>
                <w:rFonts w:cs="宋体"/>
                <w:sz w:val="18"/>
                <w:szCs w:val="18"/>
              </w:rPr>
              <w:t>1,292,486.02</w:t>
            </w:r>
          </w:p>
        </w:tc>
      </w:tr>
      <w:tr w:rsidR="007B3DB2" w:rsidRPr="0063248C" w14:paraId="381FE4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7CDAC0"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FE0EC1D" w14:textId="77777777" w:rsidR="007B3DB2" w:rsidRPr="0063248C" w:rsidRDefault="00000000">
            <w:pPr>
              <w:spacing w:line="240" w:lineRule="exact"/>
              <w:jc w:val="right"/>
              <w:rPr>
                <w:rFonts w:cs="宋体"/>
                <w:sz w:val="18"/>
                <w:szCs w:val="18"/>
              </w:rPr>
            </w:pPr>
            <w:r w:rsidRPr="0063248C">
              <w:rPr>
                <w:rFonts w:cs="宋体"/>
                <w:sz w:val="18"/>
                <w:szCs w:val="18"/>
              </w:rPr>
              <w:t>70,633,045.48</w:t>
            </w:r>
          </w:p>
        </w:tc>
        <w:tc>
          <w:tcPr>
            <w:tcW w:w="3213" w:type="dxa"/>
            <w:tcBorders>
              <w:top w:val="single" w:sz="2" w:space="0" w:color="auto"/>
              <w:left w:val="single" w:sz="2" w:space="0" w:color="auto"/>
              <w:bottom w:val="single" w:sz="2" w:space="0" w:color="auto"/>
              <w:right w:val="single" w:sz="2" w:space="0" w:color="auto"/>
            </w:tcBorders>
            <w:vAlign w:val="center"/>
          </w:tcPr>
          <w:p w14:paraId="62CEF1D2" w14:textId="77777777" w:rsidR="007B3DB2" w:rsidRPr="0063248C" w:rsidRDefault="00000000">
            <w:pPr>
              <w:spacing w:line="240" w:lineRule="exact"/>
              <w:jc w:val="right"/>
              <w:rPr>
                <w:rFonts w:cs="宋体"/>
                <w:sz w:val="18"/>
                <w:szCs w:val="18"/>
              </w:rPr>
            </w:pPr>
            <w:r w:rsidRPr="0063248C">
              <w:rPr>
                <w:rFonts w:cs="宋体"/>
                <w:sz w:val="18"/>
                <w:szCs w:val="18"/>
              </w:rPr>
              <w:t>62,587,163.04</w:t>
            </w:r>
          </w:p>
        </w:tc>
      </w:tr>
    </w:tbl>
    <w:p w14:paraId="3A919D38" w14:textId="77777777" w:rsidR="007B3DB2" w:rsidRPr="0063248C" w:rsidRDefault="00000000">
      <w:pPr>
        <w:keepNext/>
        <w:keepLines/>
        <w:spacing w:before="300" w:after="300" w:line="280" w:lineRule="exact"/>
        <w:outlineLvl w:val="4"/>
        <w:rPr>
          <w:rFonts w:cs="宋体"/>
          <w:b/>
          <w:bCs/>
          <w:sz w:val="18"/>
          <w:szCs w:val="18"/>
        </w:rPr>
      </w:pPr>
      <w:bookmarkStart w:id="226" w:name="_Toc989115"/>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按坏账计提方法分类披露</w:t>
      </w:r>
      <w:bookmarkEnd w:id="226"/>
    </w:p>
    <w:p w14:paraId="7F494CCD"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3A143E0C"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7B3DB2" w:rsidRPr="0063248C" w14:paraId="0EAD49B5" w14:textId="77777777" w:rsidTr="00B425DC">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59D29A7" w14:textId="77777777" w:rsidR="007B3DB2" w:rsidRPr="0063248C" w:rsidRDefault="00000000">
            <w:pPr>
              <w:spacing w:before="40" w:after="40" w:line="240" w:lineRule="exact"/>
              <w:jc w:val="center"/>
              <w:rPr>
                <w:rFonts w:cs="宋体"/>
                <w:sz w:val="18"/>
                <w:szCs w:val="18"/>
              </w:rPr>
            </w:pPr>
            <w:r w:rsidRPr="0063248C">
              <w:rPr>
                <w:rFonts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953B698"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4B90D7A2"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4EBF82EF" w14:textId="77777777" w:rsidTr="00B425DC">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8F14ECA" w14:textId="77777777" w:rsidR="007B3DB2" w:rsidRPr="0063248C" w:rsidRDefault="007B3DB2"/>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C687166"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DD343F9"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E39335"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1931360"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25B096A"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85028D"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r>
      <w:tr w:rsidR="007B3DB2" w:rsidRPr="0063248C" w14:paraId="64CC2953" w14:textId="77777777" w:rsidTr="00B425DC">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40EEF01"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BF3CD95"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322AD44" w14:textId="77777777" w:rsidR="007B3DB2" w:rsidRPr="0063248C" w:rsidRDefault="00000000">
            <w:pPr>
              <w:spacing w:before="40" w:after="40" w:line="240" w:lineRule="exact"/>
              <w:jc w:val="center"/>
              <w:rPr>
                <w:rFonts w:cs="宋体"/>
                <w:sz w:val="18"/>
                <w:szCs w:val="18"/>
              </w:rPr>
            </w:pPr>
            <w:r w:rsidRPr="0063248C">
              <w:rPr>
                <w:rFonts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45DBEFA"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B745C47"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A05105F"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F51DAA9"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23E708B" w14:textId="77777777" w:rsidR="007B3DB2" w:rsidRPr="0063248C" w:rsidRDefault="00000000">
            <w:pPr>
              <w:spacing w:before="40" w:after="40" w:line="240" w:lineRule="exact"/>
              <w:jc w:val="center"/>
              <w:rPr>
                <w:rFonts w:cs="宋体"/>
                <w:sz w:val="18"/>
                <w:szCs w:val="18"/>
              </w:rPr>
            </w:pPr>
            <w:r w:rsidRPr="0063248C">
              <w:rPr>
                <w:rFonts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07054BF"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06FEB79"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0A92A65" w14:textId="77777777" w:rsidR="007B3DB2" w:rsidRPr="0063248C" w:rsidRDefault="007B3DB2"/>
        </w:tc>
      </w:tr>
      <w:tr w:rsidR="007B3DB2" w:rsidRPr="0063248C" w14:paraId="06964424" w14:textId="77777777" w:rsidTr="00B425DC">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75A3DAE" w14:textId="77777777" w:rsidR="007B3DB2" w:rsidRPr="0063248C" w:rsidRDefault="00000000">
            <w:pPr>
              <w:spacing w:before="40" w:after="40" w:line="240" w:lineRule="exact"/>
              <w:rPr>
                <w:rFonts w:cs="宋体"/>
                <w:sz w:val="18"/>
                <w:szCs w:val="18"/>
              </w:rPr>
            </w:pPr>
            <w:r w:rsidRPr="0063248C">
              <w:rPr>
                <w:rFonts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14:paraId="2BFCFE99" w14:textId="77777777" w:rsidR="007B3DB2" w:rsidRPr="0063248C" w:rsidRDefault="00000000">
            <w:pPr>
              <w:spacing w:line="240" w:lineRule="exact"/>
              <w:jc w:val="right"/>
              <w:rPr>
                <w:rFonts w:cs="宋体"/>
                <w:sz w:val="18"/>
                <w:szCs w:val="18"/>
              </w:rPr>
            </w:pPr>
            <w:r w:rsidRPr="0063248C">
              <w:rPr>
                <w:rFonts w:cs="宋体"/>
                <w:sz w:val="18"/>
                <w:szCs w:val="18"/>
              </w:rPr>
              <w:t>5,074,726.39</w:t>
            </w:r>
          </w:p>
        </w:tc>
        <w:tc>
          <w:tcPr>
            <w:tcW w:w="876" w:type="dxa"/>
            <w:tcBorders>
              <w:top w:val="single" w:sz="2" w:space="0" w:color="auto"/>
              <w:left w:val="single" w:sz="2" w:space="0" w:color="auto"/>
              <w:bottom w:val="single" w:sz="2" w:space="0" w:color="auto"/>
              <w:right w:val="single" w:sz="2" w:space="0" w:color="auto"/>
            </w:tcBorders>
            <w:vAlign w:val="center"/>
          </w:tcPr>
          <w:p w14:paraId="23C00AE0" w14:textId="77777777" w:rsidR="007B3DB2" w:rsidRPr="0063248C" w:rsidRDefault="00000000">
            <w:pPr>
              <w:spacing w:line="240" w:lineRule="exact"/>
              <w:jc w:val="right"/>
              <w:rPr>
                <w:rFonts w:cs="宋体"/>
                <w:sz w:val="18"/>
                <w:szCs w:val="18"/>
              </w:rPr>
            </w:pPr>
            <w:r w:rsidRPr="0063248C">
              <w:rPr>
                <w:rFonts w:cs="宋体"/>
                <w:sz w:val="18"/>
                <w:szCs w:val="18"/>
              </w:rPr>
              <w:t>7.18%</w:t>
            </w:r>
          </w:p>
        </w:tc>
        <w:tc>
          <w:tcPr>
            <w:tcW w:w="876" w:type="dxa"/>
            <w:tcBorders>
              <w:top w:val="single" w:sz="2" w:space="0" w:color="auto"/>
              <w:left w:val="single" w:sz="2" w:space="0" w:color="auto"/>
              <w:bottom w:val="single" w:sz="2" w:space="0" w:color="auto"/>
              <w:right w:val="single" w:sz="2" w:space="0" w:color="auto"/>
            </w:tcBorders>
            <w:vAlign w:val="center"/>
          </w:tcPr>
          <w:p w14:paraId="196DFE4E" w14:textId="77777777" w:rsidR="007B3DB2" w:rsidRPr="0063248C" w:rsidRDefault="00000000">
            <w:pPr>
              <w:spacing w:line="240" w:lineRule="exact"/>
              <w:jc w:val="right"/>
              <w:rPr>
                <w:rFonts w:cs="宋体"/>
                <w:sz w:val="18"/>
                <w:szCs w:val="18"/>
              </w:rPr>
            </w:pPr>
            <w:r w:rsidRPr="0063248C">
              <w:rPr>
                <w:rFonts w:cs="宋体"/>
                <w:sz w:val="18"/>
                <w:szCs w:val="18"/>
              </w:rPr>
              <w:t>4,379,826.39</w:t>
            </w:r>
          </w:p>
        </w:tc>
        <w:tc>
          <w:tcPr>
            <w:tcW w:w="876" w:type="dxa"/>
            <w:tcBorders>
              <w:top w:val="single" w:sz="2" w:space="0" w:color="auto"/>
              <w:left w:val="single" w:sz="2" w:space="0" w:color="auto"/>
              <w:bottom w:val="single" w:sz="2" w:space="0" w:color="auto"/>
              <w:right w:val="single" w:sz="2" w:space="0" w:color="auto"/>
            </w:tcBorders>
            <w:vAlign w:val="center"/>
          </w:tcPr>
          <w:p w14:paraId="2BC1C264" w14:textId="77777777" w:rsidR="007B3DB2" w:rsidRPr="0063248C" w:rsidRDefault="00000000">
            <w:pPr>
              <w:spacing w:line="240" w:lineRule="exact"/>
              <w:jc w:val="right"/>
              <w:rPr>
                <w:rFonts w:cs="宋体"/>
                <w:sz w:val="18"/>
                <w:szCs w:val="18"/>
              </w:rPr>
            </w:pPr>
            <w:r w:rsidRPr="0063248C">
              <w:rPr>
                <w:rFonts w:cs="宋体"/>
                <w:sz w:val="18"/>
                <w:szCs w:val="18"/>
              </w:rPr>
              <w:t>86.31%</w:t>
            </w:r>
          </w:p>
        </w:tc>
        <w:tc>
          <w:tcPr>
            <w:tcW w:w="876" w:type="dxa"/>
            <w:tcBorders>
              <w:top w:val="single" w:sz="2" w:space="0" w:color="auto"/>
              <w:left w:val="single" w:sz="2" w:space="0" w:color="auto"/>
              <w:bottom w:val="single" w:sz="2" w:space="0" w:color="auto"/>
              <w:right w:val="single" w:sz="2" w:space="0" w:color="auto"/>
            </w:tcBorders>
            <w:vAlign w:val="center"/>
          </w:tcPr>
          <w:p w14:paraId="434B37D1" w14:textId="77777777" w:rsidR="007B3DB2" w:rsidRPr="0063248C" w:rsidRDefault="00000000">
            <w:pPr>
              <w:spacing w:line="240" w:lineRule="exact"/>
              <w:jc w:val="right"/>
              <w:rPr>
                <w:rFonts w:cs="宋体"/>
                <w:sz w:val="18"/>
                <w:szCs w:val="18"/>
              </w:rPr>
            </w:pPr>
            <w:r w:rsidRPr="0063248C">
              <w:rPr>
                <w:rFonts w:cs="宋体"/>
                <w:sz w:val="18"/>
                <w:szCs w:val="18"/>
              </w:rPr>
              <w:t>694,900.00</w:t>
            </w:r>
          </w:p>
        </w:tc>
        <w:tc>
          <w:tcPr>
            <w:tcW w:w="876" w:type="dxa"/>
            <w:tcBorders>
              <w:top w:val="single" w:sz="2" w:space="0" w:color="auto"/>
              <w:left w:val="single" w:sz="2" w:space="0" w:color="auto"/>
              <w:bottom w:val="single" w:sz="2" w:space="0" w:color="auto"/>
              <w:right w:val="single" w:sz="2" w:space="0" w:color="auto"/>
            </w:tcBorders>
            <w:vAlign w:val="center"/>
          </w:tcPr>
          <w:p w14:paraId="37A91D53" w14:textId="77777777" w:rsidR="007B3DB2" w:rsidRPr="0063248C" w:rsidRDefault="00000000">
            <w:pPr>
              <w:spacing w:line="240" w:lineRule="exact"/>
              <w:jc w:val="right"/>
              <w:rPr>
                <w:rFonts w:cs="宋体"/>
                <w:sz w:val="18"/>
                <w:szCs w:val="18"/>
              </w:rPr>
            </w:pPr>
            <w:r w:rsidRPr="0063248C">
              <w:rPr>
                <w:rFonts w:cs="宋体"/>
                <w:sz w:val="18"/>
                <w:szCs w:val="18"/>
              </w:rPr>
              <w:t>5,731,075.55</w:t>
            </w:r>
          </w:p>
        </w:tc>
        <w:tc>
          <w:tcPr>
            <w:tcW w:w="876" w:type="dxa"/>
            <w:tcBorders>
              <w:top w:val="single" w:sz="2" w:space="0" w:color="auto"/>
              <w:left w:val="single" w:sz="2" w:space="0" w:color="auto"/>
              <w:bottom w:val="single" w:sz="2" w:space="0" w:color="auto"/>
              <w:right w:val="single" w:sz="2" w:space="0" w:color="auto"/>
            </w:tcBorders>
            <w:vAlign w:val="center"/>
          </w:tcPr>
          <w:p w14:paraId="6DD6CF2B" w14:textId="77777777" w:rsidR="007B3DB2" w:rsidRPr="0063248C" w:rsidRDefault="00000000">
            <w:pPr>
              <w:spacing w:line="240" w:lineRule="exact"/>
              <w:jc w:val="right"/>
              <w:rPr>
                <w:rFonts w:cs="宋体"/>
                <w:sz w:val="18"/>
                <w:szCs w:val="18"/>
              </w:rPr>
            </w:pPr>
            <w:r w:rsidRPr="0063248C">
              <w:rPr>
                <w:rFonts w:cs="宋体"/>
                <w:sz w:val="18"/>
                <w:szCs w:val="18"/>
              </w:rPr>
              <w:t>9.16%</w:t>
            </w:r>
          </w:p>
        </w:tc>
        <w:tc>
          <w:tcPr>
            <w:tcW w:w="876" w:type="dxa"/>
            <w:tcBorders>
              <w:top w:val="single" w:sz="2" w:space="0" w:color="auto"/>
              <w:left w:val="single" w:sz="2" w:space="0" w:color="auto"/>
              <w:bottom w:val="single" w:sz="2" w:space="0" w:color="auto"/>
              <w:right w:val="single" w:sz="2" w:space="0" w:color="auto"/>
            </w:tcBorders>
            <w:vAlign w:val="center"/>
          </w:tcPr>
          <w:p w14:paraId="64D6928A" w14:textId="77777777" w:rsidR="007B3DB2" w:rsidRPr="0063248C" w:rsidRDefault="00000000">
            <w:pPr>
              <w:spacing w:line="240" w:lineRule="exact"/>
              <w:jc w:val="right"/>
              <w:rPr>
                <w:rFonts w:cs="宋体"/>
                <w:sz w:val="18"/>
                <w:szCs w:val="18"/>
              </w:rPr>
            </w:pPr>
            <w:r w:rsidRPr="0063248C">
              <w:rPr>
                <w:rFonts w:cs="宋体"/>
                <w:sz w:val="18"/>
                <w:szCs w:val="18"/>
              </w:rPr>
              <w:t>5,026,175.55</w:t>
            </w:r>
          </w:p>
        </w:tc>
        <w:tc>
          <w:tcPr>
            <w:tcW w:w="876" w:type="dxa"/>
            <w:tcBorders>
              <w:top w:val="single" w:sz="2" w:space="0" w:color="auto"/>
              <w:left w:val="single" w:sz="2" w:space="0" w:color="auto"/>
              <w:bottom w:val="single" w:sz="2" w:space="0" w:color="auto"/>
              <w:right w:val="single" w:sz="2" w:space="0" w:color="auto"/>
            </w:tcBorders>
            <w:vAlign w:val="center"/>
          </w:tcPr>
          <w:p w14:paraId="16C0A3F5" w14:textId="77777777" w:rsidR="007B3DB2" w:rsidRPr="0063248C" w:rsidRDefault="00000000">
            <w:pPr>
              <w:spacing w:line="240" w:lineRule="exact"/>
              <w:jc w:val="right"/>
              <w:rPr>
                <w:rFonts w:cs="宋体"/>
                <w:sz w:val="18"/>
                <w:szCs w:val="18"/>
              </w:rPr>
            </w:pPr>
            <w:r w:rsidRPr="0063248C">
              <w:rPr>
                <w:rFonts w:cs="宋体"/>
                <w:sz w:val="18"/>
                <w:szCs w:val="18"/>
              </w:rPr>
              <w:t>87.70%</w:t>
            </w:r>
          </w:p>
        </w:tc>
        <w:tc>
          <w:tcPr>
            <w:tcW w:w="876" w:type="dxa"/>
            <w:tcBorders>
              <w:top w:val="single" w:sz="2" w:space="0" w:color="auto"/>
              <w:left w:val="single" w:sz="2" w:space="0" w:color="auto"/>
              <w:bottom w:val="single" w:sz="2" w:space="0" w:color="auto"/>
              <w:right w:val="single" w:sz="2" w:space="0" w:color="auto"/>
            </w:tcBorders>
            <w:vAlign w:val="center"/>
          </w:tcPr>
          <w:p w14:paraId="775EB016" w14:textId="77777777" w:rsidR="007B3DB2" w:rsidRPr="0063248C" w:rsidRDefault="00000000">
            <w:pPr>
              <w:spacing w:line="240" w:lineRule="exact"/>
              <w:jc w:val="right"/>
              <w:rPr>
                <w:rFonts w:cs="宋体"/>
                <w:sz w:val="18"/>
                <w:szCs w:val="18"/>
              </w:rPr>
            </w:pPr>
            <w:r w:rsidRPr="0063248C">
              <w:rPr>
                <w:rFonts w:cs="宋体"/>
                <w:sz w:val="18"/>
                <w:szCs w:val="18"/>
              </w:rPr>
              <w:t>704,900.00</w:t>
            </w:r>
          </w:p>
        </w:tc>
      </w:tr>
      <w:tr w:rsidR="007B3DB2" w:rsidRPr="0063248C" w14:paraId="78B37269" w14:textId="77777777" w:rsidTr="00B425DC">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4DC0CE34"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w:t>
            </w:r>
          </w:p>
        </w:tc>
      </w:tr>
      <w:tr w:rsidR="007B3DB2" w:rsidRPr="0063248C" w14:paraId="7136D46C" w14:textId="77777777" w:rsidTr="00B425DC">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73917F7" w14:textId="77777777" w:rsidR="007B3DB2" w:rsidRPr="0063248C" w:rsidRDefault="00000000">
            <w:pPr>
              <w:spacing w:line="240" w:lineRule="exact"/>
              <w:rPr>
                <w:rFonts w:cs="宋体"/>
                <w:sz w:val="18"/>
                <w:szCs w:val="18"/>
              </w:rPr>
            </w:pPr>
            <w:r w:rsidRPr="0063248C">
              <w:rPr>
                <w:rFonts w:cs="宋体"/>
                <w:sz w:val="18"/>
                <w:szCs w:val="18"/>
              </w:rPr>
              <w:t>单项金额虽不重大但单项计提坏账准备的其它应收账款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04590EEA" w14:textId="77777777" w:rsidR="007B3DB2" w:rsidRPr="0063248C" w:rsidRDefault="00000000">
            <w:pPr>
              <w:spacing w:line="240" w:lineRule="exact"/>
              <w:jc w:val="right"/>
              <w:rPr>
                <w:rFonts w:cs="宋体"/>
                <w:sz w:val="18"/>
                <w:szCs w:val="18"/>
              </w:rPr>
            </w:pPr>
            <w:r w:rsidRPr="0063248C">
              <w:rPr>
                <w:rFonts w:cs="宋体"/>
                <w:sz w:val="18"/>
                <w:szCs w:val="18"/>
              </w:rPr>
              <w:t>5,074,726.39</w:t>
            </w:r>
          </w:p>
        </w:tc>
        <w:tc>
          <w:tcPr>
            <w:tcW w:w="876" w:type="dxa"/>
            <w:tcBorders>
              <w:top w:val="single" w:sz="2" w:space="0" w:color="auto"/>
              <w:left w:val="single" w:sz="2" w:space="0" w:color="auto"/>
              <w:bottom w:val="single" w:sz="2" w:space="0" w:color="auto"/>
              <w:right w:val="single" w:sz="2" w:space="0" w:color="auto"/>
            </w:tcBorders>
            <w:vAlign w:val="center"/>
          </w:tcPr>
          <w:p w14:paraId="679DD29D" w14:textId="77777777" w:rsidR="007B3DB2" w:rsidRPr="0063248C" w:rsidRDefault="00000000">
            <w:pPr>
              <w:spacing w:line="240" w:lineRule="exact"/>
              <w:jc w:val="right"/>
              <w:rPr>
                <w:rFonts w:cs="宋体"/>
                <w:sz w:val="18"/>
                <w:szCs w:val="18"/>
              </w:rPr>
            </w:pPr>
            <w:r w:rsidRPr="0063248C">
              <w:rPr>
                <w:rFonts w:cs="宋体"/>
                <w:sz w:val="18"/>
                <w:szCs w:val="18"/>
              </w:rPr>
              <w:t>7.18%</w:t>
            </w:r>
          </w:p>
        </w:tc>
        <w:tc>
          <w:tcPr>
            <w:tcW w:w="876" w:type="dxa"/>
            <w:tcBorders>
              <w:top w:val="single" w:sz="2" w:space="0" w:color="auto"/>
              <w:left w:val="single" w:sz="2" w:space="0" w:color="auto"/>
              <w:bottom w:val="single" w:sz="2" w:space="0" w:color="auto"/>
              <w:right w:val="single" w:sz="2" w:space="0" w:color="auto"/>
            </w:tcBorders>
            <w:vAlign w:val="center"/>
          </w:tcPr>
          <w:p w14:paraId="2CA5C64D" w14:textId="77777777" w:rsidR="007B3DB2" w:rsidRPr="0063248C" w:rsidRDefault="00000000">
            <w:pPr>
              <w:spacing w:line="240" w:lineRule="exact"/>
              <w:jc w:val="right"/>
              <w:rPr>
                <w:rFonts w:cs="宋体"/>
                <w:sz w:val="18"/>
                <w:szCs w:val="18"/>
              </w:rPr>
            </w:pPr>
            <w:r w:rsidRPr="0063248C">
              <w:rPr>
                <w:rFonts w:cs="宋体"/>
                <w:sz w:val="18"/>
                <w:szCs w:val="18"/>
              </w:rPr>
              <w:t>4,379,826.39</w:t>
            </w:r>
          </w:p>
        </w:tc>
        <w:tc>
          <w:tcPr>
            <w:tcW w:w="876" w:type="dxa"/>
            <w:tcBorders>
              <w:top w:val="single" w:sz="2" w:space="0" w:color="auto"/>
              <w:left w:val="single" w:sz="2" w:space="0" w:color="auto"/>
              <w:bottom w:val="single" w:sz="2" w:space="0" w:color="auto"/>
              <w:right w:val="single" w:sz="2" w:space="0" w:color="auto"/>
            </w:tcBorders>
            <w:vAlign w:val="center"/>
          </w:tcPr>
          <w:p w14:paraId="6EB535B6" w14:textId="77777777" w:rsidR="007B3DB2" w:rsidRPr="0063248C" w:rsidRDefault="00000000">
            <w:pPr>
              <w:spacing w:line="240" w:lineRule="exact"/>
              <w:jc w:val="right"/>
              <w:rPr>
                <w:rFonts w:cs="宋体"/>
                <w:sz w:val="18"/>
                <w:szCs w:val="18"/>
              </w:rPr>
            </w:pPr>
            <w:r w:rsidRPr="0063248C">
              <w:rPr>
                <w:rFonts w:cs="宋体"/>
                <w:sz w:val="18"/>
                <w:szCs w:val="18"/>
              </w:rPr>
              <w:t>86.31%</w:t>
            </w:r>
          </w:p>
        </w:tc>
        <w:tc>
          <w:tcPr>
            <w:tcW w:w="876" w:type="dxa"/>
            <w:tcBorders>
              <w:top w:val="single" w:sz="2" w:space="0" w:color="auto"/>
              <w:left w:val="single" w:sz="2" w:space="0" w:color="auto"/>
              <w:bottom w:val="single" w:sz="2" w:space="0" w:color="auto"/>
              <w:right w:val="single" w:sz="2" w:space="0" w:color="auto"/>
            </w:tcBorders>
            <w:vAlign w:val="center"/>
          </w:tcPr>
          <w:p w14:paraId="38DA7ABB" w14:textId="77777777" w:rsidR="007B3DB2" w:rsidRPr="0063248C" w:rsidRDefault="00000000">
            <w:pPr>
              <w:spacing w:line="240" w:lineRule="exact"/>
              <w:jc w:val="right"/>
              <w:rPr>
                <w:rFonts w:cs="宋体"/>
                <w:sz w:val="18"/>
                <w:szCs w:val="18"/>
              </w:rPr>
            </w:pPr>
            <w:r w:rsidRPr="0063248C">
              <w:rPr>
                <w:rFonts w:cs="宋体"/>
                <w:sz w:val="18"/>
                <w:szCs w:val="18"/>
              </w:rPr>
              <w:t>694,900.00</w:t>
            </w:r>
          </w:p>
        </w:tc>
        <w:tc>
          <w:tcPr>
            <w:tcW w:w="876" w:type="dxa"/>
            <w:tcBorders>
              <w:top w:val="single" w:sz="2" w:space="0" w:color="auto"/>
              <w:left w:val="single" w:sz="2" w:space="0" w:color="auto"/>
              <w:bottom w:val="single" w:sz="2" w:space="0" w:color="auto"/>
              <w:right w:val="single" w:sz="2" w:space="0" w:color="auto"/>
            </w:tcBorders>
            <w:vAlign w:val="center"/>
          </w:tcPr>
          <w:p w14:paraId="30A33C44" w14:textId="77777777" w:rsidR="007B3DB2" w:rsidRPr="0063248C" w:rsidRDefault="00000000">
            <w:pPr>
              <w:spacing w:line="240" w:lineRule="exact"/>
              <w:jc w:val="right"/>
              <w:rPr>
                <w:rFonts w:cs="宋体"/>
                <w:sz w:val="18"/>
                <w:szCs w:val="18"/>
              </w:rPr>
            </w:pPr>
            <w:r w:rsidRPr="0063248C">
              <w:rPr>
                <w:rFonts w:cs="宋体"/>
                <w:sz w:val="18"/>
                <w:szCs w:val="18"/>
              </w:rPr>
              <w:t>5,731,075.55</w:t>
            </w:r>
          </w:p>
        </w:tc>
        <w:tc>
          <w:tcPr>
            <w:tcW w:w="876" w:type="dxa"/>
            <w:tcBorders>
              <w:top w:val="single" w:sz="2" w:space="0" w:color="auto"/>
              <w:left w:val="single" w:sz="2" w:space="0" w:color="auto"/>
              <w:bottom w:val="single" w:sz="2" w:space="0" w:color="auto"/>
              <w:right w:val="single" w:sz="2" w:space="0" w:color="auto"/>
            </w:tcBorders>
            <w:vAlign w:val="center"/>
          </w:tcPr>
          <w:p w14:paraId="014BB880" w14:textId="77777777" w:rsidR="007B3DB2" w:rsidRPr="0063248C" w:rsidRDefault="00000000">
            <w:pPr>
              <w:spacing w:line="240" w:lineRule="exact"/>
              <w:jc w:val="right"/>
              <w:rPr>
                <w:rFonts w:cs="宋体"/>
                <w:sz w:val="18"/>
                <w:szCs w:val="18"/>
              </w:rPr>
            </w:pPr>
            <w:r w:rsidRPr="0063248C">
              <w:rPr>
                <w:rFonts w:cs="宋体"/>
                <w:sz w:val="18"/>
                <w:szCs w:val="18"/>
              </w:rPr>
              <w:t>9.16%</w:t>
            </w:r>
          </w:p>
        </w:tc>
        <w:tc>
          <w:tcPr>
            <w:tcW w:w="876" w:type="dxa"/>
            <w:tcBorders>
              <w:top w:val="single" w:sz="2" w:space="0" w:color="auto"/>
              <w:left w:val="single" w:sz="2" w:space="0" w:color="auto"/>
              <w:bottom w:val="single" w:sz="2" w:space="0" w:color="auto"/>
              <w:right w:val="single" w:sz="2" w:space="0" w:color="auto"/>
            </w:tcBorders>
            <w:vAlign w:val="center"/>
          </w:tcPr>
          <w:p w14:paraId="50F1B807" w14:textId="77777777" w:rsidR="007B3DB2" w:rsidRPr="0063248C" w:rsidRDefault="00000000">
            <w:pPr>
              <w:spacing w:line="240" w:lineRule="exact"/>
              <w:jc w:val="right"/>
              <w:rPr>
                <w:rFonts w:cs="宋体"/>
                <w:sz w:val="18"/>
                <w:szCs w:val="18"/>
              </w:rPr>
            </w:pPr>
            <w:r w:rsidRPr="0063248C">
              <w:rPr>
                <w:rFonts w:cs="宋体"/>
                <w:sz w:val="18"/>
                <w:szCs w:val="18"/>
              </w:rPr>
              <w:t>5,026,175.55</w:t>
            </w:r>
          </w:p>
        </w:tc>
        <w:tc>
          <w:tcPr>
            <w:tcW w:w="876" w:type="dxa"/>
            <w:tcBorders>
              <w:top w:val="single" w:sz="2" w:space="0" w:color="auto"/>
              <w:left w:val="single" w:sz="2" w:space="0" w:color="auto"/>
              <w:bottom w:val="single" w:sz="2" w:space="0" w:color="auto"/>
              <w:right w:val="single" w:sz="2" w:space="0" w:color="auto"/>
            </w:tcBorders>
            <w:vAlign w:val="center"/>
          </w:tcPr>
          <w:p w14:paraId="642DC0DB" w14:textId="77777777" w:rsidR="007B3DB2" w:rsidRPr="0063248C" w:rsidRDefault="00000000">
            <w:pPr>
              <w:spacing w:line="240" w:lineRule="exact"/>
              <w:jc w:val="right"/>
              <w:rPr>
                <w:rFonts w:cs="宋体"/>
                <w:sz w:val="18"/>
                <w:szCs w:val="18"/>
              </w:rPr>
            </w:pPr>
            <w:r w:rsidRPr="0063248C">
              <w:rPr>
                <w:rFonts w:cs="宋体"/>
                <w:sz w:val="18"/>
                <w:szCs w:val="18"/>
              </w:rPr>
              <w:t>87.70%</w:t>
            </w:r>
          </w:p>
        </w:tc>
        <w:tc>
          <w:tcPr>
            <w:tcW w:w="876" w:type="dxa"/>
            <w:tcBorders>
              <w:top w:val="single" w:sz="2" w:space="0" w:color="auto"/>
              <w:left w:val="single" w:sz="2" w:space="0" w:color="auto"/>
              <w:bottom w:val="single" w:sz="2" w:space="0" w:color="auto"/>
              <w:right w:val="single" w:sz="2" w:space="0" w:color="auto"/>
            </w:tcBorders>
            <w:vAlign w:val="center"/>
          </w:tcPr>
          <w:p w14:paraId="4A4C6E78" w14:textId="77777777" w:rsidR="007B3DB2" w:rsidRPr="0063248C" w:rsidRDefault="00000000">
            <w:pPr>
              <w:spacing w:line="240" w:lineRule="exact"/>
              <w:jc w:val="right"/>
              <w:rPr>
                <w:rFonts w:cs="宋体"/>
                <w:sz w:val="18"/>
                <w:szCs w:val="18"/>
              </w:rPr>
            </w:pPr>
            <w:r w:rsidRPr="0063248C">
              <w:rPr>
                <w:rFonts w:cs="宋体"/>
                <w:sz w:val="18"/>
                <w:szCs w:val="18"/>
              </w:rPr>
              <w:t>704,900.00</w:t>
            </w:r>
          </w:p>
        </w:tc>
      </w:tr>
      <w:tr w:rsidR="007B3DB2" w:rsidRPr="0063248C" w14:paraId="3B8C3BD9" w14:textId="77777777" w:rsidTr="00B425DC">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F80237A" w14:textId="77777777" w:rsidR="007B3DB2" w:rsidRPr="0063248C" w:rsidRDefault="00000000">
            <w:pPr>
              <w:spacing w:before="40" w:after="40" w:line="240" w:lineRule="exact"/>
              <w:rPr>
                <w:rFonts w:cs="宋体"/>
                <w:sz w:val="18"/>
                <w:szCs w:val="18"/>
              </w:rPr>
            </w:pPr>
            <w:r w:rsidRPr="0063248C">
              <w:rPr>
                <w:rFonts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14:paraId="51DDDD0E" w14:textId="77777777" w:rsidR="007B3DB2" w:rsidRPr="0063248C" w:rsidRDefault="00000000">
            <w:pPr>
              <w:spacing w:line="240" w:lineRule="exact"/>
              <w:jc w:val="right"/>
              <w:rPr>
                <w:rFonts w:cs="宋体"/>
                <w:sz w:val="18"/>
                <w:szCs w:val="18"/>
              </w:rPr>
            </w:pPr>
            <w:r w:rsidRPr="0063248C">
              <w:rPr>
                <w:rFonts w:cs="宋体"/>
                <w:sz w:val="18"/>
                <w:szCs w:val="18"/>
              </w:rPr>
              <w:t>65,558,319.09</w:t>
            </w:r>
          </w:p>
        </w:tc>
        <w:tc>
          <w:tcPr>
            <w:tcW w:w="876" w:type="dxa"/>
            <w:tcBorders>
              <w:top w:val="single" w:sz="2" w:space="0" w:color="auto"/>
              <w:left w:val="single" w:sz="2" w:space="0" w:color="auto"/>
              <w:bottom w:val="single" w:sz="2" w:space="0" w:color="auto"/>
              <w:right w:val="single" w:sz="2" w:space="0" w:color="auto"/>
            </w:tcBorders>
            <w:vAlign w:val="center"/>
          </w:tcPr>
          <w:p w14:paraId="477644D7" w14:textId="77777777" w:rsidR="007B3DB2" w:rsidRPr="0063248C" w:rsidRDefault="00000000">
            <w:pPr>
              <w:spacing w:line="240" w:lineRule="exact"/>
              <w:jc w:val="right"/>
              <w:rPr>
                <w:rFonts w:cs="宋体"/>
                <w:sz w:val="18"/>
                <w:szCs w:val="18"/>
              </w:rPr>
            </w:pPr>
            <w:r w:rsidRPr="0063248C">
              <w:rPr>
                <w:rFonts w:cs="宋体"/>
                <w:sz w:val="18"/>
                <w:szCs w:val="18"/>
              </w:rPr>
              <w:t>92.82%</w:t>
            </w:r>
          </w:p>
        </w:tc>
        <w:tc>
          <w:tcPr>
            <w:tcW w:w="876" w:type="dxa"/>
            <w:tcBorders>
              <w:top w:val="single" w:sz="2" w:space="0" w:color="auto"/>
              <w:left w:val="single" w:sz="2" w:space="0" w:color="auto"/>
              <w:bottom w:val="single" w:sz="2" w:space="0" w:color="auto"/>
              <w:right w:val="single" w:sz="2" w:space="0" w:color="auto"/>
            </w:tcBorders>
            <w:vAlign w:val="center"/>
          </w:tcPr>
          <w:p w14:paraId="1F3BD562" w14:textId="77777777" w:rsidR="007B3DB2" w:rsidRPr="0063248C" w:rsidRDefault="00000000">
            <w:pPr>
              <w:spacing w:line="240" w:lineRule="exact"/>
              <w:jc w:val="right"/>
              <w:rPr>
                <w:rFonts w:cs="宋体"/>
                <w:sz w:val="18"/>
                <w:szCs w:val="18"/>
              </w:rPr>
            </w:pPr>
            <w:r w:rsidRPr="0063248C">
              <w:rPr>
                <w:rFonts w:cs="宋体"/>
                <w:sz w:val="18"/>
                <w:szCs w:val="18"/>
              </w:rPr>
              <w:t>17,057,579.24</w:t>
            </w:r>
          </w:p>
        </w:tc>
        <w:tc>
          <w:tcPr>
            <w:tcW w:w="876" w:type="dxa"/>
            <w:tcBorders>
              <w:top w:val="single" w:sz="2" w:space="0" w:color="auto"/>
              <w:left w:val="single" w:sz="2" w:space="0" w:color="auto"/>
              <w:bottom w:val="single" w:sz="2" w:space="0" w:color="auto"/>
              <w:right w:val="single" w:sz="2" w:space="0" w:color="auto"/>
            </w:tcBorders>
            <w:vAlign w:val="center"/>
          </w:tcPr>
          <w:p w14:paraId="5575CBF2" w14:textId="77777777" w:rsidR="007B3DB2" w:rsidRPr="0063248C" w:rsidRDefault="00000000">
            <w:pPr>
              <w:spacing w:line="240" w:lineRule="exact"/>
              <w:jc w:val="right"/>
              <w:rPr>
                <w:rFonts w:cs="宋体"/>
                <w:sz w:val="18"/>
                <w:szCs w:val="18"/>
              </w:rPr>
            </w:pPr>
            <w:r w:rsidRPr="0063248C">
              <w:rPr>
                <w:rFonts w:cs="宋体"/>
                <w:sz w:val="18"/>
                <w:szCs w:val="18"/>
              </w:rPr>
              <w:t>26.02%</w:t>
            </w:r>
          </w:p>
        </w:tc>
        <w:tc>
          <w:tcPr>
            <w:tcW w:w="876" w:type="dxa"/>
            <w:tcBorders>
              <w:top w:val="single" w:sz="2" w:space="0" w:color="auto"/>
              <w:left w:val="single" w:sz="2" w:space="0" w:color="auto"/>
              <w:bottom w:val="single" w:sz="2" w:space="0" w:color="auto"/>
              <w:right w:val="single" w:sz="2" w:space="0" w:color="auto"/>
            </w:tcBorders>
            <w:vAlign w:val="center"/>
          </w:tcPr>
          <w:p w14:paraId="231DD75C" w14:textId="77777777" w:rsidR="007B3DB2" w:rsidRPr="0063248C" w:rsidRDefault="00000000">
            <w:pPr>
              <w:spacing w:line="240" w:lineRule="exact"/>
              <w:jc w:val="right"/>
              <w:rPr>
                <w:rFonts w:cs="宋体"/>
                <w:sz w:val="18"/>
                <w:szCs w:val="18"/>
              </w:rPr>
            </w:pPr>
            <w:r w:rsidRPr="0063248C">
              <w:rPr>
                <w:rFonts w:cs="宋体"/>
                <w:sz w:val="18"/>
                <w:szCs w:val="18"/>
              </w:rPr>
              <w:t>48,500,739.85</w:t>
            </w:r>
          </w:p>
        </w:tc>
        <w:tc>
          <w:tcPr>
            <w:tcW w:w="876" w:type="dxa"/>
            <w:tcBorders>
              <w:top w:val="single" w:sz="2" w:space="0" w:color="auto"/>
              <w:left w:val="single" w:sz="2" w:space="0" w:color="auto"/>
              <w:bottom w:val="single" w:sz="2" w:space="0" w:color="auto"/>
              <w:right w:val="single" w:sz="2" w:space="0" w:color="auto"/>
            </w:tcBorders>
            <w:vAlign w:val="center"/>
          </w:tcPr>
          <w:p w14:paraId="4ADBB319" w14:textId="77777777" w:rsidR="007B3DB2" w:rsidRPr="0063248C" w:rsidRDefault="00000000">
            <w:pPr>
              <w:spacing w:line="240" w:lineRule="exact"/>
              <w:jc w:val="right"/>
              <w:rPr>
                <w:rFonts w:cs="宋体"/>
                <w:sz w:val="18"/>
                <w:szCs w:val="18"/>
              </w:rPr>
            </w:pPr>
            <w:r w:rsidRPr="0063248C">
              <w:rPr>
                <w:rFonts w:cs="宋体"/>
                <w:sz w:val="18"/>
                <w:szCs w:val="18"/>
              </w:rPr>
              <w:t>56,856,087.49</w:t>
            </w:r>
          </w:p>
        </w:tc>
        <w:tc>
          <w:tcPr>
            <w:tcW w:w="876" w:type="dxa"/>
            <w:tcBorders>
              <w:top w:val="single" w:sz="2" w:space="0" w:color="auto"/>
              <w:left w:val="single" w:sz="2" w:space="0" w:color="auto"/>
              <w:bottom w:val="single" w:sz="2" w:space="0" w:color="auto"/>
              <w:right w:val="single" w:sz="2" w:space="0" w:color="auto"/>
            </w:tcBorders>
            <w:vAlign w:val="center"/>
          </w:tcPr>
          <w:p w14:paraId="69729547" w14:textId="77777777" w:rsidR="007B3DB2" w:rsidRPr="0063248C" w:rsidRDefault="00000000">
            <w:pPr>
              <w:spacing w:line="240" w:lineRule="exact"/>
              <w:jc w:val="right"/>
              <w:rPr>
                <w:rFonts w:cs="宋体"/>
                <w:sz w:val="18"/>
                <w:szCs w:val="18"/>
              </w:rPr>
            </w:pPr>
            <w:r w:rsidRPr="0063248C">
              <w:rPr>
                <w:rFonts w:cs="宋体"/>
                <w:sz w:val="18"/>
                <w:szCs w:val="18"/>
              </w:rPr>
              <w:t>90.84%</w:t>
            </w:r>
          </w:p>
        </w:tc>
        <w:tc>
          <w:tcPr>
            <w:tcW w:w="876" w:type="dxa"/>
            <w:tcBorders>
              <w:top w:val="single" w:sz="2" w:space="0" w:color="auto"/>
              <w:left w:val="single" w:sz="2" w:space="0" w:color="auto"/>
              <w:bottom w:val="single" w:sz="2" w:space="0" w:color="auto"/>
              <w:right w:val="single" w:sz="2" w:space="0" w:color="auto"/>
            </w:tcBorders>
            <w:vAlign w:val="center"/>
          </w:tcPr>
          <w:p w14:paraId="6BD5C4C5" w14:textId="77777777" w:rsidR="007B3DB2" w:rsidRPr="0063248C" w:rsidRDefault="00000000">
            <w:pPr>
              <w:spacing w:line="240" w:lineRule="exact"/>
              <w:jc w:val="right"/>
              <w:rPr>
                <w:rFonts w:cs="宋体"/>
                <w:sz w:val="18"/>
                <w:szCs w:val="18"/>
              </w:rPr>
            </w:pPr>
            <w:r w:rsidRPr="0063248C">
              <w:rPr>
                <w:rFonts w:cs="宋体"/>
                <w:sz w:val="18"/>
                <w:szCs w:val="18"/>
              </w:rPr>
              <w:t>12,732,420.73</w:t>
            </w:r>
          </w:p>
        </w:tc>
        <w:tc>
          <w:tcPr>
            <w:tcW w:w="876" w:type="dxa"/>
            <w:tcBorders>
              <w:top w:val="single" w:sz="2" w:space="0" w:color="auto"/>
              <w:left w:val="single" w:sz="2" w:space="0" w:color="auto"/>
              <w:bottom w:val="single" w:sz="2" w:space="0" w:color="auto"/>
              <w:right w:val="single" w:sz="2" w:space="0" w:color="auto"/>
            </w:tcBorders>
            <w:vAlign w:val="center"/>
          </w:tcPr>
          <w:p w14:paraId="02EA9CB3" w14:textId="77777777" w:rsidR="007B3DB2" w:rsidRPr="0063248C" w:rsidRDefault="00000000">
            <w:pPr>
              <w:spacing w:line="240" w:lineRule="exact"/>
              <w:jc w:val="right"/>
              <w:rPr>
                <w:rFonts w:cs="宋体"/>
                <w:sz w:val="18"/>
                <w:szCs w:val="18"/>
              </w:rPr>
            </w:pPr>
            <w:r w:rsidRPr="0063248C">
              <w:rPr>
                <w:rFonts w:cs="宋体"/>
                <w:sz w:val="18"/>
                <w:szCs w:val="18"/>
              </w:rPr>
              <w:t>22.39%</w:t>
            </w:r>
          </w:p>
        </w:tc>
        <w:tc>
          <w:tcPr>
            <w:tcW w:w="876" w:type="dxa"/>
            <w:tcBorders>
              <w:top w:val="single" w:sz="2" w:space="0" w:color="auto"/>
              <w:left w:val="single" w:sz="2" w:space="0" w:color="auto"/>
              <w:bottom w:val="single" w:sz="2" w:space="0" w:color="auto"/>
              <w:right w:val="single" w:sz="2" w:space="0" w:color="auto"/>
            </w:tcBorders>
            <w:vAlign w:val="center"/>
          </w:tcPr>
          <w:p w14:paraId="7D8A3E7D" w14:textId="77777777" w:rsidR="007B3DB2" w:rsidRPr="0063248C" w:rsidRDefault="00000000">
            <w:pPr>
              <w:spacing w:line="240" w:lineRule="exact"/>
              <w:jc w:val="right"/>
              <w:rPr>
                <w:rFonts w:cs="宋体"/>
                <w:sz w:val="18"/>
                <w:szCs w:val="18"/>
              </w:rPr>
            </w:pPr>
            <w:r w:rsidRPr="0063248C">
              <w:rPr>
                <w:rFonts w:cs="宋体"/>
                <w:sz w:val="18"/>
                <w:szCs w:val="18"/>
              </w:rPr>
              <w:t>44,123,666.76</w:t>
            </w:r>
          </w:p>
        </w:tc>
      </w:tr>
      <w:tr w:rsidR="007B3DB2" w:rsidRPr="0063248C" w14:paraId="00CF78BC" w14:textId="77777777" w:rsidTr="00B425DC">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0DE0B6BF"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w:t>
            </w:r>
          </w:p>
        </w:tc>
      </w:tr>
      <w:tr w:rsidR="007B3DB2" w:rsidRPr="0063248C" w14:paraId="2CFBFB5F" w14:textId="77777777" w:rsidTr="00B425DC">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32577261" w14:textId="77777777" w:rsidR="007B3DB2" w:rsidRPr="0063248C" w:rsidRDefault="00000000">
            <w:pPr>
              <w:spacing w:line="240" w:lineRule="exact"/>
              <w:rPr>
                <w:rFonts w:cs="宋体"/>
                <w:sz w:val="18"/>
                <w:szCs w:val="18"/>
              </w:rPr>
            </w:pPr>
            <w:proofErr w:type="gramStart"/>
            <w:r w:rsidRPr="0063248C">
              <w:rPr>
                <w:rFonts w:cs="宋体"/>
                <w:sz w:val="18"/>
                <w:szCs w:val="18"/>
              </w:rPr>
              <w:t>按账龄组</w:t>
            </w:r>
            <w:proofErr w:type="gramEnd"/>
            <w:r w:rsidRPr="0063248C">
              <w:rPr>
                <w:rFonts w:cs="宋体"/>
                <w:sz w:val="18"/>
                <w:szCs w:val="18"/>
              </w:rPr>
              <w:t>合</w:t>
            </w:r>
          </w:p>
        </w:tc>
        <w:tc>
          <w:tcPr>
            <w:tcW w:w="876" w:type="dxa"/>
            <w:tcBorders>
              <w:top w:val="single" w:sz="2" w:space="0" w:color="auto"/>
              <w:left w:val="single" w:sz="2" w:space="0" w:color="auto"/>
              <w:bottom w:val="single" w:sz="2" w:space="0" w:color="auto"/>
              <w:right w:val="single" w:sz="2" w:space="0" w:color="auto"/>
            </w:tcBorders>
            <w:vAlign w:val="center"/>
          </w:tcPr>
          <w:p w14:paraId="5FCBC1EA" w14:textId="77777777" w:rsidR="007B3DB2" w:rsidRPr="0063248C" w:rsidRDefault="00000000">
            <w:pPr>
              <w:spacing w:line="240" w:lineRule="exact"/>
              <w:jc w:val="right"/>
              <w:rPr>
                <w:rFonts w:cs="宋体"/>
                <w:sz w:val="18"/>
                <w:szCs w:val="18"/>
              </w:rPr>
            </w:pPr>
            <w:r w:rsidRPr="0063248C">
              <w:rPr>
                <w:rFonts w:cs="宋体"/>
                <w:sz w:val="18"/>
                <w:szCs w:val="18"/>
              </w:rPr>
              <w:t>65,558,319.09</w:t>
            </w:r>
          </w:p>
        </w:tc>
        <w:tc>
          <w:tcPr>
            <w:tcW w:w="876" w:type="dxa"/>
            <w:tcBorders>
              <w:top w:val="single" w:sz="2" w:space="0" w:color="auto"/>
              <w:left w:val="single" w:sz="2" w:space="0" w:color="auto"/>
              <w:bottom w:val="single" w:sz="2" w:space="0" w:color="auto"/>
              <w:right w:val="single" w:sz="2" w:space="0" w:color="auto"/>
            </w:tcBorders>
            <w:vAlign w:val="center"/>
          </w:tcPr>
          <w:p w14:paraId="26DB08B6" w14:textId="77777777" w:rsidR="007B3DB2" w:rsidRPr="0063248C" w:rsidRDefault="00000000">
            <w:pPr>
              <w:spacing w:line="240" w:lineRule="exact"/>
              <w:jc w:val="right"/>
              <w:rPr>
                <w:rFonts w:cs="宋体"/>
                <w:sz w:val="18"/>
                <w:szCs w:val="18"/>
              </w:rPr>
            </w:pPr>
            <w:r w:rsidRPr="0063248C">
              <w:rPr>
                <w:rFonts w:cs="宋体"/>
                <w:sz w:val="18"/>
                <w:szCs w:val="18"/>
              </w:rPr>
              <w:t>92.82%</w:t>
            </w:r>
          </w:p>
        </w:tc>
        <w:tc>
          <w:tcPr>
            <w:tcW w:w="876" w:type="dxa"/>
            <w:tcBorders>
              <w:top w:val="single" w:sz="2" w:space="0" w:color="auto"/>
              <w:left w:val="single" w:sz="2" w:space="0" w:color="auto"/>
              <w:bottom w:val="single" w:sz="2" w:space="0" w:color="auto"/>
              <w:right w:val="single" w:sz="2" w:space="0" w:color="auto"/>
            </w:tcBorders>
            <w:vAlign w:val="center"/>
          </w:tcPr>
          <w:p w14:paraId="3BE9F00E" w14:textId="77777777" w:rsidR="007B3DB2" w:rsidRPr="0063248C" w:rsidRDefault="00000000">
            <w:pPr>
              <w:spacing w:line="240" w:lineRule="exact"/>
              <w:jc w:val="right"/>
              <w:rPr>
                <w:rFonts w:cs="宋体"/>
                <w:sz w:val="18"/>
                <w:szCs w:val="18"/>
              </w:rPr>
            </w:pPr>
            <w:r w:rsidRPr="0063248C">
              <w:rPr>
                <w:rFonts w:cs="宋体"/>
                <w:sz w:val="18"/>
                <w:szCs w:val="18"/>
              </w:rPr>
              <w:t>17,057,579.24</w:t>
            </w:r>
          </w:p>
        </w:tc>
        <w:tc>
          <w:tcPr>
            <w:tcW w:w="876" w:type="dxa"/>
            <w:tcBorders>
              <w:top w:val="single" w:sz="2" w:space="0" w:color="auto"/>
              <w:left w:val="single" w:sz="2" w:space="0" w:color="auto"/>
              <w:bottom w:val="single" w:sz="2" w:space="0" w:color="auto"/>
              <w:right w:val="single" w:sz="2" w:space="0" w:color="auto"/>
            </w:tcBorders>
            <w:vAlign w:val="center"/>
          </w:tcPr>
          <w:p w14:paraId="18AB1CEF" w14:textId="77777777" w:rsidR="007B3DB2" w:rsidRPr="0063248C" w:rsidRDefault="00000000">
            <w:pPr>
              <w:spacing w:line="240" w:lineRule="exact"/>
              <w:jc w:val="right"/>
              <w:rPr>
                <w:rFonts w:cs="宋体"/>
                <w:sz w:val="18"/>
                <w:szCs w:val="18"/>
              </w:rPr>
            </w:pPr>
            <w:r w:rsidRPr="0063248C">
              <w:rPr>
                <w:rFonts w:cs="宋体"/>
                <w:sz w:val="18"/>
                <w:szCs w:val="18"/>
              </w:rPr>
              <w:t>26.02%</w:t>
            </w:r>
          </w:p>
        </w:tc>
        <w:tc>
          <w:tcPr>
            <w:tcW w:w="876" w:type="dxa"/>
            <w:tcBorders>
              <w:top w:val="single" w:sz="2" w:space="0" w:color="auto"/>
              <w:left w:val="single" w:sz="2" w:space="0" w:color="auto"/>
              <w:bottom w:val="single" w:sz="2" w:space="0" w:color="auto"/>
              <w:right w:val="single" w:sz="2" w:space="0" w:color="auto"/>
            </w:tcBorders>
            <w:vAlign w:val="center"/>
          </w:tcPr>
          <w:p w14:paraId="7781BA1D" w14:textId="77777777" w:rsidR="007B3DB2" w:rsidRPr="0063248C" w:rsidRDefault="00000000">
            <w:pPr>
              <w:spacing w:line="240" w:lineRule="exact"/>
              <w:jc w:val="right"/>
              <w:rPr>
                <w:rFonts w:cs="宋体"/>
                <w:sz w:val="18"/>
                <w:szCs w:val="18"/>
              </w:rPr>
            </w:pPr>
            <w:r w:rsidRPr="0063248C">
              <w:rPr>
                <w:rFonts w:cs="宋体"/>
                <w:sz w:val="18"/>
                <w:szCs w:val="18"/>
              </w:rPr>
              <w:t>48,500,739.85</w:t>
            </w:r>
          </w:p>
        </w:tc>
        <w:tc>
          <w:tcPr>
            <w:tcW w:w="876" w:type="dxa"/>
            <w:tcBorders>
              <w:top w:val="single" w:sz="2" w:space="0" w:color="auto"/>
              <w:left w:val="single" w:sz="2" w:space="0" w:color="auto"/>
              <w:bottom w:val="single" w:sz="2" w:space="0" w:color="auto"/>
              <w:right w:val="single" w:sz="2" w:space="0" w:color="auto"/>
            </w:tcBorders>
            <w:vAlign w:val="center"/>
          </w:tcPr>
          <w:p w14:paraId="46CDDAB4" w14:textId="77777777" w:rsidR="007B3DB2" w:rsidRPr="0063248C" w:rsidRDefault="00000000">
            <w:pPr>
              <w:spacing w:line="240" w:lineRule="exact"/>
              <w:jc w:val="right"/>
              <w:rPr>
                <w:rFonts w:cs="宋体"/>
                <w:sz w:val="18"/>
                <w:szCs w:val="18"/>
              </w:rPr>
            </w:pPr>
            <w:r w:rsidRPr="0063248C">
              <w:rPr>
                <w:rFonts w:cs="宋体"/>
                <w:sz w:val="18"/>
                <w:szCs w:val="18"/>
              </w:rPr>
              <w:t>56,856,087.49</w:t>
            </w:r>
          </w:p>
        </w:tc>
        <w:tc>
          <w:tcPr>
            <w:tcW w:w="876" w:type="dxa"/>
            <w:tcBorders>
              <w:top w:val="single" w:sz="2" w:space="0" w:color="auto"/>
              <w:left w:val="single" w:sz="2" w:space="0" w:color="auto"/>
              <w:bottom w:val="single" w:sz="2" w:space="0" w:color="auto"/>
              <w:right w:val="single" w:sz="2" w:space="0" w:color="auto"/>
            </w:tcBorders>
            <w:vAlign w:val="center"/>
          </w:tcPr>
          <w:p w14:paraId="624C0215" w14:textId="77777777" w:rsidR="007B3DB2" w:rsidRPr="0063248C" w:rsidRDefault="00000000">
            <w:pPr>
              <w:spacing w:line="240" w:lineRule="exact"/>
              <w:jc w:val="right"/>
              <w:rPr>
                <w:rFonts w:cs="宋体"/>
                <w:sz w:val="18"/>
                <w:szCs w:val="18"/>
              </w:rPr>
            </w:pPr>
            <w:r w:rsidRPr="0063248C">
              <w:rPr>
                <w:rFonts w:cs="宋体"/>
                <w:sz w:val="18"/>
                <w:szCs w:val="18"/>
              </w:rPr>
              <w:t>90.84%</w:t>
            </w:r>
          </w:p>
        </w:tc>
        <w:tc>
          <w:tcPr>
            <w:tcW w:w="876" w:type="dxa"/>
            <w:tcBorders>
              <w:top w:val="single" w:sz="2" w:space="0" w:color="auto"/>
              <w:left w:val="single" w:sz="2" w:space="0" w:color="auto"/>
              <w:bottom w:val="single" w:sz="2" w:space="0" w:color="auto"/>
              <w:right w:val="single" w:sz="2" w:space="0" w:color="auto"/>
            </w:tcBorders>
            <w:vAlign w:val="center"/>
          </w:tcPr>
          <w:p w14:paraId="18F8BF8A" w14:textId="77777777" w:rsidR="007B3DB2" w:rsidRPr="0063248C" w:rsidRDefault="00000000">
            <w:pPr>
              <w:spacing w:line="240" w:lineRule="exact"/>
              <w:jc w:val="right"/>
              <w:rPr>
                <w:rFonts w:cs="宋体"/>
                <w:sz w:val="18"/>
                <w:szCs w:val="18"/>
              </w:rPr>
            </w:pPr>
            <w:r w:rsidRPr="0063248C">
              <w:rPr>
                <w:rFonts w:cs="宋体"/>
                <w:sz w:val="18"/>
                <w:szCs w:val="18"/>
              </w:rPr>
              <w:t>12,732,420.73</w:t>
            </w:r>
          </w:p>
        </w:tc>
        <w:tc>
          <w:tcPr>
            <w:tcW w:w="876" w:type="dxa"/>
            <w:tcBorders>
              <w:top w:val="single" w:sz="2" w:space="0" w:color="auto"/>
              <w:left w:val="single" w:sz="2" w:space="0" w:color="auto"/>
              <w:bottom w:val="single" w:sz="2" w:space="0" w:color="auto"/>
              <w:right w:val="single" w:sz="2" w:space="0" w:color="auto"/>
            </w:tcBorders>
            <w:vAlign w:val="center"/>
          </w:tcPr>
          <w:p w14:paraId="19D8D7CB" w14:textId="77777777" w:rsidR="007B3DB2" w:rsidRPr="0063248C" w:rsidRDefault="00000000">
            <w:pPr>
              <w:spacing w:line="240" w:lineRule="exact"/>
              <w:jc w:val="right"/>
              <w:rPr>
                <w:rFonts w:cs="宋体"/>
                <w:sz w:val="18"/>
                <w:szCs w:val="18"/>
              </w:rPr>
            </w:pPr>
            <w:r w:rsidRPr="0063248C">
              <w:rPr>
                <w:rFonts w:cs="宋体"/>
                <w:sz w:val="18"/>
                <w:szCs w:val="18"/>
              </w:rPr>
              <w:t>22.39%</w:t>
            </w:r>
          </w:p>
        </w:tc>
        <w:tc>
          <w:tcPr>
            <w:tcW w:w="876" w:type="dxa"/>
            <w:tcBorders>
              <w:top w:val="single" w:sz="2" w:space="0" w:color="auto"/>
              <w:left w:val="single" w:sz="2" w:space="0" w:color="auto"/>
              <w:bottom w:val="single" w:sz="2" w:space="0" w:color="auto"/>
              <w:right w:val="single" w:sz="2" w:space="0" w:color="auto"/>
            </w:tcBorders>
            <w:vAlign w:val="center"/>
          </w:tcPr>
          <w:p w14:paraId="2EDB453D" w14:textId="77777777" w:rsidR="007B3DB2" w:rsidRPr="0063248C" w:rsidRDefault="00000000">
            <w:pPr>
              <w:spacing w:line="240" w:lineRule="exact"/>
              <w:jc w:val="right"/>
              <w:rPr>
                <w:rFonts w:cs="宋体"/>
                <w:sz w:val="18"/>
                <w:szCs w:val="18"/>
              </w:rPr>
            </w:pPr>
            <w:r w:rsidRPr="0063248C">
              <w:rPr>
                <w:rFonts w:cs="宋体"/>
                <w:sz w:val="18"/>
                <w:szCs w:val="18"/>
              </w:rPr>
              <w:t>44,123,666.76</w:t>
            </w:r>
          </w:p>
        </w:tc>
      </w:tr>
      <w:tr w:rsidR="007B3DB2" w:rsidRPr="0063248C" w14:paraId="4FCC2687" w14:textId="77777777" w:rsidTr="00B425DC">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9E7268E"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13BEF486" w14:textId="77777777" w:rsidR="007B3DB2" w:rsidRPr="0063248C" w:rsidRDefault="00000000">
            <w:pPr>
              <w:spacing w:line="240" w:lineRule="exact"/>
              <w:jc w:val="right"/>
              <w:rPr>
                <w:rFonts w:cs="宋体"/>
                <w:sz w:val="18"/>
                <w:szCs w:val="18"/>
              </w:rPr>
            </w:pPr>
            <w:r w:rsidRPr="0063248C">
              <w:rPr>
                <w:rFonts w:cs="宋体"/>
                <w:sz w:val="18"/>
                <w:szCs w:val="18"/>
              </w:rPr>
              <w:t>70,633,045.48</w:t>
            </w:r>
          </w:p>
        </w:tc>
        <w:tc>
          <w:tcPr>
            <w:tcW w:w="876" w:type="dxa"/>
            <w:tcBorders>
              <w:top w:val="single" w:sz="2" w:space="0" w:color="auto"/>
              <w:left w:val="single" w:sz="2" w:space="0" w:color="auto"/>
              <w:bottom w:val="single" w:sz="2" w:space="0" w:color="auto"/>
              <w:right w:val="single" w:sz="2" w:space="0" w:color="auto"/>
            </w:tcBorders>
            <w:vAlign w:val="center"/>
          </w:tcPr>
          <w:p w14:paraId="1FB7717A"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5B892305" w14:textId="77777777" w:rsidR="007B3DB2" w:rsidRPr="0063248C" w:rsidRDefault="00000000">
            <w:pPr>
              <w:spacing w:line="240" w:lineRule="exact"/>
              <w:jc w:val="right"/>
              <w:rPr>
                <w:rFonts w:cs="宋体"/>
                <w:sz w:val="18"/>
                <w:szCs w:val="18"/>
              </w:rPr>
            </w:pPr>
            <w:r w:rsidRPr="0063248C">
              <w:rPr>
                <w:rFonts w:cs="宋体"/>
                <w:sz w:val="18"/>
                <w:szCs w:val="18"/>
              </w:rPr>
              <w:t>21,437,405.63</w:t>
            </w:r>
          </w:p>
        </w:tc>
        <w:tc>
          <w:tcPr>
            <w:tcW w:w="876" w:type="dxa"/>
            <w:tcBorders>
              <w:top w:val="single" w:sz="2" w:space="0" w:color="auto"/>
              <w:left w:val="single" w:sz="2" w:space="0" w:color="auto"/>
              <w:bottom w:val="single" w:sz="2" w:space="0" w:color="auto"/>
              <w:right w:val="single" w:sz="2" w:space="0" w:color="auto"/>
            </w:tcBorders>
            <w:vAlign w:val="center"/>
          </w:tcPr>
          <w:p w14:paraId="37115E85" w14:textId="77777777" w:rsidR="007B3DB2" w:rsidRPr="0063248C" w:rsidRDefault="00000000">
            <w:pPr>
              <w:spacing w:line="240" w:lineRule="exact"/>
              <w:jc w:val="right"/>
              <w:rPr>
                <w:rFonts w:cs="宋体"/>
                <w:sz w:val="18"/>
                <w:szCs w:val="18"/>
              </w:rPr>
            </w:pPr>
            <w:r w:rsidRPr="0063248C">
              <w:rPr>
                <w:rFonts w:cs="宋体"/>
                <w:sz w:val="18"/>
                <w:szCs w:val="18"/>
              </w:rPr>
              <w:t>30.35%</w:t>
            </w:r>
          </w:p>
        </w:tc>
        <w:tc>
          <w:tcPr>
            <w:tcW w:w="876" w:type="dxa"/>
            <w:tcBorders>
              <w:top w:val="single" w:sz="2" w:space="0" w:color="auto"/>
              <w:left w:val="single" w:sz="2" w:space="0" w:color="auto"/>
              <w:bottom w:val="single" w:sz="2" w:space="0" w:color="auto"/>
              <w:right w:val="single" w:sz="2" w:space="0" w:color="auto"/>
            </w:tcBorders>
            <w:vAlign w:val="center"/>
          </w:tcPr>
          <w:p w14:paraId="3063D6C7" w14:textId="77777777" w:rsidR="007B3DB2" w:rsidRPr="0063248C" w:rsidRDefault="00000000">
            <w:pPr>
              <w:spacing w:line="240" w:lineRule="exact"/>
              <w:jc w:val="right"/>
              <w:rPr>
                <w:rFonts w:cs="宋体"/>
                <w:sz w:val="18"/>
                <w:szCs w:val="18"/>
              </w:rPr>
            </w:pPr>
            <w:r w:rsidRPr="0063248C">
              <w:rPr>
                <w:rFonts w:cs="宋体"/>
                <w:sz w:val="18"/>
                <w:szCs w:val="18"/>
              </w:rPr>
              <w:t>49,195,639.85</w:t>
            </w:r>
          </w:p>
        </w:tc>
        <w:tc>
          <w:tcPr>
            <w:tcW w:w="876" w:type="dxa"/>
            <w:tcBorders>
              <w:top w:val="single" w:sz="2" w:space="0" w:color="auto"/>
              <w:left w:val="single" w:sz="2" w:space="0" w:color="auto"/>
              <w:bottom w:val="single" w:sz="2" w:space="0" w:color="auto"/>
              <w:right w:val="single" w:sz="2" w:space="0" w:color="auto"/>
            </w:tcBorders>
            <w:vAlign w:val="center"/>
          </w:tcPr>
          <w:p w14:paraId="01336E8F" w14:textId="77777777" w:rsidR="007B3DB2" w:rsidRPr="0063248C" w:rsidRDefault="00000000">
            <w:pPr>
              <w:spacing w:line="240" w:lineRule="exact"/>
              <w:jc w:val="right"/>
              <w:rPr>
                <w:rFonts w:cs="宋体"/>
                <w:sz w:val="18"/>
                <w:szCs w:val="18"/>
              </w:rPr>
            </w:pPr>
            <w:r w:rsidRPr="0063248C">
              <w:rPr>
                <w:rFonts w:cs="宋体"/>
                <w:sz w:val="18"/>
                <w:szCs w:val="18"/>
              </w:rPr>
              <w:t>62,587,163.04</w:t>
            </w:r>
          </w:p>
        </w:tc>
        <w:tc>
          <w:tcPr>
            <w:tcW w:w="876" w:type="dxa"/>
            <w:tcBorders>
              <w:top w:val="single" w:sz="2" w:space="0" w:color="auto"/>
              <w:left w:val="single" w:sz="2" w:space="0" w:color="auto"/>
              <w:bottom w:val="single" w:sz="2" w:space="0" w:color="auto"/>
              <w:right w:val="single" w:sz="2" w:space="0" w:color="auto"/>
            </w:tcBorders>
            <w:vAlign w:val="center"/>
          </w:tcPr>
          <w:p w14:paraId="2D250465"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00266320" w14:textId="77777777" w:rsidR="007B3DB2" w:rsidRPr="0063248C" w:rsidRDefault="00000000">
            <w:pPr>
              <w:spacing w:line="240" w:lineRule="exact"/>
              <w:jc w:val="right"/>
              <w:rPr>
                <w:rFonts w:cs="宋体"/>
                <w:sz w:val="18"/>
                <w:szCs w:val="18"/>
              </w:rPr>
            </w:pPr>
            <w:r w:rsidRPr="0063248C">
              <w:rPr>
                <w:rFonts w:cs="宋体"/>
                <w:sz w:val="18"/>
                <w:szCs w:val="18"/>
              </w:rPr>
              <w:t>17,758,596.28</w:t>
            </w:r>
          </w:p>
        </w:tc>
        <w:tc>
          <w:tcPr>
            <w:tcW w:w="876" w:type="dxa"/>
            <w:tcBorders>
              <w:top w:val="single" w:sz="2" w:space="0" w:color="auto"/>
              <w:left w:val="single" w:sz="2" w:space="0" w:color="auto"/>
              <w:bottom w:val="single" w:sz="2" w:space="0" w:color="auto"/>
              <w:right w:val="single" w:sz="2" w:space="0" w:color="auto"/>
            </w:tcBorders>
            <w:vAlign w:val="center"/>
          </w:tcPr>
          <w:p w14:paraId="5BB565BA" w14:textId="77777777" w:rsidR="007B3DB2" w:rsidRPr="0063248C" w:rsidRDefault="00000000">
            <w:pPr>
              <w:spacing w:line="240" w:lineRule="exact"/>
              <w:jc w:val="right"/>
              <w:rPr>
                <w:rFonts w:cs="宋体"/>
                <w:sz w:val="18"/>
                <w:szCs w:val="18"/>
              </w:rPr>
            </w:pPr>
            <w:r w:rsidRPr="0063248C">
              <w:rPr>
                <w:rFonts w:cs="宋体"/>
                <w:sz w:val="18"/>
                <w:szCs w:val="18"/>
              </w:rPr>
              <w:t>28.37%</w:t>
            </w:r>
          </w:p>
        </w:tc>
        <w:tc>
          <w:tcPr>
            <w:tcW w:w="876" w:type="dxa"/>
            <w:tcBorders>
              <w:top w:val="single" w:sz="2" w:space="0" w:color="auto"/>
              <w:left w:val="single" w:sz="2" w:space="0" w:color="auto"/>
              <w:bottom w:val="single" w:sz="2" w:space="0" w:color="auto"/>
              <w:right w:val="single" w:sz="2" w:space="0" w:color="auto"/>
            </w:tcBorders>
            <w:vAlign w:val="center"/>
          </w:tcPr>
          <w:p w14:paraId="590C8160" w14:textId="77777777" w:rsidR="007B3DB2" w:rsidRPr="0063248C" w:rsidRDefault="00000000">
            <w:pPr>
              <w:spacing w:line="240" w:lineRule="exact"/>
              <w:jc w:val="right"/>
              <w:rPr>
                <w:rFonts w:cs="宋体"/>
                <w:sz w:val="18"/>
                <w:szCs w:val="18"/>
              </w:rPr>
            </w:pPr>
            <w:r w:rsidRPr="0063248C">
              <w:rPr>
                <w:rFonts w:cs="宋体"/>
                <w:sz w:val="18"/>
                <w:szCs w:val="18"/>
              </w:rPr>
              <w:t>44,828,566.76</w:t>
            </w:r>
          </w:p>
        </w:tc>
      </w:tr>
    </w:tbl>
    <w:p w14:paraId="65EEDD09" w14:textId="77777777" w:rsidR="007B3DB2" w:rsidRPr="0063248C" w:rsidRDefault="00000000">
      <w:pPr>
        <w:spacing w:line="240" w:lineRule="exact"/>
        <w:rPr>
          <w:rFonts w:cs="宋体"/>
          <w:sz w:val="18"/>
          <w:szCs w:val="18"/>
        </w:rPr>
      </w:pPr>
      <w:r w:rsidRPr="0063248C">
        <w:rPr>
          <w:rFonts w:cs="宋体"/>
          <w:sz w:val="18"/>
          <w:szCs w:val="18"/>
        </w:rPr>
        <w:t>按单项计提坏账准备类别名称：</w:t>
      </w:r>
    </w:p>
    <w:p w14:paraId="17A293DD"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32959588"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30F46D9" w14:textId="77777777" w:rsidR="007B3DB2" w:rsidRPr="0063248C" w:rsidRDefault="00000000">
            <w:pPr>
              <w:spacing w:before="40" w:after="40" w:line="240" w:lineRule="exact"/>
              <w:jc w:val="center"/>
              <w:rPr>
                <w:rFonts w:cs="宋体"/>
                <w:sz w:val="18"/>
                <w:szCs w:val="18"/>
              </w:rPr>
            </w:pPr>
            <w:r w:rsidRPr="0063248C">
              <w:rPr>
                <w:rFonts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C1DCA3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DE2D86C"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0AA5082F"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964445"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2C5D7F2"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AFA2053"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8B6FFF3"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85C10E"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94BFD45"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34008F9"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计提理由</w:t>
            </w:r>
          </w:p>
        </w:tc>
      </w:tr>
    </w:tbl>
    <w:p w14:paraId="7837B0BD" w14:textId="77777777" w:rsidR="007B3DB2" w:rsidRPr="0063248C" w:rsidRDefault="00000000">
      <w:pPr>
        <w:spacing w:line="240" w:lineRule="exact"/>
        <w:rPr>
          <w:rFonts w:cs="宋体"/>
          <w:sz w:val="18"/>
          <w:szCs w:val="18"/>
        </w:rPr>
      </w:pPr>
      <w:r w:rsidRPr="0063248C">
        <w:rPr>
          <w:rFonts w:cs="宋体"/>
          <w:sz w:val="18"/>
          <w:szCs w:val="18"/>
        </w:rPr>
        <w:t>按组合计提坏账准备类别名称：</w:t>
      </w:r>
    </w:p>
    <w:p w14:paraId="0B842F4F"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5BE540C6"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917ABDC" w14:textId="77777777" w:rsidR="007B3DB2" w:rsidRPr="0063248C" w:rsidRDefault="00000000">
            <w:pPr>
              <w:spacing w:before="40" w:after="40" w:line="240" w:lineRule="exact"/>
              <w:jc w:val="center"/>
              <w:rPr>
                <w:rFonts w:cs="宋体"/>
                <w:sz w:val="18"/>
                <w:szCs w:val="18"/>
              </w:rPr>
            </w:pPr>
            <w:r w:rsidRPr="0063248C">
              <w:rPr>
                <w:rFonts w:cs="宋体"/>
                <w:sz w:val="18"/>
                <w:szCs w:val="18"/>
              </w:rPr>
              <w:lastRenderedPageBreak/>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C28FFAC"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05E719C5"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4F2DD3A"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41D9FC2"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F86BD54"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F1A1010"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r>
    </w:tbl>
    <w:p w14:paraId="0DD459E2" w14:textId="77777777" w:rsidR="007B3DB2" w:rsidRPr="0063248C" w:rsidRDefault="00000000">
      <w:pPr>
        <w:spacing w:before="100" w:after="100" w:line="240" w:lineRule="exact"/>
        <w:rPr>
          <w:rFonts w:cs="宋体"/>
          <w:sz w:val="18"/>
          <w:szCs w:val="18"/>
        </w:rPr>
      </w:pPr>
      <w:r w:rsidRPr="0063248C">
        <w:rPr>
          <w:rFonts w:cs="宋体"/>
          <w:sz w:val="18"/>
          <w:szCs w:val="18"/>
        </w:rPr>
        <w:t>确定该组合依据的说明：</w:t>
      </w:r>
    </w:p>
    <w:p w14:paraId="2688F93C" w14:textId="77777777" w:rsidR="007B3DB2" w:rsidRPr="0063248C" w:rsidRDefault="007B3DB2"/>
    <w:p w14:paraId="6FCE4D3C" w14:textId="77777777" w:rsidR="007B3DB2" w:rsidRPr="0063248C" w:rsidRDefault="00000000">
      <w:pPr>
        <w:spacing w:line="240" w:lineRule="exact"/>
        <w:rPr>
          <w:rFonts w:cs="宋体"/>
          <w:sz w:val="18"/>
          <w:szCs w:val="18"/>
        </w:rPr>
      </w:pPr>
      <w:r w:rsidRPr="0063248C">
        <w:rPr>
          <w:rFonts w:cs="宋体"/>
          <w:sz w:val="18"/>
          <w:szCs w:val="18"/>
        </w:rPr>
        <w:t>按预期信用损失一般模型计提坏账准备：</w:t>
      </w:r>
    </w:p>
    <w:p w14:paraId="5875D9DA"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054CB0FB"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C335F21"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9D55426" w14:textId="77777777" w:rsidR="007B3DB2" w:rsidRPr="0063248C" w:rsidRDefault="00000000">
            <w:pPr>
              <w:spacing w:before="40" w:after="40" w:line="240" w:lineRule="exact"/>
              <w:jc w:val="center"/>
              <w:rPr>
                <w:rFonts w:cs="宋体"/>
                <w:sz w:val="18"/>
                <w:szCs w:val="18"/>
              </w:rPr>
            </w:pPr>
            <w:r w:rsidRPr="0063248C">
              <w:rPr>
                <w:rFonts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0A0382" w14:textId="77777777" w:rsidR="007B3DB2" w:rsidRPr="0063248C" w:rsidRDefault="00000000">
            <w:pPr>
              <w:spacing w:before="40" w:after="40" w:line="240" w:lineRule="exact"/>
              <w:jc w:val="center"/>
              <w:rPr>
                <w:rFonts w:cs="宋体"/>
                <w:sz w:val="18"/>
                <w:szCs w:val="18"/>
              </w:rPr>
            </w:pPr>
            <w:r w:rsidRPr="0063248C">
              <w:rPr>
                <w:rFonts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355391" w14:textId="77777777" w:rsidR="007B3DB2" w:rsidRPr="0063248C" w:rsidRDefault="00000000">
            <w:pPr>
              <w:spacing w:before="40" w:after="40" w:line="240" w:lineRule="exact"/>
              <w:jc w:val="center"/>
              <w:rPr>
                <w:rFonts w:cs="宋体"/>
                <w:sz w:val="18"/>
                <w:szCs w:val="18"/>
              </w:rPr>
            </w:pPr>
            <w:r w:rsidRPr="0063248C">
              <w:rPr>
                <w:rFonts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D3A423" w14:textId="77777777" w:rsidR="007B3DB2" w:rsidRPr="0063248C" w:rsidRDefault="00000000">
            <w:pPr>
              <w:spacing w:before="40" w:after="40" w:line="240" w:lineRule="exact"/>
              <w:jc w:val="center"/>
              <w:rPr>
                <w:rFonts w:cs="宋体"/>
                <w:sz w:val="18"/>
                <w:szCs w:val="18"/>
              </w:rPr>
            </w:pPr>
            <w:r w:rsidRPr="0063248C">
              <w:rPr>
                <w:rFonts w:cs="宋体"/>
                <w:sz w:val="18"/>
                <w:szCs w:val="18"/>
              </w:rPr>
              <w:t>合计</w:t>
            </w:r>
          </w:p>
        </w:tc>
      </w:tr>
      <w:tr w:rsidR="007B3DB2" w:rsidRPr="0063248C" w14:paraId="28174B0B"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2E2DA0"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89945EB" w14:textId="77777777" w:rsidR="007B3DB2" w:rsidRPr="0063248C" w:rsidRDefault="00000000">
            <w:pPr>
              <w:spacing w:before="40" w:after="40" w:line="240" w:lineRule="exact"/>
              <w:jc w:val="center"/>
              <w:rPr>
                <w:rFonts w:cs="宋体"/>
                <w:sz w:val="18"/>
                <w:szCs w:val="18"/>
              </w:rPr>
            </w:pPr>
            <w:r w:rsidRPr="0063248C">
              <w:rPr>
                <w:rFonts w:cs="宋体"/>
                <w:sz w:val="18"/>
                <w:szCs w:val="18"/>
              </w:rPr>
              <w:t>未来</w:t>
            </w:r>
            <w:r w:rsidRPr="0063248C">
              <w:rPr>
                <w:rFonts w:cs="宋体"/>
                <w:sz w:val="18"/>
                <w:szCs w:val="18"/>
              </w:rPr>
              <w:t>12</w:t>
            </w:r>
            <w:r w:rsidRPr="0063248C">
              <w:rPr>
                <w:rFonts w:cs="宋体"/>
                <w:sz w:val="18"/>
                <w:szCs w:val="18"/>
              </w:rPr>
              <w:t>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B1C0655" w14:textId="77777777" w:rsidR="007B3DB2" w:rsidRPr="0063248C" w:rsidRDefault="00000000">
            <w:pPr>
              <w:spacing w:before="40" w:after="40" w:line="240" w:lineRule="exact"/>
              <w:jc w:val="center"/>
              <w:rPr>
                <w:rFonts w:cs="宋体"/>
                <w:sz w:val="18"/>
                <w:szCs w:val="18"/>
              </w:rPr>
            </w:pPr>
            <w:r w:rsidRPr="0063248C">
              <w:rPr>
                <w:rFonts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D2BF365" w14:textId="77777777" w:rsidR="007B3DB2" w:rsidRPr="0063248C" w:rsidRDefault="00000000">
            <w:pPr>
              <w:spacing w:before="40" w:after="40" w:line="240" w:lineRule="exact"/>
              <w:jc w:val="center"/>
              <w:rPr>
                <w:rFonts w:cs="宋体"/>
                <w:sz w:val="18"/>
                <w:szCs w:val="18"/>
              </w:rPr>
            </w:pPr>
            <w:r w:rsidRPr="0063248C">
              <w:rPr>
                <w:rFonts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256819" w14:textId="77777777" w:rsidR="007B3DB2" w:rsidRPr="0063248C" w:rsidRDefault="007B3DB2"/>
        </w:tc>
      </w:tr>
      <w:tr w:rsidR="007B3DB2" w:rsidRPr="0063248C" w14:paraId="1BCC123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0A6B52C" w14:textId="77777777" w:rsidR="007B3DB2" w:rsidRPr="0063248C" w:rsidRDefault="00000000">
            <w:pPr>
              <w:spacing w:before="40" w:after="40"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w:t>
            </w:r>
            <w:r w:rsidRPr="0063248C">
              <w:rPr>
                <w:rFonts w:cs="宋体"/>
                <w:sz w:val="18"/>
                <w:szCs w:val="18"/>
              </w:rPr>
              <w:t>月</w:t>
            </w:r>
            <w:r w:rsidRPr="0063248C">
              <w:rPr>
                <w:rFonts w:cs="宋体"/>
                <w:sz w:val="18"/>
                <w:szCs w:val="18"/>
              </w:rPr>
              <w:t>1</w:t>
            </w:r>
            <w:r w:rsidRPr="0063248C">
              <w:rPr>
                <w:rFonts w:cs="宋体"/>
                <w:sz w:val="18"/>
                <w:szCs w:val="18"/>
              </w:rPr>
              <w:t>日余额</w:t>
            </w:r>
          </w:p>
        </w:tc>
        <w:tc>
          <w:tcPr>
            <w:tcW w:w="1928" w:type="dxa"/>
            <w:tcBorders>
              <w:top w:val="single" w:sz="2" w:space="0" w:color="auto"/>
              <w:left w:val="single" w:sz="2" w:space="0" w:color="auto"/>
              <w:bottom w:val="single" w:sz="2" w:space="0" w:color="auto"/>
              <w:right w:val="single" w:sz="2" w:space="0" w:color="auto"/>
            </w:tcBorders>
            <w:vAlign w:val="center"/>
          </w:tcPr>
          <w:p w14:paraId="36811A19" w14:textId="77777777" w:rsidR="007B3DB2" w:rsidRPr="0063248C" w:rsidRDefault="00000000">
            <w:pPr>
              <w:spacing w:line="240" w:lineRule="exact"/>
              <w:jc w:val="right"/>
              <w:rPr>
                <w:rFonts w:cs="宋体"/>
                <w:sz w:val="18"/>
                <w:szCs w:val="18"/>
              </w:rPr>
            </w:pPr>
            <w:r w:rsidRPr="0063248C">
              <w:rPr>
                <w:rFonts w:cs="宋体"/>
                <w:sz w:val="18"/>
                <w:szCs w:val="18"/>
              </w:rPr>
              <w:t>12,732,420.73</w:t>
            </w:r>
          </w:p>
        </w:tc>
        <w:tc>
          <w:tcPr>
            <w:tcW w:w="1928" w:type="dxa"/>
            <w:tcBorders>
              <w:top w:val="single" w:sz="2" w:space="0" w:color="auto"/>
              <w:left w:val="single" w:sz="2" w:space="0" w:color="auto"/>
              <w:bottom w:val="single" w:sz="2" w:space="0" w:color="auto"/>
              <w:right w:val="single" w:sz="2" w:space="0" w:color="auto"/>
            </w:tcBorders>
            <w:vAlign w:val="center"/>
          </w:tcPr>
          <w:p w14:paraId="11D30501" w14:textId="77777777" w:rsidR="007B3DB2" w:rsidRPr="0063248C" w:rsidRDefault="00000000">
            <w:pPr>
              <w:spacing w:line="240" w:lineRule="exact"/>
              <w:jc w:val="right"/>
              <w:rPr>
                <w:rFonts w:cs="宋体"/>
                <w:sz w:val="18"/>
                <w:szCs w:val="18"/>
              </w:rPr>
            </w:pPr>
            <w:r w:rsidRPr="0063248C">
              <w:rPr>
                <w:rFonts w:cs="宋体"/>
                <w:sz w:val="18"/>
                <w:szCs w:val="18"/>
              </w:rPr>
              <w:t>5,026,175.55</w:t>
            </w:r>
          </w:p>
        </w:tc>
        <w:tc>
          <w:tcPr>
            <w:tcW w:w="1928" w:type="dxa"/>
            <w:tcBorders>
              <w:top w:val="single" w:sz="2" w:space="0" w:color="auto"/>
              <w:left w:val="single" w:sz="2" w:space="0" w:color="auto"/>
              <w:bottom w:val="single" w:sz="2" w:space="0" w:color="auto"/>
              <w:right w:val="single" w:sz="2" w:space="0" w:color="auto"/>
            </w:tcBorders>
            <w:vAlign w:val="center"/>
          </w:tcPr>
          <w:p w14:paraId="6773BB9F"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DF1AECF" w14:textId="77777777" w:rsidR="007B3DB2" w:rsidRPr="0063248C" w:rsidRDefault="00000000">
            <w:pPr>
              <w:spacing w:line="240" w:lineRule="exact"/>
              <w:jc w:val="right"/>
              <w:rPr>
                <w:rFonts w:cs="宋体"/>
                <w:sz w:val="18"/>
                <w:szCs w:val="18"/>
              </w:rPr>
            </w:pPr>
            <w:r w:rsidRPr="0063248C">
              <w:rPr>
                <w:rFonts w:cs="宋体"/>
                <w:sz w:val="18"/>
                <w:szCs w:val="18"/>
              </w:rPr>
              <w:t>17,758,596.28</w:t>
            </w:r>
          </w:p>
        </w:tc>
      </w:tr>
      <w:tr w:rsidR="007B3DB2" w:rsidRPr="0063248C" w14:paraId="5843008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EE2B737" w14:textId="77777777" w:rsidR="007B3DB2" w:rsidRPr="0063248C" w:rsidRDefault="00000000">
            <w:pPr>
              <w:spacing w:before="40" w:after="40"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w:t>
            </w:r>
            <w:r w:rsidRPr="0063248C">
              <w:rPr>
                <w:rFonts w:cs="宋体"/>
                <w:sz w:val="18"/>
                <w:szCs w:val="18"/>
              </w:rPr>
              <w:t>月</w:t>
            </w:r>
            <w:r w:rsidRPr="0063248C">
              <w:rPr>
                <w:rFonts w:cs="宋体"/>
                <w:sz w:val="18"/>
                <w:szCs w:val="18"/>
              </w:rPr>
              <w:t>1</w:t>
            </w:r>
            <w:r w:rsidRPr="0063248C">
              <w:rPr>
                <w:rFonts w:cs="宋体"/>
                <w:sz w:val="18"/>
                <w:szCs w:val="18"/>
              </w:rPr>
              <w:t>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9BBBE1"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838D2B"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8CB69B7"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EA342B4" w14:textId="77777777" w:rsidR="007B3DB2" w:rsidRPr="0063248C" w:rsidRDefault="007B3DB2"/>
        </w:tc>
      </w:tr>
      <w:tr w:rsidR="007B3DB2" w:rsidRPr="0063248C" w14:paraId="0B462CD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792985" w14:textId="77777777" w:rsidR="007B3DB2" w:rsidRPr="0063248C" w:rsidRDefault="00000000">
            <w:pPr>
              <w:spacing w:before="40" w:after="40" w:line="240" w:lineRule="exact"/>
              <w:rPr>
                <w:rFonts w:cs="宋体"/>
                <w:sz w:val="18"/>
                <w:szCs w:val="18"/>
              </w:rPr>
            </w:pPr>
            <w:r w:rsidRPr="0063248C">
              <w:rPr>
                <w:rFonts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14:paraId="4C3A964D" w14:textId="77777777" w:rsidR="007B3DB2" w:rsidRPr="0063248C" w:rsidRDefault="00000000">
            <w:pPr>
              <w:spacing w:line="240" w:lineRule="exact"/>
              <w:jc w:val="right"/>
              <w:rPr>
                <w:rFonts w:cs="宋体"/>
                <w:sz w:val="18"/>
                <w:szCs w:val="18"/>
              </w:rPr>
            </w:pPr>
            <w:r w:rsidRPr="0063248C">
              <w:rPr>
                <w:rFonts w:cs="宋体"/>
                <w:sz w:val="18"/>
                <w:szCs w:val="18"/>
              </w:rPr>
              <w:t>4,325,158.51</w:t>
            </w:r>
          </w:p>
        </w:tc>
        <w:tc>
          <w:tcPr>
            <w:tcW w:w="1928" w:type="dxa"/>
            <w:tcBorders>
              <w:top w:val="single" w:sz="2" w:space="0" w:color="auto"/>
              <w:left w:val="single" w:sz="2" w:space="0" w:color="auto"/>
              <w:bottom w:val="single" w:sz="2" w:space="0" w:color="auto"/>
              <w:right w:val="single" w:sz="2" w:space="0" w:color="auto"/>
            </w:tcBorders>
            <w:vAlign w:val="center"/>
          </w:tcPr>
          <w:p w14:paraId="7EA4F0A5" w14:textId="77777777" w:rsidR="007B3DB2" w:rsidRPr="0063248C" w:rsidRDefault="00000000">
            <w:pPr>
              <w:spacing w:line="240" w:lineRule="exact"/>
              <w:jc w:val="right"/>
              <w:rPr>
                <w:rFonts w:cs="宋体"/>
                <w:sz w:val="18"/>
                <w:szCs w:val="18"/>
              </w:rPr>
            </w:pPr>
            <w:r w:rsidRPr="0063248C">
              <w:rPr>
                <w:rFonts w:cs="宋体"/>
                <w:sz w:val="18"/>
                <w:szCs w:val="18"/>
              </w:rPr>
              <w:t>-646,349.16</w:t>
            </w:r>
          </w:p>
        </w:tc>
        <w:tc>
          <w:tcPr>
            <w:tcW w:w="1928" w:type="dxa"/>
            <w:tcBorders>
              <w:top w:val="single" w:sz="2" w:space="0" w:color="auto"/>
              <w:left w:val="single" w:sz="2" w:space="0" w:color="auto"/>
              <w:bottom w:val="single" w:sz="2" w:space="0" w:color="auto"/>
              <w:right w:val="single" w:sz="2" w:space="0" w:color="auto"/>
            </w:tcBorders>
            <w:vAlign w:val="center"/>
          </w:tcPr>
          <w:p w14:paraId="18B0E0A1"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4A64F89" w14:textId="77777777" w:rsidR="007B3DB2" w:rsidRPr="0063248C" w:rsidRDefault="00000000">
            <w:pPr>
              <w:spacing w:line="240" w:lineRule="exact"/>
              <w:jc w:val="right"/>
              <w:rPr>
                <w:rFonts w:cs="宋体"/>
                <w:sz w:val="18"/>
                <w:szCs w:val="18"/>
              </w:rPr>
            </w:pPr>
            <w:r w:rsidRPr="0063248C">
              <w:rPr>
                <w:rFonts w:cs="宋体"/>
                <w:sz w:val="18"/>
                <w:szCs w:val="18"/>
              </w:rPr>
              <w:t>3,678,809.35</w:t>
            </w:r>
          </w:p>
        </w:tc>
      </w:tr>
      <w:tr w:rsidR="007B3DB2" w:rsidRPr="0063248C" w14:paraId="74EAA74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31EC93" w14:textId="77777777" w:rsidR="007B3DB2" w:rsidRPr="0063248C" w:rsidRDefault="00000000">
            <w:pPr>
              <w:spacing w:before="40" w:after="40"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6</w:t>
            </w:r>
            <w:r w:rsidRPr="0063248C">
              <w:rPr>
                <w:rFonts w:cs="宋体"/>
                <w:sz w:val="18"/>
                <w:szCs w:val="18"/>
              </w:rPr>
              <w:t>月</w:t>
            </w:r>
            <w:r w:rsidRPr="0063248C">
              <w:rPr>
                <w:rFonts w:cs="宋体"/>
                <w:sz w:val="18"/>
                <w:szCs w:val="18"/>
              </w:rPr>
              <w:t>30</w:t>
            </w:r>
            <w:r w:rsidRPr="0063248C">
              <w:rPr>
                <w:rFonts w:cs="宋体"/>
                <w:sz w:val="18"/>
                <w:szCs w:val="18"/>
              </w:rPr>
              <w:t>日余额</w:t>
            </w:r>
          </w:p>
        </w:tc>
        <w:tc>
          <w:tcPr>
            <w:tcW w:w="1928" w:type="dxa"/>
            <w:tcBorders>
              <w:top w:val="single" w:sz="2" w:space="0" w:color="auto"/>
              <w:left w:val="single" w:sz="2" w:space="0" w:color="auto"/>
              <w:bottom w:val="single" w:sz="2" w:space="0" w:color="auto"/>
              <w:right w:val="single" w:sz="2" w:space="0" w:color="auto"/>
            </w:tcBorders>
            <w:vAlign w:val="center"/>
          </w:tcPr>
          <w:p w14:paraId="7C4D820A" w14:textId="77777777" w:rsidR="007B3DB2" w:rsidRPr="0063248C" w:rsidRDefault="00000000">
            <w:pPr>
              <w:spacing w:line="240" w:lineRule="exact"/>
              <w:jc w:val="right"/>
              <w:rPr>
                <w:rFonts w:cs="宋体"/>
                <w:sz w:val="18"/>
                <w:szCs w:val="18"/>
              </w:rPr>
            </w:pPr>
            <w:r w:rsidRPr="0063248C">
              <w:rPr>
                <w:rFonts w:cs="宋体"/>
                <w:sz w:val="18"/>
                <w:szCs w:val="18"/>
              </w:rPr>
              <w:t>17,057,579.24</w:t>
            </w:r>
          </w:p>
        </w:tc>
        <w:tc>
          <w:tcPr>
            <w:tcW w:w="1928" w:type="dxa"/>
            <w:tcBorders>
              <w:top w:val="single" w:sz="2" w:space="0" w:color="auto"/>
              <w:left w:val="single" w:sz="2" w:space="0" w:color="auto"/>
              <w:bottom w:val="single" w:sz="2" w:space="0" w:color="auto"/>
              <w:right w:val="single" w:sz="2" w:space="0" w:color="auto"/>
            </w:tcBorders>
            <w:vAlign w:val="center"/>
          </w:tcPr>
          <w:p w14:paraId="4482B424" w14:textId="77777777" w:rsidR="007B3DB2" w:rsidRPr="0063248C" w:rsidRDefault="00000000">
            <w:pPr>
              <w:spacing w:line="240" w:lineRule="exact"/>
              <w:jc w:val="right"/>
              <w:rPr>
                <w:rFonts w:cs="宋体"/>
                <w:sz w:val="18"/>
                <w:szCs w:val="18"/>
              </w:rPr>
            </w:pPr>
            <w:r w:rsidRPr="0063248C">
              <w:rPr>
                <w:rFonts w:cs="宋体"/>
                <w:sz w:val="18"/>
                <w:szCs w:val="18"/>
              </w:rPr>
              <w:t>4,379,826.39</w:t>
            </w:r>
          </w:p>
        </w:tc>
        <w:tc>
          <w:tcPr>
            <w:tcW w:w="1928" w:type="dxa"/>
            <w:tcBorders>
              <w:top w:val="single" w:sz="2" w:space="0" w:color="auto"/>
              <w:left w:val="single" w:sz="2" w:space="0" w:color="auto"/>
              <w:bottom w:val="single" w:sz="2" w:space="0" w:color="auto"/>
              <w:right w:val="single" w:sz="2" w:space="0" w:color="auto"/>
            </w:tcBorders>
            <w:vAlign w:val="center"/>
          </w:tcPr>
          <w:p w14:paraId="6545A251"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B70E414" w14:textId="77777777" w:rsidR="007B3DB2" w:rsidRPr="0063248C" w:rsidRDefault="00000000">
            <w:pPr>
              <w:spacing w:line="240" w:lineRule="exact"/>
              <w:jc w:val="right"/>
              <w:rPr>
                <w:rFonts w:cs="宋体"/>
                <w:sz w:val="18"/>
                <w:szCs w:val="18"/>
              </w:rPr>
            </w:pPr>
            <w:r w:rsidRPr="0063248C">
              <w:rPr>
                <w:rFonts w:cs="宋体"/>
                <w:sz w:val="18"/>
                <w:szCs w:val="18"/>
              </w:rPr>
              <w:t>21,437,405.63</w:t>
            </w:r>
          </w:p>
        </w:tc>
      </w:tr>
    </w:tbl>
    <w:p w14:paraId="691F8091" w14:textId="77777777" w:rsidR="007B3DB2" w:rsidRPr="0063248C" w:rsidRDefault="00000000">
      <w:pPr>
        <w:spacing w:before="100" w:after="100" w:line="240" w:lineRule="exact"/>
        <w:rPr>
          <w:rFonts w:cs="宋体"/>
          <w:sz w:val="18"/>
          <w:szCs w:val="18"/>
        </w:rPr>
      </w:pPr>
      <w:r w:rsidRPr="0063248C">
        <w:rPr>
          <w:rFonts w:cs="宋体"/>
          <w:sz w:val="18"/>
          <w:szCs w:val="18"/>
        </w:rPr>
        <w:t>各阶段划分依据和坏账准备计提比例</w:t>
      </w:r>
    </w:p>
    <w:p w14:paraId="78942299" w14:textId="77777777" w:rsidR="00517D34" w:rsidRPr="0063248C" w:rsidRDefault="00000000">
      <w:pPr>
        <w:pStyle w:val="a3"/>
        <w:divId w:val="361588806"/>
        <w:rPr>
          <w:rFonts w:ascii="Times New Roman" w:hAnsi="Times New Roman"/>
          <w:sz w:val="18"/>
          <w:szCs w:val="18"/>
        </w:rPr>
      </w:pPr>
      <w:r w:rsidRPr="0063248C">
        <w:rPr>
          <w:rFonts w:ascii="Times New Roman" w:hAnsi="Times New Roman" w:hint="eastAsia"/>
          <w:sz w:val="18"/>
          <w:szCs w:val="18"/>
        </w:rPr>
        <w:t>无</w:t>
      </w:r>
    </w:p>
    <w:p w14:paraId="6600454F" w14:textId="77777777" w:rsidR="007B3DB2" w:rsidRPr="0063248C" w:rsidRDefault="00000000">
      <w:pPr>
        <w:spacing w:before="100" w:after="100" w:line="240" w:lineRule="exact"/>
        <w:rPr>
          <w:rFonts w:cs="宋体"/>
          <w:sz w:val="18"/>
          <w:szCs w:val="18"/>
        </w:rPr>
      </w:pPr>
      <w:r w:rsidRPr="0063248C">
        <w:rPr>
          <w:rFonts w:cs="宋体"/>
          <w:sz w:val="18"/>
          <w:szCs w:val="18"/>
        </w:rPr>
        <w:t>损失准备本期变动金额重大的账面余额变动情况</w:t>
      </w:r>
    </w:p>
    <w:p w14:paraId="336FE01C"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5F5680A" w14:textId="77777777" w:rsidR="007B3DB2" w:rsidRPr="0063248C" w:rsidRDefault="00000000">
      <w:pPr>
        <w:keepNext/>
        <w:keepLines/>
        <w:spacing w:before="300" w:after="300" w:line="280" w:lineRule="exact"/>
        <w:outlineLvl w:val="4"/>
        <w:rPr>
          <w:rFonts w:cs="宋体"/>
          <w:b/>
          <w:bCs/>
          <w:sz w:val="18"/>
          <w:szCs w:val="18"/>
        </w:rPr>
      </w:pPr>
      <w:bookmarkStart w:id="227" w:name="_Toc989116"/>
      <w:r w:rsidRPr="0063248C">
        <w:rPr>
          <w:rFonts w:cs="宋体"/>
          <w:b/>
          <w:bCs/>
          <w:sz w:val="18"/>
          <w:szCs w:val="18"/>
        </w:rPr>
        <w:t>4</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本期计提、收回或转回的坏账准备情况</w:t>
      </w:r>
      <w:bookmarkEnd w:id="227"/>
    </w:p>
    <w:p w14:paraId="12A5279E" w14:textId="77777777" w:rsidR="007B3DB2" w:rsidRPr="0063248C" w:rsidRDefault="00000000">
      <w:pPr>
        <w:spacing w:line="240" w:lineRule="exact"/>
        <w:rPr>
          <w:rFonts w:cs="宋体"/>
          <w:sz w:val="18"/>
          <w:szCs w:val="18"/>
        </w:rPr>
      </w:pPr>
      <w:r w:rsidRPr="0063248C">
        <w:rPr>
          <w:rFonts w:cs="宋体"/>
          <w:sz w:val="18"/>
          <w:szCs w:val="18"/>
        </w:rPr>
        <w:t>本期计提坏账准备情况：</w:t>
      </w:r>
    </w:p>
    <w:p w14:paraId="64EDA606"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65A829BA"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0714EA" w14:textId="77777777" w:rsidR="007B3DB2" w:rsidRPr="0063248C" w:rsidRDefault="00000000">
            <w:pPr>
              <w:spacing w:before="40" w:after="40" w:line="240" w:lineRule="exact"/>
              <w:jc w:val="center"/>
              <w:rPr>
                <w:rFonts w:cs="宋体"/>
                <w:sz w:val="18"/>
                <w:szCs w:val="18"/>
              </w:rPr>
            </w:pPr>
            <w:r w:rsidRPr="0063248C">
              <w:rPr>
                <w:rFonts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6BA1B98"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CC14DBE"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D03C5B"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3DC98428"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55A706" w14:textId="77777777" w:rsidR="007B3DB2" w:rsidRPr="0063248C" w:rsidRDefault="007B3DB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F584F2"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CFA03D1"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E7142D7" w14:textId="77777777" w:rsidR="007B3DB2" w:rsidRPr="0063248C" w:rsidRDefault="00000000">
            <w:pPr>
              <w:spacing w:before="40" w:after="40" w:line="240" w:lineRule="exact"/>
              <w:jc w:val="center"/>
              <w:rPr>
                <w:rFonts w:cs="宋体"/>
                <w:sz w:val="18"/>
                <w:szCs w:val="18"/>
              </w:rPr>
            </w:pPr>
            <w:r w:rsidRPr="0063248C">
              <w:rPr>
                <w:rFonts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A1E0ABF" w14:textId="77777777" w:rsidR="007B3DB2" w:rsidRPr="0063248C" w:rsidRDefault="00000000">
            <w:pPr>
              <w:spacing w:before="40" w:after="40" w:line="240" w:lineRule="exact"/>
              <w:jc w:val="center"/>
              <w:rPr>
                <w:rFonts w:cs="宋体"/>
                <w:sz w:val="18"/>
                <w:szCs w:val="18"/>
              </w:rPr>
            </w:pPr>
            <w:r w:rsidRPr="0063248C">
              <w:rPr>
                <w:rFonts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D8F16A7"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64F9A1" w14:textId="77777777" w:rsidR="007B3DB2" w:rsidRPr="0063248C" w:rsidRDefault="007B3DB2"/>
        </w:tc>
      </w:tr>
      <w:tr w:rsidR="007B3DB2" w:rsidRPr="0063248C" w14:paraId="5FCDE0F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6DFD74F" w14:textId="77777777" w:rsidR="007B3DB2" w:rsidRPr="0063248C" w:rsidRDefault="00000000">
            <w:pPr>
              <w:spacing w:line="240" w:lineRule="exact"/>
              <w:rPr>
                <w:rFonts w:cs="宋体"/>
                <w:sz w:val="18"/>
                <w:szCs w:val="18"/>
              </w:rPr>
            </w:pPr>
            <w:r w:rsidRPr="0063248C">
              <w:rPr>
                <w:rFonts w:cs="宋体"/>
                <w:sz w:val="18"/>
                <w:szCs w:val="18"/>
              </w:rPr>
              <w:t>其他应收款坏账</w:t>
            </w:r>
          </w:p>
        </w:tc>
        <w:tc>
          <w:tcPr>
            <w:tcW w:w="1377" w:type="dxa"/>
            <w:tcBorders>
              <w:top w:val="single" w:sz="2" w:space="0" w:color="auto"/>
              <w:left w:val="single" w:sz="2" w:space="0" w:color="auto"/>
              <w:bottom w:val="single" w:sz="2" w:space="0" w:color="auto"/>
              <w:right w:val="single" w:sz="2" w:space="0" w:color="auto"/>
            </w:tcBorders>
            <w:vAlign w:val="center"/>
          </w:tcPr>
          <w:p w14:paraId="0453D74E" w14:textId="77777777" w:rsidR="007B3DB2" w:rsidRPr="0063248C" w:rsidRDefault="00000000">
            <w:pPr>
              <w:spacing w:line="240" w:lineRule="exact"/>
              <w:jc w:val="right"/>
              <w:rPr>
                <w:rFonts w:cs="宋体"/>
                <w:sz w:val="18"/>
                <w:szCs w:val="18"/>
              </w:rPr>
            </w:pPr>
            <w:r w:rsidRPr="0063248C">
              <w:rPr>
                <w:rFonts w:cs="宋体"/>
                <w:sz w:val="18"/>
                <w:szCs w:val="18"/>
              </w:rPr>
              <w:t>17,758,596.28</w:t>
            </w:r>
          </w:p>
        </w:tc>
        <w:tc>
          <w:tcPr>
            <w:tcW w:w="1377" w:type="dxa"/>
            <w:tcBorders>
              <w:top w:val="single" w:sz="2" w:space="0" w:color="auto"/>
              <w:left w:val="single" w:sz="2" w:space="0" w:color="auto"/>
              <w:bottom w:val="single" w:sz="2" w:space="0" w:color="auto"/>
              <w:right w:val="single" w:sz="2" w:space="0" w:color="auto"/>
            </w:tcBorders>
            <w:vAlign w:val="center"/>
          </w:tcPr>
          <w:p w14:paraId="1F778A81" w14:textId="77777777" w:rsidR="007B3DB2" w:rsidRPr="0063248C" w:rsidRDefault="00000000">
            <w:pPr>
              <w:spacing w:line="240" w:lineRule="exact"/>
              <w:jc w:val="right"/>
              <w:rPr>
                <w:rFonts w:cs="宋体"/>
                <w:sz w:val="18"/>
                <w:szCs w:val="18"/>
              </w:rPr>
            </w:pPr>
            <w:r w:rsidRPr="0063248C">
              <w:rPr>
                <w:rFonts w:cs="宋体"/>
                <w:sz w:val="18"/>
                <w:szCs w:val="18"/>
              </w:rPr>
              <w:t>3,678,809.35</w:t>
            </w:r>
          </w:p>
        </w:tc>
        <w:tc>
          <w:tcPr>
            <w:tcW w:w="1377" w:type="dxa"/>
            <w:tcBorders>
              <w:top w:val="single" w:sz="2" w:space="0" w:color="auto"/>
              <w:left w:val="single" w:sz="2" w:space="0" w:color="auto"/>
              <w:bottom w:val="single" w:sz="2" w:space="0" w:color="auto"/>
              <w:right w:val="single" w:sz="2" w:space="0" w:color="auto"/>
            </w:tcBorders>
            <w:vAlign w:val="center"/>
          </w:tcPr>
          <w:p w14:paraId="48092F0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5F352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86154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0EBC413" w14:textId="77777777" w:rsidR="007B3DB2" w:rsidRPr="0063248C" w:rsidRDefault="00000000">
            <w:pPr>
              <w:spacing w:line="240" w:lineRule="exact"/>
              <w:jc w:val="right"/>
              <w:rPr>
                <w:rFonts w:cs="宋体"/>
                <w:sz w:val="18"/>
                <w:szCs w:val="18"/>
              </w:rPr>
            </w:pPr>
            <w:r w:rsidRPr="0063248C">
              <w:rPr>
                <w:rFonts w:cs="宋体"/>
                <w:sz w:val="18"/>
                <w:szCs w:val="18"/>
              </w:rPr>
              <w:t>21,437,405.63</w:t>
            </w:r>
          </w:p>
        </w:tc>
      </w:tr>
      <w:tr w:rsidR="007B3DB2" w:rsidRPr="0063248C" w14:paraId="4F56137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83C82A6"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446D2479" w14:textId="77777777" w:rsidR="007B3DB2" w:rsidRPr="0063248C" w:rsidRDefault="00000000">
            <w:pPr>
              <w:spacing w:line="240" w:lineRule="exact"/>
              <w:jc w:val="right"/>
              <w:rPr>
                <w:rFonts w:cs="宋体"/>
                <w:sz w:val="18"/>
                <w:szCs w:val="18"/>
              </w:rPr>
            </w:pPr>
            <w:r w:rsidRPr="0063248C">
              <w:rPr>
                <w:rFonts w:cs="宋体"/>
                <w:sz w:val="18"/>
                <w:szCs w:val="18"/>
              </w:rPr>
              <w:t>17,758,596.28</w:t>
            </w:r>
          </w:p>
        </w:tc>
        <w:tc>
          <w:tcPr>
            <w:tcW w:w="1377" w:type="dxa"/>
            <w:tcBorders>
              <w:top w:val="single" w:sz="2" w:space="0" w:color="auto"/>
              <w:left w:val="single" w:sz="2" w:space="0" w:color="auto"/>
              <w:bottom w:val="single" w:sz="2" w:space="0" w:color="auto"/>
              <w:right w:val="single" w:sz="2" w:space="0" w:color="auto"/>
            </w:tcBorders>
            <w:vAlign w:val="center"/>
          </w:tcPr>
          <w:p w14:paraId="2A1D0DB3" w14:textId="77777777" w:rsidR="007B3DB2" w:rsidRPr="0063248C" w:rsidRDefault="00000000">
            <w:pPr>
              <w:spacing w:line="240" w:lineRule="exact"/>
              <w:jc w:val="right"/>
              <w:rPr>
                <w:rFonts w:cs="宋体"/>
                <w:sz w:val="18"/>
                <w:szCs w:val="18"/>
              </w:rPr>
            </w:pPr>
            <w:r w:rsidRPr="0063248C">
              <w:rPr>
                <w:rFonts w:cs="宋体"/>
                <w:sz w:val="18"/>
                <w:szCs w:val="18"/>
              </w:rPr>
              <w:t>3,678,809.35</w:t>
            </w:r>
          </w:p>
        </w:tc>
        <w:tc>
          <w:tcPr>
            <w:tcW w:w="1377" w:type="dxa"/>
            <w:tcBorders>
              <w:top w:val="single" w:sz="2" w:space="0" w:color="auto"/>
              <w:left w:val="single" w:sz="2" w:space="0" w:color="auto"/>
              <w:bottom w:val="single" w:sz="2" w:space="0" w:color="auto"/>
              <w:right w:val="single" w:sz="2" w:space="0" w:color="auto"/>
            </w:tcBorders>
            <w:vAlign w:val="center"/>
          </w:tcPr>
          <w:p w14:paraId="37A35A6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CFFB1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E124E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51B9E9" w14:textId="77777777" w:rsidR="007B3DB2" w:rsidRPr="0063248C" w:rsidRDefault="00000000">
            <w:pPr>
              <w:spacing w:line="240" w:lineRule="exact"/>
              <w:jc w:val="right"/>
              <w:rPr>
                <w:rFonts w:cs="宋体"/>
                <w:sz w:val="18"/>
                <w:szCs w:val="18"/>
              </w:rPr>
            </w:pPr>
            <w:r w:rsidRPr="0063248C">
              <w:rPr>
                <w:rFonts w:cs="宋体"/>
                <w:sz w:val="18"/>
                <w:szCs w:val="18"/>
              </w:rPr>
              <w:t>21,437,405.63</w:t>
            </w:r>
          </w:p>
        </w:tc>
      </w:tr>
    </w:tbl>
    <w:p w14:paraId="22814309" w14:textId="77777777" w:rsidR="00517D34" w:rsidRPr="0063248C" w:rsidRDefault="00000000">
      <w:pPr>
        <w:pStyle w:val="a3"/>
        <w:divId w:val="2104451367"/>
        <w:rPr>
          <w:rFonts w:ascii="Times New Roman" w:hAnsi="Times New Roman"/>
          <w:sz w:val="18"/>
          <w:szCs w:val="18"/>
        </w:rPr>
      </w:pPr>
      <w:r w:rsidRPr="0063248C">
        <w:rPr>
          <w:rFonts w:ascii="Times New Roman" w:hAnsi="Times New Roman" w:hint="eastAsia"/>
          <w:sz w:val="18"/>
          <w:szCs w:val="18"/>
        </w:rPr>
        <w:t>无</w:t>
      </w:r>
    </w:p>
    <w:p w14:paraId="53F5852A" w14:textId="77777777" w:rsidR="007B3DB2" w:rsidRPr="0063248C" w:rsidRDefault="00000000">
      <w:pPr>
        <w:spacing w:before="100" w:after="100" w:line="240" w:lineRule="exact"/>
        <w:rPr>
          <w:rFonts w:cs="宋体"/>
          <w:sz w:val="18"/>
          <w:szCs w:val="18"/>
        </w:rPr>
      </w:pPr>
      <w:r w:rsidRPr="0063248C">
        <w:rPr>
          <w:rFonts w:cs="宋体"/>
          <w:sz w:val="18"/>
          <w:szCs w:val="18"/>
        </w:rPr>
        <w:t>其中本期坏账准备转回或收回金额重要的：</w:t>
      </w:r>
    </w:p>
    <w:p w14:paraId="788CACF8" w14:textId="77777777" w:rsidR="00517D34" w:rsidRPr="0063248C" w:rsidRDefault="00000000">
      <w:pPr>
        <w:pStyle w:val="a3"/>
        <w:divId w:val="1221552150"/>
        <w:rPr>
          <w:rFonts w:ascii="Times New Roman" w:hAnsi="Times New Roman"/>
          <w:sz w:val="18"/>
          <w:szCs w:val="18"/>
        </w:rPr>
      </w:pPr>
      <w:r w:rsidRPr="0063248C">
        <w:rPr>
          <w:rFonts w:ascii="Times New Roman" w:hAnsi="Times New Roman" w:hint="eastAsia"/>
          <w:sz w:val="18"/>
          <w:szCs w:val="18"/>
        </w:rPr>
        <w:t>无</w:t>
      </w:r>
    </w:p>
    <w:p w14:paraId="47D491EA" w14:textId="77777777" w:rsidR="007B3DB2" w:rsidRPr="0063248C" w:rsidRDefault="00000000">
      <w:pPr>
        <w:keepNext/>
        <w:keepLines/>
        <w:spacing w:before="300" w:after="300" w:line="280" w:lineRule="exact"/>
        <w:outlineLvl w:val="4"/>
        <w:rPr>
          <w:rFonts w:cs="宋体"/>
          <w:b/>
          <w:bCs/>
          <w:sz w:val="18"/>
          <w:szCs w:val="18"/>
        </w:rPr>
      </w:pPr>
      <w:bookmarkStart w:id="228" w:name="_Toc989117"/>
      <w:r w:rsidRPr="0063248C">
        <w:rPr>
          <w:rFonts w:cs="宋体"/>
          <w:b/>
          <w:bCs/>
          <w:sz w:val="18"/>
          <w:szCs w:val="18"/>
        </w:rPr>
        <w:t>5</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本期实际核销的其他应收款情况</w:t>
      </w:r>
      <w:bookmarkEnd w:id="228"/>
    </w:p>
    <w:p w14:paraId="7CCC7CC1" w14:textId="77777777" w:rsidR="00517D34" w:rsidRPr="0063248C" w:rsidRDefault="00000000">
      <w:pPr>
        <w:pStyle w:val="a3"/>
        <w:divId w:val="1136722530"/>
        <w:rPr>
          <w:rFonts w:ascii="Times New Roman" w:hAnsi="Times New Roman"/>
          <w:sz w:val="18"/>
          <w:szCs w:val="18"/>
        </w:rPr>
      </w:pPr>
      <w:r w:rsidRPr="0063248C">
        <w:rPr>
          <w:rFonts w:ascii="Times New Roman" w:hAnsi="Times New Roman" w:hint="eastAsia"/>
          <w:sz w:val="18"/>
          <w:szCs w:val="18"/>
        </w:rPr>
        <w:t>无</w:t>
      </w:r>
    </w:p>
    <w:p w14:paraId="4BDAEEE0" w14:textId="77777777" w:rsidR="007B3DB2" w:rsidRPr="0063248C" w:rsidRDefault="00000000">
      <w:pPr>
        <w:keepNext/>
        <w:keepLines/>
        <w:spacing w:before="300" w:after="300" w:line="280" w:lineRule="exact"/>
        <w:outlineLvl w:val="4"/>
        <w:rPr>
          <w:rFonts w:cs="宋体"/>
          <w:b/>
          <w:bCs/>
          <w:sz w:val="18"/>
          <w:szCs w:val="18"/>
        </w:rPr>
      </w:pPr>
      <w:bookmarkStart w:id="229" w:name="_Toc989118"/>
      <w:r w:rsidRPr="0063248C">
        <w:rPr>
          <w:rFonts w:cs="宋体"/>
          <w:b/>
          <w:bCs/>
          <w:sz w:val="18"/>
          <w:szCs w:val="18"/>
        </w:rPr>
        <w:t>6</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按欠款方归集的期末余额前五名的其他应收款情况</w:t>
      </w:r>
      <w:bookmarkEnd w:id="229"/>
    </w:p>
    <w:p w14:paraId="290ADD78"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B3DB2" w:rsidRPr="0063248C" w14:paraId="54C4D9C3"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0DF131F" w14:textId="77777777" w:rsidR="007B3DB2" w:rsidRPr="0063248C" w:rsidRDefault="00000000">
            <w:pPr>
              <w:spacing w:before="40" w:after="40" w:line="240" w:lineRule="exact"/>
              <w:jc w:val="center"/>
              <w:rPr>
                <w:rFonts w:cs="宋体"/>
                <w:sz w:val="18"/>
                <w:szCs w:val="18"/>
              </w:rPr>
            </w:pPr>
            <w:r w:rsidRPr="0063248C">
              <w:rPr>
                <w:rFonts w:cs="宋体"/>
                <w:sz w:val="18"/>
                <w:szCs w:val="18"/>
              </w:rPr>
              <w:lastRenderedPageBreak/>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8ED4D87" w14:textId="77777777" w:rsidR="007B3DB2" w:rsidRPr="0063248C" w:rsidRDefault="00000000">
            <w:pPr>
              <w:spacing w:before="40" w:after="40" w:line="240" w:lineRule="exact"/>
              <w:jc w:val="center"/>
              <w:rPr>
                <w:rFonts w:cs="宋体"/>
                <w:sz w:val="18"/>
                <w:szCs w:val="18"/>
              </w:rPr>
            </w:pPr>
            <w:r w:rsidRPr="0063248C">
              <w:rPr>
                <w:rFonts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2C3EF8A"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1C93D27"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03BC79A" w14:textId="77777777" w:rsidR="007B3DB2" w:rsidRPr="0063248C" w:rsidRDefault="00000000">
            <w:pPr>
              <w:spacing w:before="40" w:after="40" w:line="240" w:lineRule="exact"/>
              <w:jc w:val="center"/>
              <w:rPr>
                <w:rFonts w:cs="宋体"/>
                <w:sz w:val="18"/>
                <w:szCs w:val="18"/>
              </w:rPr>
            </w:pPr>
            <w:r w:rsidRPr="0063248C">
              <w:rPr>
                <w:rFonts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0652EE5"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坏账准备期末余额</w:t>
            </w:r>
          </w:p>
        </w:tc>
      </w:tr>
      <w:tr w:rsidR="007B3DB2" w:rsidRPr="0063248C" w14:paraId="2908920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EE2EE20"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A</w:t>
            </w:r>
          </w:p>
        </w:tc>
        <w:tc>
          <w:tcPr>
            <w:tcW w:w="1606" w:type="dxa"/>
            <w:tcBorders>
              <w:top w:val="single" w:sz="2" w:space="0" w:color="auto"/>
              <w:left w:val="single" w:sz="2" w:space="0" w:color="auto"/>
              <w:bottom w:val="single" w:sz="2" w:space="0" w:color="auto"/>
              <w:right w:val="single" w:sz="2" w:space="0" w:color="auto"/>
            </w:tcBorders>
            <w:vAlign w:val="center"/>
          </w:tcPr>
          <w:p w14:paraId="02D604C4" w14:textId="77777777" w:rsidR="007B3DB2" w:rsidRPr="0063248C" w:rsidRDefault="00000000">
            <w:pPr>
              <w:spacing w:line="240" w:lineRule="exact"/>
              <w:rPr>
                <w:rFonts w:cs="宋体"/>
                <w:sz w:val="18"/>
                <w:szCs w:val="18"/>
              </w:rPr>
            </w:pPr>
            <w:r w:rsidRPr="0063248C">
              <w:rPr>
                <w:rFonts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67817D16" w14:textId="77777777" w:rsidR="007B3DB2" w:rsidRPr="0063248C" w:rsidRDefault="00000000">
            <w:pPr>
              <w:spacing w:line="240" w:lineRule="exact"/>
              <w:jc w:val="right"/>
              <w:rPr>
                <w:rFonts w:cs="宋体"/>
                <w:sz w:val="18"/>
                <w:szCs w:val="18"/>
              </w:rPr>
            </w:pPr>
            <w:r w:rsidRPr="0063248C">
              <w:rPr>
                <w:rFonts w:cs="宋体"/>
                <w:sz w:val="18"/>
                <w:szCs w:val="18"/>
              </w:rPr>
              <w:t>14,602,196.67</w:t>
            </w:r>
          </w:p>
        </w:tc>
        <w:tc>
          <w:tcPr>
            <w:tcW w:w="1606" w:type="dxa"/>
            <w:tcBorders>
              <w:top w:val="single" w:sz="2" w:space="0" w:color="auto"/>
              <w:left w:val="single" w:sz="2" w:space="0" w:color="auto"/>
              <w:bottom w:val="single" w:sz="2" w:space="0" w:color="auto"/>
              <w:right w:val="single" w:sz="2" w:space="0" w:color="auto"/>
            </w:tcBorders>
            <w:vAlign w:val="center"/>
          </w:tcPr>
          <w:p w14:paraId="6DA8A370" w14:textId="00CB979D" w:rsidR="007B3DB2" w:rsidRPr="0063248C" w:rsidRDefault="00000000">
            <w:pPr>
              <w:spacing w:line="240" w:lineRule="exact"/>
              <w:rPr>
                <w:rFonts w:cs="宋体"/>
                <w:sz w:val="18"/>
                <w:szCs w:val="18"/>
              </w:rPr>
            </w:pPr>
            <w:r w:rsidRPr="0063248C">
              <w:rPr>
                <w:rFonts w:cs="宋体"/>
                <w:sz w:val="18"/>
                <w:szCs w:val="18"/>
              </w:rPr>
              <w:t>1-3</w:t>
            </w:r>
            <w:r w:rsidR="003137C2">
              <w:rPr>
                <w:rFonts w:cs="宋体" w:hint="eastAsia"/>
                <w:sz w:val="18"/>
                <w:szCs w:val="18"/>
              </w:rPr>
              <w:t>月</w:t>
            </w:r>
            <w:r w:rsidRPr="0063248C">
              <w:rPr>
                <w:rFonts w:cs="宋体"/>
                <w:sz w:val="18"/>
                <w:szCs w:val="18"/>
              </w:rPr>
              <w:t>，</w:t>
            </w:r>
            <w:r w:rsidRPr="0063248C">
              <w:rPr>
                <w:rFonts w:cs="宋体"/>
                <w:sz w:val="18"/>
                <w:szCs w:val="18"/>
              </w:rPr>
              <w:t>4-6</w:t>
            </w:r>
            <w:r w:rsidRPr="0063248C">
              <w:rPr>
                <w:rFonts w:cs="宋体"/>
                <w:sz w:val="18"/>
                <w:szCs w:val="18"/>
              </w:rPr>
              <w:t>月，</w:t>
            </w:r>
            <w:r w:rsidRPr="0063248C">
              <w:rPr>
                <w:rFonts w:cs="宋体"/>
                <w:sz w:val="18"/>
                <w:szCs w:val="18"/>
              </w:rPr>
              <w:t>7-9</w:t>
            </w:r>
            <w:r w:rsidRPr="0063248C">
              <w:rPr>
                <w:rFonts w:cs="宋体"/>
                <w:sz w:val="18"/>
                <w:szCs w:val="18"/>
              </w:rPr>
              <w:t>月，</w:t>
            </w:r>
            <w:r w:rsidRPr="0063248C">
              <w:rPr>
                <w:rFonts w:cs="宋体"/>
                <w:sz w:val="18"/>
                <w:szCs w:val="18"/>
              </w:rPr>
              <w:t>1-2</w:t>
            </w:r>
            <w:r w:rsidRPr="0063248C">
              <w:rPr>
                <w:rFonts w:cs="宋体"/>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7992E67C" w14:textId="77777777" w:rsidR="007B3DB2" w:rsidRPr="0063248C" w:rsidRDefault="00000000">
            <w:pPr>
              <w:spacing w:line="240" w:lineRule="exact"/>
              <w:jc w:val="right"/>
              <w:rPr>
                <w:rFonts w:cs="宋体"/>
                <w:sz w:val="18"/>
                <w:szCs w:val="18"/>
              </w:rPr>
            </w:pPr>
            <w:r w:rsidRPr="0063248C">
              <w:rPr>
                <w:rFonts w:cs="宋体"/>
                <w:sz w:val="18"/>
                <w:szCs w:val="18"/>
              </w:rPr>
              <w:t>20.67%</w:t>
            </w:r>
          </w:p>
        </w:tc>
        <w:tc>
          <w:tcPr>
            <w:tcW w:w="1606" w:type="dxa"/>
            <w:tcBorders>
              <w:top w:val="single" w:sz="2" w:space="0" w:color="auto"/>
              <w:left w:val="single" w:sz="2" w:space="0" w:color="auto"/>
              <w:bottom w:val="single" w:sz="2" w:space="0" w:color="auto"/>
              <w:right w:val="single" w:sz="2" w:space="0" w:color="auto"/>
            </w:tcBorders>
            <w:vAlign w:val="center"/>
          </w:tcPr>
          <w:p w14:paraId="13A12B58" w14:textId="77777777" w:rsidR="007B3DB2" w:rsidRPr="0063248C" w:rsidRDefault="00000000">
            <w:pPr>
              <w:spacing w:line="240" w:lineRule="exact"/>
              <w:jc w:val="right"/>
              <w:rPr>
                <w:rFonts w:cs="宋体"/>
                <w:sz w:val="18"/>
                <w:szCs w:val="18"/>
              </w:rPr>
            </w:pPr>
            <w:r w:rsidRPr="0063248C">
              <w:rPr>
                <w:rFonts w:cs="宋体"/>
                <w:sz w:val="18"/>
                <w:szCs w:val="18"/>
              </w:rPr>
              <w:t>1,599,745.15</w:t>
            </w:r>
          </w:p>
        </w:tc>
      </w:tr>
      <w:tr w:rsidR="007B3DB2" w:rsidRPr="0063248C" w14:paraId="4FA08EC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8D70630"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B</w:t>
            </w:r>
          </w:p>
        </w:tc>
        <w:tc>
          <w:tcPr>
            <w:tcW w:w="1606" w:type="dxa"/>
            <w:tcBorders>
              <w:top w:val="single" w:sz="2" w:space="0" w:color="auto"/>
              <w:left w:val="single" w:sz="2" w:space="0" w:color="auto"/>
              <w:bottom w:val="single" w:sz="2" w:space="0" w:color="auto"/>
              <w:right w:val="single" w:sz="2" w:space="0" w:color="auto"/>
            </w:tcBorders>
            <w:vAlign w:val="center"/>
          </w:tcPr>
          <w:p w14:paraId="7C152BA3" w14:textId="77777777" w:rsidR="007B3DB2" w:rsidRPr="0063248C" w:rsidRDefault="00000000">
            <w:pPr>
              <w:spacing w:line="240" w:lineRule="exact"/>
              <w:rPr>
                <w:rFonts w:cs="宋体"/>
                <w:sz w:val="18"/>
                <w:szCs w:val="18"/>
              </w:rPr>
            </w:pPr>
            <w:r w:rsidRPr="0063248C">
              <w:rPr>
                <w:rFonts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53380200" w14:textId="77777777" w:rsidR="007B3DB2" w:rsidRPr="0063248C" w:rsidRDefault="00000000">
            <w:pPr>
              <w:spacing w:line="240" w:lineRule="exact"/>
              <w:jc w:val="right"/>
              <w:rPr>
                <w:rFonts w:cs="宋体"/>
                <w:sz w:val="18"/>
                <w:szCs w:val="18"/>
              </w:rPr>
            </w:pPr>
            <w:r w:rsidRPr="0063248C">
              <w:rPr>
                <w:rFonts w:cs="宋体"/>
                <w:sz w:val="18"/>
                <w:szCs w:val="18"/>
              </w:rPr>
              <w:t>14,000,000.00</w:t>
            </w:r>
          </w:p>
        </w:tc>
        <w:tc>
          <w:tcPr>
            <w:tcW w:w="1606" w:type="dxa"/>
            <w:tcBorders>
              <w:top w:val="single" w:sz="2" w:space="0" w:color="auto"/>
              <w:left w:val="single" w:sz="2" w:space="0" w:color="auto"/>
              <w:bottom w:val="single" w:sz="2" w:space="0" w:color="auto"/>
              <w:right w:val="single" w:sz="2" w:space="0" w:color="auto"/>
            </w:tcBorders>
            <w:vAlign w:val="center"/>
          </w:tcPr>
          <w:p w14:paraId="26B1A885" w14:textId="77777777" w:rsidR="007B3DB2" w:rsidRPr="0063248C" w:rsidRDefault="00000000">
            <w:pPr>
              <w:spacing w:line="240" w:lineRule="exact"/>
              <w:rPr>
                <w:rFonts w:cs="宋体"/>
                <w:sz w:val="18"/>
                <w:szCs w:val="18"/>
              </w:rPr>
            </w:pPr>
            <w:r w:rsidRPr="0063248C">
              <w:rPr>
                <w:rFonts w:cs="宋体"/>
                <w:sz w:val="18"/>
                <w:szCs w:val="18"/>
              </w:rPr>
              <w:t>1-2</w:t>
            </w:r>
            <w:r w:rsidRPr="0063248C">
              <w:rPr>
                <w:rFonts w:cs="宋体"/>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089ACD16" w14:textId="77777777" w:rsidR="007B3DB2" w:rsidRPr="0063248C" w:rsidRDefault="00000000">
            <w:pPr>
              <w:spacing w:line="240" w:lineRule="exact"/>
              <w:jc w:val="right"/>
              <w:rPr>
                <w:rFonts w:cs="宋体"/>
                <w:sz w:val="18"/>
                <w:szCs w:val="18"/>
              </w:rPr>
            </w:pPr>
            <w:r w:rsidRPr="0063248C">
              <w:rPr>
                <w:rFonts w:cs="宋体"/>
                <w:sz w:val="18"/>
                <w:szCs w:val="18"/>
              </w:rPr>
              <w:t>19.82%</w:t>
            </w:r>
          </w:p>
        </w:tc>
        <w:tc>
          <w:tcPr>
            <w:tcW w:w="1606" w:type="dxa"/>
            <w:tcBorders>
              <w:top w:val="single" w:sz="2" w:space="0" w:color="auto"/>
              <w:left w:val="single" w:sz="2" w:space="0" w:color="auto"/>
              <w:bottom w:val="single" w:sz="2" w:space="0" w:color="auto"/>
              <w:right w:val="single" w:sz="2" w:space="0" w:color="auto"/>
            </w:tcBorders>
            <w:vAlign w:val="center"/>
          </w:tcPr>
          <w:p w14:paraId="35BA8582" w14:textId="77777777" w:rsidR="007B3DB2" w:rsidRPr="0063248C" w:rsidRDefault="00000000">
            <w:pPr>
              <w:spacing w:line="240" w:lineRule="exact"/>
              <w:jc w:val="right"/>
              <w:rPr>
                <w:rFonts w:cs="宋体"/>
                <w:sz w:val="18"/>
                <w:szCs w:val="18"/>
              </w:rPr>
            </w:pPr>
            <w:r w:rsidRPr="0063248C">
              <w:rPr>
                <w:rFonts w:cs="宋体"/>
                <w:sz w:val="18"/>
                <w:szCs w:val="18"/>
              </w:rPr>
              <w:t>3,207,917.47</w:t>
            </w:r>
          </w:p>
        </w:tc>
      </w:tr>
      <w:tr w:rsidR="007B3DB2" w:rsidRPr="0063248C" w14:paraId="06D1F8B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D91B411"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C</w:t>
            </w:r>
          </w:p>
        </w:tc>
        <w:tc>
          <w:tcPr>
            <w:tcW w:w="1606" w:type="dxa"/>
            <w:tcBorders>
              <w:top w:val="single" w:sz="2" w:space="0" w:color="auto"/>
              <w:left w:val="single" w:sz="2" w:space="0" w:color="auto"/>
              <w:bottom w:val="single" w:sz="2" w:space="0" w:color="auto"/>
              <w:right w:val="single" w:sz="2" w:space="0" w:color="auto"/>
            </w:tcBorders>
            <w:vAlign w:val="center"/>
          </w:tcPr>
          <w:p w14:paraId="39B5D93A" w14:textId="77777777" w:rsidR="007B3DB2" w:rsidRPr="0063248C" w:rsidRDefault="00000000">
            <w:pPr>
              <w:spacing w:line="240" w:lineRule="exact"/>
              <w:rPr>
                <w:rFonts w:cs="宋体"/>
                <w:sz w:val="18"/>
                <w:szCs w:val="18"/>
              </w:rPr>
            </w:pPr>
            <w:r w:rsidRPr="0063248C">
              <w:rPr>
                <w:rFonts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105B52E0" w14:textId="77777777" w:rsidR="007B3DB2" w:rsidRPr="0063248C" w:rsidRDefault="00000000">
            <w:pPr>
              <w:spacing w:line="240" w:lineRule="exact"/>
              <w:jc w:val="right"/>
              <w:rPr>
                <w:rFonts w:cs="宋体"/>
                <w:sz w:val="18"/>
                <w:szCs w:val="18"/>
              </w:rPr>
            </w:pPr>
            <w:r w:rsidRPr="0063248C">
              <w:rPr>
                <w:rFonts w:cs="宋体"/>
                <w:sz w:val="18"/>
                <w:szCs w:val="18"/>
              </w:rPr>
              <w:t>5,500,000.00</w:t>
            </w:r>
          </w:p>
        </w:tc>
        <w:tc>
          <w:tcPr>
            <w:tcW w:w="1606" w:type="dxa"/>
            <w:tcBorders>
              <w:top w:val="single" w:sz="2" w:space="0" w:color="auto"/>
              <w:left w:val="single" w:sz="2" w:space="0" w:color="auto"/>
              <w:bottom w:val="single" w:sz="2" w:space="0" w:color="auto"/>
              <w:right w:val="single" w:sz="2" w:space="0" w:color="auto"/>
            </w:tcBorders>
            <w:vAlign w:val="center"/>
          </w:tcPr>
          <w:p w14:paraId="1A8715D2" w14:textId="77777777" w:rsidR="007B3DB2" w:rsidRPr="0063248C" w:rsidRDefault="00000000">
            <w:pPr>
              <w:spacing w:line="240" w:lineRule="exact"/>
              <w:rPr>
                <w:rFonts w:cs="宋体"/>
                <w:sz w:val="18"/>
                <w:szCs w:val="18"/>
              </w:rPr>
            </w:pPr>
            <w:r w:rsidRPr="0063248C">
              <w:rPr>
                <w:rFonts w:cs="宋体"/>
                <w:sz w:val="18"/>
                <w:szCs w:val="18"/>
              </w:rPr>
              <w:t>2-3</w:t>
            </w:r>
            <w:r w:rsidRPr="0063248C">
              <w:rPr>
                <w:rFonts w:cs="宋体"/>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4B5CE6D7" w14:textId="77777777" w:rsidR="007B3DB2" w:rsidRPr="0063248C" w:rsidRDefault="00000000">
            <w:pPr>
              <w:spacing w:line="240" w:lineRule="exact"/>
              <w:jc w:val="right"/>
              <w:rPr>
                <w:rFonts w:cs="宋体"/>
                <w:sz w:val="18"/>
                <w:szCs w:val="18"/>
              </w:rPr>
            </w:pPr>
            <w:r w:rsidRPr="0063248C">
              <w:rPr>
                <w:rFonts w:cs="宋体"/>
                <w:sz w:val="18"/>
                <w:szCs w:val="18"/>
              </w:rPr>
              <w:t>7.79%</w:t>
            </w:r>
          </w:p>
        </w:tc>
        <w:tc>
          <w:tcPr>
            <w:tcW w:w="1606" w:type="dxa"/>
            <w:tcBorders>
              <w:top w:val="single" w:sz="2" w:space="0" w:color="auto"/>
              <w:left w:val="single" w:sz="2" w:space="0" w:color="auto"/>
              <w:bottom w:val="single" w:sz="2" w:space="0" w:color="auto"/>
              <w:right w:val="single" w:sz="2" w:space="0" w:color="auto"/>
            </w:tcBorders>
            <w:vAlign w:val="center"/>
          </w:tcPr>
          <w:p w14:paraId="46109FDF" w14:textId="77777777" w:rsidR="007B3DB2" w:rsidRPr="0063248C" w:rsidRDefault="00000000">
            <w:pPr>
              <w:spacing w:line="240" w:lineRule="exact"/>
              <w:jc w:val="right"/>
              <w:rPr>
                <w:rFonts w:cs="宋体"/>
                <w:sz w:val="18"/>
                <w:szCs w:val="18"/>
              </w:rPr>
            </w:pPr>
            <w:r w:rsidRPr="0063248C">
              <w:rPr>
                <w:rFonts w:cs="宋体"/>
                <w:sz w:val="18"/>
                <w:szCs w:val="18"/>
              </w:rPr>
              <w:t>4,390,399.61</w:t>
            </w:r>
          </w:p>
        </w:tc>
      </w:tr>
      <w:tr w:rsidR="007B3DB2" w:rsidRPr="0063248C" w14:paraId="5638A5E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03F61FE"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D</w:t>
            </w:r>
          </w:p>
        </w:tc>
        <w:tc>
          <w:tcPr>
            <w:tcW w:w="1606" w:type="dxa"/>
            <w:tcBorders>
              <w:top w:val="single" w:sz="2" w:space="0" w:color="auto"/>
              <w:left w:val="single" w:sz="2" w:space="0" w:color="auto"/>
              <w:bottom w:val="single" w:sz="2" w:space="0" w:color="auto"/>
              <w:right w:val="single" w:sz="2" w:space="0" w:color="auto"/>
            </w:tcBorders>
            <w:vAlign w:val="center"/>
          </w:tcPr>
          <w:p w14:paraId="5A9F1B1F" w14:textId="77777777" w:rsidR="007B3DB2" w:rsidRPr="0063248C" w:rsidRDefault="00000000">
            <w:pPr>
              <w:spacing w:line="240" w:lineRule="exact"/>
              <w:rPr>
                <w:rFonts w:cs="宋体"/>
                <w:sz w:val="18"/>
                <w:szCs w:val="18"/>
              </w:rPr>
            </w:pPr>
            <w:r w:rsidRPr="0063248C">
              <w:rPr>
                <w:rFonts w:cs="宋体"/>
                <w:sz w:val="18"/>
                <w:szCs w:val="18"/>
              </w:rPr>
              <w:t>保证金</w:t>
            </w:r>
          </w:p>
        </w:tc>
        <w:tc>
          <w:tcPr>
            <w:tcW w:w="1606" w:type="dxa"/>
            <w:tcBorders>
              <w:top w:val="single" w:sz="2" w:space="0" w:color="auto"/>
              <w:left w:val="single" w:sz="2" w:space="0" w:color="auto"/>
              <w:bottom w:val="single" w:sz="2" w:space="0" w:color="auto"/>
              <w:right w:val="single" w:sz="2" w:space="0" w:color="auto"/>
            </w:tcBorders>
            <w:vAlign w:val="center"/>
          </w:tcPr>
          <w:p w14:paraId="24E069E7" w14:textId="77777777" w:rsidR="007B3DB2" w:rsidRPr="0063248C" w:rsidRDefault="00000000">
            <w:pPr>
              <w:spacing w:line="240" w:lineRule="exact"/>
              <w:jc w:val="right"/>
              <w:rPr>
                <w:rFonts w:cs="宋体"/>
                <w:sz w:val="18"/>
                <w:szCs w:val="18"/>
              </w:rPr>
            </w:pPr>
            <w:r w:rsidRPr="0063248C">
              <w:rPr>
                <w:rFonts w:cs="宋体"/>
                <w:sz w:val="18"/>
                <w:szCs w:val="18"/>
              </w:rPr>
              <w:t>5,298,000.00</w:t>
            </w:r>
          </w:p>
        </w:tc>
        <w:tc>
          <w:tcPr>
            <w:tcW w:w="1606" w:type="dxa"/>
            <w:tcBorders>
              <w:top w:val="single" w:sz="2" w:space="0" w:color="auto"/>
              <w:left w:val="single" w:sz="2" w:space="0" w:color="auto"/>
              <w:bottom w:val="single" w:sz="2" w:space="0" w:color="auto"/>
              <w:right w:val="single" w:sz="2" w:space="0" w:color="auto"/>
            </w:tcBorders>
            <w:vAlign w:val="center"/>
          </w:tcPr>
          <w:p w14:paraId="504B7D23" w14:textId="77777777" w:rsidR="007B3DB2" w:rsidRPr="0063248C" w:rsidRDefault="00000000">
            <w:pPr>
              <w:spacing w:line="240" w:lineRule="exact"/>
              <w:rPr>
                <w:rFonts w:cs="宋体"/>
                <w:sz w:val="18"/>
                <w:szCs w:val="18"/>
              </w:rPr>
            </w:pPr>
            <w:r w:rsidRPr="0063248C">
              <w:rPr>
                <w:rFonts w:cs="宋体"/>
                <w:sz w:val="18"/>
                <w:szCs w:val="18"/>
              </w:rPr>
              <w:t>1-3</w:t>
            </w:r>
            <w:r w:rsidRPr="0063248C">
              <w:rPr>
                <w:rFonts w:cs="宋体"/>
                <w:sz w:val="18"/>
                <w:szCs w:val="18"/>
              </w:rPr>
              <w:t>月</w:t>
            </w:r>
          </w:p>
        </w:tc>
        <w:tc>
          <w:tcPr>
            <w:tcW w:w="1606" w:type="dxa"/>
            <w:tcBorders>
              <w:top w:val="single" w:sz="2" w:space="0" w:color="auto"/>
              <w:left w:val="single" w:sz="2" w:space="0" w:color="auto"/>
              <w:bottom w:val="single" w:sz="2" w:space="0" w:color="auto"/>
              <w:right w:val="single" w:sz="2" w:space="0" w:color="auto"/>
            </w:tcBorders>
            <w:vAlign w:val="center"/>
          </w:tcPr>
          <w:p w14:paraId="7B0C86B8" w14:textId="77777777" w:rsidR="007B3DB2" w:rsidRPr="0063248C" w:rsidRDefault="00000000">
            <w:pPr>
              <w:spacing w:line="240" w:lineRule="exact"/>
              <w:jc w:val="right"/>
              <w:rPr>
                <w:rFonts w:cs="宋体"/>
                <w:sz w:val="18"/>
                <w:szCs w:val="18"/>
              </w:rPr>
            </w:pPr>
            <w:r w:rsidRPr="0063248C">
              <w:rPr>
                <w:rFonts w:cs="宋体"/>
                <w:sz w:val="18"/>
                <w:szCs w:val="18"/>
              </w:rPr>
              <w:t>7.50%</w:t>
            </w:r>
          </w:p>
        </w:tc>
        <w:tc>
          <w:tcPr>
            <w:tcW w:w="1606" w:type="dxa"/>
            <w:tcBorders>
              <w:top w:val="single" w:sz="2" w:space="0" w:color="auto"/>
              <w:left w:val="single" w:sz="2" w:space="0" w:color="auto"/>
              <w:bottom w:val="single" w:sz="2" w:space="0" w:color="auto"/>
              <w:right w:val="single" w:sz="2" w:space="0" w:color="auto"/>
            </w:tcBorders>
            <w:vAlign w:val="center"/>
          </w:tcPr>
          <w:p w14:paraId="2A994D56" w14:textId="77777777" w:rsidR="007B3DB2" w:rsidRPr="0063248C" w:rsidRDefault="00000000">
            <w:pPr>
              <w:spacing w:line="240" w:lineRule="exact"/>
              <w:jc w:val="right"/>
              <w:rPr>
                <w:rFonts w:cs="宋体"/>
                <w:sz w:val="18"/>
                <w:szCs w:val="18"/>
              </w:rPr>
            </w:pPr>
            <w:r w:rsidRPr="0063248C">
              <w:rPr>
                <w:rFonts w:cs="宋体"/>
                <w:sz w:val="18"/>
                <w:szCs w:val="18"/>
              </w:rPr>
              <w:t>105,960.00</w:t>
            </w:r>
          </w:p>
        </w:tc>
      </w:tr>
      <w:tr w:rsidR="007B3DB2" w:rsidRPr="0063248C" w14:paraId="7F0DC7B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641313C"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E</w:t>
            </w:r>
          </w:p>
        </w:tc>
        <w:tc>
          <w:tcPr>
            <w:tcW w:w="1606" w:type="dxa"/>
            <w:tcBorders>
              <w:top w:val="single" w:sz="2" w:space="0" w:color="auto"/>
              <w:left w:val="single" w:sz="2" w:space="0" w:color="auto"/>
              <w:bottom w:val="single" w:sz="2" w:space="0" w:color="auto"/>
              <w:right w:val="single" w:sz="2" w:space="0" w:color="auto"/>
            </w:tcBorders>
            <w:vAlign w:val="center"/>
          </w:tcPr>
          <w:p w14:paraId="1E0AABFB" w14:textId="77777777" w:rsidR="007B3DB2" w:rsidRPr="0063248C" w:rsidRDefault="00000000">
            <w:pPr>
              <w:spacing w:line="240" w:lineRule="exact"/>
              <w:rPr>
                <w:rFonts w:cs="宋体"/>
                <w:sz w:val="18"/>
                <w:szCs w:val="18"/>
              </w:rPr>
            </w:pPr>
            <w:r w:rsidRPr="0063248C">
              <w:rPr>
                <w:rFonts w:cs="宋体"/>
                <w:sz w:val="18"/>
                <w:szCs w:val="18"/>
              </w:rPr>
              <w:t>融资租赁保证金</w:t>
            </w:r>
          </w:p>
        </w:tc>
        <w:tc>
          <w:tcPr>
            <w:tcW w:w="1606" w:type="dxa"/>
            <w:tcBorders>
              <w:top w:val="single" w:sz="2" w:space="0" w:color="auto"/>
              <w:left w:val="single" w:sz="2" w:space="0" w:color="auto"/>
              <w:bottom w:val="single" w:sz="2" w:space="0" w:color="auto"/>
              <w:right w:val="single" w:sz="2" w:space="0" w:color="auto"/>
            </w:tcBorders>
            <w:vAlign w:val="center"/>
          </w:tcPr>
          <w:p w14:paraId="1A748637" w14:textId="77777777" w:rsidR="007B3DB2" w:rsidRPr="0063248C" w:rsidRDefault="00000000">
            <w:pPr>
              <w:spacing w:line="240" w:lineRule="exact"/>
              <w:jc w:val="right"/>
              <w:rPr>
                <w:rFonts w:cs="宋体"/>
                <w:sz w:val="18"/>
                <w:szCs w:val="18"/>
              </w:rPr>
            </w:pPr>
            <w:r w:rsidRPr="0063248C">
              <w:rPr>
                <w:rFonts w:cs="宋体"/>
                <w:sz w:val="18"/>
                <w:szCs w:val="18"/>
              </w:rPr>
              <w:t>5,000,000.00</w:t>
            </w:r>
          </w:p>
        </w:tc>
        <w:tc>
          <w:tcPr>
            <w:tcW w:w="1606" w:type="dxa"/>
            <w:tcBorders>
              <w:top w:val="single" w:sz="2" w:space="0" w:color="auto"/>
              <w:left w:val="single" w:sz="2" w:space="0" w:color="auto"/>
              <w:bottom w:val="single" w:sz="2" w:space="0" w:color="auto"/>
              <w:right w:val="single" w:sz="2" w:space="0" w:color="auto"/>
            </w:tcBorders>
            <w:vAlign w:val="center"/>
          </w:tcPr>
          <w:p w14:paraId="034DB125" w14:textId="77777777" w:rsidR="007B3DB2" w:rsidRPr="0063248C" w:rsidRDefault="00000000">
            <w:pPr>
              <w:spacing w:line="240" w:lineRule="exact"/>
              <w:rPr>
                <w:rFonts w:cs="宋体"/>
                <w:sz w:val="18"/>
                <w:szCs w:val="18"/>
              </w:rPr>
            </w:pPr>
            <w:r w:rsidRPr="0063248C">
              <w:rPr>
                <w:rFonts w:cs="宋体"/>
                <w:sz w:val="18"/>
                <w:szCs w:val="18"/>
              </w:rPr>
              <w:t>1-2</w:t>
            </w:r>
            <w:r w:rsidRPr="0063248C">
              <w:rPr>
                <w:rFonts w:cs="宋体"/>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56917EA7" w14:textId="77777777" w:rsidR="007B3DB2" w:rsidRPr="0063248C" w:rsidRDefault="00000000">
            <w:pPr>
              <w:spacing w:line="240" w:lineRule="exact"/>
              <w:jc w:val="right"/>
              <w:rPr>
                <w:rFonts w:cs="宋体"/>
                <w:sz w:val="18"/>
                <w:szCs w:val="18"/>
              </w:rPr>
            </w:pPr>
            <w:r w:rsidRPr="0063248C">
              <w:rPr>
                <w:rFonts w:cs="宋体"/>
                <w:sz w:val="18"/>
                <w:szCs w:val="18"/>
              </w:rPr>
              <w:t>7.08%</w:t>
            </w:r>
          </w:p>
        </w:tc>
        <w:tc>
          <w:tcPr>
            <w:tcW w:w="1606" w:type="dxa"/>
            <w:tcBorders>
              <w:top w:val="single" w:sz="2" w:space="0" w:color="auto"/>
              <w:left w:val="single" w:sz="2" w:space="0" w:color="auto"/>
              <w:bottom w:val="single" w:sz="2" w:space="0" w:color="auto"/>
              <w:right w:val="single" w:sz="2" w:space="0" w:color="auto"/>
            </w:tcBorders>
            <w:vAlign w:val="center"/>
          </w:tcPr>
          <w:p w14:paraId="26B4BEF0" w14:textId="77777777" w:rsidR="007B3DB2" w:rsidRPr="0063248C" w:rsidRDefault="00000000">
            <w:pPr>
              <w:spacing w:line="240" w:lineRule="exact"/>
              <w:jc w:val="right"/>
              <w:rPr>
                <w:rFonts w:cs="宋体"/>
                <w:sz w:val="18"/>
                <w:szCs w:val="18"/>
              </w:rPr>
            </w:pPr>
            <w:r w:rsidRPr="0063248C">
              <w:rPr>
                <w:rFonts w:cs="宋体"/>
                <w:sz w:val="18"/>
                <w:szCs w:val="18"/>
              </w:rPr>
              <w:t>1,145,684.81</w:t>
            </w:r>
          </w:p>
        </w:tc>
      </w:tr>
      <w:tr w:rsidR="007B3DB2" w:rsidRPr="0063248C" w14:paraId="0D7531BD"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EB49399"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08F2AD4" w14:textId="77777777" w:rsidR="007B3DB2" w:rsidRPr="0063248C" w:rsidRDefault="007B3DB2"/>
        </w:tc>
        <w:tc>
          <w:tcPr>
            <w:tcW w:w="1606" w:type="dxa"/>
            <w:tcBorders>
              <w:top w:val="single" w:sz="2" w:space="0" w:color="auto"/>
              <w:left w:val="single" w:sz="2" w:space="0" w:color="auto"/>
              <w:bottom w:val="single" w:sz="2" w:space="0" w:color="auto"/>
              <w:right w:val="single" w:sz="2" w:space="0" w:color="auto"/>
            </w:tcBorders>
            <w:vAlign w:val="center"/>
          </w:tcPr>
          <w:p w14:paraId="0F6ABD1E" w14:textId="77777777" w:rsidR="007B3DB2" w:rsidRPr="0063248C" w:rsidRDefault="00000000">
            <w:pPr>
              <w:spacing w:line="240" w:lineRule="exact"/>
              <w:jc w:val="right"/>
              <w:rPr>
                <w:rFonts w:cs="宋体"/>
                <w:sz w:val="18"/>
                <w:szCs w:val="18"/>
              </w:rPr>
            </w:pPr>
            <w:r w:rsidRPr="0063248C">
              <w:rPr>
                <w:rFonts w:cs="宋体"/>
                <w:sz w:val="18"/>
                <w:szCs w:val="18"/>
              </w:rPr>
              <w:t>44,400,196.67</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CE5E0EC" w14:textId="77777777" w:rsidR="007B3DB2" w:rsidRPr="0063248C" w:rsidRDefault="007B3DB2"/>
        </w:tc>
        <w:tc>
          <w:tcPr>
            <w:tcW w:w="1606" w:type="dxa"/>
            <w:tcBorders>
              <w:top w:val="single" w:sz="2" w:space="0" w:color="auto"/>
              <w:left w:val="single" w:sz="2" w:space="0" w:color="auto"/>
              <w:bottom w:val="single" w:sz="2" w:space="0" w:color="auto"/>
              <w:right w:val="single" w:sz="2" w:space="0" w:color="auto"/>
            </w:tcBorders>
            <w:vAlign w:val="center"/>
          </w:tcPr>
          <w:p w14:paraId="69F2857A" w14:textId="77777777" w:rsidR="007B3DB2" w:rsidRPr="0063248C" w:rsidRDefault="00000000">
            <w:pPr>
              <w:spacing w:line="240" w:lineRule="exact"/>
              <w:jc w:val="right"/>
              <w:rPr>
                <w:rFonts w:cs="宋体"/>
                <w:sz w:val="18"/>
                <w:szCs w:val="18"/>
              </w:rPr>
            </w:pPr>
            <w:r w:rsidRPr="0063248C">
              <w:rPr>
                <w:rFonts w:cs="宋体"/>
                <w:sz w:val="18"/>
                <w:szCs w:val="18"/>
              </w:rPr>
              <w:t>62.86%</w:t>
            </w:r>
          </w:p>
        </w:tc>
        <w:tc>
          <w:tcPr>
            <w:tcW w:w="1606" w:type="dxa"/>
            <w:tcBorders>
              <w:top w:val="single" w:sz="2" w:space="0" w:color="auto"/>
              <w:left w:val="single" w:sz="2" w:space="0" w:color="auto"/>
              <w:bottom w:val="single" w:sz="2" w:space="0" w:color="auto"/>
              <w:right w:val="single" w:sz="2" w:space="0" w:color="auto"/>
            </w:tcBorders>
            <w:vAlign w:val="center"/>
          </w:tcPr>
          <w:p w14:paraId="17F7834F" w14:textId="77777777" w:rsidR="007B3DB2" w:rsidRPr="0063248C" w:rsidRDefault="00000000">
            <w:pPr>
              <w:spacing w:line="240" w:lineRule="exact"/>
              <w:jc w:val="right"/>
              <w:rPr>
                <w:rFonts w:cs="宋体"/>
                <w:sz w:val="18"/>
                <w:szCs w:val="18"/>
              </w:rPr>
            </w:pPr>
            <w:r w:rsidRPr="0063248C">
              <w:rPr>
                <w:rFonts w:cs="宋体"/>
                <w:sz w:val="18"/>
                <w:szCs w:val="18"/>
              </w:rPr>
              <w:t>10,449,707.04</w:t>
            </w:r>
          </w:p>
        </w:tc>
      </w:tr>
    </w:tbl>
    <w:p w14:paraId="6401D070" w14:textId="77777777" w:rsidR="007B3DB2" w:rsidRPr="0063248C" w:rsidRDefault="00000000">
      <w:pPr>
        <w:keepNext/>
        <w:keepLines/>
        <w:spacing w:before="300" w:after="300" w:line="280" w:lineRule="exact"/>
        <w:outlineLvl w:val="4"/>
        <w:rPr>
          <w:rFonts w:cs="宋体"/>
          <w:b/>
          <w:bCs/>
          <w:szCs w:val="21"/>
        </w:rPr>
      </w:pPr>
      <w:bookmarkStart w:id="230" w:name="_Toc989119"/>
      <w:r w:rsidRPr="0063248C">
        <w:rPr>
          <w:rFonts w:cs="宋体"/>
          <w:b/>
          <w:bCs/>
          <w:szCs w:val="21"/>
        </w:rPr>
        <w:t>7</w:t>
      </w:r>
      <w:r w:rsidRPr="0063248C">
        <w:rPr>
          <w:rFonts w:cs="宋体"/>
          <w:b/>
          <w:bCs/>
          <w:szCs w:val="21"/>
        </w:rPr>
        <w:t>）</w:t>
      </w:r>
      <w:r w:rsidRPr="0063248C">
        <w:rPr>
          <w:rFonts w:cs="宋体"/>
          <w:b/>
          <w:bCs/>
          <w:szCs w:val="21"/>
        </w:rPr>
        <w:t xml:space="preserve"> </w:t>
      </w:r>
      <w:r w:rsidRPr="0063248C">
        <w:rPr>
          <w:rFonts w:cs="宋体"/>
          <w:b/>
          <w:bCs/>
          <w:szCs w:val="21"/>
        </w:rPr>
        <w:t>因资金集中管理而列报于其他应收款</w:t>
      </w:r>
      <w:bookmarkEnd w:id="230"/>
    </w:p>
    <w:p w14:paraId="6A476BFB" w14:textId="77777777" w:rsidR="00517D34" w:rsidRPr="0063248C" w:rsidRDefault="00000000">
      <w:pPr>
        <w:pStyle w:val="a3"/>
        <w:divId w:val="82066366"/>
        <w:rPr>
          <w:rFonts w:ascii="Times New Roman" w:hAnsi="Times New Roman"/>
          <w:sz w:val="18"/>
          <w:szCs w:val="18"/>
        </w:rPr>
      </w:pPr>
      <w:r w:rsidRPr="0063248C">
        <w:rPr>
          <w:rFonts w:ascii="Times New Roman" w:hAnsi="Times New Roman" w:hint="eastAsia"/>
          <w:sz w:val="18"/>
          <w:szCs w:val="18"/>
        </w:rPr>
        <w:t>无</w:t>
      </w:r>
    </w:p>
    <w:p w14:paraId="510679FD" w14:textId="77777777" w:rsidR="007B3DB2" w:rsidRPr="0063248C" w:rsidRDefault="00000000">
      <w:pPr>
        <w:pStyle w:val="3"/>
        <w:spacing w:line="280" w:lineRule="exact"/>
        <w:jc w:val="left"/>
        <w:rPr>
          <w:rFonts w:cs="宋体"/>
          <w:b/>
          <w:bCs/>
        </w:rPr>
      </w:pPr>
      <w:bookmarkStart w:id="231" w:name="_Toc989120"/>
      <w:r w:rsidRPr="0063248C">
        <w:rPr>
          <w:rFonts w:cs="宋体"/>
          <w:b/>
          <w:bCs/>
        </w:rPr>
        <w:t>9</w:t>
      </w:r>
      <w:r w:rsidRPr="0063248C">
        <w:rPr>
          <w:rFonts w:cs="宋体"/>
          <w:b/>
          <w:bCs/>
        </w:rPr>
        <w:t>、预付款项</w:t>
      </w:r>
      <w:bookmarkEnd w:id="231"/>
    </w:p>
    <w:p w14:paraId="0082B7C8" w14:textId="77777777" w:rsidR="007B3DB2" w:rsidRPr="0063248C" w:rsidRDefault="00000000">
      <w:pPr>
        <w:keepNext/>
        <w:keepLines/>
        <w:spacing w:before="300" w:after="300" w:line="280" w:lineRule="exact"/>
        <w:outlineLvl w:val="3"/>
        <w:rPr>
          <w:rFonts w:cs="宋体"/>
          <w:b/>
          <w:bCs/>
          <w:szCs w:val="21"/>
        </w:rPr>
      </w:pPr>
      <w:bookmarkStart w:id="232" w:name="_Toc989121"/>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预付</w:t>
      </w:r>
      <w:proofErr w:type="gramStart"/>
      <w:r w:rsidRPr="0063248C">
        <w:rPr>
          <w:rFonts w:cs="宋体"/>
          <w:b/>
          <w:bCs/>
          <w:szCs w:val="21"/>
        </w:rPr>
        <w:t>款项按账龄</w:t>
      </w:r>
      <w:proofErr w:type="gramEnd"/>
      <w:r w:rsidRPr="0063248C">
        <w:rPr>
          <w:rFonts w:cs="宋体"/>
          <w:b/>
          <w:bCs/>
          <w:szCs w:val="21"/>
        </w:rPr>
        <w:t>列示</w:t>
      </w:r>
      <w:bookmarkEnd w:id="232"/>
    </w:p>
    <w:p w14:paraId="31D1111B"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1A968720"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C89FB0C"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470D038"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6F0AFD6"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5A050667"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BCA9D0F"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6F81866"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6CCD3A0" w14:textId="77777777" w:rsidR="007B3DB2" w:rsidRPr="0063248C" w:rsidRDefault="00000000">
            <w:pPr>
              <w:spacing w:before="40" w:after="40" w:line="240" w:lineRule="exact"/>
              <w:jc w:val="center"/>
              <w:rPr>
                <w:rFonts w:cs="宋体"/>
                <w:sz w:val="18"/>
                <w:szCs w:val="18"/>
              </w:rPr>
            </w:pPr>
            <w:r w:rsidRPr="0063248C">
              <w:rPr>
                <w:rFonts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ADF8168"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745C48" w14:textId="77777777" w:rsidR="007B3DB2" w:rsidRPr="0063248C" w:rsidRDefault="00000000">
            <w:pPr>
              <w:spacing w:before="40" w:after="40" w:line="240" w:lineRule="exact"/>
              <w:jc w:val="center"/>
              <w:rPr>
                <w:rFonts w:cs="宋体"/>
                <w:sz w:val="18"/>
                <w:szCs w:val="18"/>
              </w:rPr>
            </w:pPr>
            <w:r w:rsidRPr="0063248C">
              <w:rPr>
                <w:rFonts w:cs="宋体"/>
                <w:sz w:val="18"/>
                <w:szCs w:val="18"/>
              </w:rPr>
              <w:t>比例</w:t>
            </w:r>
          </w:p>
        </w:tc>
      </w:tr>
      <w:tr w:rsidR="007B3DB2" w:rsidRPr="0063248C" w14:paraId="0C6BB46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D38BDE"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年以内</w:t>
            </w:r>
          </w:p>
        </w:tc>
        <w:tc>
          <w:tcPr>
            <w:tcW w:w="1928" w:type="dxa"/>
            <w:tcBorders>
              <w:top w:val="single" w:sz="2" w:space="0" w:color="auto"/>
              <w:left w:val="single" w:sz="2" w:space="0" w:color="auto"/>
              <w:bottom w:val="single" w:sz="2" w:space="0" w:color="auto"/>
              <w:right w:val="single" w:sz="2" w:space="0" w:color="auto"/>
            </w:tcBorders>
            <w:vAlign w:val="center"/>
          </w:tcPr>
          <w:p w14:paraId="07A96D16" w14:textId="77777777" w:rsidR="007B3DB2" w:rsidRPr="0063248C" w:rsidRDefault="00000000">
            <w:pPr>
              <w:spacing w:line="240" w:lineRule="exact"/>
              <w:jc w:val="right"/>
              <w:rPr>
                <w:rFonts w:cs="宋体"/>
                <w:sz w:val="18"/>
                <w:szCs w:val="18"/>
              </w:rPr>
            </w:pPr>
            <w:r w:rsidRPr="0063248C">
              <w:rPr>
                <w:rFonts w:cs="宋体"/>
                <w:sz w:val="18"/>
                <w:szCs w:val="18"/>
              </w:rPr>
              <w:t>61,841,336.19</w:t>
            </w:r>
          </w:p>
        </w:tc>
        <w:tc>
          <w:tcPr>
            <w:tcW w:w="1928" w:type="dxa"/>
            <w:tcBorders>
              <w:top w:val="single" w:sz="2" w:space="0" w:color="auto"/>
              <w:left w:val="single" w:sz="2" w:space="0" w:color="auto"/>
              <w:bottom w:val="single" w:sz="2" w:space="0" w:color="auto"/>
              <w:right w:val="single" w:sz="2" w:space="0" w:color="auto"/>
            </w:tcBorders>
            <w:vAlign w:val="center"/>
          </w:tcPr>
          <w:p w14:paraId="09CAA9A1" w14:textId="77777777" w:rsidR="007B3DB2" w:rsidRPr="0063248C" w:rsidRDefault="00000000">
            <w:pPr>
              <w:spacing w:line="240" w:lineRule="exact"/>
              <w:jc w:val="right"/>
              <w:rPr>
                <w:rFonts w:cs="宋体"/>
                <w:sz w:val="18"/>
                <w:szCs w:val="18"/>
              </w:rPr>
            </w:pPr>
            <w:r w:rsidRPr="0063248C">
              <w:rPr>
                <w:rFonts w:cs="宋体"/>
                <w:sz w:val="18"/>
                <w:szCs w:val="18"/>
              </w:rPr>
              <w:t>94.83%</w:t>
            </w:r>
          </w:p>
        </w:tc>
        <w:tc>
          <w:tcPr>
            <w:tcW w:w="1928" w:type="dxa"/>
            <w:tcBorders>
              <w:top w:val="single" w:sz="2" w:space="0" w:color="auto"/>
              <w:left w:val="single" w:sz="2" w:space="0" w:color="auto"/>
              <w:bottom w:val="single" w:sz="2" w:space="0" w:color="auto"/>
              <w:right w:val="single" w:sz="2" w:space="0" w:color="auto"/>
            </w:tcBorders>
            <w:vAlign w:val="center"/>
          </w:tcPr>
          <w:p w14:paraId="3EDA47A6" w14:textId="77777777" w:rsidR="007B3DB2" w:rsidRPr="0063248C" w:rsidRDefault="00000000">
            <w:pPr>
              <w:spacing w:line="240" w:lineRule="exact"/>
              <w:jc w:val="right"/>
              <w:rPr>
                <w:rFonts w:cs="宋体"/>
                <w:sz w:val="18"/>
                <w:szCs w:val="18"/>
              </w:rPr>
            </w:pPr>
            <w:r w:rsidRPr="0063248C">
              <w:rPr>
                <w:rFonts w:cs="宋体"/>
                <w:sz w:val="18"/>
                <w:szCs w:val="18"/>
              </w:rPr>
              <w:t>79,192,903.35</w:t>
            </w:r>
          </w:p>
        </w:tc>
        <w:tc>
          <w:tcPr>
            <w:tcW w:w="1928" w:type="dxa"/>
            <w:tcBorders>
              <w:top w:val="single" w:sz="2" w:space="0" w:color="auto"/>
              <w:left w:val="single" w:sz="2" w:space="0" w:color="auto"/>
              <w:bottom w:val="single" w:sz="2" w:space="0" w:color="auto"/>
              <w:right w:val="single" w:sz="2" w:space="0" w:color="auto"/>
            </w:tcBorders>
            <w:vAlign w:val="center"/>
          </w:tcPr>
          <w:p w14:paraId="56FB940E" w14:textId="77777777" w:rsidR="007B3DB2" w:rsidRPr="0063248C" w:rsidRDefault="00000000">
            <w:pPr>
              <w:spacing w:line="240" w:lineRule="exact"/>
              <w:jc w:val="right"/>
              <w:rPr>
                <w:rFonts w:cs="宋体"/>
                <w:sz w:val="18"/>
                <w:szCs w:val="18"/>
              </w:rPr>
            </w:pPr>
            <w:r w:rsidRPr="0063248C">
              <w:rPr>
                <w:rFonts w:cs="宋体"/>
                <w:sz w:val="18"/>
                <w:szCs w:val="18"/>
              </w:rPr>
              <w:t>97.29%</w:t>
            </w:r>
          </w:p>
        </w:tc>
      </w:tr>
      <w:tr w:rsidR="007B3DB2" w:rsidRPr="0063248C" w14:paraId="7357F02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F3B82B"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至</w:t>
            </w:r>
            <w:r w:rsidRPr="0063248C">
              <w:rPr>
                <w:rFonts w:cs="宋体"/>
                <w:sz w:val="18"/>
                <w:szCs w:val="18"/>
              </w:rPr>
              <w:t>2</w:t>
            </w:r>
            <w:r w:rsidRPr="0063248C">
              <w:rPr>
                <w:rFonts w:cs="宋体"/>
                <w:sz w:val="18"/>
                <w:szCs w:val="18"/>
              </w:rPr>
              <w:t>年</w:t>
            </w:r>
          </w:p>
        </w:tc>
        <w:tc>
          <w:tcPr>
            <w:tcW w:w="1928" w:type="dxa"/>
            <w:tcBorders>
              <w:top w:val="single" w:sz="2" w:space="0" w:color="auto"/>
              <w:left w:val="single" w:sz="2" w:space="0" w:color="auto"/>
              <w:bottom w:val="single" w:sz="2" w:space="0" w:color="auto"/>
              <w:right w:val="single" w:sz="2" w:space="0" w:color="auto"/>
            </w:tcBorders>
            <w:vAlign w:val="center"/>
          </w:tcPr>
          <w:p w14:paraId="12ED15AD" w14:textId="77777777" w:rsidR="007B3DB2" w:rsidRPr="0063248C" w:rsidRDefault="00000000">
            <w:pPr>
              <w:spacing w:line="240" w:lineRule="exact"/>
              <w:jc w:val="right"/>
              <w:rPr>
                <w:rFonts w:cs="宋体"/>
                <w:sz w:val="18"/>
                <w:szCs w:val="18"/>
              </w:rPr>
            </w:pPr>
            <w:r w:rsidRPr="0063248C">
              <w:rPr>
                <w:rFonts w:cs="宋体"/>
                <w:sz w:val="18"/>
                <w:szCs w:val="18"/>
              </w:rPr>
              <w:t>1,876,394.11</w:t>
            </w:r>
          </w:p>
        </w:tc>
        <w:tc>
          <w:tcPr>
            <w:tcW w:w="1928" w:type="dxa"/>
            <w:tcBorders>
              <w:top w:val="single" w:sz="2" w:space="0" w:color="auto"/>
              <w:left w:val="single" w:sz="2" w:space="0" w:color="auto"/>
              <w:bottom w:val="single" w:sz="2" w:space="0" w:color="auto"/>
              <w:right w:val="single" w:sz="2" w:space="0" w:color="auto"/>
            </w:tcBorders>
            <w:vAlign w:val="center"/>
          </w:tcPr>
          <w:p w14:paraId="2C654F56" w14:textId="77777777" w:rsidR="007B3DB2" w:rsidRPr="0063248C" w:rsidRDefault="00000000">
            <w:pPr>
              <w:spacing w:line="240" w:lineRule="exact"/>
              <w:jc w:val="right"/>
              <w:rPr>
                <w:rFonts w:cs="宋体"/>
                <w:sz w:val="18"/>
                <w:szCs w:val="18"/>
              </w:rPr>
            </w:pPr>
            <w:r w:rsidRPr="0063248C">
              <w:rPr>
                <w:rFonts w:cs="宋体"/>
                <w:sz w:val="18"/>
                <w:szCs w:val="18"/>
              </w:rPr>
              <w:t>2.88%</w:t>
            </w:r>
          </w:p>
        </w:tc>
        <w:tc>
          <w:tcPr>
            <w:tcW w:w="1928" w:type="dxa"/>
            <w:tcBorders>
              <w:top w:val="single" w:sz="2" w:space="0" w:color="auto"/>
              <w:left w:val="single" w:sz="2" w:space="0" w:color="auto"/>
              <w:bottom w:val="single" w:sz="2" w:space="0" w:color="auto"/>
              <w:right w:val="single" w:sz="2" w:space="0" w:color="auto"/>
            </w:tcBorders>
            <w:vAlign w:val="center"/>
          </w:tcPr>
          <w:p w14:paraId="45A166A4" w14:textId="77777777" w:rsidR="007B3DB2" w:rsidRPr="0063248C" w:rsidRDefault="00000000">
            <w:pPr>
              <w:spacing w:line="240" w:lineRule="exact"/>
              <w:jc w:val="right"/>
              <w:rPr>
                <w:rFonts w:cs="宋体"/>
                <w:sz w:val="18"/>
                <w:szCs w:val="18"/>
              </w:rPr>
            </w:pPr>
            <w:r w:rsidRPr="0063248C">
              <w:rPr>
                <w:rFonts w:cs="宋体"/>
                <w:sz w:val="18"/>
                <w:szCs w:val="18"/>
              </w:rPr>
              <w:t>908,070.62</w:t>
            </w:r>
          </w:p>
        </w:tc>
        <w:tc>
          <w:tcPr>
            <w:tcW w:w="1928" w:type="dxa"/>
            <w:tcBorders>
              <w:top w:val="single" w:sz="2" w:space="0" w:color="auto"/>
              <w:left w:val="single" w:sz="2" w:space="0" w:color="auto"/>
              <w:bottom w:val="single" w:sz="2" w:space="0" w:color="auto"/>
              <w:right w:val="single" w:sz="2" w:space="0" w:color="auto"/>
            </w:tcBorders>
            <w:vAlign w:val="center"/>
          </w:tcPr>
          <w:p w14:paraId="5BEB7798" w14:textId="77777777" w:rsidR="007B3DB2" w:rsidRPr="0063248C" w:rsidRDefault="00000000">
            <w:pPr>
              <w:spacing w:line="240" w:lineRule="exact"/>
              <w:jc w:val="right"/>
              <w:rPr>
                <w:rFonts w:cs="宋体"/>
                <w:sz w:val="18"/>
                <w:szCs w:val="18"/>
              </w:rPr>
            </w:pPr>
            <w:r w:rsidRPr="0063248C">
              <w:rPr>
                <w:rFonts w:cs="宋体"/>
                <w:sz w:val="18"/>
                <w:szCs w:val="18"/>
              </w:rPr>
              <w:t>1.12%</w:t>
            </w:r>
          </w:p>
        </w:tc>
      </w:tr>
      <w:tr w:rsidR="007B3DB2" w:rsidRPr="0063248C" w14:paraId="00F98DD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A45A77"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至</w:t>
            </w:r>
            <w:r w:rsidRPr="0063248C">
              <w:rPr>
                <w:rFonts w:cs="宋体"/>
                <w:sz w:val="18"/>
                <w:szCs w:val="18"/>
              </w:rPr>
              <w:t>3</w:t>
            </w:r>
            <w:r w:rsidRPr="0063248C">
              <w:rPr>
                <w:rFonts w:cs="宋体"/>
                <w:sz w:val="18"/>
                <w:szCs w:val="18"/>
              </w:rPr>
              <w:t>年</w:t>
            </w:r>
          </w:p>
        </w:tc>
        <w:tc>
          <w:tcPr>
            <w:tcW w:w="1928" w:type="dxa"/>
            <w:tcBorders>
              <w:top w:val="single" w:sz="2" w:space="0" w:color="auto"/>
              <w:left w:val="single" w:sz="2" w:space="0" w:color="auto"/>
              <w:bottom w:val="single" w:sz="2" w:space="0" w:color="auto"/>
              <w:right w:val="single" w:sz="2" w:space="0" w:color="auto"/>
            </w:tcBorders>
            <w:vAlign w:val="center"/>
          </w:tcPr>
          <w:p w14:paraId="2F2F4280" w14:textId="77777777" w:rsidR="007B3DB2" w:rsidRPr="0063248C" w:rsidRDefault="00000000">
            <w:pPr>
              <w:spacing w:line="240" w:lineRule="exact"/>
              <w:jc w:val="right"/>
              <w:rPr>
                <w:rFonts w:cs="宋体"/>
                <w:sz w:val="18"/>
                <w:szCs w:val="18"/>
              </w:rPr>
            </w:pPr>
            <w:r w:rsidRPr="0063248C">
              <w:rPr>
                <w:rFonts w:cs="宋体"/>
                <w:sz w:val="18"/>
                <w:szCs w:val="18"/>
              </w:rPr>
              <w:t>410,448.14</w:t>
            </w:r>
          </w:p>
        </w:tc>
        <w:tc>
          <w:tcPr>
            <w:tcW w:w="1928" w:type="dxa"/>
            <w:tcBorders>
              <w:top w:val="single" w:sz="2" w:space="0" w:color="auto"/>
              <w:left w:val="single" w:sz="2" w:space="0" w:color="auto"/>
              <w:bottom w:val="single" w:sz="2" w:space="0" w:color="auto"/>
              <w:right w:val="single" w:sz="2" w:space="0" w:color="auto"/>
            </w:tcBorders>
            <w:vAlign w:val="center"/>
          </w:tcPr>
          <w:p w14:paraId="4316F5FA" w14:textId="77777777" w:rsidR="007B3DB2" w:rsidRPr="0063248C" w:rsidRDefault="00000000">
            <w:pPr>
              <w:spacing w:line="240" w:lineRule="exact"/>
              <w:jc w:val="right"/>
              <w:rPr>
                <w:rFonts w:cs="宋体"/>
                <w:sz w:val="18"/>
                <w:szCs w:val="18"/>
              </w:rPr>
            </w:pPr>
            <w:r w:rsidRPr="0063248C">
              <w:rPr>
                <w:rFonts w:cs="宋体"/>
                <w:sz w:val="18"/>
                <w:szCs w:val="18"/>
              </w:rPr>
              <w:t>0.63%</w:t>
            </w:r>
          </w:p>
        </w:tc>
        <w:tc>
          <w:tcPr>
            <w:tcW w:w="1928" w:type="dxa"/>
            <w:tcBorders>
              <w:top w:val="single" w:sz="2" w:space="0" w:color="auto"/>
              <w:left w:val="single" w:sz="2" w:space="0" w:color="auto"/>
              <w:bottom w:val="single" w:sz="2" w:space="0" w:color="auto"/>
              <w:right w:val="single" w:sz="2" w:space="0" w:color="auto"/>
            </w:tcBorders>
            <w:vAlign w:val="center"/>
          </w:tcPr>
          <w:p w14:paraId="62E74A9D" w14:textId="77777777" w:rsidR="007B3DB2" w:rsidRPr="0063248C" w:rsidRDefault="00000000">
            <w:pPr>
              <w:spacing w:line="240" w:lineRule="exact"/>
              <w:jc w:val="right"/>
              <w:rPr>
                <w:rFonts w:cs="宋体"/>
                <w:sz w:val="18"/>
                <w:szCs w:val="18"/>
              </w:rPr>
            </w:pPr>
            <w:r w:rsidRPr="0063248C">
              <w:rPr>
                <w:rFonts w:cs="宋体"/>
                <w:sz w:val="18"/>
                <w:szCs w:val="18"/>
              </w:rPr>
              <w:t>1,294,504.82</w:t>
            </w:r>
          </w:p>
        </w:tc>
        <w:tc>
          <w:tcPr>
            <w:tcW w:w="1928" w:type="dxa"/>
            <w:tcBorders>
              <w:top w:val="single" w:sz="2" w:space="0" w:color="auto"/>
              <w:left w:val="single" w:sz="2" w:space="0" w:color="auto"/>
              <w:bottom w:val="single" w:sz="2" w:space="0" w:color="auto"/>
              <w:right w:val="single" w:sz="2" w:space="0" w:color="auto"/>
            </w:tcBorders>
            <w:vAlign w:val="center"/>
          </w:tcPr>
          <w:p w14:paraId="5E265E39" w14:textId="77777777" w:rsidR="007B3DB2" w:rsidRPr="0063248C" w:rsidRDefault="00000000">
            <w:pPr>
              <w:spacing w:line="240" w:lineRule="exact"/>
              <w:jc w:val="right"/>
              <w:rPr>
                <w:rFonts w:cs="宋体"/>
                <w:sz w:val="18"/>
                <w:szCs w:val="18"/>
              </w:rPr>
            </w:pPr>
            <w:r w:rsidRPr="0063248C">
              <w:rPr>
                <w:rFonts w:cs="宋体"/>
                <w:sz w:val="18"/>
                <w:szCs w:val="18"/>
              </w:rPr>
              <w:t>1.59%</w:t>
            </w:r>
          </w:p>
        </w:tc>
      </w:tr>
      <w:tr w:rsidR="007B3DB2" w:rsidRPr="0063248C" w14:paraId="6A04A65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0C368D8"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年以上</w:t>
            </w:r>
          </w:p>
        </w:tc>
        <w:tc>
          <w:tcPr>
            <w:tcW w:w="1928" w:type="dxa"/>
            <w:tcBorders>
              <w:top w:val="single" w:sz="2" w:space="0" w:color="auto"/>
              <w:left w:val="single" w:sz="2" w:space="0" w:color="auto"/>
              <w:bottom w:val="single" w:sz="2" w:space="0" w:color="auto"/>
              <w:right w:val="single" w:sz="2" w:space="0" w:color="auto"/>
            </w:tcBorders>
            <w:vAlign w:val="center"/>
          </w:tcPr>
          <w:p w14:paraId="6399E3FC" w14:textId="77777777" w:rsidR="007B3DB2" w:rsidRPr="0063248C" w:rsidRDefault="00000000">
            <w:pPr>
              <w:spacing w:line="240" w:lineRule="exact"/>
              <w:jc w:val="right"/>
              <w:rPr>
                <w:rFonts w:cs="宋体"/>
                <w:sz w:val="18"/>
                <w:szCs w:val="18"/>
              </w:rPr>
            </w:pPr>
            <w:r w:rsidRPr="0063248C">
              <w:rPr>
                <w:rFonts w:cs="宋体"/>
                <w:sz w:val="18"/>
                <w:szCs w:val="18"/>
              </w:rPr>
              <w:t>1,081,853.04</w:t>
            </w:r>
          </w:p>
        </w:tc>
        <w:tc>
          <w:tcPr>
            <w:tcW w:w="1928" w:type="dxa"/>
            <w:tcBorders>
              <w:top w:val="single" w:sz="2" w:space="0" w:color="auto"/>
              <w:left w:val="single" w:sz="2" w:space="0" w:color="auto"/>
              <w:bottom w:val="single" w:sz="2" w:space="0" w:color="auto"/>
              <w:right w:val="single" w:sz="2" w:space="0" w:color="auto"/>
            </w:tcBorders>
            <w:vAlign w:val="center"/>
          </w:tcPr>
          <w:p w14:paraId="21CC24C2" w14:textId="77777777" w:rsidR="007B3DB2" w:rsidRPr="0063248C" w:rsidRDefault="00000000">
            <w:pPr>
              <w:spacing w:line="240" w:lineRule="exact"/>
              <w:jc w:val="right"/>
              <w:rPr>
                <w:rFonts w:cs="宋体"/>
                <w:sz w:val="18"/>
                <w:szCs w:val="18"/>
              </w:rPr>
            </w:pPr>
            <w:r w:rsidRPr="0063248C">
              <w:rPr>
                <w:rFonts w:cs="宋体"/>
                <w:sz w:val="18"/>
                <w:szCs w:val="18"/>
              </w:rPr>
              <w:t>1.66%</w:t>
            </w:r>
          </w:p>
        </w:tc>
        <w:tc>
          <w:tcPr>
            <w:tcW w:w="1928" w:type="dxa"/>
            <w:tcBorders>
              <w:top w:val="single" w:sz="2" w:space="0" w:color="auto"/>
              <w:left w:val="single" w:sz="2" w:space="0" w:color="auto"/>
              <w:bottom w:val="single" w:sz="2" w:space="0" w:color="auto"/>
              <w:right w:val="single" w:sz="2" w:space="0" w:color="auto"/>
            </w:tcBorders>
            <w:vAlign w:val="center"/>
          </w:tcPr>
          <w:p w14:paraId="2FAAE86A"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AA2FE5A" w14:textId="77777777" w:rsidR="007B3DB2" w:rsidRPr="0063248C" w:rsidRDefault="007B3DB2">
            <w:pPr>
              <w:spacing w:line="240" w:lineRule="exact"/>
              <w:jc w:val="right"/>
              <w:rPr>
                <w:rFonts w:cs="宋体"/>
                <w:sz w:val="18"/>
                <w:szCs w:val="18"/>
              </w:rPr>
            </w:pPr>
          </w:p>
        </w:tc>
      </w:tr>
      <w:tr w:rsidR="007B3DB2" w:rsidRPr="0063248C" w14:paraId="4040F5D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F6E9480"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6043C91E" w14:textId="77777777" w:rsidR="007B3DB2" w:rsidRPr="0063248C" w:rsidRDefault="00000000">
            <w:pPr>
              <w:spacing w:line="240" w:lineRule="exact"/>
              <w:jc w:val="right"/>
              <w:rPr>
                <w:rFonts w:cs="宋体"/>
                <w:sz w:val="18"/>
                <w:szCs w:val="18"/>
              </w:rPr>
            </w:pPr>
            <w:r w:rsidRPr="0063248C">
              <w:rPr>
                <w:rFonts w:cs="宋体"/>
                <w:sz w:val="18"/>
                <w:szCs w:val="18"/>
              </w:rPr>
              <w:t>65,210,031.48</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875CD7" w14:textId="77777777" w:rsidR="007B3DB2" w:rsidRPr="0063248C" w:rsidRDefault="007B3DB2" w:rsidP="00B425DC">
            <w:pPr>
              <w:spacing w:line="240" w:lineRule="exact"/>
              <w:jc w:val="right"/>
            </w:pPr>
          </w:p>
        </w:tc>
        <w:tc>
          <w:tcPr>
            <w:tcW w:w="1928" w:type="dxa"/>
            <w:tcBorders>
              <w:top w:val="single" w:sz="2" w:space="0" w:color="auto"/>
              <w:left w:val="single" w:sz="2" w:space="0" w:color="auto"/>
              <w:bottom w:val="single" w:sz="2" w:space="0" w:color="auto"/>
              <w:right w:val="single" w:sz="2" w:space="0" w:color="auto"/>
            </w:tcBorders>
            <w:vAlign w:val="center"/>
          </w:tcPr>
          <w:p w14:paraId="1B016EE3" w14:textId="77777777" w:rsidR="007B3DB2" w:rsidRPr="0063248C" w:rsidRDefault="00000000">
            <w:pPr>
              <w:spacing w:line="240" w:lineRule="exact"/>
              <w:jc w:val="right"/>
              <w:rPr>
                <w:rFonts w:cs="宋体"/>
                <w:sz w:val="18"/>
                <w:szCs w:val="18"/>
              </w:rPr>
            </w:pPr>
            <w:r w:rsidRPr="0063248C">
              <w:rPr>
                <w:rFonts w:cs="宋体"/>
                <w:sz w:val="18"/>
                <w:szCs w:val="18"/>
              </w:rPr>
              <w:t>81,395,478.79</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107B895" w14:textId="77777777" w:rsidR="007B3DB2" w:rsidRPr="0063248C" w:rsidRDefault="007B3DB2"/>
        </w:tc>
      </w:tr>
    </w:tbl>
    <w:p w14:paraId="1724C893" w14:textId="77777777" w:rsidR="007B3DB2" w:rsidRPr="0063248C" w:rsidRDefault="00000000">
      <w:pPr>
        <w:spacing w:before="100" w:after="100" w:line="240" w:lineRule="exact"/>
        <w:rPr>
          <w:rFonts w:cs="宋体"/>
          <w:sz w:val="18"/>
          <w:szCs w:val="18"/>
        </w:rPr>
      </w:pPr>
      <w:r w:rsidRPr="0063248C">
        <w:rPr>
          <w:rFonts w:cs="宋体"/>
          <w:sz w:val="18"/>
          <w:szCs w:val="18"/>
        </w:rPr>
        <w:t>账龄超过</w:t>
      </w:r>
      <w:r w:rsidRPr="0063248C">
        <w:rPr>
          <w:rFonts w:cs="宋体"/>
          <w:sz w:val="18"/>
          <w:szCs w:val="18"/>
        </w:rPr>
        <w:t>1</w:t>
      </w:r>
      <w:r w:rsidRPr="0063248C">
        <w:rPr>
          <w:rFonts w:cs="宋体"/>
          <w:sz w:val="18"/>
          <w:szCs w:val="18"/>
        </w:rPr>
        <w:t>年且金额重要的预付款项未及时结算原因的说明：</w:t>
      </w:r>
    </w:p>
    <w:p w14:paraId="792F6619" w14:textId="77777777" w:rsidR="00517D34" w:rsidRPr="0063248C" w:rsidRDefault="00000000">
      <w:pPr>
        <w:pStyle w:val="a3"/>
        <w:divId w:val="208151592"/>
        <w:rPr>
          <w:rFonts w:ascii="Times New Roman" w:hAnsi="Times New Roman"/>
          <w:sz w:val="18"/>
          <w:szCs w:val="18"/>
        </w:rPr>
      </w:pPr>
      <w:r w:rsidRPr="0063248C">
        <w:rPr>
          <w:rFonts w:ascii="Times New Roman" w:hAnsi="Times New Roman" w:hint="eastAsia"/>
          <w:sz w:val="18"/>
          <w:szCs w:val="18"/>
        </w:rPr>
        <w:t>无</w:t>
      </w:r>
    </w:p>
    <w:p w14:paraId="2A6CBDDA" w14:textId="77777777" w:rsidR="007B3DB2" w:rsidRPr="0063248C" w:rsidRDefault="00000000">
      <w:pPr>
        <w:keepNext/>
        <w:keepLines/>
        <w:spacing w:before="300" w:after="300" w:line="280" w:lineRule="exact"/>
        <w:outlineLvl w:val="3"/>
        <w:rPr>
          <w:rFonts w:cs="宋体"/>
          <w:b/>
          <w:bCs/>
          <w:szCs w:val="21"/>
        </w:rPr>
      </w:pPr>
      <w:bookmarkStart w:id="233" w:name="_Toc989122"/>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按预付对象归集的期末余额前五名的预付款情况</w:t>
      </w:r>
      <w:bookmarkEnd w:id="233"/>
    </w:p>
    <w:p w14:paraId="28BC15E9" w14:textId="77777777" w:rsidR="00517D34" w:rsidRPr="0063248C" w:rsidRDefault="00000000">
      <w:pPr>
        <w:pStyle w:val="a3"/>
        <w:spacing w:before="0" w:beforeAutospacing="0" w:after="0" w:afterAutospacing="0"/>
        <w:ind w:firstLine="360"/>
        <w:jc w:val="both"/>
        <w:divId w:val="878057382"/>
        <w:rPr>
          <w:rFonts w:ascii="Times New Roman" w:hAnsi="Times New Roman"/>
        </w:rPr>
      </w:pPr>
      <w:r w:rsidRPr="0063248C">
        <w:rPr>
          <w:rFonts w:ascii="Times New Roman" w:hAnsi="Times New Roman" w:hint="eastAsia"/>
          <w:sz w:val="18"/>
          <w:szCs w:val="18"/>
        </w:rPr>
        <w:t>本集团按预付对象归集的年末余额前五名预付账款汇总金额为</w:t>
      </w:r>
      <w:r w:rsidRPr="0063248C">
        <w:rPr>
          <w:rFonts w:ascii="Times New Roman" w:hAnsi="Times New Roman" w:hint="eastAsia"/>
          <w:sz w:val="18"/>
          <w:szCs w:val="18"/>
        </w:rPr>
        <w:t>26,349,607.60</w:t>
      </w:r>
      <w:r w:rsidRPr="0063248C">
        <w:rPr>
          <w:rFonts w:ascii="Times New Roman" w:hAnsi="Times New Roman" w:hint="eastAsia"/>
          <w:sz w:val="18"/>
          <w:szCs w:val="18"/>
        </w:rPr>
        <w:t>元，占预付账款年末余额合计数的比例为</w:t>
      </w:r>
      <w:r w:rsidRPr="0063248C">
        <w:rPr>
          <w:rFonts w:ascii="Times New Roman" w:hAnsi="Times New Roman" w:hint="eastAsia"/>
          <w:sz w:val="18"/>
          <w:szCs w:val="18"/>
        </w:rPr>
        <w:t>40.41</w:t>
      </w:r>
      <w:r w:rsidRPr="0063248C">
        <w:rPr>
          <w:rFonts w:ascii="Times New Roman" w:hAnsi="Times New Roman" w:cs="Times New Roman"/>
          <w:sz w:val="18"/>
          <w:szCs w:val="18"/>
        </w:rPr>
        <w:t>%</w:t>
      </w:r>
      <w:r w:rsidRPr="0063248C">
        <w:rPr>
          <w:rFonts w:ascii="Times New Roman" w:hAnsi="Times New Roman" w:hint="eastAsia"/>
          <w:sz w:val="18"/>
          <w:szCs w:val="18"/>
        </w:rPr>
        <w:t>。</w:t>
      </w:r>
    </w:p>
    <w:p w14:paraId="52A14A95"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10B72626" w14:textId="77777777" w:rsidR="00517D34" w:rsidRPr="0063248C" w:rsidRDefault="00000000">
      <w:pPr>
        <w:pStyle w:val="a3"/>
        <w:divId w:val="1185897829"/>
        <w:rPr>
          <w:rFonts w:ascii="Times New Roman" w:hAnsi="Times New Roman"/>
          <w:sz w:val="18"/>
          <w:szCs w:val="18"/>
        </w:rPr>
      </w:pPr>
      <w:r w:rsidRPr="0063248C">
        <w:rPr>
          <w:rFonts w:ascii="Times New Roman" w:hAnsi="Times New Roman" w:hint="eastAsia"/>
          <w:sz w:val="18"/>
          <w:szCs w:val="18"/>
        </w:rPr>
        <w:t>无</w:t>
      </w:r>
    </w:p>
    <w:p w14:paraId="5D3F487C" w14:textId="77777777" w:rsidR="007B3DB2" w:rsidRPr="0063248C" w:rsidRDefault="00000000">
      <w:pPr>
        <w:pStyle w:val="3"/>
        <w:spacing w:line="280" w:lineRule="exact"/>
        <w:jc w:val="left"/>
        <w:rPr>
          <w:rFonts w:cs="宋体"/>
          <w:b/>
          <w:bCs/>
        </w:rPr>
      </w:pPr>
      <w:bookmarkStart w:id="234" w:name="_Toc989123"/>
      <w:r w:rsidRPr="0063248C">
        <w:rPr>
          <w:rFonts w:cs="宋体"/>
          <w:b/>
          <w:bCs/>
        </w:rPr>
        <w:t>10</w:t>
      </w:r>
      <w:r w:rsidRPr="0063248C">
        <w:rPr>
          <w:rFonts w:cs="宋体"/>
          <w:b/>
          <w:bCs/>
        </w:rPr>
        <w:t>、存货</w:t>
      </w:r>
      <w:bookmarkEnd w:id="234"/>
    </w:p>
    <w:p w14:paraId="5FCC9E3A" w14:textId="77777777" w:rsidR="007B3DB2" w:rsidRPr="0063248C" w:rsidRDefault="00000000">
      <w:pPr>
        <w:spacing w:line="240" w:lineRule="exact"/>
        <w:rPr>
          <w:rFonts w:cs="宋体"/>
          <w:sz w:val="18"/>
          <w:szCs w:val="18"/>
        </w:rPr>
      </w:pPr>
      <w:r w:rsidRPr="0063248C">
        <w:rPr>
          <w:rFonts w:cs="宋体"/>
          <w:sz w:val="18"/>
          <w:szCs w:val="18"/>
        </w:rPr>
        <w:t>公司是否需要遵守房地产行业的披露要求</w:t>
      </w:r>
    </w:p>
    <w:p w14:paraId="47DF0776" w14:textId="77777777" w:rsidR="007B3DB2" w:rsidRPr="0063248C" w:rsidRDefault="00000000">
      <w:pPr>
        <w:spacing w:line="240" w:lineRule="exact"/>
        <w:rPr>
          <w:rFonts w:cs="宋体"/>
          <w:sz w:val="18"/>
          <w:szCs w:val="18"/>
        </w:rPr>
      </w:pPr>
      <w:proofErr w:type="gramStart"/>
      <w:r w:rsidRPr="0063248C">
        <w:rPr>
          <w:rFonts w:cs="宋体"/>
          <w:sz w:val="18"/>
          <w:szCs w:val="18"/>
        </w:rPr>
        <w:t>否</w:t>
      </w:r>
      <w:proofErr w:type="gramEnd"/>
    </w:p>
    <w:p w14:paraId="522E2563" w14:textId="77777777" w:rsidR="007B3DB2" w:rsidRPr="0063248C" w:rsidRDefault="00000000">
      <w:pPr>
        <w:keepNext/>
        <w:keepLines/>
        <w:spacing w:before="300" w:after="300" w:line="280" w:lineRule="exact"/>
        <w:outlineLvl w:val="3"/>
        <w:rPr>
          <w:rFonts w:cs="宋体"/>
          <w:b/>
          <w:bCs/>
          <w:szCs w:val="21"/>
        </w:rPr>
      </w:pPr>
      <w:bookmarkStart w:id="235" w:name="_Toc989124"/>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存货分类</w:t>
      </w:r>
      <w:bookmarkEnd w:id="235"/>
    </w:p>
    <w:p w14:paraId="4F5D39E7"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942"/>
        <w:gridCol w:w="1417"/>
        <w:gridCol w:w="1772"/>
        <w:gridCol w:w="1377"/>
        <w:gridCol w:w="1377"/>
        <w:gridCol w:w="1377"/>
        <w:gridCol w:w="1377"/>
      </w:tblGrid>
      <w:tr w:rsidR="007B3DB2" w:rsidRPr="0063248C" w14:paraId="60C8CD7D" w14:textId="77777777" w:rsidTr="00760A54">
        <w:trPr>
          <w:trHeight w:val="240"/>
        </w:trPr>
        <w:tc>
          <w:tcPr>
            <w:tcW w:w="9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683452F" w14:textId="77777777" w:rsidR="007B3DB2" w:rsidRPr="0063248C" w:rsidRDefault="00000000">
            <w:pPr>
              <w:spacing w:before="40" w:after="40" w:line="240" w:lineRule="exact"/>
              <w:jc w:val="center"/>
              <w:rPr>
                <w:rFonts w:cs="宋体"/>
                <w:sz w:val="18"/>
                <w:szCs w:val="18"/>
              </w:rPr>
            </w:pPr>
            <w:r w:rsidRPr="0063248C">
              <w:rPr>
                <w:rFonts w:cs="宋体"/>
                <w:sz w:val="18"/>
                <w:szCs w:val="18"/>
              </w:rPr>
              <w:lastRenderedPageBreak/>
              <w:t>项目</w:t>
            </w:r>
          </w:p>
        </w:tc>
        <w:tc>
          <w:tcPr>
            <w:tcW w:w="45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501F5FD"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746C38D"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67019ED1" w14:textId="77777777" w:rsidTr="00760A54">
        <w:trPr>
          <w:trHeight w:val="240"/>
        </w:trPr>
        <w:tc>
          <w:tcPr>
            <w:tcW w:w="94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2802960" w14:textId="77777777" w:rsidR="007B3DB2" w:rsidRPr="0063248C" w:rsidRDefault="007B3DB2"/>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59C0101B"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772" w:type="dxa"/>
            <w:tcBorders>
              <w:top w:val="single" w:sz="2" w:space="0" w:color="auto"/>
              <w:left w:val="single" w:sz="2" w:space="0" w:color="auto"/>
              <w:bottom w:val="single" w:sz="2" w:space="0" w:color="auto"/>
              <w:right w:val="single" w:sz="2" w:space="0" w:color="auto"/>
            </w:tcBorders>
            <w:shd w:val="clear" w:color="auto" w:fill="D3D3D3"/>
            <w:vAlign w:val="center"/>
          </w:tcPr>
          <w:p w14:paraId="3836B98B" w14:textId="77777777" w:rsidR="007B3DB2" w:rsidRPr="0063248C" w:rsidRDefault="00000000">
            <w:pPr>
              <w:spacing w:before="40" w:after="40" w:line="240" w:lineRule="exact"/>
              <w:jc w:val="center"/>
              <w:rPr>
                <w:rFonts w:cs="宋体"/>
                <w:sz w:val="18"/>
                <w:szCs w:val="18"/>
              </w:rPr>
            </w:pPr>
            <w:r w:rsidRPr="0063248C">
              <w:rPr>
                <w:rFonts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678EC41"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80C3C87"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87AC263" w14:textId="77777777" w:rsidR="007B3DB2" w:rsidRPr="0063248C" w:rsidRDefault="00000000">
            <w:pPr>
              <w:spacing w:before="40" w:after="40" w:line="240" w:lineRule="exact"/>
              <w:jc w:val="center"/>
              <w:rPr>
                <w:rFonts w:cs="宋体"/>
                <w:sz w:val="18"/>
                <w:szCs w:val="18"/>
              </w:rPr>
            </w:pPr>
            <w:r w:rsidRPr="0063248C">
              <w:rPr>
                <w:rFonts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8802468"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r>
      <w:tr w:rsidR="007B3DB2" w:rsidRPr="0063248C" w14:paraId="55213584" w14:textId="77777777" w:rsidTr="00760A54">
        <w:trPr>
          <w:trHeight w:val="240"/>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4436ADA3" w14:textId="77777777" w:rsidR="007B3DB2" w:rsidRPr="0063248C" w:rsidRDefault="00000000">
            <w:pPr>
              <w:spacing w:before="40" w:after="40" w:line="240" w:lineRule="exact"/>
              <w:rPr>
                <w:rFonts w:cs="宋体"/>
                <w:sz w:val="18"/>
                <w:szCs w:val="18"/>
              </w:rPr>
            </w:pPr>
            <w:r w:rsidRPr="0063248C">
              <w:rPr>
                <w:rFonts w:cs="宋体"/>
                <w:sz w:val="18"/>
                <w:szCs w:val="18"/>
              </w:rPr>
              <w:t>原材料</w:t>
            </w:r>
          </w:p>
        </w:tc>
        <w:tc>
          <w:tcPr>
            <w:tcW w:w="1417" w:type="dxa"/>
            <w:tcBorders>
              <w:top w:val="single" w:sz="2" w:space="0" w:color="auto"/>
              <w:left w:val="single" w:sz="2" w:space="0" w:color="auto"/>
              <w:bottom w:val="single" w:sz="2" w:space="0" w:color="auto"/>
              <w:right w:val="single" w:sz="2" w:space="0" w:color="auto"/>
            </w:tcBorders>
            <w:vAlign w:val="center"/>
          </w:tcPr>
          <w:p w14:paraId="00B02DC5" w14:textId="77777777" w:rsidR="007B3DB2" w:rsidRPr="0063248C" w:rsidRDefault="00000000">
            <w:pPr>
              <w:spacing w:line="240" w:lineRule="exact"/>
              <w:jc w:val="right"/>
              <w:rPr>
                <w:rFonts w:cs="宋体"/>
                <w:sz w:val="18"/>
                <w:szCs w:val="18"/>
              </w:rPr>
            </w:pPr>
            <w:r w:rsidRPr="0063248C">
              <w:rPr>
                <w:rFonts w:cs="宋体"/>
                <w:sz w:val="18"/>
                <w:szCs w:val="18"/>
              </w:rPr>
              <w:t>188,239,804.37</w:t>
            </w:r>
          </w:p>
        </w:tc>
        <w:tc>
          <w:tcPr>
            <w:tcW w:w="1772" w:type="dxa"/>
            <w:tcBorders>
              <w:top w:val="single" w:sz="2" w:space="0" w:color="auto"/>
              <w:left w:val="single" w:sz="2" w:space="0" w:color="auto"/>
              <w:bottom w:val="single" w:sz="2" w:space="0" w:color="auto"/>
              <w:right w:val="single" w:sz="2" w:space="0" w:color="auto"/>
            </w:tcBorders>
            <w:vAlign w:val="center"/>
          </w:tcPr>
          <w:p w14:paraId="01D89318" w14:textId="77777777" w:rsidR="007B3DB2" w:rsidRPr="0063248C" w:rsidRDefault="00000000">
            <w:pPr>
              <w:spacing w:line="240" w:lineRule="exact"/>
              <w:jc w:val="right"/>
              <w:rPr>
                <w:rFonts w:cs="宋体"/>
                <w:sz w:val="18"/>
                <w:szCs w:val="18"/>
              </w:rPr>
            </w:pPr>
            <w:r w:rsidRPr="0063248C">
              <w:rPr>
                <w:rFonts w:cs="宋体"/>
                <w:sz w:val="18"/>
                <w:szCs w:val="18"/>
              </w:rPr>
              <w:t>8,835,738.57</w:t>
            </w:r>
          </w:p>
        </w:tc>
        <w:tc>
          <w:tcPr>
            <w:tcW w:w="1377" w:type="dxa"/>
            <w:tcBorders>
              <w:top w:val="single" w:sz="2" w:space="0" w:color="auto"/>
              <w:left w:val="single" w:sz="2" w:space="0" w:color="auto"/>
              <w:bottom w:val="single" w:sz="2" w:space="0" w:color="auto"/>
              <w:right w:val="single" w:sz="2" w:space="0" w:color="auto"/>
            </w:tcBorders>
            <w:vAlign w:val="center"/>
          </w:tcPr>
          <w:p w14:paraId="6C8FBFDB" w14:textId="77777777" w:rsidR="007B3DB2" w:rsidRPr="0063248C" w:rsidRDefault="00000000">
            <w:pPr>
              <w:spacing w:line="240" w:lineRule="exact"/>
              <w:jc w:val="right"/>
              <w:rPr>
                <w:rFonts w:cs="宋体"/>
                <w:sz w:val="18"/>
                <w:szCs w:val="18"/>
              </w:rPr>
            </w:pPr>
            <w:r w:rsidRPr="0063248C">
              <w:rPr>
                <w:rFonts w:cs="宋体"/>
                <w:sz w:val="18"/>
                <w:szCs w:val="18"/>
              </w:rPr>
              <w:t>179,404,065.80</w:t>
            </w:r>
          </w:p>
        </w:tc>
        <w:tc>
          <w:tcPr>
            <w:tcW w:w="1377" w:type="dxa"/>
            <w:tcBorders>
              <w:top w:val="single" w:sz="2" w:space="0" w:color="auto"/>
              <w:left w:val="single" w:sz="2" w:space="0" w:color="auto"/>
              <w:bottom w:val="single" w:sz="2" w:space="0" w:color="auto"/>
              <w:right w:val="single" w:sz="2" w:space="0" w:color="auto"/>
            </w:tcBorders>
            <w:vAlign w:val="center"/>
          </w:tcPr>
          <w:p w14:paraId="61C02C7A" w14:textId="77777777" w:rsidR="007B3DB2" w:rsidRPr="0063248C" w:rsidRDefault="00000000">
            <w:pPr>
              <w:spacing w:line="240" w:lineRule="exact"/>
              <w:jc w:val="right"/>
              <w:rPr>
                <w:rFonts w:cs="宋体"/>
                <w:sz w:val="18"/>
                <w:szCs w:val="18"/>
              </w:rPr>
            </w:pPr>
            <w:r w:rsidRPr="0063248C">
              <w:rPr>
                <w:rFonts w:cs="宋体"/>
                <w:sz w:val="18"/>
                <w:szCs w:val="18"/>
              </w:rPr>
              <w:t>231,383,304.40</w:t>
            </w:r>
          </w:p>
        </w:tc>
        <w:tc>
          <w:tcPr>
            <w:tcW w:w="1377" w:type="dxa"/>
            <w:tcBorders>
              <w:top w:val="single" w:sz="2" w:space="0" w:color="auto"/>
              <w:left w:val="single" w:sz="2" w:space="0" w:color="auto"/>
              <w:bottom w:val="single" w:sz="2" w:space="0" w:color="auto"/>
              <w:right w:val="single" w:sz="2" w:space="0" w:color="auto"/>
            </w:tcBorders>
            <w:vAlign w:val="center"/>
          </w:tcPr>
          <w:p w14:paraId="247735D7" w14:textId="77777777" w:rsidR="007B3DB2" w:rsidRPr="0063248C" w:rsidRDefault="00000000">
            <w:pPr>
              <w:spacing w:line="240" w:lineRule="exact"/>
              <w:jc w:val="right"/>
              <w:rPr>
                <w:rFonts w:cs="宋体"/>
                <w:sz w:val="18"/>
                <w:szCs w:val="18"/>
              </w:rPr>
            </w:pPr>
            <w:r w:rsidRPr="0063248C">
              <w:rPr>
                <w:rFonts w:cs="宋体"/>
                <w:sz w:val="18"/>
                <w:szCs w:val="18"/>
              </w:rPr>
              <w:t>23,095,708.90</w:t>
            </w:r>
          </w:p>
        </w:tc>
        <w:tc>
          <w:tcPr>
            <w:tcW w:w="1377" w:type="dxa"/>
            <w:tcBorders>
              <w:top w:val="single" w:sz="2" w:space="0" w:color="auto"/>
              <w:left w:val="single" w:sz="2" w:space="0" w:color="auto"/>
              <w:bottom w:val="single" w:sz="2" w:space="0" w:color="auto"/>
              <w:right w:val="single" w:sz="2" w:space="0" w:color="auto"/>
            </w:tcBorders>
            <w:vAlign w:val="center"/>
          </w:tcPr>
          <w:p w14:paraId="0C5933B4" w14:textId="77777777" w:rsidR="007B3DB2" w:rsidRPr="0063248C" w:rsidRDefault="00000000">
            <w:pPr>
              <w:spacing w:line="240" w:lineRule="exact"/>
              <w:jc w:val="right"/>
              <w:rPr>
                <w:rFonts w:cs="宋体"/>
                <w:sz w:val="18"/>
                <w:szCs w:val="18"/>
              </w:rPr>
            </w:pPr>
            <w:r w:rsidRPr="0063248C">
              <w:rPr>
                <w:rFonts w:cs="宋体"/>
                <w:sz w:val="18"/>
                <w:szCs w:val="18"/>
              </w:rPr>
              <w:t>208,287,595.50</w:t>
            </w:r>
          </w:p>
        </w:tc>
      </w:tr>
      <w:tr w:rsidR="007B3DB2" w:rsidRPr="0063248C" w14:paraId="463FB580" w14:textId="77777777" w:rsidTr="00760A54">
        <w:trPr>
          <w:trHeight w:val="240"/>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760EDA79" w14:textId="77777777" w:rsidR="007B3DB2" w:rsidRPr="0063248C" w:rsidRDefault="00000000">
            <w:pPr>
              <w:spacing w:before="40" w:after="40" w:line="240" w:lineRule="exact"/>
              <w:rPr>
                <w:rFonts w:cs="宋体"/>
                <w:sz w:val="18"/>
                <w:szCs w:val="18"/>
              </w:rPr>
            </w:pPr>
            <w:r w:rsidRPr="0063248C">
              <w:rPr>
                <w:rFonts w:cs="宋体"/>
                <w:sz w:val="18"/>
                <w:szCs w:val="18"/>
              </w:rPr>
              <w:t>在产品</w:t>
            </w:r>
          </w:p>
        </w:tc>
        <w:tc>
          <w:tcPr>
            <w:tcW w:w="1417" w:type="dxa"/>
            <w:tcBorders>
              <w:top w:val="single" w:sz="2" w:space="0" w:color="auto"/>
              <w:left w:val="single" w:sz="2" w:space="0" w:color="auto"/>
              <w:bottom w:val="single" w:sz="2" w:space="0" w:color="auto"/>
              <w:right w:val="single" w:sz="2" w:space="0" w:color="auto"/>
            </w:tcBorders>
            <w:vAlign w:val="center"/>
          </w:tcPr>
          <w:p w14:paraId="32E045C6" w14:textId="77777777" w:rsidR="007B3DB2" w:rsidRPr="0063248C" w:rsidRDefault="00000000">
            <w:pPr>
              <w:spacing w:line="240" w:lineRule="exact"/>
              <w:jc w:val="right"/>
              <w:rPr>
                <w:rFonts w:cs="宋体"/>
                <w:sz w:val="18"/>
                <w:szCs w:val="18"/>
              </w:rPr>
            </w:pPr>
            <w:r w:rsidRPr="0063248C">
              <w:rPr>
                <w:rFonts w:cs="宋体"/>
                <w:sz w:val="18"/>
                <w:szCs w:val="18"/>
              </w:rPr>
              <w:t>37,972,535.95</w:t>
            </w:r>
          </w:p>
        </w:tc>
        <w:tc>
          <w:tcPr>
            <w:tcW w:w="1772" w:type="dxa"/>
            <w:tcBorders>
              <w:top w:val="single" w:sz="2" w:space="0" w:color="auto"/>
              <w:left w:val="single" w:sz="2" w:space="0" w:color="auto"/>
              <w:bottom w:val="single" w:sz="2" w:space="0" w:color="auto"/>
              <w:right w:val="single" w:sz="2" w:space="0" w:color="auto"/>
            </w:tcBorders>
            <w:vAlign w:val="center"/>
          </w:tcPr>
          <w:p w14:paraId="60E1937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E35AEE" w14:textId="77777777" w:rsidR="007B3DB2" w:rsidRPr="0063248C" w:rsidRDefault="00000000">
            <w:pPr>
              <w:spacing w:line="240" w:lineRule="exact"/>
              <w:jc w:val="right"/>
              <w:rPr>
                <w:rFonts w:cs="宋体"/>
                <w:sz w:val="18"/>
                <w:szCs w:val="18"/>
              </w:rPr>
            </w:pPr>
            <w:r w:rsidRPr="0063248C">
              <w:rPr>
                <w:rFonts w:cs="宋体"/>
                <w:sz w:val="18"/>
                <w:szCs w:val="18"/>
              </w:rPr>
              <w:t>37,972,535.95</w:t>
            </w:r>
          </w:p>
        </w:tc>
        <w:tc>
          <w:tcPr>
            <w:tcW w:w="1377" w:type="dxa"/>
            <w:tcBorders>
              <w:top w:val="single" w:sz="2" w:space="0" w:color="auto"/>
              <w:left w:val="single" w:sz="2" w:space="0" w:color="auto"/>
              <w:bottom w:val="single" w:sz="2" w:space="0" w:color="auto"/>
              <w:right w:val="single" w:sz="2" w:space="0" w:color="auto"/>
            </w:tcBorders>
            <w:vAlign w:val="center"/>
          </w:tcPr>
          <w:p w14:paraId="55242B5C" w14:textId="77777777" w:rsidR="007B3DB2" w:rsidRPr="0063248C" w:rsidRDefault="00000000">
            <w:pPr>
              <w:spacing w:line="240" w:lineRule="exact"/>
              <w:jc w:val="right"/>
              <w:rPr>
                <w:rFonts w:cs="宋体"/>
                <w:sz w:val="18"/>
                <w:szCs w:val="18"/>
              </w:rPr>
            </w:pPr>
            <w:r w:rsidRPr="0063248C">
              <w:rPr>
                <w:rFonts w:cs="宋体"/>
                <w:sz w:val="18"/>
                <w:szCs w:val="18"/>
              </w:rPr>
              <w:t>44,160,925.74</w:t>
            </w:r>
          </w:p>
        </w:tc>
        <w:tc>
          <w:tcPr>
            <w:tcW w:w="1377" w:type="dxa"/>
            <w:tcBorders>
              <w:top w:val="single" w:sz="2" w:space="0" w:color="auto"/>
              <w:left w:val="single" w:sz="2" w:space="0" w:color="auto"/>
              <w:bottom w:val="single" w:sz="2" w:space="0" w:color="auto"/>
              <w:right w:val="single" w:sz="2" w:space="0" w:color="auto"/>
            </w:tcBorders>
            <w:vAlign w:val="center"/>
          </w:tcPr>
          <w:p w14:paraId="67A04C86"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0BA4A44C" w14:textId="77777777" w:rsidR="007B3DB2" w:rsidRPr="0063248C" w:rsidRDefault="00000000">
            <w:pPr>
              <w:spacing w:line="240" w:lineRule="exact"/>
              <w:jc w:val="right"/>
              <w:rPr>
                <w:rFonts w:cs="宋体"/>
                <w:sz w:val="18"/>
                <w:szCs w:val="18"/>
              </w:rPr>
            </w:pPr>
            <w:r w:rsidRPr="0063248C">
              <w:rPr>
                <w:rFonts w:cs="宋体"/>
                <w:sz w:val="18"/>
                <w:szCs w:val="18"/>
              </w:rPr>
              <w:t>44,160,925.74</w:t>
            </w:r>
          </w:p>
        </w:tc>
      </w:tr>
      <w:tr w:rsidR="007B3DB2" w:rsidRPr="0063248C" w14:paraId="3A278A87" w14:textId="77777777" w:rsidTr="00760A54">
        <w:trPr>
          <w:trHeight w:val="240"/>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1522CAB1" w14:textId="77777777" w:rsidR="007B3DB2" w:rsidRPr="0063248C" w:rsidRDefault="00000000">
            <w:pPr>
              <w:spacing w:before="40" w:after="40" w:line="240" w:lineRule="exact"/>
              <w:rPr>
                <w:rFonts w:cs="宋体"/>
                <w:sz w:val="18"/>
                <w:szCs w:val="18"/>
              </w:rPr>
            </w:pPr>
            <w:r w:rsidRPr="0063248C">
              <w:rPr>
                <w:rFonts w:cs="宋体"/>
                <w:sz w:val="18"/>
                <w:szCs w:val="18"/>
              </w:rPr>
              <w:t>库存商品</w:t>
            </w:r>
          </w:p>
        </w:tc>
        <w:tc>
          <w:tcPr>
            <w:tcW w:w="1417" w:type="dxa"/>
            <w:tcBorders>
              <w:top w:val="single" w:sz="2" w:space="0" w:color="auto"/>
              <w:left w:val="single" w:sz="2" w:space="0" w:color="auto"/>
              <w:bottom w:val="single" w:sz="2" w:space="0" w:color="auto"/>
              <w:right w:val="single" w:sz="2" w:space="0" w:color="auto"/>
            </w:tcBorders>
            <w:vAlign w:val="center"/>
          </w:tcPr>
          <w:p w14:paraId="72C69DF2" w14:textId="77777777" w:rsidR="007B3DB2" w:rsidRPr="0063248C" w:rsidRDefault="00000000">
            <w:pPr>
              <w:spacing w:line="240" w:lineRule="exact"/>
              <w:jc w:val="right"/>
              <w:rPr>
                <w:rFonts w:cs="宋体"/>
                <w:sz w:val="18"/>
                <w:szCs w:val="18"/>
              </w:rPr>
            </w:pPr>
            <w:r w:rsidRPr="0063248C">
              <w:rPr>
                <w:rFonts w:cs="宋体"/>
                <w:sz w:val="18"/>
                <w:szCs w:val="18"/>
              </w:rPr>
              <w:t>830,142,625.40</w:t>
            </w:r>
          </w:p>
        </w:tc>
        <w:tc>
          <w:tcPr>
            <w:tcW w:w="1772" w:type="dxa"/>
            <w:tcBorders>
              <w:top w:val="single" w:sz="2" w:space="0" w:color="auto"/>
              <w:left w:val="single" w:sz="2" w:space="0" w:color="auto"/>
              <w:bottom w:val="single" w:sz="2" w:space="0" w:color="auto"/>
              <w:right w:val="single" w:sz="2" w:space="0" w:color="auto"/>
            </w:tcBorders>
            <w:vAlign w:val="center"/>
          </w:tcPr>
          <w:p w14:paraId="48A64F37" w14:textId="77777777" w:rsidR="007B3DB2" w:rsidRPr="0063248C" w:rsidRDefault="00000000">
            <w:pPr>
              <w:spacing w:line="240" w:lineRule="exact"/>
              <w:jc w:val="right"/>
              <w:rPr>
                <w:rFonts w:cs="宋体"/>
                <w:sz w:val="18"/>
                <w:szCs w:val="18"/>
              </w:rPr>
            </w:pPr>
            <w:r w:rsidRPr="0063248C">
              <w:rPr>
                <w:rFonts w:cs="宋体"/>
                <w:sz w:val="18"/>
                <w:szCs w:val="18"/>
              </w:rPr>
              <w:t>111,661,179.03</w:t>
            </w:r>
          </w:p>
        </w:tc>
        <w:tc>
          <w:tcPr>
            <w:tcW w:w="1377" w:type="dxa"/>
            <w:tcBorders>
              <w:top w:val="single" w:sz="2" w:space="0" w:color="auto"/>
              <w:left w:val="single" w:sz="2" w:space="0" w:color="auto"/>
              <w:bottom w:val="single" w:sz="2" w:space="0" w:color="auto"/>
              <w:right w:val="single" w:sz="2" w:space="0" w:color="auto"/>
            </w:tcBorders>
            <w:vAlign w:val="center"/>
          </w:tcPr>
          <w:p w14:paraId="2F39C607" w14:textId="77777777" w:rsidR="007B3DB2" w:rsidRPr="0063248C" w:rsidRDefault="00000000">
            <w:pPr>
              <w:spacing w:line="240" w:lineRule="exact"/>
              <w:jc w:val="right"/>
              <w:rPr>
                <w:rFonts w:cs="宋体"/>
                <w:sz w:val="18"/>
                <w:szCs w:val="18"/>
              </w:rPr>
            </w:pPr>
            <w:r w:rsidRPr="0063248C">
              <w:rPr>
                <w:rFonts w:cs="宋体"/>
                <w:sz w:val="18"/>
                <w:szCs w:val="18"/>
              </w:rPr>
              <w:t>718,481,446.37</w:t>
            </w:r>
          </w:p>
        </w:tc>
        <w:tc>
          <w:tcPr>
            <w:tcW w:w="1377" w:type="dxa"/>
            <w:tcBorders>
              <w:top w:val="single" w:sz="2" w:space="0" w:color="auto"/>
              <w:left w:val="single" w:sz="2" w:space="0" w:color="auto"/>
              <w:bottom w:val="single" w:sz="2" w:space="0" w:color="auto"/>
              <w:right w:val="single" w:sz="2" w:space="0" w:color="auto"/>
            </w:tcBorders>
            <w:vAlign w:val="center"/>
          </w:tcPr>
          <w:p w14:paraId="566EB43D" w14:textId="77777777" w:rsidR="007B3DB2" w:rsidRPr="0063248C" w:rsidRDefault="00000000">
            <w:pPr>
              <w:spacing w:line="240" w:lineRule="exact"/>
              <w:jc w:val="right"/>
              <w:rPr>
                <w:rFonts w:cs="宋体"/>
                <w:sz w:val="18"/>
                <w:szCs w:val="18"/>
              </w:rPr>
            </w:pPr>
            <w:r w:rsidRPr="0063248C">
              <w:rPr>
                <w:rFonts w:cs="宋体"/>
                <w:sz w:val="18"/>
                <w:szCs w:val="18"/>
              </w:rPr>
              <w:t>893,297,556.72</w:t>
            </w:r>
          </w:p>
        </w:tc>
        <w:tc>
          <w:tcPr>
            <w:tcW w:w="1377" w:type="dxa"/>
            <w:tcBorders>
              <w:top w:val="single" w:sz="2" w:space="0" w:color="auto"/>
              <w:left w:val="single" w:sz="2" w:space="0" w:color="auto"/>
              <w:bottom w:val="single" w:sz="2" w:space="0" w:color="auto"/>
              <w:right w:val="single" w:sz="2" w:space="0" w:color="auto"/>
            </w:tcBorders>
            <w:vAlign w:val="center"/>
          </w:tcPr>
          <w:p w14:paraId="70055CC0" w14:textId="77777777" w:rsidR="007B3DB2" w:rsidRPr="0063248C" w:rsidRDefault="00000000">
            <w:pPr>
              <w:spacing w:line="240" w:lineRule="exact"/>
              <w:jc w:val="right"/>
              <w:rPr>
                <w:rFonts w:cs="宋体"/>
                <w:sz w:val="18"/>
                <w:szCs w:val="18"/>
              </w:rPr>
            </w:pPr>
            <w:r w:rsidRPr="0063248C">
              <w:rPr>
                <w:rFonts w:cs="宋体"/>
                <w:sz w:val="18"/>
                <w:szCs w:val="18"/>
              </w:rPr>
              <w:t>224,303,709.10</w:t>
            </w:r>
          </w:p>
        </w:tc>
        <w:tc>
          <w:tcPr>
            <w:tcW w:w="1377" w:type="dxa"/>
            <w:tcBorders>
              <w:top w:val="single" w:sz="2" w:space="0" w:color="auto"/>
              <w:left w:val="single" w:sz="2" w:space="0" w:color="auto"/>
              <w:bottom w:val="single" w:sz="2" w:space="0" w:color="auto"/>
              <w:right w:val="single" w:sz="2" w:space="0" w:color="auto"/>
            </w:tcBorders>
            <w:vAlign w:val="center"/>
          </w:tcPr>
          <w:p w14:paraId="18C434BA" w14:textId="77777777" w:rsidR="007B3DB2" w:rsidRPr="0063248C" w:rsidRDefault="00000000">
            <w:pPr>
              <w:spacing w:line="240" w:lineRule="exact"/>
              <w:jc w:val="right"/>
              <w:rPr>
                <w:rFonts w:cs="宋体"/>
                <w:sz w:val="18"/>
                <w:szCs w:val="18"/>
              </w:rPr>
            </w:pPr>
            <w:r w:rsidRPr="0063248C">
              <w:rPr>
                <w:rFonts w:cs="宋体"/>
                <w:sz w:val="18"/>
                <w:szCs w:val="18"/>
              </w:rPr>
              <w:t>668,993,847.62</w:t>
            </w:r>
          </w:p>
        </w:tc>
      </w:tr>
      <w:tr w:rsidR="007B3DB2" w:rsidRPr="0063248C" w14:paraId="62D42668" w14:textId="77777777" w:rsidTr="00760A54">
        <w:trPr>
          <w:trHeight w:val="240"/>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19FA3769" w14:textId="77777777" w:rsidR="007B3DB2" w:rsidRPr="0063248C" w:rsidRDefault="00000000">
            <w:pPr>
              <w:spacing w:before="40" w:after="40" w:line="240" w:lineRule="exact"/>
              <w:rPr>
                <w:rFonts w:cs="宋体"/>
                <w:sz w:val="18"/>
                <w:szCs w:val="18"/>
              </w:rPr>
            </w:pPr>
            <w:r w:rsidRPr="0063248C">
              <w:rPr>
                <w:rFonts w:cs="宋体"/>
                <w:sz w:val="18"/>
                <w:szCs w:val="18"/>
              </w:rPr>
              <w:t>消耗性生物资产</w:t>
            </w:r>
          </w:p>
        </w:tc>
        <w:tc>
          <w:tcPr>
            <w:tcW w:w="1417" w:type="dxa"/>
            <w:tcBorders>
              <w:top w:val="single" w:sz="2" w:space="0" w:color="auto"/>
              <w:left w:val="single" w:sz="2" w:space="0" w:color="auto"/>
              <w:bottom w:val="single" w:sz="2" w:space="0" w:color="auto"/>
              <w:right w:val="single" w:sz="2" w:space="0" w:color="auto"/>
            </w:tcBorders>
            <w:vAlign w:val="center"/>
          </w:tcPr>
          <w:p w14:paraId="2F2C6CDF" w14:textId="77777777" w:rsidR="007B3DB2" w:rsidRPr="0063248C" w:rsidRDefault="00000000">
            <w:pPr>
              <w:spacing w:line="240" w:lineRule="exact"/>
              <w:jc w:val="right"/>
              <w:rPr>
                <w:rFonts w:cs="宋体"/>
                <w:sz w:val="18"/>
                <w:szCs w:val="18"/>
              </w:rPr>
            </w:pPr>
            <w:r w:rsidRPr="0063248C">
              <w:rPr>
                <w:rFonts w:cs="宋体"/>
                <w:sz w:val="18"/>
                <w:szCs w:val="18"/>
              </w:rPr>
              <w:t>180,190,884.55</w:t>
            </w:r>
          </w:p>
        </w:tc>
        <w:tc>
          <w:tcPr>
            <w:tcW w:w="1772" w:type="dxa"/>
            <w:tcBorders>
              <w:top w:val="single" w:sz="2" w:space="0" w:color="auto"/>
              <w:left w:val="single" w:sz="2" w:space="0" w:color="auto"/>
              <w:bottom w:val="single" w:sz="2" w:space="0" w:color="auto"/>
              <w:right w:val="single" w:sz="2" w:space="0" w:color="auto"/>
            </w:tcBorders>
            <w:vAlign w:val="center"/>
          </w:tcPr>
          <w:p w14:paraId="5659638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4D0F6F" w14:textId="77777777" w:rsidR="007B3DB2" w:rsidRPr="0063248C" w:rsidRDefault="00000000">
            <w:pPr>
              <w:spacing w:line="240" w:lineRule="exact"/>
              <w:jc w:val="right"/>
              <w:rPr>
                <w:rFonts w:cs="宋体"/>
                <w:sz w:val="18"/>
                <w:szCs w:val="18"/>
              </w:rPr>
            </w:pPr>
            <w:r w:rsidRPr="0063248C">
              <w:rPr>
                <w:rFonts w:cs="宋体"/>
                <w:sz w:val="18"/>
                <w:szCs w:val="18"/>
              </w:rPr>
              <w:t>180,190,884.55</w:t>
            </w:r>
          </w:p>
        </w:tc>
        <w:tc>
          <w:tcPr>
            <w:tcW w:w="1377" w:type="dxa"/>
            <w:tcBorders>
              <w:top w:val="single" w:sz="2" w:space="0" w:color="auto"/>
              <w:left w:val="single" w:sz="2" w:space="0" w:color="auto"/>
              <w:bottom w:val="single" w:sz="2" w:space="0" w:color="auto"/>
              <w:right w:val="single" w:sz="2" w:space="0" w:color="auto"/>
            </w:tcBorders>
            <w:vAlign w:val="center"/>
          </w:tcPr>
          <w:p w14:paraId="2D55EECA" w14:textId="77777777" w:rsidR="007B3DB2" w:rsidRPr="0063248C" w:rsidRDefault="00000000">
            <w:pPr>
              <w:spacing w:line="240" w:lineRule="exact"/>
              <w:jc w:val="right"/>
              <w:rPr>
                <w:rFonts w:cs="宋体"/>
                <w:sz w:val="18"/>
                <w:szCs w:val="18"/>
              </w:rPr>
            </w:pPr>
            <w:r w:rsidRPr="0063248C">
              <w:rPr>
                <w:rFonts w:cs="宋体"/>
                <w:sz w:val="18"/>
                <w:szCs w:val="18"/>
              </w:rPr>
              <w:t>106,699,072.22</w:t>
            </w:r>
          </w:p>
        </w:tc>
        <w:tc>
          <w:tcPr>
            <w:tcW w:w="1377" w:type="dxa"/>
            <w:tcBorders>
              <w:top w:val="single" w:sz="2" w:space="0" w:color="auto"/>
              <w:left w:val="single" w:sz="2" w:space="0" w:color="auto"/>
              <w:bottom w:val="single" w:sz="2" w:space="0" w:color="auto"/>
              <w:right w:val="single" w:sz="2" w:space="0" w:color="auto"/>
            </w:tcBorders>
            <w:vAlign w:val="center"/>
          </w:tcPr>
          <w:p w14:paraId="54B69093" w14:textId="77777777" w:rsidR="007B3DB2" w:rsidRPr="0063248C" w:rsidRDefault="00000000">
            <w:pPr>
              <w:spacing w:line="240" w:lineRule="exact"/>
              <w:jc w:val="right"/>
              <w:rPr>
                <w:rFonts w:cs="宋体"/>
                <w:sz w:val="18"/>
                <w:szCs w:val="18"/>
              </w:rPr>
            </w:pPr>
            <w:r w:rsidRPr="0063248C">
              <w:rPr>
                <w:rFonts w:cs="宋体"/>
                <w:sz w:val="18"/>
                <w:szCs w:val="18"/>
              </w:rPr>
              <w:t>36,305,934.88</w:t>
            </w:r>
          </w:p>
        </w:tc>
        <w:tc>
          <w:tcPr>
            <w:tcW w:w="1377" w:type="dxa"/>
            <w:tcBorders>
              <w:top w:val="single" w:sz="2" w:space="0" w:color="auto"/>
              <w:left w:val="single" w:sz="2" w:space="0" w:color="auto"/>
              <w:bottom w:val="single" w:sz="2" w:space="0" w:color="auto"/>
              <w:right w:val="single" w:sz="2" w:space="0" w:color="auto"/>
            </w:tcBorders>
            <w:vAlign w:val="center"/>
          </w:tcPr>
          <w:p w14:paraId="7AD54565" w14:textId="77777777" w:rsidR="007B3DB2" w:rsidRPr="0063248C" w:rsidRDefault="00000000">
            <w:pPr>
              <w:spacing w:line="240" w:lineRule="exact"/>
              <w:jc w:val="right"/>
              <w:rPr>
                <w:rFonts w:cs="宋体"/>
                <w:sz w:val="18"/>
                <w:szCs w:val="18"/>
              </w:rPr>
            </w:pPr>
            <w:r w:rsidRPr="0063248C">
              <w:rPr>
                <w:rFonts w:cs="宋体"/>
                <w:sz w:val="18"/>
                <w:szCs w:val="18"/>
              </w:rPr>
              <w:t>70,393,137.34</w:t>
            </w:r>
          </w:p>
        </w:tc>
      </w:tr>
      <w:tr w:rsidR="007B3DB2" w:rsidRPr="0063248C" w14:paraId="0FB6A877" w14:textId="77777777" w:rsidTr="00760A54">
        <w:trPr>
          <w:trHeight w:val="240"/>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7FD24137"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417" w:type="dxa"/>
            <w:tcBorders>
              <w:top w:val="single" w:sz="2" w:space="0" w:color="auto"/>
              <w:left w:val="single" w:sz="2" w:space="0" w:color="auto"/>
              <w:bottom w:val="single" w:sz="2" w:space="0" w:color="auto"/>
              <w:right w:val="single" w:sz="2" w:space="0" w:color="auto"/>
            </w:tcBorders>
            <w:vAlign w:val="center"/>
          </w:tcPr>
          <w:p w14:paraId="401CC83A" w14:textId="77777777" w:rsidR="007B3DB2" w:rsidRPr="0063248C" w:rsidRDefault="00000000">
            <w:pPr>
              <w:spacing w:line="240" w:lineRule="exact"/>
              <w:jc w:val="right"/>
              <w:rPr>
                <w:rFonts w:cs="宋体"/>
                <w:sz w:val="18"/>
                <w:szCs w:val="18"/>
              </w:rPr>
            </w:pPr>
            <w:r w:rsidRPr="0063248C">
              <w:rPr>
                <w:rFonts w:cs="宋体"/>
                <w:sz w:val="18"/>
                <w:szCs w:val="18"/>
              </w:rPr>
              <w:t>1,236,545,850.27</w:t>
            </w:r>
          </w:p>
        </w:tc>
        <w:tc>
          <w:tcPr>
            <w:tcW w:w="1772" w:type="dxa"/>
            <w:tcBorders>
              <w:top w:val="single" w:sz="2" w:space="0" w:color="auto"/>
              <w:left w:val="single" w:sz="2" w:space="0" w:color="auto"/>
              <w:bottom w:val="single" w:sz="2" w:space="0" w:color="auto"/>
              <w:right w:val="single" w:sz="2" w:space="0" w:color="auto"/>
            </w:tcBorders>
            <w:vAlign w:val="center"/>
          </w:tcPr>
          <w:p w14:paraId="2B3A2C9E" w14:textId="77777777" w:rsidR="007B3DB2" w:rsidRPr="0063248C" w:rsidRDefault="00000000">
            <w:pPr>
              <w:spacing w:line="240" w:lineRule="exact"/>
              <w:jc w:val="right"/>
              <w:rPr>
                <w:rFonts w:cs="宋体"/>
                <w:sz w:val="18"/>
                <w:szCs w:val="18"/>
              </w:rPr>
            </w:pPr>
            <w:r w:rsidRPr="0063248C">
              <w:rPr>
                <w:rFonts w:cs="宋体"/>
                <w:sz w:val="18"/>
                <w:szCs w:val="18"/>
              </w:rPr>
              <w:t>120,496,917.60</w:t>
            </w:r>
          </w:p>
        </w:tc>
        <w:tc>
          <w:tcPr>
            <w:tcW w:w="1377" w:type="dxa"/>
            <w:tcBorders>
              <w:top w:val="single" w:sz="2" w:space="0" w:color="auto"/>
              <w:left w:val="single" w:sz="2" w:space="0" w:color="auto"/>
              <w:bottom w:val="single" w:sz="2" w:space="0" w:color="auto"/>
              <w:right w:val="single" w:sz="2" w:space="0" w:color="auto"/>
            </w:tcBorders>
            <w:vAlign w:val="center"/>
          </w:tcPr>
          <w:p w14:paraId="71CE712D" w14:textId="77777777" w:rsidR="007B3DB2" w:rsidRPr="0063248C" w:rsidRDefault="00000000">
            <w:pPr>
              <w:spacing w:line="240" w:lineRule="exact"/>
              <w:jc w:val="right"/>
              <w:rPr>
                <w:rFonts w:cs="宋体"/>
                <w:sz w:val="18"/>
                <w:szCs w:val="18"/>
              </w:rPr>
            </w:pPr>
            <w:r w:rsidRPr="0063248C">
              <w:rPr>
                <w:rFonts w:cs="宋体"/>
                <w:sz w:val="18"/>
                <w:szCs w:val="18"/>
              </w:rPr>
              <w:t>1,116,048,932.67</w:t>
            </w:r>
          </w:p>
        </w:tc>
        <w:tc>
          <w:tcPr>
            <w:tcW w:w="1377" w:type="dxa"/>
            <w:tcBorders>
              <w:top w:val="single" w:sz="2" w:space="0" w:color="auto"/>
              <w:left w:val="single" w:sz="2" w:space="0" w:color="auto"/>
              <w:bottom w:val="single" w:sz="2" w:space="0" w:color="auto"/>
              <w:right w:val="single" w:sz="2" w:space="0" w:color="auto"/>
            </w:tcBorders>
            <w:vAlign w:val="center"/>
          </w:tcPr>
          <w:p w14:paraId="17D8CC01" w14:textId="77777777" w:rsidR="007B3DB2" w:rsidRPr="0063248C" w:rsidRDefault="00000000">
            <w:pPr>
              <w:spacing w:line="240" w:lineRule="exact"/>
              <w:jc w:val="right"/>
              <w:rPr>
                <w:rFonts w:cs="宋体"/>
                <w:sz w:val="18"/>
                <w:szCs w:val="18"/>
              </w:rPr>
            </w:pPr>
            <w:r w:rsidRPr="0063248C">
              <w:rPr>
                <w:rFonts w:cs="宋体"/>
                <w:sz w:val="18"/>
                <w:szCs w:val="18"/>
              </w:rPr>
              <w:t>1,275,540,859.08</w:t>
            </w:r>
          </w:p>
        </w:tc>
        <w:tc>
          <w:tcPr>
            <w:tcW w:w="1377" w:type="dxa"/>
            <w:tcBorders>
              <w:top w:val="single" w:sz="2" w:space="0" w:color="auto"/>
              <w:left w:val="single" w:sz="2" w:space="0" w:color="auto"/>
              <w:bottom w:val="single" w:sz="2" w:space="0" w:color="auto"/>
              <w:right w:val="single" w:sz="2" w:space="0" w:color="auto"/>
            </w:tcBorders>
            <w:vAlign w:val="center"/>
          </w:tcPr>
          <w:p w14:paraId="7316F131" w14:textId="77777777" w:rsidR="007B3DB2" w:rsidRPr="0063248C" w:rsidRDefault="00000000">
            <w:pPr>
              <w:spacing w:line="240" w:lineRule="exact"/>
              <w:jc w:val="right"/>
              <w:rPr>
                <w:rFonts w:cs="宋体"/>
                <w:sz w:val="18"/>
                <w:szCs w:val="18"/>
              </w:rPr>
            </w:pPr>
            <w:r w:rsidRPr="0063248C">
              <w:rPr>
                <w:rFonts w:cs="宋体"/>
                <w:sz w:val="18"/>
                <w:szCs w:val="18"/>
              </w:rPr>
              <w:t>283,705,352.88</w:t>
            </w:r>
          </w:p>
        </w:tc>
        <w:tc>
          <w:tcPr>
            <w:tcW w:w="1377" w:type="dxa"/>
            <w:tcBorders>
              <w:top w:val="single" w:sz="2" w:space="0" w:color="auto"/>
              <w:left w:val="single" w:sz="2" w:space="0" w:color="auto"/>
              <w:bottom w:val="single" w:sz="2" w:space="0" w:color="auto"/>
              <w:right w:val="single" w:sz="2" w:space="0" w:color="auto"/>
            </w:tcBorders>
            <w:vAlign w:val="center"/>
          </w:tcPr>
          <w:p w14:paraId="522FD2CB" w14:textId="77777777" w:rsidR="007B3DB2" w:rsidRPr="0063248C" w:rsidRDefault="00000000">
            <w:pPr>
              <w:spacing w:line="240" w:lineRule="exact"/>
              <w:jc w:val="right"/>
              <w:rPr>
                <w:rFonts w:cs="宋体"/>
                <w:sz w:val="18"/>
                <w:szCs w:val="18"/>
              </w:rPr>
            </w:pPr>
            <w:r w:rsidRPr="0063248C">
              <w:rPr>
                <w:rFonts w:cs="宋体"/>
                <w:sz w:val="18"/>
                <w:szCs w:val="18"/>
              </w:rPr>
              <w:t>991,835,506.20</w:t>
            </w:r>
          </w:p>
        </w:tc>
      </w:tr>
    </w:tbl>
    <w:p w14:paraId="6D69943A" w14:textId="77777777" w:rsidR="007B3DB2" w:rsidRPr="0063248C" w:rsidRDefault="00000000">
      <w:pPr>
        <w:spacing w:before="100" w:after="100" w:line="240" w:lineRule="exact"/>
        <w:rPr>
          <w:rFonts w:cs="宋体"/>
          <w:sz w:val="18"/>
          <w:szCs w:val="18"/>
        </w:rPr>
      </w:pPr>
      <w:r w:rsidRPr="0063248C">
        <w:rPr>
          <w:rFonts w:cs="宋体"/>
          <w:sz w:val="18"/>
          <w:szCs w:val="18"/>
        </w:rPr>
        <w:t>公司需遵守《深圳证券交易所上市公司自律监管指引第</w:t>
      </w:r>
      <w:r w:rsidRPr="0063248C">
        <w:rPr>
          <w:rFonts w:cs="宋体"/>
          <w:sz w:val="18"/>
          <w:szCs w:val="18"/>
        </w:rPr>
        <w:t>3</w:t>
      </w:r>
      <w:r w:rsidRPr="0063248C">
        <w:rPr>
          <w:rFonts w:cs="宋体"/>
          <w:sz w:val="18"/>
          <w:szCs w:val="18"/>
        </w:rPr>
        <w:t>号</w:t>
      </w:r>
      <w:r w:rsidRPr="0063248C">
        <w:rPr>
          <w:rFonts w:cs="宋体"/>
          <w:sz w:val="18"/>
          <w:szCs w:val="18"/>
        </w:rPr>
        <w:t>——</w:t>
      </w:r>
      <w:r w:rsidRPr="0063248C">
        <w:rPr>
          <w:rFonts w:cs="宋体"/>
          <w:sz w:val="18"/>
          <w:szCs w:val="18"/>
        </w:rPr>
        <w:t>行业信息披露》中的</w:t>
      </w:r>
      <w:r w:rsidRPr="0063248C">
        <w:rPr>
          <w:rFonts w:cs="宋体"/>
          <w:sz w:val="18"/>
          <w:szCs w:val="18"/>
        </w:rPr>
        <w:t>“</w:t>
      </w:r>
      <w:r w:rsidRPr="0063248C">
        <w:rPr>
          <w:rFonts w:cs="宋体"/>
          <w:sz w:val="18"/>
          <w:szCs w:val="18"/>
        </w:rPr>
        <w:t>食品及酒制造相关业务</w:t>
      </w:r>
      <w:r w:rsidRPr="0063248C">
        <w:rPr>
          <w:rFonts w:cs="宋体"/>
          <w:sz w:val="18"/>
          <w:szCs w:val="18"/>
        </w:rPr>
        <w:t>”</w:t>
      </w:r>
      <w:r w:rsidRPr="0063248C">
        <w:rPr>
          <w:rFonts w:cs="宋体"/>
          <w:sz w:val="18"/>
          <w:szCs w:val="18"/>
        </w:rPr>
        <w:t>的披露要求</w:t>
      </w:r>
    </w:p>
    <w:p w14:paraId="06685B5A" w14:textId="77777777" w:rsidR="00517D34" w:rsidRPr="0063248C" w:rsidRDefault="00000000">
      <w:pPr>
        <w:pStyle w:val="a3"/>
        <w:divId w:val="419839563"/>
        <w:rPr>
          <w:rFonts w:ascii="Times New Roman" w:hAnsi="Times New Roman"/>
          <w:sz w:val="18"/>
          <w:szCs w:val="18"/>
        </w:rPr>
      </w:pPr>
      <w:r w:rsidRPr="0063248C">
        <w:rPr>
          <w:rFonts w:ascii="Times New Roman" w:hAnsi="Times New Roman" w:hint="eastAsia"/>
          <w:sz w:val="18"/>
          <w:szCs w:val="18"/>
        </w:rPr>
        <w:t>无</w:t>
      </w:r>
    </w:p>
    <w:p w14:paraId="6C853CEC" w14:textId="77777777" w:rsidR="007B3DB2" w:rsidRPr="0063248C" w:rsidRDefault="00000000">
      <w:pPr>
        <w:keepNext/>
        <w:keepLines/>
        <w:spacing w:before="300" w:after="300" w:line="280" w:lineRule="exact"/>
        <w:outlineLvl w:val="3"/>
        <w:rPr>
          <w:rFonts w:cs="宋体"/>
          <w:b/>
          <w:bCs/>
          <w:szCs w:val="21"/>
        </w:rPr>
      </w:pPr>
      <w:bookmarkStart w:id="236" w:name="_Toc989125"/>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确认为存货的数据资源</w:t>
      </w:r>
      <w:bookmarkEnd w:id="236"/>
    </w:p>
    <w:p w14:paraId="17CF5FE7" w14:textId="00CABD82" w:rsidR="007B3DB2" w:rsidRPr="008669F6" w:rsidRDefault="008669F6" w:rsidP="008669F6">
      <w:pPr>
        <w:spacing w:before="40" w:after="40" w:line="240" w:lineRule="exact"/>
        <w:rPr>
          <w:rFonts w:cs="宋体"/>
          <w:sz w:val="18"/>
          <w:szCs w:val="18"/>
        </w:rPr>
      </w:pPr>
      <w:r>
        <w:rPr>
          <w:rFonts w:cs="宋体" w:hint="eastAsia"/>
          <w:sz w:val="18"/>
          <w:szCs w:val="18"/>
        </w:rPr>
        <w:t>无</w:t>
      </w:r>
    </w:p>
    <w:p w14:paraId="099EDCB7" w14:textId="77777777" w:rsidR="007B3DB2" w:rsidRPr="0063248C" w:rsidRDefault="00000000">
      <w:pPr>
        <w:keepNext/>
        <w:keepLines/>
        <w:spacing w:before="300" w:after="300" w:line="280" w:lineRule="exact"/>
        <w:outlineLvl w:val="3"/>
        <w:rPr>
          <w:rFonts w:cs="宋体"/>
          <w:b/>
          <w:bCs/>
          <w:szCs w:val="21"/>
        </w:rPr>
      </w:pPr>
      <w:bookmarkStart w:id="237" w:name="_Toc989126"/>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存货跌价准备和合同履约成本减值准备</w:t>
      </w:r>
      <w:bookmarkEnd w:id="237"/>
    </w:p>
    <w:p w14:paraId="2E860A02"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12D19F07"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73ACB0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8C101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951BA1C"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F5DC51F"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B60275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505D3CBF"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ECE9D66" w14:textId="77777777" w:rsidR="007B3DB2" w:rsidRPr="0063248C" w:rsidRDefault="007B3DB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778FAF8"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740B650"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9EFA13"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5EC6AAB" w14:textId="77777777" w:rsidR="007B3DB2" w:rsidRPr="0063248C" w:rsidRDefault="00000000">
            <w:pPr>
              <w:spacing w:before="40" w:after="40" w:line="240" w:lineRule="exact"/>
              <w:jc w:val="center"/>
              <w:rPr>
                <w:rFonts w:cs="宋体"/>
                <w:sz w:val="18"/>
                <w:szCs w:val="18"/>
              </w:rPr>
            </w:pPr>
            <w:r w:rsidRPr="0063248C">
              <w:rPr>
                <w:rFonts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9C4EBB4"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2931A1B" w14:textId="77777777" w:rsidR="007B3DB2" w:rsidRPr="0063248C" w:rsidRDefault="007B3DB2"/>
        </w:tc>
      </w:tr>
      <w:tr w:rsidR="007B3DB2" w:rsidRPr="0063248C" w14:paraId="2322BDE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3F05B68" w14:textId="77777777" w:rsidR="007B3DB2" w:rsidRPr="0063248C" w:rsidRDefault="00000000">
            <w:pPr>
              <w:spacing w:before="40" w:after="40" w:line="240" w:lineRule="exact"/>
              <w:rPr>
                <w:rFonts w:cs="宋体"/>
                <w:sz w:val="18"/>
                <w:szCs w:val="18"/>
              </w:rPr>
            </w:pPr>
            <w:r w:rsidRPr="0063248C">
              <w:rPr>
                <w:rFonts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14:paraId="56EF6D76" w14:textId="77777777" w:rsidR="007B3DB2" w:rsidRPr="0063248C" w:rsidRDefault="00000000">
            <w:pPr>
              <w:spacing w:line="240" w:lineRule="exact"/>
              <w:jc w:val="right"/>
              <w:rPr>
                <w:rFonts w:cs="宋体"/>
                <w:sz w:val="18"/>
                <w:szCs w:val="18"/>
              </w:rPr>
            </w:pPr>
            <w:r w:rsidRPr="0063248C">
              <w:rPr>
                <w:rFonts w:cs="宋体"/>
                <w:sz w:val="18"/>
                <w:szCs w:val="18"/>
              </w:rPr>
              <w:t>23,095,708.90</w:t>
            </w:r>
          </w:p>
        </w:tc>
        <w:tc>
          <w:tcPr>
            <w:tcW w:w="1377" w:type="dxa"/>
            <w:tcBorders>
              <w:top w:val="single" w:sz="2" w:space="0" w:color="auto"/>
              <w:left w:val="single" w:sz="2" w:space="0" w:color="auto"/>
              <w:bottom w:val="single" w:sz="2" w:space="0" w:color="auto"/>
              <w:right w:val="single" w:sz="2" w:space="0" w:color="auto"/>
            </w:tcBorders>
            <w:vAlign w:val="center"/>
          </w:tcPr>
          <w:p w14:paraId="3A47290D" w14:textId="77777777" w:rsidR="007B3DB2" w:rsidRPr="0063248C" w:rsidRDefault="00000000">
            <w:pPr>
              <w:spacing w:line="240" w:lineRule="exact"/>
              <w:jc w:val="right"/>
              <w:rPr>
                <w:rFonts w:cs="宋体"/>
                <w:sz w:val="18"/>
                <w:szCs w:val="18"/>
              </w:rPr>
            </w:pPr>
            <w:r w:rsidRPr="0063248C">
              <w:rPr>
                <w:rFonts w:cs="宋体"/>
                <w:sz w:val="18"/>
                <w:szCs w:val="18"/>
              </w:rPr>
              <w:t>-11,737,860.87</w:t>
            </w:r>
          </w:p>
        </w:tc>
        <w:tc>
          <w:tcPr>
            <w:tcW w:w="1377" w:type="dxa"/>
            <w:tcBorders>
              <w:top w:val="single" w:sz="2" w:space="0" w:color="auto"/>
              <w:left w:val="single" w:sz="2" w:space="0" w:color="auto"/>
              <w:bottom w:val="single" w:sz="2" w:space="0" w:color="auto"/>
              <w:right w:val="single" w:sz="2" w:space="0" w:color="auto"/>
            </w:tcBorders>
            <w:vAlign w:val="center"/>
          </w:tcPr>
          <w:p w14:paraId="56FEA1C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902E47" w14:textId="77777777" w:rsidR="007B3DB2" w:rsidRPr="0063248C" w:rsidRDefault="00000000">
            <w:pPr>
              <w:spacing w:line="240" w:lineRule="exact"/>
              <w:jc w:val="right"/>
              <w:rPr>
                <w:rFonts w:cs="宋体"/>
                <w:sz w:val="18"/>
                <w:szCs w:val="18"/>
              </w:rPr>
            </w:pPr>
            <w:r w:rsidRPr="0063248C">
              <w:rPr>
                <w:rFonts w:cs="宋体"/>
                <w:sz w:val="18"/>
                <w:szCs w:val="18"/>
              </w:rPr>
              <w:t>2,522,109.46</w:t>
            </w:r>
          </w:p>
        </w:tc>
        <w:tc>
          <w:tcPr>
            <w:tcW w:w="1377" w:type="dxa"/>
            <w:tcBorders>
              <w:top w:val="single" w:sz="2" w:space="0" w:color="auto"/>
              <w:left w:val="single" w:sz="2" w:space="0" w:color="auto"/>
              <w:bottom w:val="single" w:sz="2" w:space="0" w:color="auto"/>
              <w:right w:val="single" w:sz="2" w:space="0" w:color="auto"/>
            </w:tcBorders>
            <w:vAlign w:val="center"/>
          </w:tcPr>
          <w:p w14:paraId="134C000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A918A1" w14:textId="77777777" w:rsidR="007B3DB2" w:rsidRPr="0063248C" w:rsidRDefault="00000000">
            <w:pPr>
              <w:spacing w:line="240" w:lineRule="exact"/>
              <w:jc w:val="right"/>
              <w:rPr>
                <w:rFonts w:cs="宋体"/>
                <w:sz w:val="18"/>
                <w:szCs w:val="18"/>
              </w:rPr>
            </w:pPr>
            <w:r w:rsidRPr="0063248C">
              <w:rPr>
                <w:rFonts w:cs="宋体"/>
                <w:sz w:val="18"/>
                <w:szCs w:val="18"/>
              </w:rPr>
              <w:t>8,835,738.57</w:t>
            </w:r>
          </w:p>
        </w:tc>
      </w:tr>
      <w:tr w:rsidR="007B3DB2" w:rsidRPr="0063248C" w14:paraId="4710A48E"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6DC2E2C" w14:textId="77777777" w:rsidR="007B3DB2" w:rsidRPr="0063248C" w:rsidRDefault="00000000">
            <w:pPr>
              <w:spacing w:before="40" w:after="40" w:line="240" w:lineRule="exact"/>
              <w:rPr>
                <w:rFonts w:cs="宋体"/>
                <w:sz w:val="18"/>
                <w:szCs w:val="18"/>
              </w:rPr>
            </w:pPr>
            <w:r w:rsidRPr="0063248C">
              <w:rPr>
                <w:rFonts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14:paraId="47E40D00"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12D389A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85383A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EFB22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49188D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E3C36D6" w14:textId="77777777" w:rsidR="007B3DB2" w:rsidRPr="0063248C" w:rsidRDefault="007B3DB2">
            <w:pPr>
              <w:spacing w:line="240" w:lineRule="exact"/>
              <w:jc w:val="right"/>
              <w:rPr>
                <w:rFonts w:cs="宋体"/>
                <w:sz w:val="18"/>
                <w:szCs w:val="18"/>
              </w:rPr>
            </w:pPr>
          </w:p>
        </w:tc>
      </w:tr>
      <w:tr w:rsidR="007B3DB2" w:rsidRPr="0063248C" w14:paraId="35FA0A3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485BC3E" w14:textId="77777777" w:rsidR="007B3DB2" w:rsidRPr="0063248C" w:rsidRDefault="00000000">
            <w:pPr>
              <w:spacing w:before="40" w:after="40" w:line="240" w:lineRule="exact"/>
              <w:rPr>
                <w:rFonts w:cs="宋体"/>
                <w:sz w:val="18"/>
                <w:szCs w:val="18"/>
              </w:rPr>
            </w:pPr>
            <w:r w:rsidRPr="0063248C">
              <w:rPr>
                <w:rFonts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14:paraId="79937C7F" w14:textId="77777777" w:rsidR="007B3DB2" w:rsidRPr="0063248C" w:rsidRDefault="00000000">
            <w:pPr>
              <w:spacing w:line="240" w:lineRule="exact"/>
              <w:jc w:val="right"/>
              <w:rPr>
                <w:rFonts w:cs="宋体"/>
                <w:sz w:val="18"/>
                <w:szCs w:val="18"/>
              </w:rPr>
            </w:pPr>
            <w:r w:rsidRPr="0063248C">
              <w:rPr>
                <w:rFonts w:cs="宋体"/>
                <w:sz w:val="18"/>
                <w:szCs w:val="18"/>
              </w:rPr>
              <w:t>224,303,709.10</w:t>
            </w:r>
          </w:p>
        </w:tc>
        <w:tc>
          <w:tcPr>
            <w:tcW w:w="1377" w:type="dxa"/>
            <w:tcBorders>
              <w:top w:val="single" w:sz="2" w:space="0" w:color="auto"/>
              <w:left w:val="single" w:sz="2" w:space="0" w:color="auto"/>
              <w:bottom w:val="single" w:sz="2" w:space="0" w:color="auto"/>
              <w:right w:val="single" w:sz="2" w:space="0" w:color="auto"/>
            </w:tcBorders>
            <w:vAlign w:val="center"/>
          </w:tcPr>
          <w:p w14:paraId="2A1C1C82" w14:textId="77777777" w:rsidR="007B3DB2" w:rsidRPr="0063248C" w:rsidRDefault="00000000">
            <w:pPr>
              <w:spacing w:line="240" w:lineRule="exact"/>
              <w:jc w:val="right"/>
              <w:rPr>
                <w:rFonts w:cs="宋体"/>
                <w:sz w:val="18"/>
                <w:szCs w:val="18"/>
              </w:rPr>
            </w:pPr>
            <w:r w:rsidRPr="0063248C">
              <w:rPr>
                <w:rFonts w:cs="宋体"/>
                <w:sz w:val="18"/>
                <w:szCs w:val="18"/>
              </w:rPr>
              <w:t>-17,757,116.98</w:t>
            </w:r>
          </w:p>
        </w:tc>
        <w:tc>
          <w:tcPr>
            <w:tcW w:w="1377" w:type="dxa"/>
            <w:tcBorders>
              <w:top w:val="single" w:sz="2" w:space="0" w:color="auto"/>
              <w:left w:val="single" w:sz="2" w:space="0" w:color="auto"/>
              <w:bottom w:val="single" w:sz="2" w:space="0" w:color="auto"/>
              <w:right w:val="single" w:sz="2" w:space="0" w:color="auto"/>
            </w:tcBorders>
            <w:vAlign w:val="center"/>
          </w:tcPr>
          <w:p w14:paraId="137E712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C8D643" w14:textId="77777777" w:rsidR="007B3DB2" w:rsidRPr="0063248C" w:rsidRDefault="00000000">
            <w:pPr>
              <w:spacing w:line="240" w:lineRule="exact"/>
              <w:jc w:val="right"/>
              <w:rPr>
                <w:rFonts w:cs="宋体"/>
                <w:sz w:val="18"/>
                <w:szCs w:val="18"/>
              </w:rPr>
            </w:pPr>
            <w:r w:rsidRPr="0063248C">
              <w:rPr>
                <w:rFonts w:cs="宋体"/>
                <w:sz w:val="18"/>
                <w:szCs w:val="18"/>
              </w:rPr>
              <w:t>94,885,413.09</w:t>
            </w:r>
          </w:p>
        </w:tc>
        <w:tc>
          <w:tcPr>
            <w:tcW w:w="1377" w:type="dxa"/>
            <w:tcBorders>
              <w:top w:val="single" w:sz="2" w:space="0" w:color="auto"/>
              <w:left w:val="single" w:sz="2" w:space="0" w:color="auto"/>
              <w:bottom w:val="single" w:sz="2" w:space="0" w:color="auto"/>
              <w:right w:val="single" w:sz="2" w:space="0" w:color="auto"/>
            </w:tcBorders>
            <w:vAlign w:val="center"/>
          </w:tcPr>
          <w:p w14:paraId="57D0BF6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4B9E04" w14:textId="77777777" w:rsidR="007B3DB2" w:rsidRPr="0063248C" w:rsidRDefault="00000000">
            <w:pPr>
              <w:spacing w:line="240" w:lineRule="exact"/>
              <w:jc w:val="right"/>
              <w:rPr>
                <w:rFonts w:cs="宋体"/>
                <w:sz w:val="18"/>
                <w:szCs w:val="18"/>
              </w:rPr>
            </w:pPr>
            <w:r w:rsidRPr="0063248C">
              <w:rPr>
                <w:rFonts w:cs="宋体"/>
                <w:sz w:val="18"/>
                <w:szCs w:val="18"/>
              </w:rPr>
              <w:t>111,661,179.03</w:t>
            </w:r>
          </w:p>
        </w:tc>
      </w:tr>
      <w:tr w:rsidR="007B3DB2" w:rsidRPr="0063248C" w14:paraId="62D3487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466EF78" w14:textId="77777777" w:rsidR="007B3DB2" w:rsidRPr="0063248C" w:rsidRDefault="00000000">
            <w:pPr>
              <w:spacing w:before="40" w:after="40" w:line="240" w:lineRule="exact"/>
              <w:rPr>
                <w:rFonts w:cs="宋体"/>
                <w:sz w:val="18"/>
                <w:szCs w:val="18"/>
              </w:rPr>
            </w:pPr>
            <w:r w:rsidRPr="0063248C">
              <w:rPr>
                <w:rFonts w:cs="宋体"/>
                <w:sz w:val="18"/>
                <w:szCs w:val="18"/>
              </w:rPr>
              <w:t>消耗性生物资产</w:t>
            </w:r>
          </w:p>
        </w:tc>
        <w:tc>
          <w:tcPr>
            <w:tcW w:w="1377" w:type="dxa"/>
            <w:tcBorders>
              <w:top w:val="single" w:sz="2" w:space="0" w:color="auto"/>
              <w:left w:val="single" w:sz="2" w:space="0" w:color="auto"/>
              <w:bottom w:val="single" w:sz="2" w:space="0" w:color="auto"/>
              <w:right w:val="single" w:sz="2" w:space="0" w:color="auto"/>
            </w:tcBorders>
            <w:vAlign w:val="center"/>
          </w:tcPr>
          <w:p w14:paraId="0BFDA25E" w14:textId="77777777" w:rsidR="007B3DB2" w:rsidRPr="0063248C" w:rsidRDefault="00000000">
            <w:pPr>
              <w:spacing w:line="240" w:lineRule="exact"/>
              <w:jc w:val="right"/>
              <w:rPr>
                <w:rFonts w:cs="宋体"/>
                <w:sz w:val="18"/>
                <w:szCs w:val="18"/>
              </w:rPr>
            </w:pPr>
            <w:r w:rsidRPr="0063248C">
              <w:rPr>
                <w:rFonts w:cs="宋体"/>
                <w:sz w:val="18"/>
                <w:szCs w:val="18"/>
              </w:rPr>
              <w:t>36,305,934.88</w:t>
            </w:r>
          </w:p>
        </w:tc>
        <w:tc>
          <w:tcPr>
            <w:tcW w:w="1377" w:type="dxa"/>
            <w:tcBorders>
              <w:top w:val="single" w:sz="2" w:space="0" w:color="auto"/>
              <w:left w:val="single" w:sz="2" w:space="0" w:color="auto"/>
              <w:bottom w:val="single" w:sz="2" w:space="0" w:color="auto"/>
              <w:right w:val="single" w:sz="2" w:space="0" w:color="auto"/>
            </w:tcBorders>
            <w:vAlign w:val="center"/>
          </w:tcPr>
          <w:p w14:paraId="1C4AA679" w14:textId="77777777" w:rsidR="007B3DB2" w:rsidRPr="0063248C" w:rsidRDefault="00000000">
            <w:pPr>
              <w:spacing w:line="240" w:lineRule="exact"/>
              <w:jc w:val="right"/>
              <w:rPr>
                <w:rFonts w:cs="宋体"/>
                <w:sz w:val="18"/>
                <w:szCs w:val="18"/>
              </w:rPr>
            </w:pPr>
            <w:r w:rsidRPr="0063248C">
              <w:rPr>
                <w:rFonts w:cs="宋体"/>
                <w:sz w:val="18"/>
                <w:szCs w:val="18"/>
              </w:rPr>
              <w:t>-209,291.74</w:t>
            </w:r>
          </w:p>
        </w:tc>
        <w:tc>
          <w:tcPr>
            <w:tcW w:w="1377" w:type="dxa"/>
            <w:tcBorders>
              <w:top w:val="single" w:sz="2" w:space="0" w:color="auto"/>
              <w:left w:val="single" w:sz="2" w:space="0" w:color="auto"/>
              <w:bottom w:val="single" w:sz="2" w:space="0" w:color="auto"/>
              <w:right w:val="single" w:sz="2" w:space="0" w:color="auto"/>
            </w:tcBorders>
            <w:vAlign w:val="center"/>
          </w:tcPr>
          <w:p w14:paraId="76E13DE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0FDD58" w14:textId="77777777" w:rsidR="007B3DB2" w:rsidRPr="0063248C" w:rsidRDefault="00000000">
            <w:pPr>
              <w:spacing w:line="240" w:lineRule="exact"/>
              <w:jc w:val="right"/>
              <w:rPr>
                <w:rFonts w:cs="宋体"/>
                <w:sz w:val="18"/>
                <w:szCs w:val="18"/>
              </w:rPr>
            </w:pPr>
            <w:r w:rsidRPr="0063248C">
              <w:rPr>
                <w:rFonts w:cs="宋体"/>
                <w:sz w:val="18"/>
                <w:szCs w:val="18"/>
              </w:rPr>
              <w:t>36,096,643.14</w:t>
            </w:r>
          </w:p>
        </w:tc>
        <w:tc>
          <w:tcPr>
            <w:tcW w:w="1377" w:type="dxa"/>
            <w:tcBorders>
              <w:top w:val="single" w:sz="2" w:space="0" w:color="auto"/>
              <w:left w:val="single" w:sz="2" w:space="0" w:color="auto"/>
              <w:bottom w:val="single" w:sz="2" w:space="0" w:color="auto"/>
              <w:right w:val="single" w:sz="2" w:space="0" w:color="auto"/>
            </w:tcBorders>
            <w:vAlign w:val="center"/>
          </w:tcPr>
          <w:p w14:paraId="0DAB558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0FC1C38" w14:textId="77777777" w:rsidR="007B3DB2" w:rsidRPr="0063248C" w:rsidRDefault="007B3DB2">
            <w:pPr>
              <w:spacing w:line="240" w:lineRule="exact"/>
              <w:jc w:val="right"/>
              <w:rPr>
                <w:rFonts w:cs="宋体"/>
                <w:sz w:val="18"/>
                <w:szCs w:val="18"/>
              </w:rPr>
            </w:pPr>
          </w:p>
        </w:tc>
      </w:tr>
      <w:tr w:rsidR="007B3DB2" w:rsidRPr="0063248C" w14:paraId="4E0A1A9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E8FD8F1"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4F828771" w14:textId="77777777" w:rsidR="007B3DB2" w:rsidRPr="0063248C" w:rsidRDefault="00000000">
            <w:pPr>
              <w:spacing w:line="240" w:lineRule="exact"/>
              <w:jc w:val="right"/>
              <w:rPr>
                <w:rFonts w:cs="宋体"/>
                <w:sz w:val="18"/>
                <w:szCs w:val="18"/>
              </w:rPr>
            </w:pPr>
            <w:r w:rsidRPr="0063248C">
              <w:rPr>
                <w:rFonts w:cs="宋体"/>
                <w:sz w:val="18"/>
                <w:szCs w:val="18"/>
              </w:rPr>
              <w:t>283,705,352.88</w:t>
            </w:r>
          </w:p>
        </w:tc>
        <w:tc>
          <w:tcPr>
            <w:tcW w:w="1377" w:type="dxa"/>
            <w:tcBorders>
              <w:top w:val="single" w:sz="2" w:space="0" w:color="auto"/>
              <w:left w:val="single" w:sz="2" w:space="0" w:color="auto"/>
              <w:bottom w:val="single" w:sz="2" w:space="0" w:color="auto"/>
              <w:right w:val="single" w:sz="2" w:space="0" w:color="auto"/>
            </w:tcBorders>
            <w:vAlign w:val="center"/>
          </w:tcPr>
          <w:p w14:paraId="5D92D77C" w14:textId="77777777" w:rsidR="007B3DB2" w:rsidRPr="0063248C" w:rsidRDefault="00000000">
            <w:pPr>
              <w:spacing w:line="240" w:lineRule="exact"/>
              <w:jc w:val="right"/>
              <w:rPr>
                <w:rFonts w:cs="宋体"/>
                <w:sz w:val="18"/>
                <w:szCs w:val="18"/>
              </w:rPr>
            </w:pPr>
            <w:r w:rsidRPr="0063248C">
              <w:rPr>
                <w:rFonts w:cs="宋体"/>
                <w:sz w:val="18"/>
                <w:szCs w:val="18"/>
              </w:rPr>
              <w:t>-29,704,269.59</w:t>
            </w:r>
          </w:p>
        </w:tc>
        <w:tc>
          <w:tcPr>
            <w:tcW w:w="1377" w:type="dxa"/>
            <w:tcBorders>
              <w:top w:val="single" w:sz="2" w:space="0" w:color="auto"/>
              <w:left w:val="single" w:sz="2" w:space="0" w:color="auto"/>
              <w:bottom w:val="single" w:sz="2" w:space="0" w:color="auto"/>
              <w:right w:val="single" w:sz="2" w:space="0" w:color="auto"/>
            </w:tcBorders>
            <w:vAlign w:val="center"/>
          </w:tcPr>
          <w:p w14:paraId="65619D4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DC19A4" w14:textId="77777777" w:rsidR="007B3DB2" w:rsidRPr="0063248C" w:rsidRDefault="00000000">
            <w:pPr>
              <w:spacing w:line="240" w:lineRule="exact"/>
              <w:jc w:val="right"/>
              <w:rPr>
                <w:rFonts w:cs="宋体"/>
                <w:sz w:val="18"/>
                <w:szCs w:val="18"/>
              </w:rPr>
            </w:pPr>
            <w:r w:rsidRPr="0063248C">
              <w:rPr>
                <w:rFonts w:cs="宋体"/>
                <w:sz w:val="18"/>
                <w:szCs w:val="18"/>
              </w:rPr>
              <w:t>133,504,165.69</w:t>
            </w:r>
          </w:p>
        </w:tc>
        <w:tc>
          <w:tcPr>
            <w:tcW w:w="1377" w:type="dxa"/>
            <w:tcBorders>
              <w:top w:val="single" w:sz="2" w:space="0" w:color="auto"/>
              <w:left w:val="single" w:sz="2" w:space="0" w:color="auto"/>
              <w:bottom w:val="single" w:sz="2" w:space="0" w:color="auto"/>
              <w:right w:val="single" w:sz="2" w:space="0" w:color="auto"/>
            </w:tcBorders>
            <w:vAlign w:val="center"/>
          </w:tcPr>
          <w:p w14:paraId="52D088C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1C698D" w14:textId="77777777" w:rsidR="007B3DB2" w:rsidRPr="0063248C" w:rsidRDefault="00000000">
            <w:pPr>
              <w:spacing w:line="240" w:lineRule="exact"/>
              <w:jc w:val="right"/>
              <w:rPr>
                <w:rFonts w:cs="宋体"/>
                <w:sz w:val="18"/>
                <w:szCs w:val="18"/>
              </w:rPr>
            </w:pPr>
            <w:r w:rsidRPr="0063248C">
              <w:rPr>
                <w:rFonts w:cs="宋体"/>
                <w:sz w:val="18"/>
                <w:szCs w:val="18"/>
              </w:rPr>
              <w:t>120,496,917.60</w:t>
            </w:r>
          </w:p>
        </w:tc>
      </w:tr>
    </w:tbl>
    <w:p w14:paraId="74AB00EC" w14:textId="77777777" w:rsidR="00517D34" w:rsidRPr="0063248C" w:rsidRDefault="00000000">
      <w:pPr>
        <w:pStyle w:val="a3"/>
        <w:divId w:val="1760446972"/>
        <w:rPr>
          <w:rFonts w:ascii="Times New Roman" w:hAnsi="Times New Roman"/>
          <w:sz w:val="18"/>
          <w:szCs w:val="18"/>
        </w:rPr>
      </w:pPr>
      <w:r w:rsidRPr="0063248C">
        <w:rPr>
          <w:rFonts w:ascii="Times New Roman" w:hAnsi="Times New Roman" w:hint="eastAsia"/>
          <w:sz w:val="18"/>
          <w:szCs w:val="18"/>
        </w:rPr>
        <w:t>无</w:t>
      </w:r>
    </w:p>
    <w:p w14:paraId="5F4F576B" w14:textId="77777777" w:rsidR="007B3DB2" w:rsidRPr="0063248C" w:rsidRDefault="00000000">
      <w:pPr>
        <w:spacing w:before="100" w:after="100" w:line="240" w:lineRule="exact"/>
        <w:rPr>
          <w:rFonts w:cs="宋体"/>
          <w:sz w:val="18"/>
          <w:szCs w:val="18"/>
        </w:rPr>
      </w:pPr>
      <w:r w:rsidRPr="0063248C">
        <w:rPr>
          <w:rFonts w:cs="宋体"/>
          <w:sz w:val="18"/>
          <w:szCs w:val="18"/>
        </w:rPr>
        <w:t>按组合计提存货跌价准备</w:t>
      </w:r>
    </w:p>
    <w:p w14:paraId="37059C3C" w14:textId="77777777" w:rsidR="00517D34" w:rsidRPr="0063248C" w:rsidRDefault="00000000">
      <w:pPr>
        <w:pStyle w:val="a3"/>
        <w:divId w:val="1418597116"/>
        <w:rPr>
          <w:rFonts w:ascii="Times New Roman" w:hAnsi="Times New Roman"/>
          <w:sz w:val="18"/>
          <w:szCs w:val="18"/>
        </w:rPr>
      </w:pPr>
      <w:r w:rsidRPr="0063248C">
        <w:rPr>
          <w:rFonts w:ascii="Times New Roman" w:hAnsi="Times New Roman" w:hint="eastAsia"/>
          <w:sz w:val="18"/>
          <w:szCs w:val="18"/>
        </w:rPr>
        <w:t>无</w:t>
      </w:r>
    </w:p>
    <w:p w14:paraId="6D477027" w14:textId="77777777" w:rsidR="007B3DB2" w:rsidRPr="0063248C" w:rsidRDefault="00000000">
      <w:pPr>
        <w:keepNext/>
        <w:keepLines/>
        <w:spacing w:before="300" w:after="300" w:line="280" w:lineRule="exact"/>
        <w:outlineLvl w:val="3"/>
        <w:rPr>
          <w:rFonts w:cs="宋体"/>
          <w:b/>
          <w:bCs/>
          <w:szCs w:val="21"/>
        </w:rPr>
      </w:pPr>
      <w:bookmarkStart w:id="238" w:name="_Toc989127"/>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存货期末余额含有借款费用资本</w:t>
      </w:r>
      <w:proofErr w:type="gramStart"/>
      <w:r w:rsidRPr="0063248C">
        <w:rPr>
          <w:rFonts w:cs="宋体"/>
          <w:b/>
          <w:bCs/>
          <w:szCs w:val="21"/>
        </w:rPr>
        <w:t>化金额</w:t>
      </w:r>
      <w:proofErr w:type="gramEnd"/>
      <w:r w:rsidRPr="0063248C">
        <w:rPr>
          <w:rFonts w:cs="宋体"/>
          <w:b/>
          <w:bCs/>
          <w:szCs w:val="21"/>
        </w:rPr>
        <w:t>的说明</w:t>
      </w:r>
      <w:bookmarkEnd w:id="238"/>
    </w:p>
    <w:p w14:paraId="68A67782" w14:textId="77777777" w:rsidR="00517D34" w:rsidRPr="0063248C" w:rsidRDefault="00000000">
      <w:pPr>
        <w:pStyle w:val="a3"/>
        <w:divId w:val="1787383073"/>
        <w:rPr>
          <w:rFonts w:ascii="Times New Roman" w:hAnsi="Times New Roman"/>
          <w:sz w:val="18"/>
          <w:szCs w:val="18"/>
        </w:rPr>
      </w:pPr>
      <w:r w:rsidRPr="0063248C">
        <w:rPr>
          <w:rFonts w:ascii="Times New Roman" w:hAnsi="Times New Roman" w:hint="eastAsia"/>
          <w:sz w:val="18"/>
          <w:szCs w:val="18"/>
        </w:rPr>
        <w:t>无</w:t>
      </w:r>
    </w:p>
    <w:p w14:paraId="5543B36E" w14:textId="77777777" w:rsidR="007B3DB2" w:rsidRPr="0063248C" w:rsidRDefault="00000000">
      <w:pPr>
        <w:keepNext/>
        <w:keepLines/>
        <w:spacing w:before="300" w:after="300" w:line="280" w:lineRule="exact"/>
        <w:outlineLvl w:val="3"/>
        <w:rPr>
          <w:rFonts w:cs="宋体"/>
          <w:b/>
          <w:bCs/>
          <w:szCs w:val="21"/>
        </w:rPr>
      </w:pPr>
      <w:bookmarkStart w:id="239" w:name="_Toc989128"/>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合同履约成本本期摊销金额的说明</w:t>
      </w:r>
      <w:bookmarkEnd w:id="239"/>
    </w:p>
    <w:p w14:paraId="214770CF" w14:textId="77777777" w:rsidR="00517D34" w:rsidRPr="0063248C" w:rsidRDefault="00000000">
      <w:pPr>
        <w:pStyle w:val="a3"/>
        <w:divId w:val="153225426"/>
        <w:rPr>
          <w:rFonts w:ascii="Times New Roman" w:hAnsi="Times New Roman"/>
          <w:sz w:val="18"/>
          <w:szCs w:val="18"/>
        </w:rPr>
      </w:pPr>
      <w:r w:rsidRPr="0063248C">
        <w:rPr>
          <w:rFonts w:ascii="Times New Roman" w:hAnsi="Times New Roman" w:hint="eastAsia"/>
          <w:sz w:val="18"/>
          <w:szCs w:val="18"/>
        </w:rPr>
        <w:t>无</w:t>
      </w:r>
    </w:p>
    <w:p w14:paraId="4CBF739D" w14:textId="77777777" w:rsidR="007B3DB2" w:rsidRPr="0063248C" w:rsidRDefault="00000000">
      <w:pPr>
        <w:pStyle w:val="3"/>
        <w:spacing w:line="280" w:lineRule="exact"/>
        <w:jc w:val="left"/>
        <w:rPr>
          <w:rFonts w:cs="宋体"/>
          <w:b/>
          <w:bCs/>
        </w:rPr>
      </w:pPr>
      <w:bookmarkStart w:id="240" w:name="_Toc989129"/>
      <w:r w:rsidRPr="0063248C">
        <w:rPr>
          <w:rFonts w:cs="宋体"/>
          <w:b/>
          <w:bCs/>
        </w:rPr>
        <w:lastRenderedPageBreak/>
        <w:t>11</w:t>
      </w:r>
      <w:r w:rsidRPr="0063248C">
        <w:rPr>
          <w:rFonts w:cs="宋体"/>
          <w:b/>
          <w:bCs/>
        </w:rPr>
        <w:t>、持有待售资产</w:t>
      </w:r>
      <w:bookmarkEnd w:id="240"/>
    </w:p>
    <w:p w14:paraId="0205DBAE" w14:textId="77777777" w:rsidR="00517D34" w:rsidRPr="0063248C" w:rsidRDefault="00000000">
      <w:pPr>
        <w:pStyle w:val="a3"/>
        <w:divId w:val="2076274473"/>
        <w:rPr>
          <w:rFonts w:ascii="Times New Roman" w:hAnsi="Times New Roman"/>
          <w:sz w:val="18"/>
          <w:szCs w:val="18"/>
        </w:rPr>
      </w:pPr>
      <w:r w:rsidRPr="0063248C">
        <w:rPr>
          <w:rFonts w:ascii="Times New Roman" w:hAnsi="Times New Roman" w:hint="eastAsia"/>
          <w:sz w:val="18"/>
          <w:szCs w:val="18"/>
        </w:rPr>
        <w:t>无</w:t>
      </w:r>
    </w:p>
    <w:p w14:paraId="35C9558A" w14:textId="77777777" w:rsidR="007B3DB2" w:rsidRPr="0063248C" w:rsidRDefault="00000000">
      <w:pPr>
        <w:pStyle w:val="3"/>
        <w:spacing w:line="280" w:lineRule="exact"/>
        <w:jc w:val="left"/>
        <w:rPr>
          <w:rFonts w:cs="宋体"/>
          <w:b/>
          <w:bCs/>
        </w:rPr>
      </w:pPr>
      <w:bookmarkStart w:id="241" w:name="_Toc989130"/>
      <w:r w:rsidRPr="0063248C">
        <w:rPr>
          <w:rFonts w:cs="宋体"/>
          <w:b/>
          <w:bCs/>
        </w:rPr>
        <w:t>12</w:t>
      </w:r>
      <w:r w:rsidRPr="0063248C">
        <w:rPr>
          <w:rFonts w:cs="宋体"/>
          <w:b/>
          <w:bCs/>
        </w:rPr>
        <w:t>、一年内到期的非流动资产</w:t>
      </w:r>
      <w:bookmarkEnd w:id="241"/>
    </w:p>
    <w:p w14:paraId="52852E82" w14:textId="77777777" w:rsidR="00760A54" w:rsidRPr="0063248C" w:rsidRDefault="00760A54" w:rsidP="00760A54">
      <w:pPr>
        <w:spacing w:before="120" w:after="120" w:line="240" w:lineRule="exact"/>
        <w:rPr>
          <w:rFonts w:cs="宋体"/>
          <w:sz w:val="18"/>
          <w:szCs w:val="18"/>
        </w:rPr>
      </w:pPr>
      <w:bookmarkStart w:id="242" w:name="_Toc989131"/>
      <w:r>
        <w:rPr>
          <w:rFonts w:cs="宋体" w:hint="eastAsia"/>
          <w:sz w:val="18"/>
          <w:szCs w:val="18"/>
        </w:rPr>
        <w:t>无</w:t>
      </w:r>
    </w:p>
    <w:p w14:paraId="43442C68"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一年内到期的债权投资</w:t>
      </w:r>
      <w:bookmarkEnd w:id="242"/>
    </w:p>
    <w:p w14:paraId="29686747"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54ECBF0" w14:textId="77777777" w:rsidR="007B3DB2" w:rsidRPr="0063248C" w:rsidRDefault="00000000">
      <w:pPr>
        <w:keepNext/>
        <w:keepLines/>
        <w:spacing w:before="300" w:after="300" w:line="280" w:lineRule="exact"/>
        <w:outlineLvl w:val="3"/>
        <w:rPr>
          <w:rFonts w:cs="宋体"/>
          <w:b/>
          <w:bCs/>
          <w:szCs w:val="21"/>
        </w:rPr>
      </w:pPr>
      <w:bookmarkStart w:id="243" w:name="_Toc989132"/>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一年内到期的其他债权投资</w:t>
      </w:r>
      <w:bookmarkEnd w:id="243"/>
    </w:p>
    <w:p w14:paraId="5AF2720E"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20E61F3" w14:textId="77777777" w:rsidR="007B3DB2" w:rsidRPr="0063248C" w:rsidRDefault="00000000">
      <w:pPr>
        <w:pStyle w:val="3"/>
        <w:spacing w:line="280" w:lineRule="exact"/>
        <w:jc w:val="left"/>
        <w:rPr>
          <w:rFonts w:cs="宋体"/>
          <w:b/>
          <w:bCs/>
        </w:rPr>
      </w:pPr>
      <w:bookmarkStart w:id="244" w:name="_Toc989133"/>
      <w:r w:rsidRPr="0063248C">
        <w:rPr>
          <w:rFonts w:cs="宋体"/>
          <w:b/>
          <w:bCs/>
        </w:rPr>
        <w:t>13</w:t>
      </w:r>
      <w:r w:rsidRPr="0063248C">
        <w:rPr>
          <w:rFonts w:cs="宋体"/>
          <w:b/>
          <w:bCs/>
        </w:rPr>
        <w:t>、其他流动资产</w:t>
      </w:r>
      <w:bookmarkEnd w:id="244"/>
    </w:p>
    <w:p w14:paraId="1CD0591B"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39C26B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F732A0"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5E31D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A9E4FC"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762A332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2905FA0" w14:textId="77777777" w:rsidR="007B3DB2" w:rsidRPr="0063248C" w:rsidRDefault="00000000">
            <w:pPr>
              <w:spacing w:line="240" w:lineRule="exact"/>
              <w:rPr>
                <w:rFonts w:cs="宋体"/>
                <w:sz w:val="18"/>
                <w:szCs w:val="18"/>
              </w:rPr>
            </w:pPr>
            <w:r w:rsidRPr="0063248C">
              <w:rPr>
                <w:rFonts w:cs="宋体"/>
                <w:sz w:val="18"/>
                <w:szCs w:val="18"/>
              </w:rPr>
              <w:t>预缴所得税</w:t>
            </w:r>
          </w:p>
        </w:tc>
        <w:tc>
          <w:tcPr>
            <w:tcW w:w="3213" w:type="dxa"/>
            <w:tcBorders>
              <w:top w:val="single" w:sz="2" w:space="0" w:color="auto"/>
              <w:left w:val="single" w:sz="2" w:space="0" w:color="auto"/>
              <w:bottom w:val="single" w:sz="2" w:space="0" w:color="auto"/>
              <w:right w:val="single" w:sz="2" w:space="0" w:color="auto"/>
            </w:tcBorders>
            <w:vAlign w:val="center"/>
          </w:tcPr>
          <w:p w14:paraId="27B181E6" w14:textId="77777777" w:rsidR="007B3DB2" w:rsidRPr="0063248C" w:rsidRDefault="00000000">
            <w:pPr>
              <w:spacing w:line="240" w:lineRule="exact"/>
              <w:jc w:val="right"/>
              <w:rPr>
                <w:rFonts w:cs="宋体"/>
                <w:sz w:val="18"/>
                <w:szCs w:val="18"/>
              </w:rPr>
            </w:pPr>
            <w:r w:rsidRPr="0063248C">
              <w:rPr>
                <w:rFonts w:cs="宋体"/>
                <w:sz w:val="18"/>
                <w:szCs w:val="18"/>
              </w:rPr>
              <w:t>161,224.58</w:t>
            </w:r>
          </w:p>
        </w:tc>
        <w:tc>
          <w:tcPr>
            <w:tcW w:w="3213" w:type="dxa"/>
            <w:tcBorders>
              <w:top w:val="single" w:sz="2" w:space="0" w:color="auto"/>
              <w:left w:val="single" w:sz="2" w:space="0" w:color="auto"/>
              <w:bottom w:val="single" w:sz="2" w:space="0" w:color="auto"/>
              <w:right w:val="single" w:sz="2" w:space="0" w:color="auto"/>
            </w:tcBorders>
            <w:vAlign w:val="center"/>
          </w:tcPr>
          <w:p w14:paraId="5FD1294C" w14:textId="77777777" w:rsidR="007B3DB2" w:rsidRPr="0063248C" w:rsidRDefault="00000000">
            <w:pPr>
              <w:spacing w:line="240" w:lineRule="exact"/>
              <w:jc w:val="right"/>
              <w:rPr>
                <w:rFonts w:cs="宋体"/>
                <w:sz w:val="18"/>
                <w:szCs w:val="18"/>
              </w:rPr>
            </w:pPr>
            <w:r w:rsidRPr="0063248C">
              <w:rPr>
                <w:rFonts w:cs="宋体"/>
                <w:sz w:val="18"/>
                <w:szCs w:val="18"/>
              </w:rPr>
              <w:t>161,224.58</w:t>
            </w:r>
          </w:p>
        </w:tc>
      </w:tr>
      <w:tr w:rsidR="007B3DB2" w:rsidRPr="0063248C" w14:paraId="10D8B8C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BF96A9C" w14:textId="77777777" w:rsidR="007B3DB2" w:rsidRPr="0063248C" w:rsidRDefault="00000000">
            <w:pPr>
              <w:spacing w:line="240" w:lineRule="exact"/>
              <w:rPr>
                <w:rFonts w:cs="宋体"/>
                <w:sz w:val="18"/>
                <w:szCs w:val="18"/>
              </w:rPr>
            </w:pPr>
            <w:r w:rsidRPr="0063248C">
              <w:rPr>
                <w:rFonts w:cs="宋体"/>
                <w:sz w:val="18"/>
                <w:szCs w:val="18"/>
              </w:rPr>
              <w:t>待抵扣</w:t>
            </w:r>
            <w:r w:rsidRPr="0063248C">
              <w:rPr>
                <w:rFonts w:cs="宋体"/>
                <w:sz w:val="18"/>
                <w:szCs w:val="18"/>
              </w:rPr>
              <w:t>/</w:t>
            </w:r>
            <w:r w:rsidRPr="0063248C">
              <w:rPr>
                <w:rFonts w:cs="宋体"/>
                <w:sz w:val="18"/>
                <w:szCs w:val="18"/>
              </w:rPr>
              <w:t>认证</w:t>
            </w:r>
            <w:r w:rsidRPr="0063248C">
              <w:rPr>
                <w:rFonts w:cs="宋体"/>
                <w:sz w:val="18"/>
                <w:szCs w:val="18"/>
              </w:rPr>
              <w:t>/</w:t>
            </w:r>
            <w:r w:rsidRPr="0063248C">
              <w:rPr>
                <w:rFonts w:cs="宋体"/>
                <w:sz w:val="18"/>
                <w:szCs w:val="18"/>
              </w:rPr>
              <w:t>留抵进项税</w:t>
            </w:r>
          </w:p>
        </w:tc>
        <w:tc>
          <w:tcPr>
            <w:tcW w:w="3213" w:type="dxa"/>
            <w:tcBorders>
              <w:top w:val="single" w:sz="2" w:space="0" w:color="auto"/>
              <w:left w:val="single" w:sz="2" w:space="0" w:color="auto"/>
              <w:bottom w:val="single" w:sz="2" w:space="0" w:color="auto"/>
              <w:right w:val="single" w:sz="2" w:space="0" w:color="auto"/>
            </w:tcBorders>
            <w:vAlign w:val="center"/>
          </w:tcPr>
          <w:p w14:paraId="3A7BBDDC" w14:textId="77777777" w:rsidR="007B3DB2" w:rsidRPr="0063248C" w:rsidRDefault="00000000">
            <w:pPr>
              <w:spacing w:line="240" w:lineRule="exact"/>
              <w:jc w:val="right"/>
              <w:rPr>
                <w:rFonts w:cs="宋体"/>
                <w:sz w:val="18"/>
                <w:szCs w:val="18"/>
              </w:rPr>
            </w:pPr>
            <w:r w:rsidRPr="0063248C">
              <w:rPr>
                <w:rFonts w:cs="宋体"/>
                <w:sz w:val="18"/>
                <w:szCs w:val="18"/>
              </w:rPr>
              <w:t>18,094.17</w:t>
            </w:r>
          </w:p>
        </w:tc>
        <w:tc>
          <w:tcPr>
            <w:tcW w:w="3213" w:type="dxa"/>
            <w:tcBorders>
              <w:top w:val="single" w:sz="2" w:space="0" w:color="auto"/>
              <w:left w:val="single" w:sz="2" w:space="0" w:color="auto"/>
              <w:bottom w:val="single" w:sz="2" w:space="0" w:color="auto"/>
              <w:right w:val="single" w:sz="2" w:space="0" w:color="auto"/>
            </w:tcBorders>
            <w:vAlign w:val="center"/>
          </w:tcPr>
          <w:p w14:paraId="382F7CEF" w14:textId="77777777" w:rsidR="007B3DB2" w:rsidRPr="0063248C" w:rsidRDefault="00000000">
            <w:pPr>
              <w:spacing w:line="240" w:lineRule="exact"/>
              <w:jc w:val="right"/>
              <w:rPr>
                <w:rFonts w:cs="宋体"/>
                <w:sz w:val="18"/>
                <w:szCs w:val="18"/>
              </w:rPr>
            </w:pPr>
            <w:r w:rsidRPr="0063248C">
              <w:rPr>
                <w:rFonts w:cs="宋体"/>
                <w:sz w:val="18"/>
                <w:szCs w:val="18"/>
              </w:rPr>
              <w:t>57,534.14</w:t>
            </w:r>
          </w:p>
        </w:tc>
      </w:tr>
      <w:tr w:rsidR="007B3DB2" w:rsidRPr="0063248C" w14:paraId="669763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34E5CE"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9610F4A" w14:textId="77777777" w:rsidR="007B3DB2" w:rsidRPr="0063248C" w:rsidRDefault="00000000">
            <w:pPr>
              <w:spacing w:line="240" w:lineRule="exact"/>
              <w:jc w:val="right"/>
              <w:rPr>
                <w:rFonts w:cs="宋体"/>
                <w:sz w:val="18"/>
                <w:szCs w:val="18"/>
              </w:rPr>
            </w:pPr>
            <w:r w:rsidRPr="0063248C">
              <w:rPr>
                <w:rFonts w:cs="宋体"/>
                <w:sz w:val="18"/>
                <w:szCs w:val="18"/>
              </w:rPr>
              <w:t>179,318.75</w:t>
            </w:r>
          </w:p>
        </w:tc>
        <w:tc>
          <w:tcPr>
            <w:tcW w:w="3213" w:type="dxa"/>
            <w:tcBorders>
              <w:top w:val="single" w:sz="2" w:space="0" w:color="auto"/>
              <w:left w:val="single" w:sz="2" w:space="0" w:color="auto"/>
              <w:bottom w:val="single" w:sz="2" w:space="0" w:color="auto"/>
              <w:right w:val="single" w:sz="2" w:space="0" w:color="auto"/>
            </w:tcBorders>
            <w:vAlign w:val="center"/>
          </w:tcPr>
          <w:p w14:paraId="5B946299" w14:textId="77777777" w:rsidR="007B3DB2" w:rsidRPr="0063248C" w:rsidRDefault="00000000">
            <w:pPr>
              <w:spacing w:line="240" w:lineRule="exact"/>
              <w:jc w:val="right"/>
              <w:rPr>
                <w:rFonts w:cs="宋体"/>
                <w:sz w:val="18"/>
                <w:szCs w:val="18"/>
              </w:rPr>
            </w:pPr>
            <w:r w:rsidRPr="0063248C">
              <w:rPr>
                <w:rFonts w:cs="宋体"/>
                <w:sz w:val="18"/>
                <w:szCs w:val="18"/>
              </w:rPr>
              <w:t>218,758.72</w:t>
            </w:r>
          </w:p>
        </w:tc>
      </w:tr>
    </w:tbl>
    <w:p w14:paraId="58DD39C4"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39FE032C" w14:textId="77777777" w:rsidR="00517D34" w:rsidRPr="0063248C" w:rsidRDefault="00000000">
      <w:pPr>
        <w:pStyle w:val="a3"/>
        <w:divId w:val="297301151"/>
        <w:rPr>
          <w:rFonts w:ascii="Times New Roman" w:hAnsi="Times New Roman"/>
          <w:sz w:val="18"/>
          <w:szCs w:val="18"/>
        </w:rPr>
      </w:pPr>
      <w:r w:rsidRPr="0063248C">
        <w:rPr>
          <w:rFonts w:ascii="Times New Roman" w:hAnsi="Times New Roman" w:hint="eastAsia"/>
          <w:sz w:val="18"/>
          <w:szCs w:val="18"/>
        </w:rPr>
        <w:t>无</w:t>
      </w:r>
    </w:p>
    <w:p w14:paraId="60CC8932" w14:textId="77777777" w:rsidR="007B3DB2" w:rsidRPr="0063248C" w:rsidRDefault="00000000">
      <w:pPr>
        <w:pStyle w:val="3"/>
        <w:spacing w:line="280" w:lineRule="exact"/>
        <w:jc w:val="left"/>
        <w:rPr>
          <w:rFonts w:cs="宋体"/>
          <w:b/>
          <w:bCs/>
        </w:rPr>
      </w:pPr>
      <w:bookmarkStart w:id="245" w:name="_Toc989134"/>
      <w:r w:rsidRPr="0063248C">
        <w:rPr>
          <w:rFonts w:cs="宋体"/>
          <w:b/>
          <w:bCs/>
        </w:rPr>
        <w:t>14</w:t>
      </w:r>
      <w:r w:rsidRPr="0063248C">
        <w:rPr>
          <w:rFonts w:cs="宋体"/>
          <w:b/>
          <w:bCs/>
        </w:rPr>
        <w:t>、债权投资</w:t>
      </w:r>
      <w:bookmarkEnd w:id="245"/>
    </w:p>
    <w:p w14:paraId="21B837AE" w14:textId="77777777" w:rsidR="007B3DB2" w:rsidRPr="0063248C" w:rsidRDefault="00000000">
      <w:pPr>
        <w:keepNext/>
        <w:keepLines/>
        <w:spacing w:before="300" w:after="300" w:line="280" w:lineRule="exact"/>
        <w:outlineLvl w:val="3"/>
        <w:rPr>
          <w:rFonts w:cs="宋体"/>
          <w:b/>
          <w:bCs/>
          <w:szCs w:val="21"/>
        </w:rPr>
      </w:pPr>
      <w:bookmarkStart w:id="246" w:name="_Toc989135"/>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债权投资的情况</w:t>
      </w:r>
      <w:bookmarkEnd w:id="246"/>
    </w:p>
    <w:p w14:paraId="7CD4E449" w14:textId="77777777" w:rsidR="008669F6" w:rsidRPr="0063248C" w:rsidRDefault="008669F6" w:rsidP="008669F6">
      <w:pPr>
        <w:spacing w:before="40" w:after="40" w:line="240" w:lineRule="exact"/>
        <w:rPr>
          <w:rFonts w:cs="宋体"/>
          <w:sz w:val="18"/>
          <w:szCs w:val="18"/>
        </w:rPr>
      </w:pPr>
      <w:bookmarkStart w:id="247" w:name="_Toc989136"/>
      <w:r>
        <w:rPr>
          <w:rFonts w:cs="宋体" w:hint="eastAsia"/>
          <w:sz w:val="18"/>
          <w:szCs w:val="18"/>
        </w:rPr>
        <w:t>无</w:t>
      </w:r>
    </w:p>
    <w:p w14:paraId="0A740D9C"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期末重要的债权投资</w:t>
      </w:r>
      <w:bookmarkEnd w:id="247"/>
    </w:p>
    <w:p w14:paraId="07C959C2" w14:textId="77777777" w:rsidR="00760A54" w:rsidRPr="0063248C" w:rsidRDefault="00760A54" w:rsidP="00760A54">
      <w:pPr>
        <w:spacing w:before="120" w:after="120" w:line="240" w:lineRule="exact"/>
        <w:rPr>
          <w:rFonts w:cs="宋体"/>
          <w:sz w:val="18"/>
          <w:szCs w:val="18"/>
        </w:rPr>
      </w:pPr>
      <w:bookmarkStart w:id="248" w:name="_Toc989137"/>
      <w:r>
        <w:rPr>
          <w:rFonts w:cs="宋体" w:hint="eastAsia"/>
          <w:sz w:val="18"/>
          <w:szCs w:val="18"/>
        </w:rPr>
        <w:t>无</w:t>
      </w:r>
    </w:p>
    <w:p w14:paraId="5EC678A6"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减值准备计提情况</w:t>
      </w:r>
      <w:bookmarkEnd w:id="248"/>
    </w:p>
    <w:p w14:paraId="13D63E27" w14:textId="77777777" w:rsidR="00517D34" w:rsidRPr="0063248C" w:rsidRDefault="00000000">
      <w:pPr>
        <w:pStyle w:val="a3"/>
        <w:divId w:val="262998088"/>
        <w:rPr>
          <w:rFonts w:ascii="Times New Roman" w:hAnsi="Times New Roman"/>
          <w:sz w:val="18"/>
          <w:szCs w:val="18"/>
        </w:rPr>
      </w:pPr>
      <w:r w:rsidRPr="0063248C">
        <w:rPr>
          <w:rFonts w:ascii="Times New Roman" w:hAnsi="Times New Roman" w:hint="eastAsia"/>
          <w:sz w:val="18"/>
          <w:szCs w:val="18"/>
        </w:rPr>
        <w:t>无</w:t>
      </w:r>
    </w:p>
    <w:p w14:paraId="1D1B0D13" w14:textId="77777777" w:rsidR="007B3DB2" w:rsidRPr="0063248C" w:rsidRDefault="00000000">
      <w:pPr>
        <w:keepNext/>
        <w:keepLines/>
        <w:spacing w:before="300" w:after="300" w:line="280" w:lineRule="exact"/>
        <w:outlineLvl w:val="3"/>
        <w:rPr>
          <w:rFonts w:cs="宋体"/>
          <w:b/>
          <w:bCs/>
          <w:szCs w:val="21"/>
        </w:rPr>
      </w:pPr>
      <w:bookmarkStart w:id="249" w:name="_Toc989138"/>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本期实际核销的债权投资情况</w:t>
      </w:r>
      <w:bookmarkEnd w:id="249"/>
    </w:p>
    <w:p w14:paraId="622E5386" w14:textId="77777777" w:rsidR="00517D34" w:rsidRPr="0063248C" w:rsidRDefault="00000000">
      <w:pPr>
        <w:pStyle w:val="a3"/>
        <w:divId w:val="1044712513"/>
        <w:rPr>
          <w:rFonts w:ascii="Times New Roman" w:hAnsi="Times New Roman"/>
          <w:sz w:val="18"/>
          <w:szCs w:val="18"/>
        </w:rPr>
      </w:pPr>
      <w:r w:rsidRPr="0063248C">
        <w:rPr>
          <w:rFonts w:ascii="Times New Roman" w:hAnsi="Times New Roman" w:hint="eastAsia"/>
          <w:sz w:val="18"/>
          <w:szCs w:val="18"/>
        </w:rPr>
        <w:t>无</w:t>
      </w:r>
    </w:p>
    <w:p w14:paraId="26473165" w14:textId="77777777" w:rsidR="007B3DB2" w:rsidRPr="0063248C" w:rsidRDefault="00000000">
      <w:pPr>
        <w:spacing w:before="100" w:after="100" w:line="240" w:lineRule="exact"/>
        <w:rPr>
          <w:rFonts w:cs="宋体"/>
          <w:sz w:val="18"/>
          <w:szCs w:val="18"/>
        </w:rPr>
      </w:pPr>
      <w:r w:rsidRPr="0063248C">
        <w:rPr>
          <w:rFonts w:cs="宋体"/>
          <w:sz w:val="18"/>
          <w:szCs w:val="18"/>
        </w:rPr>
        <w:t>损失准备本期变动金额重大的账面余额变动情况</w:t>
      </w:r>
    </w:p>
    <w:p w14:paraId="143EB0E2"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41482A0"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61E41AA0" w14:textId="77777777" w:rsidR="00517D34" w:rsidRPr="0063248C" w:rsidRDefault="00000000">
      <w:pPr>
        <w:pStyle w:val="a3"/>
        <w:divId w:val="907962750"/>
        <w:rPr>
          <w:rFonts w:ascii="Times New Roman" w:hAnsi="Times New Roman"/>
          <w:sz w:val="18"/>
          <w:szCs w:val="18"/>
        </w:rPr>
      </w:pPr>
      <w:r w:rsidRPr="0063248C">
        <w:rPr>
          <w:rFonts w:ascii="Times New Roman" w:hAnsi="Times New Roman" w:hint="eastAsia"/>
          <w:sz w:val="18"/>
          <w:szCs w:val="18"/>
        </w:rPr>
        <w:lastRenderedPageBreak/>
        <w:t>无</w:t>
      </w:r>
    </w:p>
    <w:p w14:paraId="06DE588D" w14:textId="77777777" w:rsidR="007B3DB2" w:rsidRPr="0063248C" w:rsidRDefault="00000000">
      <w:pPr>
        <w:pStyle w:val="3"/>
        <w:spacing w:line="280" w:lineRule="exact"/>
        <w:jc w:val="left"/>
        <w:rPr>
          <w:rFonts w:cs="宋体"/>
          <w:b/>
          <w:bCs/>
        </w:rPr>
      </w:pPr>
      <w:bookmarkStart w:id="250" w:name="_Toc989139"/>
      <w:r w:rsidRPr="0063248C">
        <w:rPr>
          <w:rFonts w:cs="宋体"/>
          <w:b/>
          <w:bCs/>
        </w:rPr>
        <w:t>15</w:t>
      </w:r>
      <w:r w:rsidRPr="0063248C">
        <w:rPr>
          <w:rFonts w:cs="宋体"/>
          <w:b/>
          <w:bCs/>
        </w:rPr>
        <w:t>、其他债权投资</w:t>
      </w:r>
      <w:bookmarkEnd w:id="250"/>
    </w:p>
    <w:p w14:paraId="1AF7C655" w14:textId="77777777" w:rsidR="007B3DB2" w:rsidRPr="0063248C" w:rsidRDefault="00000000">
      <w:pPr>
        <w:keepNext/>
        <w:keepLines/>
        <w:spacing w:before="300" w:after="300" w:line="280" w:lineRule="exact"/>
        <w:outlineLvl w:val="3"/>
        <w:rPr>
          <w:rFonts w:cs="宋体"/>
          <w:b/>
          <w:bCs/>
          <w:szCs w:val="21"/>
        </w:rPr>
      </w:pPr>
      <w:bookmarkStart w:id="251" w:name="_Toc989140"/>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其他债权投资的情况</w:t>
      </w:r>
      <w:bookmarkEnd w:id="251"/>
    </w:p>
    <w:p w14:paraId="681BA658" w14:textId="77777777" w:rsidR="00760A54" w:rsidRPr="0063248C" w:rsidRDefault="00760A54" w:rsidP="00760A54">
      <w:pPr>
        <w:spacing w:before="120" w:after="120" w:line="240" w:lineRule="exact"/>
        <w:rPr>
          <w:rFonts w:cs="宋体"/>
          <w:sz w:val="18"/>
          <w:szCs w:val="18"/>
        </w:rPr>
      </w:pPr>
      <w:bookmarkStart w:id="252" w:name="_Toc989141"/>
      <w:r>
        <w:rPr>
          <w:rFonts w:cs="宋体" w:hint="eastAsia"/>
          <w:sz w:val="18"/>
          <w:szCs w:val="18"/>
        </w:rPr>
        <w:t>无</w:t>
      </w:r>
    </w:p>
    <w:p w14:paraId="6FB0AEAA"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期末重要的其他债权投资</w:t>
      </w:r>
      <w:bookmarkEnd w:id="252"/>
    </w:p>
    <w:p w14:paraId="68299B6D" w14:textId="5C0757BD" w:rsidR="007B3DB2" w:rsidRPr="0063248C" w:rsidRDefault="00760A54" w:rsidP="00760A54">
      <w:pPr>
        <w:spacing w:before="120" w:after="120" w:line="240" w:lineRule="exact"/>
        <w:rPr>
          <w:rFonts w:cs="宋体"/>
          <w:sz w:val="18"/>
          <w:szCs w:val="18"/>
        </w:rPr>
      </w:pPr>
      <w:r>
        <w:rPr>
          <w:rFonts w:cs="宋体" w:hint="eastAsia"/>
          <w:sz w:val="18"/>
          <w:szCs w:val="18"/>
        </w:rPr>
        <w:t>无</w:t>
      </w:r>
    </w:p>
    <w:p w14:paraId="2DC130E8" w14:textId="77777777" w:rsidR="007B3DB2" w:rsidRPr="0063248C" w:rsidRDefault="00000000">
      <w:pPr>
        <w:keepNext/>
        <w:keepLines/>
        <w:spacing w:before="300" w:after="300" w:line="280" w:lineRule="exact"/>
        <w:outlineLvl w:val="3"/>
        <w:rPr>
          <w:rFonts w:cs="宋体"/>
          <w:b/>
          <w:bCs/>
          <w:szCs w:val="21"/>
        </w:rPr>
      </w:pPr>
      <w:bookmarkStart w:id="253" w:name="_Toc989142"/>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减值准备计提情况</w:t>
      </w:r>
      <w:bookmarkEnd w:id="253"/>
    </w:p>
    <w:p w14:paraId="0D9CA8DC" w14:textId="77777777" w:rsidR="00517D34" w:rsidRPr="0063248C" w:rsidRDefault="00000000">
      <w:pPr>
        <w:pStyle w:val="a3"/>
        <w:divId w:val="688869952"/>
        <w:rPr>
          <w:rFonts w:ascii="Times New Roman" w:hAnsi="Times New Roman"/>
          <w:sz w:val="18"/>
          <w:szCs w:val="18"/>
        </w:rPr>
      </w:pPr>
      <w:r w:rsidRPr="0063248C">
        <w:rPr>
          <w:rFonts w:ascii="Times New Roman" w:hAnsi="Times New Roman" w:hint="eastAsia"/>
          <w:sz w:val="18"/>
          <w:szCs w:val="18"/>
        </w:rPr>
        <w:t>无</w:t>
      </w:r>
    </w:p>
    <w:p w14:paraId="4E06BD10" w14:textId="77777777" w:rsidR="007B3DB2" w:rsidRPr="0063248C" w:rsidRDefault="00000000">
      <w:pPr>
        <w:keepNext/>
        <w:keepLines/>
        <w:spacing w:before="300" w:after="300" w:line="280" w:lineRule="exact"/>
        <w:outlineLvl w:val="3"/>
        <w:rPr>
          <w:rFonts w:cs="宋体"/>
          <w:b/>
          <w:bCs/>
          <w:szCs w:val="21"/>
        </w:rPr>
      </w:pPr>
      <w:bookmarkStart w:id="254" w:name="_Toc989143"/>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本期实际核销的其他债权投资情况</w:t>
      </w:r>
      <w:bookmarkEnd w:id="254"/>
    </w:p>
    <w:p w14:paraId="3E52D0AD" w14:textId="77777777" w:rsidR="00517D34" w:rsidRPr="0063248C" w:rsidRDefault="00000000">
      <w:pPr>
        <w:pStyle w:val="a3"/>
        <w:divId w:val="1989438848"/>
        <w:rPr>
          <w:rFonts w:ascii="Times New Roman" w:hAnsi="Times New Roman"/>
          <w:sz w:val="18"/>
          <w:szCs w:val="18"/>
        </w:rPr>
      </w:pPr>
      <w:r w:rsidRPr="0063248C">
        <w:rPr>
          <w:rFonts w:ascii="Times New Roman" w:hAnsi="Times New Roman" w:hint="eastAsia"/>
          <w:sz w:val="18"/>
          <w:szCs w:val="18"/>
        </w:rPr>
        <w:t>无</w:t>
      </w:r>
    </w:p>
    <w:p w14:paraId="0A1C4A07" w14:textId="77777777" w:rsidR="007B3DB2" w:rsidRPr="0063248C" w:rsidRDefault="00000000">
      <w:pPr>
        <w:spacing w:before="100" w:after="100" w:line="240" w:lineRule="exact"/>
        <w:rPr>
          <w:rFonts w:cs="宋体"/>
          <w:sz w:val="18"/>
          <w:szCs w:val="18"/>
        </w:rPr>
      </w:pPr>
      <w:r w:rsidRPr="0063248C">
        <w:rPr>
          <w:rFonts w:cs="宋体"/>
          <w:sz w:val="18"/>
          <w:szCs w:val="18"/>
        </w:rPr>
        <w:t>损失准备本期变动金额重大的账面余额变动情况</w:t>
      </w:r>
    </w:p>
    <w:p w14:paraId="7A50A576"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2E8A58B"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32237AC5" w14:textId="77777777" w:rsidR="00517D34" w:rsidRPr="0063248C" w:rsidRDefault="00000000">
      <w:pPr>
        <w:pStyle w:val="a3"/>
        <w:divId w:val="1904873927"/>
        <w:rPr>
          <w:rFonts w:ascii="Times New Roman" w:hAnsi="Times New Roman"/>
          <w:sz w:val="18"/>
          <w:szCs w:val="18"/>
        </w:rPr>
      </w:pPr>
      <w:r w:rsidRPr="0063248C">
        <w:rPr>
          <w:rFonts w:ascii="Times New Roman" w:hAnsi="Times New Roman" w:hint="eastAsia"/>
          <w:sz w:val="18"/>
          <w:szCs w:val="18"/>
        </w:rPr>
        <w:t>无</w:t>
      </w:r>
    </w:p>
    <w:p w14:paraId="1629B708" w14:textId="77777777" w:rsidR="007B3DB2" w:rsidRPr="0063248C" w:rsidRDefault="00000000">
      <w:pPr>
        <w:pStyle w:val="3"/>
        <w:spacing w:line="280" w:lineRule="exact"/>
        <w:jc w:val="left"/>
        <w:rPr>
          <w:rFonts w:cs="宋体"/>
          <w:b/>
          <w:bCs/>
        </w:rPr>
      </w:pPr>
      <w:bookmarkStart w:id="255" w:name="_Toc989144"/>
      <w:r w:rsidRPr="0063248C">
        <w:rPr>
          <w:rFonts w:cs="宋体"/>
          <w:b/>
          <w:bCs/>
        </w:rPr>
        <w:t>16</w:t>
      </w:r>
      <w:r w:rsidRPr="0063248C">
        <w:rPr>
          <w:rFonts w:cs="宋体"/>
          <w:b/>
          <w:bCs/>
        </w:rPr>
        <w:t>、其他权益工具投资</w:t>
      </w:r>
      <w:bookmarkEnd w:id="255"/>
    </w:p>
    <w:p w14:paraId="595F61C1"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7B3DB2" w:rsidRPr="0063248C" w14:paraId="20AC48D3"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B361DA1"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61B6E46"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5624388"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5C5728D"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2C86344"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本期末累计计入其他综合收益的利得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C94EB96"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本期末累计计入其他综合收益的损失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81EC90F"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本期确认的股利收入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014301F"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186EFDA" w14:textId="77777777" w:rsidR="007B3DB2" w:rsidRPr="0063248C" w:rsidRDefault="00000000">
            <w:pPr>
              <w:spacing w:before="40" w:after="40" w:line="240" w:lineRule="exact"/>
              <w:jc w:val="center"/>
              <w:rPr>
                <w:rFonts w:cs="宋体"/>
                <w:sz w:val="18"/>
                <w:szCs w:val="18"/>
              </w:rPr>
            </w:pPr>
            <w:r w:rsidRPr="0063248C">
              <w:rPr>
                <w:rFonts w:cs="宋体"/>
                <w:sz w:val="18"/>
                <w:szCs w:val="18"/>
              </w:rPr>
              <w:t>指定为以公允价值计量且其变动计入其他综合收益的原因</w:t>
            </w:r>
          </w:p>
        </w:tc>
      </w:tr>
      <w:tr w:rsidR="007B3DB2" w:rsidRPr="0063248C" w14:paraId="79845D47"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C729D33" w14:textId="77777777" w:rsidR="007B3DB2" w:rsidRPr="0063248C" w:rsidRDefault="00000000">
            <w:pPr>
              <w:spacing w:line="240" w:lineRule="exact"/>
              <w:rPr>
                <w:rFonts w:cs="宋体"/>
                <w:sz w:val="18"/>
                <w:szCs w:val="18"/>
              </w:rPr>
            </w:pPr>
            <w:r w:rsidRPr="0063248C">
              <w:rPr>
                <w:rFonts w:cs="宋体"/>
                <w:sz w:val="18"/>
                <w:szCs w:val="18"/>
              </w:rPr>
              <w:t>北京佰镒通科技有限公司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2405592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7C39629C" w14:textId="77777777" w:rsidR="007B3DB2" w:rsidRPr="0063248C" w:rsidRDefault="007B3DB2">
            <w:pPr>
              <w:spacing w:line="240" w:lineRule="exact"/>
              <w:jc w:val="right"/>
              <w:rPr>
                <w:rFonts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0890524" w14:textId="77777777" w:rsidR="007B3DB2" w:rsidRPr="0063248C" w:rsidRDefault="007B3DB2">
            <w:pPr>
              <w:spacing w:line="240" w:lineRule="exact"/>
              <w:jc w:val="right"/>
              <w:rPr>
                <w:rFonts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3970354" w14:textId="77777777" w:rsidR="007B3DB2" w:rsidRPr="0063248C" w:rsidRDefault="007B3DB2">
            <w:pPr>
              <w:spacing w:line="240" w:lineRule="exact"/>
              <w:jc w:val="right"/>
              <w:rPr>
                <w:rFonts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36791C5" w14:textId="77777777" w:rsidR="007B3DB2" w:rsidRPr="0063248C" w:rsidRDefault="007B3DB2">
            <w:pPr>
              <w:spacing w:line="240" w:lineRule="exact"/>
              <w:jc w:val="right"/>
              <w:rPr>
                <w:rFonts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7500DC2" w14:textId="77777777" w:rsidR="007B3DB2" w:rsidRPr="0063248C" w:rsidRDefault="007B3DB2">
            <w:pPr>
              <w:spacing w:line="240" w:lineRule="exact"/>
              <w:jc w:val="right"/>
              <w:rPr>
                <w:rFonts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52C8120"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57628490" w14:textId="77777777" w:rsidR="007B3DB2" w:rsidRPr="0063248C" w:rsidRDefault="00000000">
            <w:pPr>
              <w:spacing w:line="240" w:lineRule="exact"/>
              <w:rPr>
                <w:rFonts w:cs="宋体"/>
                <w:sz w:val="18"/>
                <w:szCs w:val="18"/>
              </w:rPr>
            </w:pPr>
            <w:r w:rsidRPr="0063248C">
              <w:rPr>
                <w:rFonts w:cs="宋体"/>
                <w:sz w:val="18"/>
                <w:szCs w:val="18"/>
              </w:rPr>
              <w:t>基于战略投资的考虑</w:t>
            </w:r>
          </w:p>
        </w:tc>
      </w:tr>
    </w:tbl>
    <w:p w14:paraId="65FB6C3E" w14:textId="77777777" w:rsidR="007B3DB2" w:rsidRPr="0063248C" w:rsidRDefault="00000000">
      <w:pPr>
        <w:spacing w:before="100" w:after="100" w:line="240" w:lineRule="exact"/>
        <w:rPr>
          <w:rFonts w:cs="宋体"/>
          <w:sz w:val="18"/>
          <w:szCs w:val="18"/>
        </w:rPr>
      </w:pPr>
      <w:r w:rsidRPr="0063248C">
        <w:rPr>
          <w:rFonts w:cs="宋体"/>
          <w:sz w:val="18"/>
          <w:szCs w:val="18"/>
        </w:rPr>
        <w:t>本期存在终止确认</w:t>
      </w:r>
    </w:p>
    <w:p w14:paraId="0C2BFE3B" w14:textId="77777777" w:rsidR="008669F6" w:rsidRPr="0063248C" w:rsidRDefault="008669F6" w:rsidP="008669F6">
      <w:pPr>
        <w:spacing w:before="40" w:after="40" w:line="240" w:lineRule="exact"/>
        <w:rPr>
          <w:rFonts w:cs="宋体"/>
          <w:sz w:val="18"/>
          <w:szCs w:val="18"/>
        </w:rPr>
      </w:pPr>
      <w:r>
        <w:rPr>
          <w:rFonts w:cs="宋体" w:hint="eastAsia"/>
          <w:sz w:val="18"/>
          <w:szCs w:val="18"/>
        </w:rPr>
        <w:t>无</w:t>
      </w:r>
    </w:p>
    <w:p w14:paraId="312ACE40" w14:textId="77777777" w:rsidR="007B3DB2" w:rsidRPr="0063248C" w:rsidRDefault="00000000">
      <w:pPr>
        <w:spacing w:before="100" w:after="100" w:line="240" w:lineRule="exact"/>
        <w:rPr>
          <w:rFonts w:cs="宋体"/>
          <w:sz w:val="18"/>
          <w:szCs w:val="18"/>
        </w:rPr>
      </w:pPr>
      <w:r w:rsidRPr="0063248C">
        <w:rPr>
          <w:rFonts w:cs="宋体"/>
          <w:sz w:val="18"/>
          <w:szCs w:val="18"/>
        </w:rPr>
        <w:t>分项披露</w:t>
      </w:r>
      <w:proofErr w:type="gramStart"/>
      <w:r w:rsidRPr="0063248C">
        <w:rPr>
          <w:rFonts w:cs="宋体"/>
          <w:sz w:val="18"/>
          <w:szCs w:val="18"/>
        </w:rPr>
        <w:t>本期非交易</w:t>
      </w:r>
      <w:proofErr w:type="gramEnd"/>
      <w:r w:rsidRPr="0063248C">
        <w:rPr>
          <w:rFonts w:cs="宋体"/>
          <w:sz w:val="18"/>
          <w:szCs w:val="18"/>
        </w:rPr>
        <w:t>性权益工具投资</w:t>
      </w:r>
    </w:p>
    <w:p w14:paraId="52372BBD"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10F62085"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995DE3C"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57B5ED6" w14:textId="77777777" w:rsidR="007B3DB2" w:rsidRPr="0063248C" w:rsidRDefault="00000000">
            <w:pPr>
              <w:spacing w:before="40" w:after="40" w:line="240" w:lineRule="exact"/>
              <w:jc w:val="center"/>
              <w:rPr>
                <w:rFonts w:cs="宋体"/>
                <w:sz w:val="18"/>
                <w:szCs w:val="18"/>
              </w:rPr>
            </w:pPr>
            <w:r w:rsidRPr="0063248C">
              <w:rPr>
                <w:rFonts w:cs="宋体"/>
                <w:sz w:val="18"/>
                <w:szCs w:val="18"/>
              </w:rPr>
              <w:t>确认的股利收入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8F23D0B" w14:textId="77777777" w:rsidR="007B3DB2" w:rsidRPr="0063248C" w:rsidRDefault="00000000">
            <w:pPr>
              <w:spacing w:before="40" w:after="40" w:line="240" w:lineRule="exact"/>
              <w:jc w:val="center"/>
              <w:rPr>
                <w:rFonts w:cs="宋体"/>
                <w:sz w:val="18"/>
                <w:szCs w:val="18"/>
              </w:rPr>
            </w:pPr>
            <w:r w:rsidRPr="0063248C">
              <w:rPr>
                <w:rFonts w:cs="宋体"/>
                <w:sz w:val="18"/>
                <w:szCs w:val="18"/>
              </w:rPr>
              <w:t>累计利得</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01C87DE" w14:textId="77777777" w:rsidR="007B3DB2" w:rsidRPr="0063248C" w:rsidRDefault="00000000">
            <w:pPr>
              <w:spacing w:before="40" w:after="40" w:line="240" w:lineRule="exact"/>
              <w:jc w:val="center"/>
              <w:rPr>
                <w:rFonts w:cs="宋体"/>
                <w:sz w:val="18"/>
                <w:szCs w:val="18"/>
              </w:rPr>
            </w:pPr>
            <w:r w:rsidRPr="0063248C">
              <w:rPr>
                <w:rFonts w:cs="宋体"/>
                <w:sz w:val="18"/>
                <w:szCs w:val="18"/>
              </w:rPr>
              <w:t>累计损失</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1952452"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其他综合收益转入留存收益的金额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19F1B01" w14:textId="77777777" w:rsidR="007B3DB2" w:rsidRPr="0063248C" w:rsidRDefault="00000000">
            <w:pPr>
              <w:spacing w:before="40" w:after="40" w:line="240" w:lineRule="exact"/>
              <w:jc w:val="center"/>
              <w:rPr>
                <w:rFonts w:cs="宋体"/>
                <w:sz w:val="18"/>
                <w:szCs w:val="18"/>
              </w:rPr>
            </w:pPr>
            <w:r w:rsidRPr="0063248C">
              <w:rPr>
                <w:rFonts w:cs="宋体"/>
                <w:sz w:val="18"/>
                <w:szCs w:val="18"/>
              </w:rPr>
              <w:t>指定为以公允价值计量且其变动计入其他综合收益的原因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FDBDE90"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其他综合收益转入留存收益的原因</w:t>
            </w:r>
          </w:p>
        </w:tc>
      </w:tr>
      <w:tr w:rsidR="007B3DB2" w:rsidRPr="0063248C" w14:paraId="29F6B1B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D4A3880" w14:textId="77777777" w:rsidR="007B3DB2" w:rsidRPr="0063248C" w:rsidRDefault="00000000">
            <w:pPr>
              <w:spacing w:line="240" w:lineRule="exact"/>
              <w:rPr>
                <w:rFonts w:cs="宋体"/>
                <w:sz w:val="18"/>
                <w:szCs w:val="18"/>
              </w:rPr>
            </w:pPr>
            <w:r w:rsidRPr="0063248C">
              <w:rPr>
                <w:rFonts w:cs="宋体"/>
                <w:sz w:val="18"/>
                <w:szCs w:val="18"/>
              </w:rPr>
              <w:lastRenderedPageBreak/>
              <w:t>北京佰镒通科技有限公司股权投资</w:t>
            </w:r>
          </w:p>
        </w:tc>
        <w:tc>
          <w:tcPr>
            <w:tcW w:w="1377" w:type="dxa"/>
            <w:tcBorders>
              <w:top w:val="single" w:sz="2" w:space="0" w:color="auto"/>
              <w:left w:val="single" w:sz="2" w:space="0" w:color="auto"/>
              <w:bottom w:val="single" w:sz="2" w:space="0" w:color="auto"/>
              <w:right w:val="single" w:sz="2" w:space="0" w:color="auto"/>
            </w:tcBorders>
            <w:vAlign w:val="center"/>
          </w:tcPr>
          <w:p w14:paraId="33666A7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B0EC9D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61436D"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c>
          <w:tcPr>
            <w:tcW w:w="1377" w:type="dxa"/>
            <w:tcBorders>
              <w:top w:val="single" w:sz="2" w:space="0" w:color="auto"/>
              <w:left w:val="single" w:sz="2" w:space="0" w:color="auto"/>
              <w:bottom w:val="single" w:sz="2" w:space="0" w:color="auto"/>
              <w:right w:val="single" w:sz="2" w:space="0" w:color="auto"/>
            </w:tcBorders>
            <w:vAlign w:val="center"/>
          </w:tcPr>
          <w:p w14:paraId="0B6460A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DD898B" w14:textId="77777777" w:rsidR="007B3DB2" w:rsidRPr="0063248C" w:rsidRDefault="00000000">
            <w:pPr>
              <w:spacing w:line="240" w:lineRule="exact"/>
              <w:rPr>
                <w:rFonts w:cs="宋体"/>
                <w:sz w:val="18"/>
                <w:szCs w:val="18"/>
              </w:rPr>
            </w:pPr>
            <w:r w:rsidRPr="0063248C">
              <w:rPr>
                <w:rFonts w:cs="宋体"/>
                <w:sz w:val="18"/>
                <w:szCs w:val="18"/>
              </w:rPr>
              <w:t>基于战略投资的考虑</w:t>
            </w:r>
          </w:p>
        </w:tc>
        <w:tc>
          <w:tcPr>
            <w:tcW w:w="1377" w:type="dxa"/>
            <w:tcBorders>
              <w:top w:val="single" w:sz="2" w:space="0" w:color="auto"/>
              <w:left w:val="single" w:sz="2" w:space="0" w:color="auto"/>
              <w:bottom w:val="single" w:sz="2" w:space="0" w:color="auto"/>
              <w:right w:val="single" w:sz="2" w:space="0" w:color="auto"/>
            </w:tcBorders>
            <w:vAlign w:val="center"/>
          </w:tcPr>
          <w:p w14:paraId="61F25D6B" w14:textId="77777777" w:rsidR="007B3DB2" w:rsidRPr="0063248C" w:rsidRDefault="007B3DB2">
            <w:pPr>
              <w:spacing w:line="240" w:lineRule="exact"/>
              <w:rPr>
                <w:rFonts w:cs="宋体"/>
                <w:sz w:val="18"/>
                <w:szCs w:val="18"/>
              </w:rPr>
            </w:pPr>
          </w:p>
        </w:tc>
      </w:tr>
    </w:tbl>
    <w:p w14:paraId="780D9C56"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3D339909" w14:textId="77777777" w:rsidR="00517D34" w:rsidRPr="0063248C" w:rsidRDefault="00000000">
      <w:pPr>
        <w:pStyle w:val="a3"/>
        <w:divId w:val="2131166807"/>
        <w:rPr>
          <w:rFonts w:ascii="Times New Roman" w:hAnsi="Times New Roman"/>
          <w:sz w:val="18"/>
          <w:szCs w:val="18"/>
        </w:rPr>
      </w:pPr>
      <w:r w:rsidRPr="0063248C">
        <w:rPr>
          <w:rFonts w:ascii="Times New Roman" w:hAnsi="Times New Roman" w:hint="eastAsia"/>
          <w:sz w:val="18"/>
          <w:szCs w:val="18"/>
        </w:rPr>
        <w:t>无</w:t>
      </w:r>
    </w:p>
    <w:p w14:paraId="7F82C99B" w14:textId="77777777" w:rsidR="007B3DB2" w:rsidRPr="0063248C" w:rsidRDefault="00000000">
      <w:pPr>
        <w:pStyle w:val="3"/>
        <w:spacing w:line="280" w:lineRule="exact"/>
        <w:jc w:val="left"/>
        <w:rPr>
          <w:rFonts w:cs="宋体"/>
          <w:b/>
          <w:bCs/>
        </w:rPr>
      </w:pPr>
      <w:bookmarkStart w:id="256" w:name="_Toc989145"/>
      <w:r w:rsidRPr="0063248C">
        <w:rPr>
          <w:rFonts w:cs="宋体"/>
          <w:b/>
          <w:bCs/>
        </w:rPr>
        <w:t>17</w:t>
      </w:r>
      <w:r w:rsidRPr="0063248C">
        <w:rPr>
          <w:rFonts w:cs="宋体"/>
          <w:b/>
          <w:bCs/>
        </w:rPr>
        <w:t>、长期应收款</w:t>
      </w:r>
      <w:bookmarkEnd w:id="256"/>
    </w:p>
    <w:p w14:paraId="577D2942" w14:textId="77777777" w:rsidR="007B3DB2" w:rsidRPr="0063248C" w:rsidRDefault="00000000">
      <w:pPr>
        <w:keepNext/>
        <w:keepLines/>
        <w:spacing w:before="300" w:after="300" w:line="280" w:lineRule="exact"/>
        <w:outlineLvl w:val="3"/>
        <w:rPr>
          <w:rFonts w:cs="宋体"/>
          <w:b/>
          <w:bCs/>
          <w:szCs w:val="21"/>
        </w:rPr>
      </w:pPr>
      <w:bookmarkStart w:id="257" w:name="_Toc989146"/>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长期应收款情况</w:t>
      </w:r>
      <w:bookmarkEnd w:id="257"/>
    </w:p>
    <w:p w14:paraId="77A9F0DC" w14:textId="77777777" w:rsidR="008669F6" w:rsidRPr="0063248C" w:rsidRDefault="008669F6" w:rsidP="008669F6">
      <w:pPr>
        <w:spacing w:before="40" w:after="40" w:line="240" w:lineRule="exact"/>
        <w:rPr>
          <w:rFonts w:cs="宋体"/>
          <w:sz w:val="18"/>
          <w:szCs w:val="18"/>
        </w:rPr>
      </w:pPr>
      <w:r>
        <w:rPr>
          <w:rFonts w:cs="宋体" w:hint="eastAsia"/>
          <w:sz w:val="18"/>
          <w:szCs w:val="18"/>
        </w:rPr>
        <w:t>无</w:t>
      </w:r>
    </w:p>
    <w:p w14:paraId="0A173D6D" w14:textId="77777777" w:rsidR="007B3DB2" w:rsidRPr="0063248C" w:rsidRDefault="00000000">
      <w:pPr>
        <w:keepNext/>
        <w:keepLines/>
        <w:spacing w:before="300" w:after="300" w:line="280" w:lineRule="exact"/>
        <w:outlineLvl w:val="3"/>
        <w:rPr>
          <w:rFonts w:cs="宋体"/>
          <w:b/>
          <w:bCs/>
          <w:szCs w:val="21"/>
        </w:rPr>
      </w:pPr>
      <w:bookmarkStart w:id="258" w:name="_Toc989147"/>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按坏账计提方法分类披露</w:t>
      </w:r>
      <w:bookmarkEnd w:id="258"/>
    </w:p>
    <w:p w14:paraId="34CED1BE" w14:textId="77777777" w:rsidR="00517D34" w:rsidRPr="0063248C" w:rsidRDefault="00000000">
      <w:pPr>
        <w:pStyle w:val="a3"/>
        <w:divId w:val="1264461954"/>
        <w:rPr>
          <w:rFonts w:ascii="Times New Roman" w:hAnsi="Times New Roman"/>
          <w:sz w:val="18"/>
          <w:szCs w:val="18"/>
        </w:rPr>
      </w:pPr>
      <w:r w:rsidRPr="0063248C">
        <w:rPr>
          <w:rFonts w:ascii="Times New Roman" w:hAnsi="Times New Roman" w:hint="eastAsia"/>
          <w:sz w:val="18"/>
          <w:szCs w:val="18"/>
        </w:rPr>
        <w:t>无</w:t>
      </w:r>
    </w:p>
    <w:p w14:paraId="7D513E6F" w14:textId="77777777" w:rsidR="007B3DB2" w:rsidRPr="0063248C" w:rsidRDefault="00000000">
      <w:pPr>
        <w:keepNext/>
        <w:keepLines/>
        <w:spacing w:before="300" w:after="300" w:line="280" w:lineRule="exact"/>
        <w:outlineLvl w:val="3"/>
        <w:rPr>
          <w:rFonts w:cs="宋体"/>
          <w:b/>
          <w:bCs/>
          <w:szCs w:val="21"/>
        </w:rPr>
      </w:pPr>
      <w:bookmarkStart w:id="259" w:name="_Toc989148"/>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本期计提、收回或转回的坏账准备的情况</w:t>
      </w:r>
      <w:bookmarkEnd w:id="259"/>
    </w:p>
    <w:p w14:paraId="009C71EA" w14:textId="77777777" w:rsidR="00517D34" w:rsidRPr="0063248C" w:rsidRDefault="00000000">
      <w:pPr>
        <w:pStyle w:val="a3"/>
        <w:divId w:val="692462754"/>
        <w:rPr>
          <w:rFonts w:ascii="Times New Roman" w:hAnsi="Times New Roman"/>
          <w:sz w:val="18"/>
          <w:szCs w:val="18"/>
        </w:rPr>
      </w:pPr>
      <w:r w:rsidRPr="0063248C">
        <w:rPr>
          <w:rFonts w:ascii="Times New Roman" w:hAnsi="Times New Roman" w:hint="eastAsia"/>
          <w:sz w:val="18"/>
          <w:szCs w:val="18"/>
        </w:rPr>
        <w:t>无</w:t>
      </w:r>
    </w:p>
    <w:p w14:paraId="0CCADC34" w14:textId="77777777" w:rsidR="007B3DB2" w:rsidRPr="0063248C" w:rsidRDefault="00000000">
      <w:pPr>
        <w:keepNext/>
        <w:keepLines/>
        <w:spacing w:before="300" w:after="300" w:line="280" w:lineRule="exact"/>
        <w:outlineLvl w:val="3"/>
        <w:rPr>
          <w:rFonts w:cs="宋体"/>
          <w:b/>
          <w:bCs/>
          <w:szCs w:val="21"/>
        </w:rPr>
      </w:pPr>
      <w:bookmarkStart w:id="260" w:name="_Toc989149"/>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本期实际核销的长期应收款情况</w:t>
      </w:r>
      <w:bookmarkEnd w:id="260"/>
    </w:p>
    <w:p w14:paraId="2ED9B75E" w14:textId="77777777" w:rsidR="00517D34" w:rsidRPr="0063248C" w:rsidRDefault="00000000">
      <w:pPr>
        <w:pStyle w:val="a3"/>
        <w:divId w:val="1607729895"/>
        <w:rPr>
          <w:rFonts w:ascii="Times New Roman" w:hAnsi="Times New Roman"/>
          <w:sz w:val="18"/>
          <w:szCs w:val="18"/>
        </w:rPr>
      </w:pPr>
      <w:r w:rsidRPr="0063248C">
        <w:rPr>
          <w:rFonts w:ascii="Times New Roman" w:hAnsi="Times New Roman" w:hint="eastAsia"/>
          <w:sz w:val="18"/>
          <w:szCs w:val="18"/>
        </w:rPr>
        <w:t>无</w:t>
      </w:r>
    </w:p>
    <w:p w14:paraId="715C6DC2" w14:textId="77777777" w:rsidR="007B3DB2" w:rsidRPr="0063248C" w:rsidRDefault="00000000">
      <w:pPr>
        <w:pStyle w:val="3"/>
        <w:spacing w:line="280" w:lineRule="exact"/>
        <w:jc w:val="left"/>
        <w:rPr>
          <w:rFonts w:cs="宋体"/>
          <w:b/>
          <w:bCs/>
        </w:rPr>
      </w:pPr>
      <w:bookmarkStart w:id="261" w:name="_Toc989150"/>
      <w:r w:rsidRPr="0063248C">
        <w:rPr>
          <w:rFonts w:cs="宋体"/>
          <w:b/>
          <w:bCs/>
        </w:rPr>
        <w:t>18</w:t>
      </w:r>
      <w:r w:rsidRPr="0063248C">
        <w:rPr>
          <w:rFonts w:cs="宋体"/>
          <w:b/>
          <w:bCs/>
        </w:rPr>
        <w:t>、长期股权投资</w:t>
      </w:r>
      <w:bookmarkEnd w:id="261"/>
    </w:p>
    <w:p w14:paraId="692198D9" w14:textId="77777777" w:rsidR="00517D34" w:rsidRPr="0063248C" w:rsidRDefault="00000000">
      <w:pPr>
        <w:pStyle w:val="a3"/>
        <w:divId w:val="1834444086"/>
        <w:rPr>
          <w:rFonts w:ascii="Times New Roman" w:hAnsi="Times New Roman"/>
          <w:sz w:val="18"/>
          <w:szCs w:val="18"/>
        </w:rPr>
      </w:pPr>
      <w:r w:rsidRPr="0063248C">
        <w:rPr>
          <w:rFonts w:ascii="Times New Roman" w:hAnsi="Times New Roman" w:hint="eastAsia"/>
          <w:sz w:val="18"/>
          <w:szCs w:val="18"/>
        </w:rPr>
        <w:t>无</w:t>
      </w:r>
    </w:p>
    <w:p w14:paraId="48F1BA69" w14:textId="77777777" w:rsidR="007B3DB2" w:rsidRPr="0063248C" w:rsidRDefault="00000000">
      <w:pPr>
        <w:pStyle w:val="3"/>
        <w:spacing w:line="280" w:lineRule="exact"/>
        <w:jc w:val="left"/>
        <w:rPr>
          <w:rFonts w:cs="宋体"/>
          <w:b/>
          <w:bCs/>
        </w:rPr>
      </w:pPr>
      <w:bookmarkStart w:id="262" w:name="_Toc989151"/>
      <w:r w:rsidRPr="0063248C">
        <w:rPr>
          <w:rFonts w:cs="宋体"/>
          <w:b/>
          <w:bCs/>
        </w:rPr>
        <w:t>19</w:t>
      </w:r>
      <w:r w:rsidRPr="0063248C">
        <w:rPr>
          <w:rFonts w:cs="宋体"/>
          <w:b/>
          <w:bCs/>
        </w:rPr>
        <w:t>、其他非流动金融资产</w:t>
      </w:r>
      <w:bookmarkEnd w:id="262"/>
    </w:p>
    <w:p w14:paraId="2EB78093" w14:textId="77777777" w:rsidR="00517D34" w:rsidRPr="0063248C" w:rsidRDefault="00000000">
      <w:pPr>
        <w:pStyle w:val="a3"/>
        <w:divId w:val="2109806321"/>
        <w:rPr>
          <w:rFonts w:ascii="Times New Roman" w:hAnsi="Times New Roman"/>
          <w:sz w:val="18"/>
          <w:szCs w:val="18"/>
        </w:rPr>
      </w:pPr>
      <w:r w:rsidRPr="0063248C">
        <w:rPr>
          <w:rFonts w:ascii="Times New Roman" w:hAnsi="Times New Roman" w:hint="eastAsia"/>
          <w:sz w:val="18"/>
          <w:szCs w:val="18"/>
        </w:rPr>
        <w:t>无</w:t>
      </w:r>
    </w:p>
    <w:p w14:paraId="50CC59F9" w14:textId="77777777" w:rsidR="007B3DB2" w:rsidRPr="0063248C" w:rsidRDefault="00000000">
      <w:pPr>
        <w:pStyle w:val="3"/>
        <w:spacing w:line="280" w:lineRule="exact"/>
        <w:jc w:val="left"/>
        <w:rPr>
          <w:rFonts w:cs="宋体"/>
          <w:b/>
          <w:bCs/>
        </w:rPr>
      </w:pPr>
      <w:bookmarkStart w:id="263" w:name="_Toc989152"/>
      <w:r w:rsidRPr="0063248C">
        <w:rPr>
          <w:rFonts w:cs="宋体"/>
          <w:b/>
          <w:bCs/>
        </w:rPr>
        <w:t>20</w:t>
      </w:r>
      <w:r w:rsidRPr="0063248C">
        <w:rPr>
          <w:rFonts w:cs="宋体"/>
          <w:b/>
          <w:bCs/>
        </w:rPr>
        <w:t>、投资性房地产</w:t>
      </w:r>
      <w:bookmarkEnd w:id="263"/>
    </w:p>
    <w:p w14:paraId="4AA485BD" w14:textId="77777777" w:rsidR="007B3DB2" w:rsidRPr="0063248C" w:rsidRDefault="00000000">
      <w:pPr>
        <w:keepNext/>
        <w:keepLines/>
        <w:spacing w:before="300" w:after="300" w:line="280" w:lineRule="exact"/>
        <w:outlineLvl w:val="3"/>
        <w:rPr>
          <w:rFonts w:cs="宋体"/>
          <w:b/>
          <w:bCs/>
          <w:sz w:val="18"/>
          <w:szCs w:val="18"/>
        </w:rPr>
      </w:pPr>
      <w:bookmarkStart w:id="264" w:name="_Toc989153"/>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采用成本计量模式的投资性房地产</w:t>
      </w:r>
      <w:bookmarkEnd w:id="264"/>
    </w:p>
    <w:p w14:paraId="24AB8D29" w14:textId="77777777" w:rsidR="007B3DB2" w:rsidRPr="0063248C" w:rsidRDefault="00000000">
      <w:pPr>
        <w:spacing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4532E24" w14:textId="77777777" w:rsidR="007B3DB2" w:rsidRPr="0063248C" w:rsidRDefault="00000000">
      <w:pPr>
        <w:keepNext/>
        <w:keepLines/>
        <w:spacing w:before="300" w:after="300" w:line="280" w:lineRule="exact"/>
        <w:outlineLvl w:val="3"/>
        <w:rPr>
          <w:rFonts w:cs="宋体"/>
          <w:b/>
          <w:bCs/>
          <w:sz w:val="18"/>
          <w:szCs w:val="18"/>
        </w:rPr>
      </w:pPr>
      <w:bookmarkStart w:id="265" w:name="_Toc989154"/>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采用公允价值计量模式的投资性房地产</w:t>
      </w:r>
      <w:bookmarkEnd w:id="265"/>
    </w:p>
    <w:p w14:paraId="661E0985" w14:textId="77777777" w:rsidR="007B3DB2" w:rsidRPr="0063248C" w:rsidRDefault="00000000">
      <w:pPr>
        <w:spacing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960297B" w14:textId="77777777" w:rsidR="007B3DB2" w:rsidRPr="0063248C" w:rsidRDefault="00000000">
      <w:pPr>
        <w:keepNext/>
        <w:keepLines/>
        <w:spacing w:before="300" w:after="300" w:line="280" w:lineRule="exact"/>
        <w:outlineLvl w:val="3"/>
        <w:rPr>
          <w:rFonts w:cs="宋体"/>
          <w:b/>
          <w:bCs/>
          <w:sz w:val="18"/>
          <w:szCs w:val="18"/>
        </w:rPr>
      </w:pPr>
      <w:bookmarkStart w:id="266" w:name="_Toc989155"/>
      <w:r w:rsidRPr="0063248C">
        <w:rPr>
          <w:rFonts w:cs="宋体"/>
          <w:b/>
          <w:bCs/>
          <w:sz w:val="18"/>
          <w:szCs w:val="18"/>
        </w:rPr>
        <w:t>（</w:t>
      </w:r>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转换为投资性房地产并采用公允价值计量</w:t>
      </w:r>
      <w:bookmarkEnd w:id="266"/>
    </w:p>
    <w:p w14:paraId="4D8A1FBB" w14:textId="77777777" w:rsidR="008669F6" w:rsidRPr="0063248C" w:rsidRDefault="008669F6" w:rsidP="008669F6">
      <w:pPr>
        <w:spacing w:before="40" w:after="40" w:line="240" w:lineRule="exact"/>
        <w:rPr>
          <w:rFonts w:cs="宋体"/>
          <w:sz w:val="18"/>
          <w:szCs w:val="18"/>
        </w:rPr>
      </w:pPr>
      <w:bookmarkStart w:id="267" w:name="_Toc989156"/>
      <w:r>
        <w:rPr>
          <w:rFonts w:cs="宋体" w:hint="eastAsia"/>
          <w:sz w:val="18"/>
          <w:szCs w:val="18"/>
        </w:rPr>
        <w:t>无</w:t>
      </w:r>
    </w:p>
    <w:p w14:paraId="4B171490" w14:textId="77777777" w:rsidR="007B3DB2" w:rsidRPr="0063248C" w:rsidRDefault="00000000">
      <w:pPr>
        <w:keepNext/>
        <w:keepLines/>
        <w:spacing w:before="300" w:after="300" w:line="280" w:lineRule="exact"/>
        <w:outlineLvl w:val="3"/>
        <w:rPr>
          <w:rFonts w:cs="宋体"/>
          <w:b/>
          <w:bCs/>
          <w:sz w:val="18"/>
          <w:szCs w:val="18"/>
        </w:rPr>
      </w:pPr>
      <w:r w:rsidRPr="0063248C">
        <w:rPr>
          <w:rFonts w:cs="宋体"/>
          <w:b/>
          <w:bCs/>
          <w:sz w:val="18"/>
          <w:szCs w:val="18"/>
        </w:rPr>
        <w:lastRenderedPageBreak/>
        <w:t>（</w:t>
      </w:r>
      <w:r w:rsidRPr="0063248C">
        <w:rPr>
          <w:rFonts w:cs="宋体"/>
          <w:b/>
          <w:bCs/>
          <w:sz w:val="18"/>
          <w:szCs w:val="18"/>
        </w:rPr>
        <w:t>4</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未办妥产权证书的投资性房地产情况</w:t>
      </w:r>
      <w:bookmarkEnd w:id="267"/>
    </w:p>
    <w:p w14:paraId="0F04A007" w14:textId="77777777" w:rsidR="00517D34" w:rsidRPr="0063248C" w:rsidRDefault="00000000">
      <w:pPr>
        <w:pStyle w:val="a3"/>
        <w:divId w:val="1026440049"/>
        <w:rPr>
          <w:rFonts w:ascii="Times New Roman" w:hAnsi="Times New Roman"/>
          <w:sz w:val="18"/>
          <w:szCs w:val="18"/>
        </w:rPr>
      </w:pPr>
      <w:r w:rsidRPr="0063248C">
        <w:rPr>
          <w:rFonts w:ascii="Times New Roman" w:hAnsi="Times New Roman" w:hint="eastAsia"/>
          <w:sz w:val="18"/>
          <w:szCs w:val="18"/>
        </w:rPr>
        <w:t>无</w:t>
      </w:r>
    </w:p>
    <w:p w14:paraId="3F7BD3A8" w14:textId="77777777" w:rsidR="007B3DB2" w:rsidRPr="0063248C" w:rsidRDefault="00000000">
      <w:pPr>
        <w:pStyle w:val="3"/>
        <w:spacing w:line="280" w:lineRule="exact"/>
        <w:jc w:val="left"/>
        <w:rPr>
          <w:rFonts w:cs="宋体"/>
          <w:b/>
          <w:bCs/>
        </w:rPr>
      </w:pPr>
      <w:bookmarkStart w:id="268" w:name="_Toc989157"/>
      <w:r w:rsidRPr="0063248C">
        <w:rPr>
          <w:rFonts w:cs="宋体"/>
          <w:b/>
          <w:bCs/>
        </w:rPr>
        <w:t>21</w:t>
      </w:r>
      <w:r w:rsidRPr="0063248C">
        <w:rPr>
          <w:rFonts w:cs="宋体"/>
          <w:b/>
          <w:bCs/>
        </w:rPr>
        <w:t>、固定资产</w:t>
      </w:r>
      <w:bookmarkEnd w:id="268"/>
    </w:p>
    <w:p w14:paraId="0C73A6D5"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7A0AE6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D3E1D7"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8BD23E"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0D65E6"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354597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291F41" w14:textId="77777777" w:rsidR="007B3DB2" w:rsidRPr="0063248C" w:rsidRDefault="00000000">
            <w:pPr>
              <w:spacing w:before="40" w:after="40" w:line="240" w:lineRule="exact"/>
              <w:rPr>
                <w:rFonts w:cs="宋体"/>
                <w:sz w:val="18"/>
                <w:szCs w:val="18"/>
              </w:rPr>
            </w:pPr>
            <w:r w:rsidRPr="0063248C">
              <w:rPr>
                <w:rFonts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37A0B00B" w14:textId="77777777" w:rsidR="007B3DB2" w:rsidRPr="0063248C" w:rsidRDefault="00000000">
            <w:pPr>
              <w:spacing w:line="240" w:lineRule="exact"/>
              <w:jc w:val="right"/>
              <w:rPr>
                <w:rFonts w:cs="宋体"/>
                <w:sz w:val="18"/>
                <w:szCs w:val="18"/>
              </w:rPr>
            </w:pPr>
            <w:r w:rsidRPr="0063248C">
              <w:rPr>
                <w:rFonts w:cs="宋体"/>
                <w:sz w:val="18"/>
                <w:szCs w:val="18"/>
              </w:rPr>
              <w:t>1,705,318,171.73</w:t>
            </w:r>
          </w:p>
        </w:tc>
        <w:tc>
          <w:tcPr>
            <w:tcW w:w="3213" w:type="dxa"/>
            <w:tcBorders>
              <w:top w:val="single" w:sz="2" w:space="0" w:color="auto"/>
              <w:left w:val="single" w:sz="2" w:space="0" w:color="auto"/>
              <w:bottom w:val="single" w:sz="2" w:space="0" w:color="auto"/>
              <w:right w:val="single" w:sz="2" w:space="0" w:color="auto"/>
            </w:tcBorders>
            <w:vAlign w:val="center"/>
          </w:tcPr>
          <w:p w14:paraId="2A8E6F03" w14:textId="77777777" w:rsidR="007B3DB2" w:rsidRPr="0063248C" w:rsidRDefault="00000000">
            <w:pPr>
              <w:spacing w:line="240" w:lineRule="exact"/>
              <w:jc w:val="right"/>
              <w:rPr>
                <w:rFonts w:cs="宋体"/>
                <w:sz w:val="18"/>
                <w:szCs w:val="18"/>
              </w:rPr>
            </w:pPr>
            <w:r w:rsidRPr="0063248C">
              <w:rPr>
                <w:rFonts w:cs="宋体"/>
                <w:sz w:val="18"/>
                <w:szCs w:val="18"/>
              </w:rPr>
              <w:t>1,692,939,156.89</w:t>
            </w:r>
          </w:p>
        </w:tc>
      </w:tr>
      <w:tr w:rsidR="007B3DB2" w:rsidRPr="0063248C" w14:paraId="1A69C6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DECD1A"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36F288E" w14:textId="77777777" w:rsidR="007B3DB2" w:rsidRPr="0063248C" w:rsidRDefault="00000000">
            <w:pPr>
              <w:spacing w:line="240" w:lineRule="exact"/>
              <w:jc w:val="right"/>
              <w:rPr>
                <w:rFonts w:cs="宋体"/>
                <w:sz w:val="18"/>
                <w:szCs w:val="18"/>
              </w:rPr>
            </w:pPr>
            <w:r w:rsidRPr="0063248C">
              <w:rPr>
                <w:rFonts w:cs="宋体"/>
                <w:sz w:val="18"/>
                <w:szCs w:val="18"/>
              </w:rPr>
              <w:t>1,705,318,171.73</w:t>
            </w:r>
          </w:p>
        </w:tc>
        <w:tc>
          <w:tcPr>
            <w:tcW w:w="3213" w:type="dxa"/>
            <w:tcBorders>
              <w:top w:val="single" w:sz="2" w:space="0" w:color="auto"/>
              <w:left w:val="single" w:sz="2" w:space="0" w:color="auto"/>
              <w:bottom w:val="single" w:sz="2" w:space="0" w:color="auto"/>
              <w:right w:val="single" w:sz="2" w:space="0" w:color="auto"/>
            </w:tcBorders>
            <w:vAlign w:val="center"/>
          </w:tcPr>
          <w:p w14:paraId="5A737559" w14:textId="77777777" w:rsidR="007B3DB2" w:rsidRPr="0063248C" w:rsidRDefault="00000000">
            <w:pPr>
              <w:spacing w:line="240" w:lineRule="exact"/>
              <w:jc w:val="right"/>
              <w:rPr>
                <w:rFonts w:cs="宋体"/>
                <w:sz w:val="18"/>
                <w:szCs w:val="18"/>
              </w:rPr>
            </w:pPr>
            <w:r w:rsidRPr="0063248C">
              <w:rPr>
                <w:rFonts w:cs="宋体"/>
                <w:sz w:val="18"/>
                <w:szCs w:val="18"/>
              </w:rPr>
              <w:t>1,692,939,156.89</w:t>
            </w:r>
          </w:p>
        </w:tc>
      </w:tr>
    </w:tbl>
    <w:p w14:paraId="66E39271" w14:textId="77777777" w:rsidR="007B3DB2" w:rsidRPr="0063248C" w:rsidRDefault="00000000">
      <w:pPr>
        <w:keepNext/>
        <w:keepLines/>
        <w:spacing w:before="300" w:after="300" w:line="280" w:lineRule="exact"/>
        <w:outlineLvl w:val="3"/>
        <w:rPr>
          <w:rFonts w:cs="宋体"/>
          <w:b/>
          <w:bCs/>
          <w:szCs w:val="21"/>
        </w:rPr>
      </w:pPr>
      <w:bookmarkStart w:id="269" w:name="_Toc989158"/>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固定资产情况</w:t>
      </w:r>
      <w:bookmarkEnd w:id="269"/>
    </w:p>
    <w:p w14:paraId="4375F5CE"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296"/>
        <w:gridCol w:w="1418"/>
        <w:gridCol w:w="1417"/>
      </w:tblGrid>
      <w:tr w:rsidR="007B3DB2" w:rsidRPr="0063248C" w14:paraId="0B73139B"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F63CA3D"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vAlign w:val="center"/>
          </w:tcPr>
          <w:p w14:paraId="525236F0" w14:textId="77777777" w:rsidR="007B3DB2" w:rsidRPr="0063248C" w:rsidRDefault="00000000">
            <w:pPr>
              <w:spacing w:line="240" w:lineRule="exact"/>
              <w:jc w:val="center"/>
              <w:rPr>
                <w:rFonts w:cs="宋体"/>
                <w:sz w:val="18"/>
                <w:szCs w:val="18"/>
              </w:rPr>
            </w:pPr>
            <w:r w:rsidRPr="0063248C">
              <w:rPr>
                <w:rFonts w:cs="宋体"/>
                <w:sz w:val="18"/>
                <w:szCs w:val="18"/>
              </w:rPr>
              <w:t>房屋及建筑物</w:t>
            </w:r>
          </w:p>
        </w:tc>
        <w:tc>
          <w:tcPr>
            <w:tcW w:w="1377" w:type="dxa"/>
            <w:tcBorders>
              <w:top w:val="single" w:sz="2" w:space="0" w:color="auto"/>
              <w:left w:val="single" w:sz="2" w:space="0" w:color="auto"/>
              <w:bottom w:val="single" w:sz="2" w:space="0" w:color="auto"/>
              <w:right w:val="single" w:sz="2" w:space="0" w:color="auto"/>
            </w:tcBorders>
            <w:vAlign w:val="center"/>
          </w:tcPr>
          <w:p w14:paraId="3712788B" w14:textId="77777777" w:rsidR="007B3DB2" w:rsidRPr="0063248C" w:rsidRDefault="00000000">
            <w:pPr>
              <w:spacing w:line="240" w:lineRule="exact"/>
              <w:jc w:val="center"/>
              <w:rPr>
                <w:rFonts w:cs="宋体"/>
                <w:sz w:val="18"/>
                <w:szCs w:val="18"/>
              </w:rPr>
            </w:pPr>
            <w:r w:rsidRPr="0063248C">
              <w:rPr>
                <w:rFonts w:cs="宋体"/>
                <w:sz w:val="18"/>
                <w:szCs w:val="18"/>
              </w:rPr>
              <w:t>机器设备</w:t>
            </w:r>
          </w:p>
        </w:tc>
        <w:tc>
          <w:tcPr>
            <w:tcW w:w="1377" w:type="dxa"/>
            <w:tcBorders>
              <w:top w:val="single" w:sz="2" w:space="0" w:color="auto"/>
              <w:left w:val="single" w:sz="2" w:space="0" w:color="auto"/>
              <w:bottom w:val="single" w:sz="2" w:space="0" w:color="auto"/>
              <w:right w:val="single" w:sz="2" w:space="0" w:color="auto"/>
            </w:tcBorders>
            <w:vAlign w:val="center"/>
          </w:tcPr>
          <w:p w14:paraId="5AA740CA" w14:textId="77777777" w:rsidR="007B3DB2" w:rsidRPr="0063248C" w:rsidRDefault="00000000">
            <w:pPr>
              <w:spacing w:line="240" w:lineRule="exact"/>
              <w:jc w:val="center"/>
              <w:rPr>
                <w:rFonts w:cs="宋体"/>
                <w:sz w:val="18"/>
                <w:szCs w:val="18"/>
              </w:rPr>
            </w:pPr>
            <w:r w:rsidRPr="0063248C">
              <w:rPr>
                <w:rFonts w:cs="宋体"/>
                <w:sz w:val="18"/>
                <w:szCs w:val="18"/>
              </w:rPr>
              <w:t>电子设备</w:t>
            </w:r>
          </w:p>
        </w:tc>
        <w:tc>
          <w:tcPr>
            <w:tcW w:w="1296" w:type="dxa"/>
            <w:tcBorders>
              <w:top w:val="single" w:sz="2" w:space="0" w:color="auto"/>
              <w:left w:val="single" w:sz="2" w:space="0" w:color="auto"/>
              <w:bottom w:val="single" w:sz="2" w:space="0" w:color="auto"/>
              <w:right w:val="single" w:sz="2" w:space="0" w:color="auto"/>
            </w:tcBorders>
            <w:vAlign w:val="center"/>
          </w:tcPr>
          <w:p w14:paraId="5D6D6C7C" w14:textId="77777777" w:rsidR="007B3DB2" w:rsidRPr="0063248C" w:rsidRDefault="00000000">
            <w:pPr>
              <w:spacing w:line="240" w:lineRule="exact"/>
              <w:jc w:val="center"/>
              <w:rPr>
                <w:rFonts w:cs="宋体"/>
                <w:sz w:val="18"/>
                <w:szCs w:val="18"/>
              </w:rPr>
            </w:pPr>
            <w:r w:rsidRPr="0063248C">
              <w:rPr>
                <w:rFonts w:cs="宋体"/>
                <w:sz w:val="18"/>
                <w:szCs w:val="18"/>
              </w:rPr>
              <w:t>交通运输设备</w:t>
            </w:r>
          </w:p>
        </w:tc>
        <w:tc>
          <w:tcPr>
            <w:tcW w:w="1418" w:type="dxa"/>
            <w:tcBorders>
              <w:top w:val="single" w:sz="2" w:space="0" w:color="auto"/>
              <w:left w:val="single" w:sz="2" w:space="0" w:color="auto"/>
              <w:bottom w:val="single" w:sz="2" w:space="0" w:color="auto"/>
              <w:right w:val="single" w:sz="2" w:space="0" w:color="auto"/>
            </w:tcBorders>
            <w:vAlign w:val="center"/>
          </w:tcPr>
          <w:p w14:paraId="49E7A87D" w14:textId="77777777" w:rsidR="007B3DB2" w:rsidRPr="0063248C" w:rsidRDefault="00000000">
            <w:pPr>
              <w:spacing w:line="240" w:lineRule="exact"/>
              <w:jc w:val="center"/>
              <w:rPr>
                <w:rFonts w:cs="宋体"/>
                <w:sz w:val="18"/>
                <w:szCs w:val="18"/>
              </w:rPr>
            </w:pPr>
            <w:r w:rsidRPr="0063248C">
              <w:rPr>
                <w:rFonts w:cs="宋体"/>
                <w:sz w:val="18"/>
                <w:szCs w:val="18"/>
              </w:rPr>
              <w:t>家具等</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57379C46" w14:textId="77777777" w:rsidR="007B3DB2" w:rsidRPr="0063248C" w:rsidRDefault="00000000">
            <w:pPr>
              <w:spacing w:before="40" w:after="40" w:line="240" w:lineRule="exact"/>
              <w:jc w:val="center"/>
              <w:rPr>
                <w:rFonts w:cs="宋体"/>
                <w:sz w:val="18"/>
                <w:szCs w:val="18"/>
              </w:rPr>
            </w:pPr>
            <w:r w:rsidRPr="0063248C">
              <w:rPr>
                <w:rFonts w:cs="宋体"/>
                <w:sz w:val="18"/>
                <w:szCs w:val="18"/>
              </w:rPr>
              <w:t>合计</w:t>
            </w:r>
          </w:p>
        </w:tc>
      </w:tr>
      <w:tr w:rsidR="007B3DB2" w:rsidRPr="0063248C" w14:paraId="767C697B"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8C3E38B" w14:textId="77777777" w:rsidR="007B3DB2" w:rsidRPr="0063248C" w:rsidRDefault="00000000">
            <w:pPr>
              <w:spacing w:before="40" w:after="40" w:line="240" w:lineRule="exact"/>
              <w:rPr>
                <w:rFonts w:cs="宋体"/>
                <w:sz w:val="18"/>
                <w:szCs w:val="18"/>
              </w:rPr>
            </w:pPr>
            <w:r w:rsidRPr="0063248C">
              <w:rPr>
                <w:rFonts w:cs="宋体"/>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vAlign w:val="center"/>
          </w:tcPr>
          <w:p w14:paraId="6DFD3B3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6D5802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A2239E"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523D613A"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7C7DF71"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9D39EB5" w14:textId="77777777" w:rsidR="007B3DB2" w:rsidRPr="0063248C" w:rsidRDefault="007B3DB2">
            <w:pPr>
              <w:spacing w:line="240" w:lineRule="exact"/>
              <w:jc w:val="right"/>
              <w:rPr>
                <w:rFonts w:cs="宋体"/>
                <w:sz w:val="18"/>
                <w:szCs w:val="18"/>
              </w:rPr>
            </w:pPr>
          </w:p>
        </w:tc>
      </w:tr>
      <w:tr w:rsidR="007B3DB2" w:rsidRPr="0063248C" w14:paraId="101F70D9"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DE78AD2"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56C56CEF" w14:textId="77777777" w:rsidR="007B3DB2" w:rsidRPr="0063248C" w:rsidRDefault="00000000">
            <w:pPr>
              <w:spacing w:line="240" w:lineRule="exact"/>
              <w:jc w:val="right"/>
              <w:rPr>
                <w:rFonts w:cs="宋体"/>
                <w:sz w:val="18"/>
                <w:szCs w:val="18"/>
              </w:rPr>
            </w:pPr>
            <w:r w:rsidRPr="0063248C">
              <w:rPr>
                <w:rFonts w:cs="宋体"/>
                <w:sz w:val="18"/>
                <w:szCs w:val="18"/>
              </w:rPr>
              <w:t>1,555,322,214.00</w:t>
            </w:r>
          </w:p>
        </w:tc>
        <w:tc>
          <w:tcPr>
            <w:tcW w:w="1377" w:type="dxa"/>
            <w:tcBorders>
              <w:top w:val="single" w:sz="2" w:space="0" w:color="auto"/>
              <w:left w:val="single" w:sz="2" w:space="0" w:color="auto"/>
              <w:bottom w:val="single" w:sz="2" w:space="0" w:color="auto"/>
              <w:right w:val="single" w:sz="2" w:space="0" w:color="auto"/>
            </w:tcBorders>
            <w:vAlign w:val="center"/>
          </w:tcPr>
          <w:p w14:paraId="6EF0F413" w14:textId="77777777" w:rsidR="007B3DB2" w:rsidRPr="0063248C" w:rsidRDefault="00000000">
            <w:pPr>
              <w:spacing w:line="240" w:lineRule="exact"/>
              <w:jc w:val="right"/>
              <w:rPr>
                <w:rFonts w:cs="宋体"/>
                <w:sz w:val="18"/>
                <w:szCs w:val="18"/>
              </w:rPr>
            </w:pPr>
            <w:r w:rsidRPr="0063248C">
              <w:rPr>
                <w:rFonts w:cs="宋体"/>
                <w:sz w:val="18"/>
                <w:szCs w:val="18"/>
              </w:rPr>
              <w:t>898,144,999.32</w:t>
            </w:r>
          </w:p>
        </w:tc>
        <w:tc>
          <w:tcPr>
            <w:tcW w:w="1377" w:type="dxa"/>
            <w:tcBorders>
              <w:top w:val="single" w:sz="2" w:space="0" w:color="auto"/>
              <w:left w:val="single" w:sz="2" w:space="0" w:color="auto"/>
              <w:bottom w:val="single" w:sz="2" w:space="0" w:color="auto"/>
              <w:right w:val="single" w:sz="2" w:space="0" w:color="auto"/>
            </w:tcBorders>
            <w:vAlign w:val="center"/>
          </w:tcPr>
          <w:p w14:paraId="2CD06248" w14:textId="77777777" w:rsidR="007B3DB2" w:rsidRPr="0063248C" w:rsidRDefault="00000000">
            <w:pPr>
              <w:spacing w:line="240" w:lineRule="exact"/>
              <w:jc w:val="right"/>
              <w:rPr>
                <w:rFonts w:cs="宋体"/>
                <w:sz w:val="18"/>
                <w:szCs w:val="18"/>
              </w:rPr>
            </w:pPr>
            <w:r w:rsidRPr="0063248C">
              <w:rPr>
                <w:rFonts w:cs="宋体"/>
                <w:sz w:val="18"/>
                <w:szCs w:val="18"/>
              </w:rPr>
              <w:t>47,027,712.13</w:t>
            </w:r>
          </w:p>
        </w:tc>
        <w:tc>
          <w:tcPr>
            <w:tcW w:w="1296" w:type="dxa"/>
            <w:tcBorders>
              <w:top w:val="single" w:sz="2" w:space="0" w:color="auto"/>
              <w:left w:val="single" w:sz="2" w:space="0" w:color="auto"/>
              <w:bottom w:val="single" w:sz="2" w:space="0" w:color="auto"/>
              <w:right w:val="single" w:sz="2" w:space="0" w:color="auto"/>
            </w:tcBorders>
            <w:vAlign w:val="center"/>
          </w:tcPr>
          <w:p w14:paraId="515734DA" w14:textId="77777777" w:rsidR="007B3DB2" w:rsidRPr="0063248C" w:rsidRDefault="00000000">
            <w:pPr>
              <w:spacing w:line="240" w:lineRule="exact"/>
              <w:jc w:val="right"/>
              <w:rPr>
                <w:rFonts w:cs="宋体"/>
                <w:sz w:val="18"/>
                <w:szCs w:val="18"/>
              </w:rPr>
            </w:pPr>
            <w:r w:rsidRPr="0063248C">
              <w:rPr>
                <w:rFonts w:cs="宋体"/>
                <w:sz w:val="18"/>
                <w:szCs w:val="18"/>
              </w:rPr>
              <w:t>36,359,260.50</w:t>
            </w:r>
          </w:p>
        </w:tc>
        <w:tc>
          <w:tcPr>
            <w:tcW w:w="1418" w:type="dxa"/>
            <w:tcBorders>
              <w:top w:val="single" w:sz="2" w:space="0" w:color="auto"/>
              <w:left w:val="single" w:sz="2" w:space="0" w:color="auto"/>
              <w:bottom w:val="single" w:sz="2" w:space="0" w:color="auto"/>
              <w:right w:val="single" w:sz="2" w:space="0" w:color="auto"/>
            </w:tcBorders>
            <w:vAlign w:val="center"/>
          </w:tcPr>
          <w:p w14:paraId="19938117" w14:textId="77777777" w:rsidR="007B3DB2" w:rsidRPr="0063248C" w:rsidRDefault="00000000">
            <w:pPr>
              <w:spacing w:line="240" w:lineRule="exact"/>
              <w:jc w:val="right"/>
              <w:rPr>
                <w:rFonts w:cs="宋体"/>
                <w:sz w:val="18"/>
                <w:szCs w:val="18"/>
              </w:rPr>
            </w:pPr>
            <w:r w:rsidRPr="0063248C">
              <w:rPr>
                <w:rFonts w:cs="宋体"/>
                <w:sz w:val="18"/>
                <w:szCs w:val="18"/>
              </w:rPr>
              <w:t>78,250,982.32</w:t>
            </w:r>
          </w:p>
        </w:tc>
        <w:tc>
          <w:tcPr>
            <w:tcW w:w="1417" w:type="dxa"/>
            <w:tcBorders>
              <w:top w:val="single" w:sz="2" w:space="0" w:color="auto"/>
              <w:left w:val="single" w:sz="2" w:space="0" w:color="auto"/>
              <w:bottom w:val="single" w:sz="2" w:space="0" w:color="auto"/>
              <w:right w:val="single" w:sz="2" w:space="0" w:color="auto"/>
            </w:tcBorders>
            <w:vAlign w:val="center"/>
          </w:tcPr>
          <w:p w14:paraId="4ACC066D" w14:textId="77777777" w:rsidR="007B3DB2" w:rsidRPr="0063248C" w:rsidRDefault="00000000">
            <w:pPr>
              <w:spacing w:line="240" w:lineRule="exact"/>
              <w:jc w:val="right"/>
              <w:rPr>
                <w:rFonts w:cs="宋体"/>
                <w:sz w:val="18"/>
                <w:szCs w:val="18"/>
              </w:rPr>
            </w:pPr>
            <w:r w:rsidRPr="0063248C">
              <w:rPr>
                <w:rFonts w:cs="宋体"/>
                <w:sz w:val="18"/>
                <w:szCs w:val="18"/>
              </w:rPr>
              <w:t>2,615,105,168.27</w:t>
            </w:r>
          </w:p>
        </w:tc>
      </w:tr>
      <w:tr w:rsidR="007B3DB2" w:rsidRPr="0063248C" w14:paraId="3DF9A1D0"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138E1DE"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1E3DBB7F" w14:textId="77777777" w:rsidR="007B3DB2" w:rsidRPr="0063248C" w:rsidRDefault="00000000">
            <w:pPr>
              <w:spacing w:line="240" w:lineRule="exact"/>
              <w:jc w:val="right"/>
              <w:rPr>
                <w:rFonts w:cs="宋体"/>
                <w:sz w:val="18"/>
                <w:szCs w:val="18"/>
              </w:rPr>
            </w:pPr>
            <w:r w:rsidRPr="0063248C">
              <w:rPr>
                <w:rFonts w:cs="宋体"/>
                <w:sz w:val="18"/>
                <w:szCs w:val="18"/>
              </w:rPr>
              <w:t>82,831,699.11</w:t>
            </w:r>
          </w:p>
        </w:tc>
        <w:tc>
          <w:tcPr>
            <w:tcW w:w="1377" w:type="dxa"/>
            <w:tcBorders>
              <w:top w:val="single" w:sz="2" w:space="0" w:color="auto"/>
              <w:left w:val="single" w:sz="2" w:space="0" w:color="auto"/>
              <w:bottom w:val="single" w:sz="2" w:space="0" w:color="auto"/>
              <w:right w:val="single" w:sz="2" w:space="0" w:color="auto"/>
            </w:tcBorders>
            <w:vAlign w:val="center"/>
          </w:tcPr>
          <w:p w14:paraId="414EB34E" w14:textId="77777777" w:rsidR="007B3DB2" w:rsidRPr="0063248C" w:rsidRDefault="00000000">
            <w:pPr>
              <w:spacing w:line="240" w:lineRule="exact"/>
              <w:jc w:val="right"/>
              <w:rPr>
                <w:rFonts w:cs="宋体"/>
                <w:sz w:val="18"/>
                <w:szCs w:val="18"/>
              </w:rPr>
            </w:pPr>
            <w:r w:rsidRPr="0063248C">
              <w:rPr>
                <w:rFonts w:cs="宋体"/>
                <w:sz w:val="18"/>
                <w:szCs w:val="18"/>
              </w:rPr>
              <w:t>6,528,396.35</w:t>
            </w:r>
          </w:p>
        </w:tc>
        <w:tc>
          <w:tcPr>
            <w:tcW w:w="1377" w:type="dxa"/>
            <w:tcBorders>
              <w:top w:val="single" w:sz="2" w:space="0" w:color="auto"/>
              <w:left w:val="single" w:sz="2" w:space="0" w:color="auto"/>
              <w:bottom w:val="single" w:sz="2" w:space="0" w:color="auto"/>
              <w:right w:val="single" w:sz="2" w:space="0" w:color="auto"/>
            </w:tcBorders>
            <w:vAlign w:val="center"/>
          </w:tcPr>
          <w:p w14:paraId="03418BB6" w14:textId="77777777" w:rsidR="007B3DB2" w:rsidRPr="0063248C" w:rsidRDefault="00000000">
            <w:pPr>
              <w:spacing w:line="240" w:lineRule="exact"/>
              <w:jc w:val="right"/>
              <w:rPr>
                <w:rFonts w:cs="宋体"/>
                <w:sz w:val="18"/>
                <w:szCs w:val="18"/>
              </w:rPr>
            </w:pPr>
            <w:r w:rsidRPr="0063248C">
              <w:rPr>
                <w:rFonts w:cs="宋体"/>
                <w:sz w:val="18"/>
                <w:szCs w:val="18"/>
              </w:rPr>
              <w:t>610,710.28</w:t>
            </w:r>
          </w:p>
        </w:tc>
        <w:tc>
          <w:tcPr>
            <w:tcW w:w="1296" w:type="dxa"/>
            <w:tcBorders>
              <w:top w:val="single" w:sz="2" w:space="0" w:color="auto"/>
              <w:left w:val="single" w:sz="2" w:space="0" w:color="auto"/>
              <w:bottom w:val="single" w:sz="2" w:space="0" w:color="auto"/>
              <w:right w:val="single" w:sz="2" w:space="0" w:color="auto"/>
            </w:tcBorders>
            <w:vAlign w:val="center"/>
          </w:tcPr>
          <w:p w14:paraId="04996677" w14:textId="77777777" w:rsidR="007B3DB2" w:rsidRPr="0063248C" w:rsidRDefault="00000000">
            <w:pPr>
              <w:spacing w:line="240" w:lineRule="exact"/>
              <w:jc w:val="right"/>
              <w:rPr>
                <w:rFonts w:cs="宋体"/>
                <w:sz w:val="18"/>
                <w:szCs w:val="18"/>
              </w:rPr>
            </w:pPr>
            <w:r w:rsidRPr="0063248C">
              <w:rPr>
                <w:rFonts w:cs="宋体"/>
                <w:sz w:val="18"/>
                <w:szCs w:val="18"/>
              </w:rPr>
              <w:t>250,885.90</w:t>
            </w:r>
          </w:p>
        </w:tc>
        <w:tc>
          <w:tcPr>
            <w:tcW w:w="1418" w:type="dxa"/>
            <w:tcBorders>
              <w:top w:val="single" w:sz="2" w:space="0" w:color="auto"/>
              <w:left w:val="single" w:sz="2" w:space="0" w:color="auto"/>
              <w:bottom w:val="single" w:sz="2" w:space="0" w:color="auto"/>
              <w:right w:val="single" w:sz="2" w:space="0" w:color="auto"/>
            </w:tcBorders>
            <w:vAlign w:val="center"/>
          </w:tcPr>
          <w:p w14:paraId="0BFC9031" w14:textId="77777777" w:rsidR="007B3DB2" w:rsidRPr="0063248C" w:rsidRDefault="00000000">
            <w:pPr>
              <w:spacing w:line="240" w:lineRule="exact"/>
              <w:jc w:val="right"/>
              <w:rPr>
                <w:rFonts w:cs="宋体"/>
                <w:sz w:val="18"/>
                <w:szCs w:val="18"/>
              </w:rPr>
            </w:pPr>
            <w:r w:rsidRPr="0063248C">
              <w:rPr>
                <w:rFonts w:cs="宋体"/>
                <w:sz w:val="18"/>
                <w:szCs w:val="18"/>
              </w:rPr>
              <w:t>1,877,900.51</w:t>
            </w:r>
          </w:p>
        </w:tc>
        <w:tc>
          <w:tcPr>
            <w:tcW w:w="1417" w:type="dxa"/>
            <w:tcBorders>
              <w:top w:val="single" w:sz="2" w:space="0" w:color="auto"/>
              <w:left w:val="single" w:sz="2" w:space="0" w:color="auto"/>
              <w:bottom w:val="single" w:sz="2" w:space="0" w:color="auto"/>
              <w:right w:val="single" w:sz="2" w:space="0" w:color="auto"/>
            </w:tcBorders>
            <w:vAlign w:val="center"/>
          </w:tcPr>
          <w:p w14:paraId="733471AB" w14:textId="77777777" w:rsidR="007B3DB2" w:rsidRPr="0063248C" w:rsidRDefault="00000000">
            <w:pPr>
              <w:spacing w:line="240" w:lineRule="exact"/>
              <w:jc w:val="right"/>
              <w:rPr>
                <w:rFonts w:cs="宋体"/>
                <w:sz w:val="18"/>
                <w:szCs w:val="18"/>
              </w:rPr>
            </w:pPr>
            <w:r w:rsidRPr="0063248C">
              <w:rPr>
                <w:rFonts w:cs="宋体"/>
                <w:sz w:val="18"/>
                <w:szCs w:val="18"/>
              </w:rPr>
              <w:t>92,099,592.15</w:t>
            </w:r>
          </w:p>
        </w:tc>
      </w:tr>
      <w:tr w:rsidR="007B3DB2" w:rsidRPr="0063248C" w14:paraId="1BCC5C8D"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CC182B4"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）购置</w:t>
            </w:r>
          </w:p>
        </w:tc>
        <w:tc>
          <w:tcPr>
            <w:tcW w:w="1377" w:type="dxa"/>
            <w:tcBorders>
              <w:top w:val="single" w:sz="2" w:space="0" w:color="auto"/>
              <w:left w:val="single" w:sz="2" w:space="0" w:color="auto"/>
              <w:bottom w:val="single" w:sz="2" w:space="0" w:color="auto"/>
              <w:right w:val="single" w:sz="2" w:space="0" w:color="auto"/>
            </w:tcBorders>
            <w:vAlign w:val="center"/>
          </w:tcPr>
          <w:p w14:paraId="16BFFA93" w14:textId="77777777" w:rsidR="007B3DB2" w:rsidRPr="0063248C" w:rsidRDefault="00000000">
            <w:pPr>
              <w:spacing w:line="240" w:lineRule="exact"/>
              <w:jc w:val="right"/>
              <w:rPr>
                <w:rFonts w:cs="宋体"/>
                <w:sz w:val="18"/>
                <w:szCs w:val="18"/>
              </w:rPr>
            </w:pPr>
            <w:r w:rsidRPr="0063248C">
              <w:rPr>
                <w:rFonts w:cs="宋体"/>
                <w:sz w:val="18"/>
                <w:szCs w:val="18"/>
              </w:rPr>
              <w:t>1,572,177.09</w:t>
            </w:r>
          </w:p>
        </w:tc>
        <w:tc>
          <w:tcPr>
            <w:tcW w:w="1377" w:type="dxa"/>
            <w:tcBorders>
              <w:top w:val="single" w:sz="2" w:space="0" w:color="auto"/>
              <w:left w:val="single" w:sz="2" w:space="0" w:color="auto"/>
              <w:bottom w:val="single" w:sz="2" w:space="0" w:color="auto"/>
              <w:right w:val="single" w:sz="2" w:space="0" w:color="auto"/>
            </w:tcBorders>
            <w:vAlign w:val="center"/>
          </w:tcPr>
          <w:p w14:paraId="5DFCA24E" w14:textId="77777777" w:rsidR="007B3DB2" w:rsidRPr="0063248C" w:rsidRDefault="00000000">
            <w:pPr>
              <w:spacing w:line="240" w:lineRule="exact"/>
              <w:jc w:val="right"/>
              <w:rPr>
                <w:rFonts w:cs="宋体"/>
                <w:sz w:val="18"/>
                <w:szCs w:val="18"/>
              </w:rPr>
            </w:pPr>
            <w:r w:rsidRPr="0063248C">
              <w:rPr>
                <w:rFonts w:cs="宋体"/>
                <w:sz w:val="18"/>
                <w:szCs w:val="18"/>
              </w:rPr>
              <w:t>3,841,006.16</w:t>
            </w:r>
          </w:p>
        </w:tc>
        <w:tc>
          <w:tcPr>
            <w:tcW w:w="1377" w:type="dxa"/>
            <w:tcBorders>
              <w:top w:val="single" w:sz="2" w:space="0" w:color="auto"/>
              <w:left w:val="single" w:sz="2" w:space="0" w:color="auto"/>
              <w:bottom w:val="single" w:sz="2" w:space="0" w:color="auto"/>
              <w:right w:val="single" w:sz="2" w:space="0" w:color="auto"/>
            </w:tcBorders>
            <w:vAlign w:val="center"/>
          </w:tcPr>
          <w:p w14:paraId="3FEB806C" w14:textId="77777777" w:rsidR="007B3DB2" w:rsidRPr="0063248C" w:rsidRDefault="00000000">
            <w:pPr>
              <w:spacing w:line="240" w:lineRule="exact"/>
              <w:jc w:val="right"/>
              <w:rPr>
                <w:rFonts w:cs="宋体"/>
                <w:sz w:val="18"/>
                <w:szCs w:val="18"/>
              </w:rPr>
            </w:pPr>
            <w:r w:rsidRPr="0063248C">
              <w:rPr>
                <w:rFonts w:cs="宋体"/>
                <w:sz w:val="18"/>
                <w:szCs w:val="18"/>
              </w:rPr>
              <w:t>610,710.28</w:t>
            </w:r>
          </w:p>
        </w:tc>
        <w:tc>
          <w:tcPr>
            <w:tcW w:w="1296" w:type="dxa"/>
            <w:tcBorders>
              <w:top w:val="single" w:sz="2" w:space="0" w:color="auto"/>
              <w:left w:val="single" w:sz="2" w:space="0" w:color="auto"/>
              <w:bottom w:val="single" w:sz="2" w:space="0" w:color="auto"/>
              <w:right w:val="single" w:sz="2" w:space="0" w:color="auto"/>
            </w:tcBorders>
            <w:vAlign w:val="center"/>
          </w:tcPr>
          <w:p w14:paraId="48AA9343" w14:textId="77777777" w:rsidR="007B3DB2" w:rsidRPr="0063248C" w:rsidRDefault="00000000">
            <w:pPr>
              <w:spacing w:line="240" w:lineRule="exact"/>
              <w:jc w:val="right"/>
              <w:rPr>
                <w:rFonts w:cs="宋体"/>
                <w:sz w:val="18"/>
                <w:szCs w:val="18"/>
              </w:rPr>
            </w:pPr>
            <w:r w:rsidRPr="0063248C">
              <w:rPr>
                <w:rFonts w:cs="宋体"/>
                <w:sz w:val="18"/>
                <w:szCs w:val="18"/>
              </w:rPr>
              <w:t>250,885.90</w:t>
            </w:r>
          </w:p>
        </w:tc>
        <w:tc>
          <w:tcPr>
            <w:tcW w:w="1418" w:type="dxa"/>
            <w:tcBorders>
              <w:top w:val="single" w:sz="2" w:space="0" w:color="auto"/>
              <w:left w:val="single" w:sz="2" w:space="0" w:color="auto"/>
              <w:bottom w:val="single" w:sz="2" w:space="0" w:color="auto"/>
              <w:right w:val="single" w:sz="2" w:space="0" w:color="auto"/>
            </w:tcBorders>
            <w:vAlign w:val="center"/>
          </w:tcPr>
          <w:p w14:paraId="52E05DFC" w14:textId="77777777" w:rsidR="007B3DB2" w:rsidRPr="0063248C" w:rsidRDefault="00000000">
            <w:pPr>
              <w:spacing w:line="240" w:lineRule="exact"/>
              <w:jc w:val="right"/>
              <w:rPr>
                <w:rFonts w:cs="宋体"/>
                <w:sz w:val="18"/>
                <w:szCs w:val="18"/>
              </w:rPr>
            </w:pPr>
            <w:r w:rsidRPr="0063248C">
              <w:rPr>
                <w:rFonts w:cs="宋体"/>
                <w:sz w:val="18"/>
                <w:szCs w:val="18"/>
              </w:rPr>
              <w:t>1,486,670.25</w:t>
            </w:r>
          </w:p>
        </w:tc>
        <w:tc>
          <w:tcPr>
            <w:tcW w:w="1417" w:type="dxa"/>
            <w:tcBorders>
              <w:top w:val="single" w:sz="2" w:space="0" w:color="auto"/>
              <w:left w:val="single" w:sz="2" w:space="0" w:color="auto"/>
              <w:bottom w:val="single" w:sz="2" w:space="0" w:color="auto"/>
              <w:right w:val="single" w:sz="2" w:space="0" w:color="auto"/>
            </w:tcBorders>
            <w:vAlign w:val="center"/>
          </w:tcPr>
          <w:p w14:paraId="048274ED" w14:textId="77777777" w:rsidR="007B3DB2" w:rsidRPr="0063248C" w:rsidRDefault="00000000">
            <w:pPr>
              <w:spacing w:line="240" w:lineRule="exact"/>
              <w:jc w:val="right"/>
              <w:rPr>
                <w:rFonts w:cs="宋体"/>
                <w:sz w:val="18"/>
                <w:szCs w:val="18"/>
              </w:rPr>
            </w:pPr>
            <w:r w:rsidRPr="0063248C">
              <w:rPr>
                <w:rFonts w:cs="宋体"/>
                <w:sz w:val="18"/>
                <w:szCs w:val="18"/>
              </w:rPr>
              <w:t>7,761,449.68</w:t>
            </w:r>
          </w:p>
        </w:tc>
      </w:tr>
      <w:tr w:rsidR="007B3DB2" w:rsidRPr="0063248C" w14:paraId="36ACCEFD"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A074666"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）在建工程转入</w:t>
            </w:r>
          </w:p>
        </w:tc>
        <w:tc>
          <w:tcPr>
            <w:tcW w:w="1377" w:type="dxa"/>
            <w:tcBorders>
              <w:top w:val="single" w:sz="2" w:space="0" w:color="auto"/>
              <w:left w:val="single" w:sz="2" w:space="0" w:color="auto"/>
              <w:bottom w:val="single" w:sz="2" w:space="0" w:color="auto"/>
              <w:right w:val="single" w:sz="2" w:space="0" w:color="auto"/>
            </w:tcBorders>
            <w:vAlign w:val="center"/>
          </w:tcPr>
          <w:p w14:paraId="54245ADF" w14:textId="77777777" w:rsidR="007B3DB2" w:rsidRPr="0063248C" w:rsidRDefault="00000000">
            <w:pPr>
              <w:spacing w:line="240" w:lineRule="exact"/>
              <w:jc w:val="right"/>
              <w:rPr>
                <w:rFonts w:cs="宋体"/>
                <w:sz w:val="18"/>
                <w:szCs w:val="18"/>
              </w:rPr>
            </w:pPr>
            <w:r w:rsidRPr="0063248C">
              <w:rPr>
                <w:rFonts w:cs="宋体"/>
                <w:sz w:val="18"/>
                <w:szCs w:val="18"/>
              </w:rPr>
              <w:t>81,259,522.02</w:t>
            </w:r>
          </w:p>
        </w:tc>
        <w:tc>
          <w:tcPr>
            <w:tcW w:w="1377" w:type="dxa"/>
            <w:tcBorders>
              <w:top w:val="single" w:sz="2" w:space="0" w:color="auto"/>
              <w:left w:val="single" w:sz="2" w:space="0" w:color="auto"/>
              <w:bottom w:val="single" w:sz="2" w:space="0" w:color="auto"/>
              <w:right w:val="single" w:sz="2" w:space="0" w:color="auto"/>
            </w:tcBorders>
            <w:vAlign w:val="center"/>
          </w:tcPr>
          <w:p w14:paraId="11BEF01C" w14:textId="77777777" w:rsidR="007B3DB2" w:rsidRPr="0063248C" w:rsidRDefault="00000000">
            <w:pPr>
              <w:spacing w:line="240" w:lineRule="exact"/>
              <w:jc w:val="right"/>
              <w:rPr>
                <w:rFonts w:cs="宋体"/>
                <w:sz w:val="18"/>
                <w:szCs w:val="18"/>
              </w:rPr>
            </w:pPr>
            <w:r w:rsidRPr="0063248C">
              <w:rPr>
                <w:rFonts w:cs="宋体"/>
                <w:sz w:val="18"/>
                <w:szCs w:val="18"/>
              </w:rPr>
              <w:t>2,687,390.19</w:t>
            </w:r>
          </w:p>
        </w:tc>
        <w:tc>
          <w:tcPr>
            <w:tcW w:w="1377" w:type="dxa"/>
            <w:tcBorders>
              <w:top w:val="single" w:sz="2" w:space="0" w:color="auto"/>
              <w:left w:val="single" w:sz="2" w:space="0" w:color="auto"/>
              <w:bottom w:val="single" w:sz="2" w:space="0" w:color="auto"/>
              <w:right w:val="single" w:sz="2" w:space="0" w:color="auto"/>
            </w:tcBorders>
            <w:vAlign w:val="center"/>
          </w:tcPr>
          <w:p w14:paraId="650E2681"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6AE815E0"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49C2B9B" w14:textId="77777777" w:rsidR="007B3DB2" w:rsidRPr="0063248C" w:rsidRDefault="00000000">
            <w:pPr>
              <w:spacing w:line="240" w:lineRule="exact"/>
              <w:jc w:val="right"/>
              <w:rPr>
                <w:rFonts w:cs="宋体"/>
                <w:sz w:val="18"/>
                <w:szCs w:val="18"/>
              </w:rPr>
            </w:pPr>
            <w:r w:rsidRPr="0063248C">
              <w:rPr>
                <w:rFonts w:cs="宋体"/>
                <w:sz w:val="18"/>
                <w:szCs w:val="18"/>
              </w:rPr>
              <w:t>391,230.26</w:t>
            </w:r>
          </w:p>
        </w:tc>
        <w:tc>
          <w:tcPr>
            <w:tcW w:w="1417" w:type="dxa"/>
            <w:tcBorders>
              <w:top w:val="single" w:sz="2" w:space="0" w:color="auto"/>
              <w:left w:val="single" w:sz="2" w:space="0" w:color="auto"/>
              <w:bottom w:val="single" w:sz="2" w:space="0" w:color="auto"/>
              <w:right w:val="single" w:sz="2" w:space="0" w:color="auto"/>
            </w:tcBorders>
            <w:vAlign w:val="center"/>
          </w:tcPr>
          <w:p w14:paraId="5641D59D" w14:textId="77777777" w:rsidR="007B3DB2" w:rsidRPr="0063248C" w:rsidRDefault="00000000">
            <w:pPr>
              <w:spacing w:line="240" w:lineRule="exact"/>
              <w:jc w:val="right"/>
              <w:rPr>
                <w:rFonts w:cs="宋体"/>
                <w:sz w:val="18"/>
                <w:szCs w:val="18"/>
              </w:rPr>
            </w:pPr>
            <w:r w:rsidRPr="0063248C">
              <w:rPr>
                <w:rFonts w:cs="宋体"/>
                <w:sz w:val="18"/>
                <w:szCs w:val="18"/>
              </w:rPr>
              <w:t>84,338,142.47</w:t>
            </w:r>
          </w:p>
        </w:tc>
      </w:tr>
      <w:tr w:rsidR="007B3DB2" w:rsidRPr="0063248C" w14:paraId="3788B316"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E8D896B"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3</w:t>
            </w:r>
            <w:r w:rsidRPr="0063248C">
              <w:rPr>
                <w:rFonts w:cs="宋体"/>
                <w:sz w:val="18"/>
                <w:szCs w:val="18"/>
              </w:rPr>
              <w:t>）企业合并增加</w:t>
            </w:r>
          </w:p>
        </w:tc>
        <w:tc>
          <w:tcPr>
            <w:tcW w:w="1377" w:type="dxa"/>
            <w:tcBorders>
              <w:top w:val="single" w:sz="2" w:space="0" w:color="auto"/>
              <w:left w:val="single" w:sz="2" w:space="0" w:color="auto"/>
              <w:bottom w:val="single" w:sz="2" w:space="0" w:color="auto"/>
              <w:right w:val="single" w:sz="2" w:space="0" w:color="auto"/>
            </w:tcBorders>
            <w:vAlign w:val="center"/>
          </w:tcPr>
          <w:p w14:paraId="36DD889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CED87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52F025"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7DD3AE27"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CCD11F8"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2371E0E" w14:textId="77777777" w:rsidR="007B3DB2" w:rsidRPr="0063248C" w:rsidRDefault="007B3DB2">
            <w:pPr>
              <w:spacing w:line="240" w:lineRule="exact"/>
              <w:jc w:val="right"/>
              <w:rPr>
                <w:rFonts w:cs="宋体"/>
                <w:sz w:val="18"/>
                <w:szCs w:val="18"/>
              </w:rPr>
            </w:pPr>
          </w:p>
        </w:tc>
      </w:tr>
      <w:tr w:rsidR="007B3DB2" w:rsidRPr="0063248C" w14:paraId="6046D992"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24B2F15"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959F52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B1F69D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2BE9D8"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12B6D8AA"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BA2B965"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CAEFDAD" w14:textId="77777777" w:rsidR="007B3DB2" w:rsidRPr="0063248C" w:rsidRDefault="007B3DB2">
            <w:pPr>
              <w:spacing w:line="240" w:lineRule="exact"/>
              <w:jc w:val="right"/>
              <w:rPr>
                <w:rFonts w:cs="宋体"/>
                <w:sz w:val="18"/>
                <w:szCs w:val="18"/>
              </w:rPr>
            </w:pPr>
          </w:p>
        </w:tc>
      </w:tr>
      <w:tr w:rsidR="007B3DB2" w:rsidRPr="0063248C" w14:paraId="5285BC50"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9159C78"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6D2066AE" w14:textId="77777777" w:rsidR="007B3DB2" w:rsidRPr="0063248C" w:rsidRDefault="00000000">
            <w:pPr>
              <w:spacing w:line="240" w:lineRule="exact"/>
              <w:jc w:val="right"/>
              <w:rPr>
                <w:rFonts w:cs="宋体"/>
                <w:sz w:val="18"/>
                <w:szCs w:val="18"/>
              </w:rPr>
            </w:pPr>
            <w:r w:rsidRPr="0063248C">
              <w:rPr>
                <w:rFonts w:cs="宋体"/>
                <w:sz w:val="18"/>
                <w:szCs w:val="18"/>
              </w:rPr>
              <w:t>374,657.85</w:t>
            </w:r>
          </w:p>
        </w:tc>
        <w:tc>
          <w:tcPr>
            <w:tcW w:w="1377" w:type="dxa"/>
            <w:tcBorders>
              <w:top w:val="single" w:sz="2" w:space="0" w:color="auto"/>
              <w:left w:val="single" w:sz="2" w:space="0" w:color="auto"/>
              <w:bottom w:val="single" w:sz="2" w:space="0" w:color="auto"/>
              <w:right w:val="single" w:sz="2" w:space="0" w:color="auto"/>
            </w:tcBorders>
            <w:vAlign w:val="center"/>
          </w:tcPr>
          <w:p w14:paraId="0F101F2B" w14:textId="77777777" w:rsidR="007B3DB2" w:rsidRPr="0063248C" w:rsidRDefault="00000000">
            <w:pPr>
              <w:spacing w:line="240" w:lineRule="exact"/>
              <w:jc w:val="right"/>
              <w:rPr>
                <w:rFonts w:cs="宋体"/>
                <w:sz w:val="18"/>
                <w:szCs w:val="18"/>
              </w:rPr>
            </w:pPr>
            <w:r w:rsidRPr="0063248C">
              <w:rPr>
                <w:rFonts w:cs="宋体"/>
                <w:sz w:val="18"/>
                <w:szCs w:val="18"/>
              </w:rPr>
              <w:t>3,094,941.85</w:t>
            </w:r>
          </w:p>
        </w:tc>
        <w:tc>
          <w:tcPr>
            <w:tcW w:w="1377" w:type="dxa"/>
            <w:tcBorders>
              <w:top w:val="single" w:sz="2" w:space="0" w:color="auto"/>
              <w:left w:val="single" w:sz="2" w:space="0" w:color="auto"/>
              <w:bottom w:val="single" w:sz="2" w:space="0" w:color="auto"/>
              <w:right w:val="single" w:sz="2" w:space="0" w:color="auto"/>
            </w:tcBorders>
            <w:vAlign w:val="center"/>
          </w:tcPr>
          <w:p w14:paraId="78887522" w14:textId="77777777" w:rsidR="007B3DB2" w:rsidRPr="0063248C" w:rsidRDefault="00000000">
            <w:pPr>
              <w:spacing w:line="240" w:lineRule="exact"/>
              <w:jc w:val="right"/>
              <w:rPr>
                <w:rFonts w:cs="宋体"/>
                <w:sz w:val="18"/>
                <w:szCs w:val="18"/>
              </w:rPr>
            </w:pPr>
            <w:r w:rsidRPr="0063248C">
              <w:rPr>
                <w:rFonts w:cs="宋体"/>
                <w:sz w:val="18"/>
                <w:szCs w:val="18"/>
              </w:rPr>
              <w:t>274,429.73</w:t>
            </w:r>
          </w:p>
        </w:tc>
        <w:tc>
          <w:tcPr>
            <w:tcW w:w="1296" w:type="dxa"/>
            <w:tcBorders>
              <w:top w:val="single" w:sz="2" w:space="0" w:color="auto"/>
              <w:left w:val="single" w:sz="2" w:space="0" w:color="auto"/>
              <w:bottom w:val="single" w:sz="2" w:space="0" w:color="auto"/>
              <w:right w:val="single" w:sz="2" w:space="0" w:color="auto"/>
            </w:tcBorders>
            <w:vAlign w:val="center"/>
          </w:tcPr>
          <w:p w14:paraId="26028241" w14:textId="77777777" w:rsidR="007B3DB2" w:rsidRPr="0063248C" w:rsidRDefault="00000000">
            <w:pPr>
              <w:spacing w:line="240" w:lineRule="exact"/>
              <w:jc w:val="right"/>
              <w:rPr>
                <w:rFonts w:cs="宋体"/>
                <w:sz w:val="18"/>
                <w:szCs w:val="18"/>
              </w:rPr>
            </w:pPr>
            <w:r w:rsidRPr="0063248C">
              <w:rPr>
                <w:rFonts w:cs="宋体"/>
                <w:sz w:val="18"/>
                <w:szCs w:val="18"/>
              </w:rPr>
              <w:t>2,804,732.04</w:t>
            </w:r>
          </w:p>
        </w:tc>
        <w:tc>
          <w:tcPr>
            <w:tcW w:w="1418" w:type="dxa"/>
            <w:tcBorders>
              <w:top w:val="single" w:sz="2" w:space="0" w:color="auto"/>
              <w:left w:val="single" w:sz="2" w:space="0" w:color="auto"/>
              <w:bottom w:val="single" w:sz="2" w:space="0" w:color="auto"/>
              <w:right w:val="single" w:sz="2" w:space="0" w:color="auto"/>
            </w:tcBorders>
            <w:vAlign w:val="center"/>
          </w:tcPr>
          <w:p w14:paraId="494BB67A" w14:textId="77777777" w:rsidR="007B3DB2" w:rsidRPr="0063248C" w:rsidRDefault="00000000">
            <w:pPr>
              <w:spacing w:line="240" w:lineRule="exact"/>
              <w:jc w:val="right"/>
              <w:rPr>
                <w:rFonts w:cs="宋体"/>
                <w:sz w:val="18"/>
                <w:szCs w:val="18"/>
              </w:rPr>
            </w:pPr>
            <w:r w:rsidRPr="0063248C">
              <w:rPr>
                <w:rFonts w:cs="宋体"/>
                <w:sz w:val="18"/>
                <w:szCs w:val="18"/>
              </w:rPr>
              <w:t>383,357.84</w:t>
            </w:r>
          </w:p>
        </w:tc>
        <w:tc>
          <w:tcPr>
            <w:tcW w:w="1417" w:type="dxa"/>
            <w:tcBorders>
              <w:top w:val="single" w:sz="2" w:space="0" w:color="auto"/>
              <w:left w:val="single" w:sz="2" w:space="0" w:color="auto"/>
              <w:bottom w:val="single" w:sz="2" w:space="0" w:color="auto"/>
              <w:right w:val="single" w:sz="2" w:space="0" w:color="auto"/>
            </w:tcBorders>
            <w:vAlign w:val="center"/>
          </w:tcPr>
          <w:p w14:paraId="78A44F5E" w14:textId="77777777" w:rsidR="007B3DB2" w:rsidRPr="0063248C" w:rsidRDefault="00000000">
            <w:pPr>
              <w:spacing w:line="240" w:lineRule="exact"/>
              <w:jc w:val="right"/>
              <w:rPr>
                <w:rFonts w:cs="宋体"/>
                <w:sz w:val="18"/>
                <w:szCs w:val="18"/>
              </w:rPr>
            </w:pPr>
            <w:r w:rsidRPr="0063248C">
              <w:rPr>
                <w:rFonts w:cs="宋体"/>
                <w:sz w:val="18"/>
                <w:szCs w:val="18"/>
              </w:rPr>
              <w:t>6,932,119.31</w:t>
            </w:r>
          </w:p>
        </w:tc>
      </w:tr>
      <w:tr w:rsidR="007B3DB2" w:rsidRPr="0063248C" w14:paraId="5EE8A97F"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F9629F1"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）处置或报废</w:t>
            </w:r>
          </w:p>
        </w:tc>
        <w:tc>
          <w:tcPr>
            <w:tcW w:w="1377" w:type="dxa"/>
            <w:tcBorders>
              <w:top w:val="single" w:sz="2" w:space="0" w:color="auto"/>
              <w:left w:val="single" w:sz="2" w:space="0" w:color="auto"/>
              <w:bottom w:val="single" w:sz="2" w:space="0" w:color="auto"/>
              <w:right w:val="single" w:sz="2" w:space="0" w:color="auto"/>
            </w:tcBorders>
            <w:vAlign w:val="center"/>
          </w:tcPr>
          <w:p w14:paraId="6ED3FD6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5AE60F7" w14:textId="77777777" w:rsidR="007B3DB2" w:rsidRPr="0063248C" w:rsidRDefault="00000000">
            <w:pPr>
              <w:spacing w:line="240" w:lineRule="exact"/>
              <w:jc w:val="right"/>
              <w:rPr>
                <w:rFonts w:cs="宋体"/>
                <w:sz w:val="18"/>
                <w:szCs w:val="18"/>
              </w:rPr>
            </w:pPr>
            <w:r w:rsidRPr="0063248C">
              <w:rPr>
                <w:rFonts w:cs="宋体"/>
                <w:sz w:val="18"/>
                <w:szCs w:val="18"/>
              </w:rPr>
              <w:t>3,094,941.85</w:t>
            </w:r>
          </w:p>
        </w:tc>
        <w:tc>
          <w:tcPr>
            <w:tcW w:w="1377" w:type="dxa"/>
            <w:tcBorders>
              <w:top w:val="single" w:sz="2" w:space="0" w:color="auto"/>
              <w:left w:val="single" w:sz="2" w:space="0" w:color="auto"/>
              <w:bottom w:val="single" w:sz="2" w:space="0" w:color="auto"/>
              <w:right w:val="single" w:sz="2" w:space="0" w:color="auto"/>
            </w:tcBorders>
            <w:vAlign w:val="center"/>
          </w:tcPr>
          <w:p w14:paraId="1DCAD540" w14:textId="77777777" w:rsidR="007B3DB2" w:rsidRPr="0063248C" w:rsidRDefault="00000000">
            <w:pPr>
              <w:spacing w:line="240" w:lineRule="exact"/>
              <w:jc w:val="right"/>
              <w:rPr>
                <w:rFonts w:cs="宋体"/>
                <w:sz w:val="18"/>
                <w:szCs w:val="18"/>
              </w:rPr>
            </w:pPr>
            <w:r w:rsidRPr="0063248C">
              <w:rPr>
                <w:rFonts w:cs="宋体"/>
                <w:sz w:val="18"/>
                <w:szCs w:val="18"/>
              </w:rPr>
              <w:t>274,429.73</w:t>
            </w:r>
          </w:p>
        </w:tc>
        <w:tc>
          <w:tcPr>
            <w:tcW w:w="1296" w:type="dxa"/>
            <w:tcBorders>
              <w:top w:val="single" w:sz="2" w:space="0" w:color="auto"/>
              <w:left w:val="single" w:sz="2" w:space="0" w:color="auto"/>
              <w:bottom w:val="single" w:sz="2" w:space="0" w:color="auto"/>
              <w:right w:val="single" w:sz="2" w:space="0" w:color="auto"/>
            </w:tcBorders>
            <w:vAlign w:val="center"/>
          </w:tcPr>
          <w:p w14:paraId="0963B2D9" w14:textId="77777777" w:rsidR="007B3DB2" w:rsidRPr="0063248C" w:rsidRDefault="00000000">
            <w:pPr>
              <w:spacing w:line="240" w:lineRule="exact"/>
              <w:jc w:val="right"/>
              <w:rPr>
                <w:rFonts w:cs="宋体"/>
                <w:sz w:val="18"/>
                <w:szCs w:val="18"/>
              </w:rPr>
            </w:pPr>
            <w:r w:rsidRPr="0063248C">
              <w:rPr>
                <w:rFonts w:cs="宋体"/>
                <w:sz w:val="18"/>
                <w:szCs w:val="18"/>
              </w:rPr>
              <w:t>2,804,732.04</w:t>
            </w:r>
          </w:p>
        </w:tc>
        <w:tc>
          <w:tcPr>
            <w:tcW w:w="1418" w:type="dxa"/>
            <w:tcBorders>
              <w:top w:val="single" w:sz="2" w:space="0" w:color="auto"/>
              <w:left w:val="single" w:sz="2" w:space="0" w:color="auto"/>
              <w:bottom w:val="single" w:sz="2" w:space="0" w:color="auto"/>
              <w:right w:val="single" w:sz="2" w:space="0" w:color="auto"/>
            </w:tcBorders>
            <w:vAlign w:val="center"/>
          </w:tcPr>
          <w:p w14:paraId="50D0E3F5" w14:textId="77777777" w:rsidR="007B3DB2" w:rsidRPr="0063248C" w:rsidRDefault="00000000">
            <w:pPr>
              <w:spacing w:line="240" w:lineRule="exact"/>
              <w:jc w:val="right"/>
              <w:rPr>
                <w:rFonts w:cs="宋体"/>
                <w:sz w:val="18"/>
                <w:szCs w:val="18"/>
              </w:rPr>
            </w:pPr>
            <w:r w:rsidRPr="0063248C">
              <w:rPr>
                <w:rFonts w:cs="宋体"/>
                <w:sz w:val="18"/>
                <w:szCs w:val="18"/>
              </w:rPr>
              <w:t>383,357.84</w:t>
            </w:r>
          </w:p>
        </w:tc>
        <w:tc>
          <w:tcPr>
            <w:tcW w:w="1417" w:type="dxa"/>
            <w:tcBorders>
              <w:top w:val="single" w:sz="2" w:space="0" w:color="auto"/>
              <w:left w:val="single" w:sz="2" w:space="0" w:color="auto"/>
              <w:bottom w:val="single" w:sz="2" w:space="0" w:color="auto"/>
              <w:right w:val="single" w:sz="2" w:space="0" w:color="auto"/>
            </w:tcBorders>
            <w:vAlign w:val="center"/>
          </w:tcPr>
          <w:p w14:paraId="78C5FF86" w14:textId="77777777" w:rsidR="007B3DB2" w:rsidRPr="0063248C" w:rsidRDefault="00000000">
            <w:pPr>
              <w:spacing w:line="240" w:lineRule="exact"/>
              <w:jc w:val="right"/>
              <w:rPr>
                <w:rFonts w:cs="宋体"/>
                <w:sz w:val="18"/>
                <w:szCs w:val="18"/>
              </w:rPr>
            </w:pPr>
            <w:r w:rsidRPr="0063248C">
              <w:rPr>
                <w:rFonts w:cs="宋体"/>
                <w:sz w:val="18"/>
                <w:szCs w:val="18"/>
              </w:rPr>
              <w:t>6,557,461.46</w:t>
            </w:r>
          </w:p>
        </w:tc>
      </w:tr>
      <w:tr w:rsidR="007B3DB2" w:rsidRPr="0063248C" w14:paraId="4A826D4C"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EBB43AE"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）在建工程转入</w:t>
            </w:r>
          </w:p>
        </w:tc>
        <w:tc>
          <w:tcPr>
            <w:tcW w:w="1377" w:type="dxa"/>
            <w:tcBorders>
              <w:top w:val="single" w:sz="2" w:space="0" w:color="auto"/>
              <w:left w:val="single" w:sz="2" w:space="0" w:color="auto"/>
              <w:bottom w:val="single" w:sz="2" w:space="0" w:color="auto"/>
              <w:right w:val="single" w:sz="2" w:space="0" w:color="auto"/>
            </w:tcBorders>
            <w:vAlign w:val="center"/>
          </w:tcPr>
          <w:p w14:paraId="11203C30" w14:textId="77777777" w:rsidR="007B3DB2" w:rsidRPr="0063248C" w:rsidRDefault="00000000">
            <w:pPr>
              <w:spacing w:line="240" w:lineRule="exact"/>
              <w:jc w:val="right"/>
              <w:rPr>
                <w:rFonts w:cs="宋体"/>
                <w:sz w:val="18"/>
                <w:szCs w:val="18"/>
              </w:rPr>
            </w:pPr>
            <w:r w:rsidRPr="0063248C">
              <w:rPr>
                <w:rFonts w:cs="宋体"/>
                <w:sz w:val="18"/>
                <w:szCs w:val="18"/>
              </w:rPr>
              <w:t>374,657.85</w:t>
            </w:r>
          </w:p>
        </w:tc>
        <w:tc>
          <w:tcPr>
            <w:tcW w:w="1377" w:type="dxa"/>
            <w:tcBorders>
              <w:top w:val="single" w:sz="2" w:space="0" w:color="auto"/>
              <w:left w:val="single" w:sz="2" w:space="0" w:color="auto"/>
              <w:bottom w:val="single" w:sz="2" w:space="0" w:color="auto"/>
              <w:right w:val="single" w:sz="2" w:space="0" w:color="auto"/>
            </w:tcBorders>
            <w:vAlign w:val="center"/>
          </w:tcPr>
          <w:p w14:paraId="1CB1A5F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639258F"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3962D290"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F34C292"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6190FDD" w14:textId="77777777" w:rsidR="007B3DB2" w:rsidRPr="0063248C" w:rsidRDefault="00000000">
            <w:pPr>
              <w:spacing w:line="240" w:lineRule="exact"/>
              <w:jc w:val="right"/>
              <w:rPr>
                <w:rFonts w:cs="宋体"/>
                <w:sz w:val="18"/>
                <w:szCs w:val="18"/>
              </w:rPr>
            </w:pPr>
            <w:r w:rsidRPr="0063248C">
              <w:rPr>
                <w:rFonts w:cs="宋体"/>
                <w:sz w:val="18"/>
                <w:szCs w:val="18"/>
              </w:rPr>
              <w:t>374,657.85</w:t>
            </w:r>
          </w:p>
        </w:tc>
      </w:tr>
      <w:tr w:rsidR="007B3DB2" w:rsidRPr="0063248C" w14:paraId="35192BB1"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8A7D88D"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2A2B47D4" w14:textId="77777777" w:rsidR="007B3DB2" w:rsidRPr="0063248C" w:rsidRDefault="00000000">
            <w:pPr>
              <w:spacing w:line="240" w:lineRule="exact"/>
              <w:jc w:val="right"/>
              <w:rPr>
                <w:rFonts w:cs="宋体"/>
                <w:sz w:val="18"/>
                <w:szCs w:val="18"/>
              </w:rPr>
            </w:pPr>
            <w:r w:rsidRPr="0063248C">
              <w:rPr>
                <w:rFonts w:cs="宋体"/>
                <w:sz w:val="18"/>
                <w:szCs w:val="18"/>
              </w:rPr>
              <w:t>1,637,779,255.26</w:t>
            </w:r>
          </w:p>
        </w:tc>
        <w:tc>
          <w:tcPr>
            <w:tcW w:w="1377" w:type="dxa"/>
            <w:tcBorders>
              <w:top w:val="single" w:sz="2" w:space="0" w:color="auto"/>
              <w:left w:val="single" w:sz="2" w:space="0" w:color="auto"/>
              <w:bottom w:val="single" w:sz="2" w:space="0" w:color="auto"/>
              <w:right w:val="single" w:sz="2" w:space="0" w:color="auto"/>
            </w:tcBorders>
            <w:vAlign w:val="center"/>
          </w:tcPr>
          <w:p w14:paraId="596F691B" w14:textId="77777777" w:rsidR="007B3DB2" w:rsidRPr="0063248C" w:rsidRDefault="00000000">
            <w:pPr>
              <w:spacing w:line="240" w:lineRule="exact"/>
              <w:jc w:val="right"/>
              <w:rPr>
                <w:rFonts w:cs="宋体"/>
                <w:sz w:val="18"/>
                <w:szCs w:val="18"/>
              </w:rPr>
            </w:pPr>
            <w:r w:rsidRPr="0063248C">
              <w:rPr>
                <w:rFonts w:cs="宋体"/>
                <w:sz w:val="18"/>
                <w:szCs w:val="18"/>
              </w:rPr>
              <w:t>901,578,453.82</w:t>
            </w:r>
          </w:p>
        </w:tc>
        <w:tc>
          <w:tcPr>
            <w:tcW w:w="1377" w:type="dxa"/>
            <w:tcBorders>
              <w:top w:val="single" w:sz="2" w:space="0" w:color="auto"/>
              <w:left w:val="single" w:sz="2" w:space="0" w:color="auto"/>
              <w:bottom w:val="single" w:sz="2" w:space="0" w:color="auto"/>
              <w:right w:val="single" w:sz="2" w:space="0" w:color="auto"/>
            </w:tcBorders>
            <w:vAlign w:val="center"/>
          </w:tcPr>
          <w:p w14:paraId="22200987" w14:textId="77777777" w:rsidR="007B3DB2" w:rsidRPr="0063248C" w:rsidRDefault="00000000">
            <w:pPr>
              <w:spacing w:line="240" w:lineRule="exact"/>
              <w:jc w:val="right"/>
              <w:rPr>
                <w:rFonts w:cs="宋体"/>
                <w:sz w:val="18"/>
                <w:szCs w:val="18"/>
              </w:rPr>
            </w:pPr>
            <w:r w:rsidRPr="0063248C">
              <w:rPr>
                <w:rFonts w:cs="宋体"/>
                <w:sz w:val="18"/>
                <w:szCs w:val="18"/>
              </w:rPr>
              <w:t>47,363,992.68</w:t>
            </w:r>
          </w:p>
        </w:tc>
        <w:tc>
          <w:tcPr>
            <w:tcW w:w="1296" w:type="dxa"/>
            <w:tcBorders>
              <w:top w:val="single" w:sz="2" w:space="0" w:color="auto"/>
              <w:left w:val="single" w:sz="2" w:space="0" w:color="auto"/>
              <w:bottom w:val="single" w:sz="2" w:space="0" w:color="auto"/>
              <w:right w:val="single" w:sz="2" w:space="0" w:color="auto"/>
            </w:tcBorders>
            <w:vAlign w:val="center"/>
          </w:tcPr>
          <w:p w14:paraId="421A35EB" w14:textId="77777777" w:rsidR="007B3DB2" w:rsidRPr="0063248C" w:rsidRDefault="00000000">
            <w:pPr>
              <w:spacing w:line="240" w:lineRule="exact"/>
              <w:jc w:val="right"/>
              <w:rPr>
                <w:rFonts w:cs="宋体"/>
                <w:sz w:val="18"/>
                <w:szCs w:val="18"/>
              </w:rPr>
            </w:pPr>
            <w:r w:rsidRPr="0063248C">
              <w:rPr>
                <w:rFonts w:cs="宋体"/>
                <w:sz w:val="18"/>
                <w:szCs w:val="18"/>
              </w:rPr>
              <w:t>33,805,414.36</w:t>
            </w:r>
          </w:p>
        </w:tc>
        <w:tc>
          <w:tcPr>
            <w:tcW w:w="1418" w:type="dxa"/>
            <w:tcBorders>
              <w:top w:val="single" w:sz="2" w:space="0" w:color="auto"/>
              <w:left w:val="single" w:sz="2" w:space="0" w:color="auto"/>
              <w:bottom w:val="single" w:sz="2" w:space="0" w:color="auto"/>
              <w:right w:val="single" w:sz="2" w:space="0" w:color="auto"/>
            </w:tcBorders>
            <w:vAlign w:val="center"/>
          </w:tcPr>
          <w:p w14:paraId="029342DB" w14:textId="77777777" w:rsidR="007B3DB2" w:rsidRPr="0063248C" w:rsidRDefault="00000000">
            <w:pPr>
              <w:spacing w:line="240" w:lineRule="exact"/>
              <w:jc w:val="right"/>
              <w:rPr>
                <w:rFonts w:cs="宋体"/>
                <w:sz w:val="18"/>
                <w:szCs w:val="18"/>
              </w:rPr>
            </w:pPr>
            <w:r w:rsidRPr="0063248C">
              <w:rPr>
                <w:rFonts w:cs="宋体"/>
                <w:sz w:val="18"/>
                <w:szCs w:val="18"/>
              </w:rPr>
              <w:t>79,745,524.99</w:t>
            </w:r>
          </w:p>
        </w:tc>
        <w:tc>
          <w:tcPr>
            <w:tcW w:w="1417" w:type="dxa"/>
            <w:tcBorders>
              <w:top w:val="single" w:sz="2" w:space="0" w:color="auto"/>
              <w:left w:val="single" w:sz="2" w:space="0" w:color="auto"/>
              <w:bottom w:val="single" w:sz="2" w:space="0" w:color="auto"/>
              <w:right w:val="single" w:sz="2" w:space="0" w:color="auto"/>
            </w:tcBorders>
            <w:vAlign w:val="center"/>
          </w:tcPr>
          <w:p w14:paraId="66786DCC" w14:textId="77777777" w:rsidR="007B3DB2" w:rsidRPr="0063248C" w:rsidRDefault="00000000">
            <w:pPr>
              <w:spacing w:line="240" w:lineRule="exact"/>
              <w:jc w:val="right"/>
              <w:rPr>
                <w:rFonts w:cs="宋体"/>
                <w:sz w:val="18"/>
                <w:szCs w:val="18"/>
              </w:rPr>
            </w:pPr>
            <w:r w:rsidRPr="0063248C">
              <w:rPr>
                <w:rFonts w:cs="宋体"/>
                <w:sz w:val="18"/>
                <w:szCs w:val="18"/>
              </w:rPr>
              <w:t>2,700,272,641.11</w:t>
            </w:r>
          </w:p>
        </w:tc>
      </w:tr>
      <w:tr w:rsidR="007B3DB2" w:rsidRPr="0063248C" w14:paraId="4BD75E1E"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1ADE418" w14:textId="77777777" w:rsidR="007B3DB2" w:rsidRPr="0063248C" w:rsidRDefault="00000000">
            <w:pPr>
              <w:spacing w:before="40" w:after="40" w:line="240" w:lineRule="exact"/>
              <w:rPr>
                <w:rFonts w:cs="宋体"/>
                <w:sz w:val="18"/>
                <w:szCs w:val="18"/>
              </w:rPr>
            </w:pPr>
            <w:r w:rsidRPr="0063248C">
              <w:rPr>
                <w:rFonts w:cs="宋体"/>
                <w:sz w:val="18"/>
                <w:szCs w:val="18"/>
              </w:rPr>
              <w:t>二、累计折旧</w:t>
            </w:r>
          </w:p>
        </w:tc>
        <w:tc>
          <w:tcPr>
            <w:tcW w:w="1377" w:type="dxa"/>
            <w:tcBorders>
              <w:top w:val="single" w:sz="2" w:space="0" w:color="auto"/>
              <w:left w:val="single" w:sz="2" w:space="0" w:color="auto"/>
              <w:bottom w:val="single" w:sz="2" w:space="0" w:color="auto"/>
              <w:right w:val="single" w:sz="2" w:space="0" w:color="auto"/>
            </w:tcBorders>
            <w:vAlign w:val="center"/>
          </w:tcPr>
          <w:p w14:paraId="2714287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60219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1F63E1B"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1EB962E2"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913401C"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28F3B02" w14:textId="77777777" w:rsidR="007B3DB2" w:rsidRPr="0063248C" w:rsidRDefault="007B3DB2">
            <w:pPr>
              <w:spacing w:line="240" w:lineRule="exact"/>
              <w:jc w:val="right"/>
              <w:rPr>
                <w:rFonts w:cs="宋体"/>
                <w:sz w:val="18"/>
                <w:szCs w:val="18"/>
              </w:rPr>
            </w:pPr>
          </w:p>
        </w:tc>
      </w:tr>
      <w:tr w:rsidR="007B3DB2" w:rsidRPr="0063248C" w14:paraId="30DBC388"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0428D0E"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342A08A3" w14:textId="77777777" w:rsidR="007B3DB2" w:rsidRPr="0063248C" w:rsidRDefault="00000000">
            <w:pPr>
              <w:spacing w:line="240" w:lineRule="exact"/>
              <w:jc w:val="right"/>
              <w:rPr>
                <w:rFonts w:cs="宋体"/>
                <w:sz w:val="18"/>
                <w:szCs w:val="18"/>
              </w:rPr>
            </w:pPr>
            <w:r w:rsidRPr="0063248C">
              <w:rPr>
                <w:rFonts w:cs="宋体"/>
                <w:sz w:val="18"/>
                <w:szCs w:val="18"/>
              </w:rPr>
              <w:t>383,453,790.72</w:t>
            </w:r>
          </w:p>
        </w:tc>
        <w:tc>
          <w:tcPr>
            <w:tcW w:w="1377" w:type="dxa"/>
            <w:tcBorders>
              <w:top w:val="single" w:sz="2" w:space="0" w:color="auto"/>
              <w:left w:val="single" w:sz="2" w:space="0" w:color="auto"/>
              <w:bottom w:val="single" w:sz="2" w:space="0" w:color="auto"/>
              <w:right w:val="single" w:sz="2" w:space="0" w:color="auto"/>
            </w:tcBorders>
            <w:vAlign w:val="center"/>
          </w:tcPr>
          <w:p w14:paraId="4B9A11AE" w14:textId="77777777" w:rsidR="007B3DB2" w:rsidRPr="0063248C" w:rsidRDefault="00000000">
            <w:pPr>
              <w:spacing w:line="240" w:lineRule="exact"/>
              <w:jc w:val="right"/>
              <w:rPr>
                <w:rFonts w:cs="宋体"/>
                <w:sz w:val="18"/>
                <w:szCs w:val="18"/>
              </w:rPr>
            </w:pPr>
            <w:r w:rsidRPr="0063248C">
              <w:rPr>
                <w:rFonts w:cs="宋体"/>
                <w:sz w:val="18"/>
                <w:szCs w:val="18"/>
              </w:rPr>
              <w:t>420,681,326.96</w:t>
            </w:r>
          </w:p>
        </w:tc>
        <w:tc>
          <w:tcPr>
            <w:tcW w:w="1377" w:type="dxa"/>
            <w:tcBorders>
              <w:top w:val="single" w:sz="2" w:space="0" w:color="auto"/>
              <w:left w:val="single" w:sz="2" w:space="0" w:color="auto"/>
              <w:bottom w:val="single" w:sz="2" w:space="0" w:color="auto"/>
              <w:right w:val="single" w:sz="2" w:space="0" w:color="auto"/>
            </w:tcBorders>
            <w:vAlign w:val="center"/>
          </w:tcPr>
          <w:p w14:paraId="70A53073" w14:textId="77777777" w:rsidR="007B3DB2" w:rsidRPr="0063248C" w:rsidRDefault="00000000">
            <w:pPr>
              <w:spacing w:line="240" w:lineRule="exact"/>
              <w:jc w:val="right"/>
              <w:rPr>
                <w:rFonts w:cs="宋体"/>
                <w:sz w:val="18"/>
                <w:szCs w:val="18"/>
              </w:rPr>
            </w:pPr>
            <w:r w:rsidRPr="0063248C">
              <w:rPr>
                <w:rFonts w:cs="宋体"/>
                <w:sz w:val="18"/>
                <w:szCs w:val="18"/>
              </w:rPr>
              <w:t>38,032,311.18</w:t>
            </w:r>
          </w:p>
        </w:tc>
        <w:tc>
          <w:tcPr>
            <w:tcW w:w="1296" w:type="dxa"/>
            <w:tcBorders>
              <w:top w:val="single" w:sz="2" w:space="0" w:color="auto"/>
              <w:left w:val="single" w:sz="2" w:space="0" w:color="auto"/>
              <w:bottom w:val="single" w:sz="2" w:space="0" w:color="auto"/>
              <w:right w:val="single" w:sz="2" w:space="0" w:color="auto"/>
            </w:tcBorders>
            <w:vAlign w:val="center"/>
          </w:tcPr>
          <w:p w14:paraId="0C40AFBB" w14:textId="77777777" w:rsidR="007B3DB2" w:rsidRPr="0063248C" w:rsidRDefault="00000000">
            <w:pPr>
              <w:spacing w:line="240" w:lineRule="exact"/>
              <w:jc w:val="right"/>
              <w:rPr>
                <w:rFonts w:cs="宋体"/>
                <w:sz w:val="18"/>
                <w:szCs w:val="18"/>
              </w:rPr>
            </w:pPr>
            <w:r w:rsidRPr="0063248C">
              <w:rPr>
                <w:rFonts w:cs="宋体"/>
                <w:sz w:val="18"/>
                <w:szCs w:val="18"/>
              </w:rPr>
              <w:t>26,951,274.33</w:t>
            </w:r>
          </w:p>
        </w:tc>
        <w:tc>
          <w:tcPr>
            <w:tcW w:w="1418" w:type="dxa"/>
            <w:tcBorders>
              <w:top w:val="single" w:sz="2" w:space="0" w:color="auto"/>
              <w:left w:val="single" w:sz="2" w:space="0" w:color="auto"/>
              <w:bottom w:val="single" w:sz="2" w:space="0" w:color="auto"/>
              <w:right w:val="single" w:sz="2" w:space="0" w:color="auto"/>
            </w:tcBorders>
            <w:vAlign w:val="center"/>
          </w:tcPr>
          <w:p w14:paraId="28A24777" w14:textId="77777777" w:rsidR="007B3DB2" w:rsidRPr="0063248C" w:rsidRDefault="00000000">
            <w:pPr>
              <w:spacing w:line="240" w:lineRule="exact"/>
              <w:jc w:val="right"/>
              <w:rPr>
                <w:rFonts w:cs="宋体"/>
                <w:sz w:val="18"/>
                <w:szCs w:val="18"/>
              </w:rPr>
            </w:pPr>
            <w:r w:rsidRPr="0063248C">
              <w:rPr>
                <w:rFonts w:cs="宋体"/>
                <w:sz w:val="18"/>
                <w:szCs w:val="18"/>
              </w:rPr>
              <w:t>51,784,171.62</w:t>
            </w:r>
          </w:p>
        </w:tc>
        <w:tc>
          <w:tcPr>
            <w:tcW w:w="1417" w:type="dxa"/>
            <w:tcBorders>
              <w:top w:val="single" w:sz="2" w:space="0" w:color="auto"/>
              <w:left w:val="single" w:sz="2" w:space="0" w:color="auto"/>
              <w:bottom w:val="single" w:sz="2" w:space="0" w:color="auto"/>
              <w:right w:val="single" w:sz="2" w:space="0" w:color="auto"/>
            </w:tcBorders>
            <w:vAlign w:val="center"/>
          </w:tcPr>
          <w:p w14:paraId="749C7259" w14:textId="77777777" w:rsidR="007B3DB2" w:rsidRPr="0063248C" w:rsidRDefault="00000000">
            <w:pPr>
              <w:spacing w:line="240" w:lineRule="exact"/>
              <w:jc w:val="right"/>
              <w:rPr>
                <w:rFonts w:cs="宋体"/>
                <w:sz w:val="18"/>
                <w:szCs w:val="18"/>
              </w:rPr>
            </w:pPr>
            <w:r w:rsidRPr="0063248C">
              <w:rPr>
                <w:rFonts w:cs="宋体"/>
                <w:sz w:val="18"/>
                <w:szCs w:val="18"/>
              </w:rPr>
              <w:t>920,902,874.81</w:t>
            </w:r>
          </w:p>
        </w:tc>
      </w:tr>
      <w:tr w:rsidR="007B3DB2" w:rsidRPr="0063248C" w14:paraId="4A54649A"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E91457"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7DBE48EF" w14:textId="77777777" w:rsidR="007B3DB2" w:rsidRPr="0063248C" w:rsidRDefault="00000000">
            <w:pPr>
              <w:spacing w:line="240" w:lineRule="exact"/>
              <w:jc w:val="right"/>
              <w:rPr>
                <w:rFonts w:cs="宋体"/>
                <w:sz w:val="18"/>
                <w:szCs w:val="18"/>
              </w:rPr>
            </w:pPr>
            <w:r w:rsidRPr="0063248C">
              <w:rPr>
                <w:rFonts w:cs="宋体"/>
                <w:sz w:val="18"/>
                <w:szCs w:val="18"/>
              </w:rPr>
              <w:t>36,129,168.66</w:t>
            </w:r>
          </w:p>
        </w:tc>
        <w:tc>
          <w:tcPr>
            <w:tcW w:w="1377" w:type="dxa"/>
            <w:tcBorders>
              <w:top w:val="single" w:sz="2" w:space="0" w:color="auto"/>
              <w:left w:val="single" w:sz="2" w:space="0" w:color="auto"/>
              <w:bottom w:val="single" w:sz="2" w:space="0" w:color="auto"/>
              <w:right w:val="single" w:sz="2" w:space="0" w:color="auto"/>
            </w:tcBorders>
            <w:vAlign w:val="center"/>
          </w:tcPr>
          <w:p w14:paraId="0800F86E" w14:textId="77777777" w:rsidR="007B3DB2" w:rsidRPr="0063248C" w:rsidRDefault="00000000">
            <w:pPr>
              <w:spacing w:line="240" w:lineRule="exact"/>
              <w:jc w:val="right"/>
              <w:rPr>
                <w:rFonts w:cs="宋体"/>
                <w:sz w:val="18"/>
                <w:szCs w:val="18"/>
              </w:rPr>
            </w:pPr>
            <w:r w:rsidRPr="0063248C">
              <w:rPr>
                <w:rFonts w:cs="宋体"/>
                <w:sz w:val="18"/>
                <w:szCs w:val="18"/>
              </w:rPr>
              <w:t>33,556,077.67</w:t>
            </w:r>
          </w:p>
        </w:tc>
        <w:tc>
          <w:tcPr>
            <w:tcW w:w="1377" w:type="dxa"/>
            <w:tcBorders>
              <w:top w:val="single" w:sz="2" w:space="0" w:color="auto"/>
              <w:left w:val="single" w:sz="2" w:space="0" w:color="auto"/>
              <w:bottom w:val="single" w:sz="2" w:space="0" w:color="auto"/>
              <w:right w:val="single" w:sz="2" w:space="0" w:color="auto"/>
            </w:tcBorders>
            <w:vAlign w:val="center"/>
          </w:tcPr>
          <w:p w14:paraId="28475453" w14:textId="77777777" w:rsidR="007B3DB2" w:rsidRPr="0063248C" w:rsidRDefault="00000000">
            <w:pPr>
              <w:spacing w:line="240" w:lineRule="exact"/>
              <w:jc w:val="right"/>
              <w:rPr>
                <w:rFonts w:cs="宋体"/>
                <w:sz w:val="18"/>
                <w:szCs w:val="18"/>
              </w:rPr>
            </w:pPr>
            <w:r w:rsidRPr="0063248C">
              <w:rPr>
                <w:rFonts w:cs="宋体"/>
                <w:sz w:val="18"/>
                <w:szCs w:val="18"/>
              </w:rPr>
              <w:t>1,877,880.48</w:t>
            </w:r>
          </w:p>
        </w:tc>
        <w:tc>
          <w:tcPr>
            <w:tcW w:w="1296" w:type="dxa"/>
            <w:tcBorders>
              <w:top w:val="single" w:sz="2" w:space="0" w:color="auto"/>
              <w:left w:val="single" w:sz="2" w:space="0" w:color="auto"/>
              <w:bottom w:val="single" w:sz="2" w:space="0" w:color="auto"/>
              <w:right w:val="single" w:sz="2" w:space="0" w:color="auto"/>
            </w:tcBorders>
            <w:vAlign w:val="center"/>
          </w:tcPr>
          <w:p w14:paraId="537ACF1D" w14:textId="77777777" w:rsidR="007B3DB2" w:rsidRPr="0063248C" w:rsidRDefault="00000000">
            <w:pPr>
              <w:spacing w:line="240" w:lineRule="exact"/>
              <w:jc w:val="right"/>
              <w:rPr>
                <w:rFonts w:cs="宋体"/>
                <w:sz w:val="18"/>
                <w:szCs w:val="18"/>
              </w:rPr>
            </w:pPr>
            <w:r w:rsidRPr="0063248C">
              <w:rPr>
                <w:rFonts w:cs="宋体"/>
                <w:sz w:val="18"/>
                <w:szCs w:val="18"/>
              </w:rPr>
              <w:t>1,822,720.75</w:t>
            </w:r>
          </w:p>
        </w:tc>
        <w:tc>
          <w:tcPr>
            <w:tcW w:w="1418" w:type="dxa"/>
            <w:tcBorders>
              <w:top w:val="single" w:sz="2" w:space="0" w:color="auto"/>
              <w:left w:val="single" w:sz="2" w:space="0" w:color="auto"/>
              <w:bottom w:val="single" w:sz="2" w:space="0" w:color="auto"/>
              <w:right w:val="single" w:sz="2" w:space="0" w:color="auto"/>
            </w:tcBorders>
            <w:vAlign w:val="center"/>
          </w:tcPr>
          <w:p w14:paraId="29687902" w14:textId="77777777" w:rsidR="007B3DB2" w:rsidRPr="0063248C" w:rsidRDefault="00000000">
            <w:pPr>
              <w:spacing w:line="240" w:lineRule="exact"/>
              <w:jc w:val="right"/>
              <w:rPr>
                <w:rFonts w:cs="宋体"/>
                <w:sz w:val="18"/>
                <w:szCs w:val="18"/>
              </w:rPr>
            </w:pPr>
            <w:r w:rsidRPr="0063248C">
              <w:rPr>
                <w:rFonts w:cs="宋体"/>
                <w:sz w:val="18"/>
                <w:szCs w:val="18"/>
              </w:rPr>
              <w:t>4,290,167.50</w:t>
            </w:r>
          </w:p>
        </w:tc>
        <w:tc>
          <w:tcPr>
            <w:tcW w:w="1417" w:type="dxa"/>
            <w:tcBorders>
              <w:top w:val="single" w:sz="2" w:space="0" w:color="auto"/>
              <w:left w:val="single" w:sz="2" w:space="0" w:color="auto"/>
              <w:bottom w:val="single" w:sz="2" w:space="0" w:color="auto"/>
              <w:right w:val="single" w:sz="2" w:space="0" w:color="auto"/>
            </w:tcBorders>
            <w:vAlign w:val="center"/>
          </w:tcPr>
          <w:p w14:paraId="27F703AA" w14:textId="77777777" w:rsidR="007B3DB2" w:rsidRPr="0063248C" w:rsidRDefault="00000000">
            <w:pPr>
              <w:spacing w:line="240" w:lineRule="exact"/>
              <w:jc w:val="right"/>
              <w:rPr>
                <w:rFonts w:cs="宋体"/>
                <w:sz w:val="18"/>
                <w:szCs w:val="18"/>
              </w:rPr>
            </w:pPr>
            <w:r w:rsidRPr="0063248C">
              <w:rPr>
                <w:rFonts w:cs="宋体"/>
                <w:sz w:val="18"/>
                <w:szCs w:val="18"/>
              </w:rPr>
              <w:t>77,676,015.06</w:t>
            </w:r>
          </w:p>
        </w:tc>
      </w:tr>
      <w:tr w:rsidR="007B3DB2" w:rsidRPr="0063248C" w14:paraId="603C16D2"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A44B9A"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13F51CC1" w14:textId="77777777" w:rsidR="007B3DB2" w:rsidRPr="0063248C" w:rsidRDefault="00000000">
            <w:pPr>
              <w:spacing w:line="240" w:lineRule="exact"/>
              <w:jc w:val="right"/>
              <w:rPr>
                <w:rFonts w:cs="宋体"/>
                <w:sz w:val="18"/>
                <w:szCs w:val="18"/>
              </w:rPr>
            </w:pPr>
            <w:r w:rsidRPr="0063248C">
              <w:rPr>
                <w:rFonts w:cs="宋体"/>
                <w:sz w:val="18"/>
                <w:szCs w:val="18"/>
              </w:rPr>
              <w:t>36,129,168.66</w:t>
            </w:r>
          </w:p>
        </w:tc>
        <w:tc>
          <w:tcPr>
            <w:tcW w:w="1377" w:type="dxa"/>
            <w:tcBorders>
              <w:top w:val="single" w:sz="2" w:space="0" w:color="auto"/>
              <w:left w:val="single" w:sz="2" w:space="0" w:color="auto"/>
              <w:bottom w:val="single" w:sz="2" w:space="0" w:color="auto"/>
              <w:right w:val="single" w:sz="2" w:space="0" w:color="auto"/>
            </w:tcBorders>
            <w:vAlign w:val="center"/>
          </w:tcPr>
          <w:p w14:paraId="3D5CC85E" w14:textId="77777777" w:rsidR="007B3DB2" w:rsidRPr="0063248C" w:rsidRDefault="00000000">
            <w:pPr>
              <w:spacing w:line="240" w:lineRule="exact"/>
              <w:jc w:val="right"/>
              <w:rPr>
                <w:rFonts w:cs="宋体"/>
                <w:sz w:val="18"/>
                <w:szCs w:val="18"/>
              </w:rPr>
            </w:pPr>
            <w:r w:rsidRPr="0063248C">
              <w:rPr>
                <w:rFonts w:cs="宋体"/>
                <w:sz w:val="18"/>
                <w:szCs w:val="18"/>
              </w:rPr>
              <w:t>33,556,077.67</w:t>
            </w:r>
          </w:p>
        </w:tc>
        <w:tc>
          <w:tcPr>
            <w:tcW w:w="1377" w:type="dxa"/>
            <w:tcBorders>
              <w:top w:val="single" w:sz="2" w:space="0" w:color="auto"/>
              <w:left w:val="single" w:sz="2" w:space="0" w:color="auto"/>
              <w:bottom w:val="single" w:sz="2" w:space="0" w:color="auto"/>
              <w:right w:val="single" w:sz="2" w:space="0" w:color="auto"/>
            </w:tcBorders>
            <w:vAlign w:val="center"/>
          </w:tcPr>
          <w:p w14:paraId="2B7F9717" w14:textId="77777777" w:rsidR="007B3DB2" w:rsidRPr="0063248C" w:rsidRDefault="00000000">
            <w:pPr>
              <w:spacing w:line="240" w:lineRule="exact"/>
              <w:jc w:val="right"/>
              <w:rPr>
                <w:rFonts w:cs="宋体"/>
                <w:sz w:val="18"/>
                <w:szCs w:val="18"/>
              </w:rPr>
            </w:pPr>
            <w:r w:rsidRPr="0063248C">
              <w:rPr>
                <w:rFonts w:cs="宋体"/>
                <w:sz w:val="18"/>
                <w:szCs w:val="18"/>
              </w:rPr>
              <w:t>1,877,880.48</w:t>
            </w:r>
          </w:p>
        </w:tc>
        <w:tc>
          <w:tcPr>
            <w:tcW w:w="1296" w:type="dxa"/>
            <w:tcBorders>
              <w:top w:val="single" w:sz="2" w:space="0" w:color="auto"/>
              <w:left w:val="single" w:sz="2" w:space="0" w:color="auto"/>
              <w:bottom w:val="single" w:sz="2" w:space="0" w:color="auto"/>
              <w:right w:val="single" w:sz="2" w:space="0" w:color="auto"/>
            </w:tcBorders>
            <w:vAlign w:val="center"/>
          </w:tcPr>
          <w:p w14:paraId="58D41822" w14:textId="77777777" w:rsidR="007B3DB2" w:rsidRPr="0063248C" w:rsidRDefault="00000000">
            <w:pPr>
              <w:spacing w:line="240" w:lineRule="exact"/>
              <w:jc w:val="right"/>
              <w:rPr>
                <w:rFonts w:cs="宋体"/>
                <w:sz w:val="18"/>
                <w:szCs w:val="18"/>
              </w:rPr>
            </w:pPr>
            <w:r w:rsidRPr="0063248C">
              <w:rPr>
                <w:rFonts w:cs="宋体"/>
                <w:sz w:val="18"/>
                <w:szCs w:val="18"/>
              </w:rPr>
              <w:t>1,822,720.75</w:t>
            </w:r>
          </w:p>
        </w:tc>
        <w:tc>
          <w:tcPr>
            <w:tcW w:w="1418" w:type="dxa"/>
            <w:tcBorders>
              <w:top w:val="single" w:sz="2" w:space="0" w:color="auto"/>
              <w:left w:val="single" w:sz="2" w:space="0" w:color="auto"/>
              <w:bottom w:val="single" w:sz="2" w:space="0" w:color="auto"/>
              <w:right w:val="single" w:sz="2" w:space="0" w:color="auto"/>
            </w:tcBorders>
            <w:vAlign w:val="center"/>
          </w:tcPr>
          <w:p w14:paraId="5BAEB4D4" w14:textId="77777777" w:rsidR="007B3DB2" w:rsidRPr="0063248C" w:rsidRDefault="00000000">
            <w:pPr>
              <w:spacing w:line="240" w:lineRule="exact"/>
              <w:jc w:val="right"/>
              <w:rPr>
                <w:rFonts w:cs="宋体"/>
                <w:sz w:val="18"/>
                <w:szCs w:val="18"/>
              </w:rPr>
            </w:pPr>
            <w:r w:rsidRPr="0063248C">
              <w:rPr>
                <w:rFonts w:cs="宋体"/>
                <w:sz w:val="18"/>
                <w:szCs w:val="18"/>
              </w:rPr>
              <w:t>4,290,167.50</w:t>
            </w:r>
          </w:p>
        </w:tc>
        <w:tc>
          <w:tcPr>
            <w:tcW w:w="1417" w:type="dxa"/>
            <w:tcBorders>
              <w:top w:val="single" w:sz="2" w:space="0" w:color="auto"/>
              <w:left w:val="single" w:sz="2" w:space="0" w:color="auto"/>
              <w:bottom w:val="single" w:sz="2" w:space="0" w:color="auto"/>
              <w:right w:val="single" w:sz="2" w:space="0" w:color="auto"/>
            </w:tcBorders>
            <w:vAlign w:val="center"/>
          </w:tcPr>
          <w:p w14:paraId="585C191B" w14:textId="77777777" w:rsidR="007B3DB2" w:rsidRPr="0063248C" w:rsidRDefault="00000000">
            <w:pPr>
              <w:spacing w:line="240" w:lineRule="exact"/>
              <w:jc w:val="right"/>
              <w:rPr>
                <w:rFonts w:cs="宋体"/>
                <w:sz w:val="18"/>
                <w:szCs w:val="18"/>
              </w:rPr>
            </w:pPr>
            <w:r w:rsidRPr="0063248C">
              <w:rPr>
                <w:rFonts w:cs="宋体"/>
                <w:sz w:val="18"/>
                <w:szCs w:val="18"/>
              </w:rPr>
              <w:t>77,676,015.06</w:t>
            </w:r>
          </w:p>
        </w:tc>
      </w:tr>
      <w:tr w:rsidR="007B3DB2" w:rsidRPr="0063248C" w14:paraId="5DCD3DB6"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C445359"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3E6E1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129D2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723ECD6"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48419766"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759ECBD"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FDBC97A" w14:textId="77777777" w:rsidR="007B3DB2" w:rsidRPr="0063248C" w:rsidRDefault="007B3DB2">
            <w:pPr>
              <w:spacing w:line="240" w:lineRule="exact"/>
              <w:jc w:val="right"/>
              <w:rPr>
                <w:rFonts w:cs="宋体"/>
                <w:sz w:val="18"/>
                <w:szCs w:val="18"/>
              </w:rPr>
            </w:pPr>
          </w:p>
        </w:tc>
      </w:tr>
      <w:tr w:rsidR="007B3DB2" w:rsidRPr="0063248C" w14:paraId="3E962E5B"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5C55AA4"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1F331228" w14:textId="77777777" w:rsidR="007B3DB2" w:rsidRPr="0063248C" w:rsidRDefault="00000000">
            <w:pPr>
              <w:spacing w:line="240" w:lineRule="exact"/>
              <w:jc w:val="right"/>
              <w:rPr>
                <w:rFonts w:cs="宋体"/>
                <w:sz w:val="18"/>
                <w:szCs w:val="18"/>
              </w:rPr>
            </w:pPr>
            <w:r w:rsidRPr="0063248C">
              <w:rPr>
                <w:rFonts w:cs="宋体"/>
                <w:sz w:val="18"/>
                <w:szCs w:val="18"/>
              </w:rPr>
              <w:t>45,969.74</w:t>
            </w:r>
          </w:p>
        </w:tc>
        <w:tc>
          <w:tcPr>
            <w:tcW w:w="1377" w:type="dxa"/>
            <w:tcBorders>
              <w:top w:val="single" w:sz="2" w:space="0" w:color="auto"/>
              <w:left w:val="single" w:sz="2" w:space="0" w:color="auto"/>
              <w:bottom w:val="single" w:sz="2" w:space="0" w:color="auto"/>
              <w:right w:val="single" w:sz="2" w:space="0" w:color="auto"/>
            </w:tcBorders>
            <w:vAlign w:val="center"/>
          </w:tcPr>
          <w:p w14:paraId="054C5470" w14:textId="77777777" w:rsidR="007B3DB2" w:rsidRPr="0063248C" w:rsidRDefault="00000000">
            <w:pPr>
              <w:spacing w:line="240" w:lineRule="exact"/>
              <w:jc w:val="right"/>
              <w:rPr>
                <w:rFonts w:cs="宋体"/>
                <w:sz w:val="18"/>
                <w:szCs w:val="18"/>
              </w:rPr>
            </w:pPr>
            <w:r w:rsidRPr="0063248C">
              <w:rPr>
                <w:rFonts w:cs="宋体"/>
                <w:sz w:val="18"/>
                <w:szCs w:val="18"/>
              </w:rPr>
              <w:t>1,957,030.72</w:t>
            </w:r>
          </w:p>
        </w:tc>
        <w:tc>
          <w:tcPr>
            <w:tcW w:w="1377" w:type="dxa"/>
            <w:tcBorders>
              <w:top w:val="single" w:sz="2" w:space="0" w:color="auto"/>
              <w:left w:val="single" w:sz="2" w:space="0" w:color="auto"/>
              <w:bottom w:val="single" w:sz="2" w:space="0" w:color="auto"/>
              <w:right w:val="single" w:sz="2" w:space="0" w:color="auto"/>
            </w:tcBorders>
            <w:vAlign w:val="center"/>
          </w:tcPr>
          <w:p w14:paraId="5C50003D" w14:textId="77777777" w:rsidR="007B3DB2" w:rsidRPr="0063248C" w:rsidRDefault="00000000">
            <w:pPr>
              <w:spacing w:line="240" w:lineRule="exact"/>
              <w:jc w:val="right"/>
              <w:rPr>
                <w:rFonts w:cs="宋体"/>
                <w:sz w:val="18"/>
                <w:szCs w:val="18"/>
              </w:rPr>
            </w:pPr>
            <w:r w:rsidRPr="0063248C">
              <w:rPr>
                <w:rFonts w:cs="宋体"/>
                <w:sz w:val="18"/>
                <w:szCs w:val="18"/>
              </w:rPr>
              <w:t>251,074.83</w:t>
            </w:r>
          </w:p>
        </w:tc>
        <w:tc>
          <w:tcPr>
            <w:tcW w:w="1296" w:type="dxa"/>
            <w:tcBorders>
              <w:top w:val="single" w:sz="2" w:space="0" w:color="auto"/>
              <w:left w:val="single" w:sz="2" w:space="0" w:color="auto"/>
              <w:bottom w:val="single" w:sz="2" w:space="0" w:color="auto"/>
              <w:right w:val="single" w:sz="2" w:space="0" w:color="auto"/>
            </w:tcBorders>
            <w:vAlign w:val="center"/>
          </w:tcPr>
          <w:p w14:paraId="0425FCCE" w14:textId="77777777" w:rsidR="007B3DB2" w:rsidRPr="0063248C" w:rsidRDefault="00000000">
            <w:pPr>
              <w:spacing w:line="240" w:lineRule="exact"/>
              <w:jc w:val="right"/>
              <w:rPr>
                <w:rFonts w:cs="宋体"/>
                <w:sz w:val="18"/>
                <w:szCs w:val="18"/>
              </w:rPr>
            </w:pPr>
            <w:r w:rsidRPr="0063248C">
              <w:rPr>
                <w:rFonts w:cs="宋体"/>
                <w:sz w:val="18"/>
                <w:szCs w:val="18"/>
              </w:rPr>
              <w:t>2,331,317.15</w:t>
            </w:r>
          </w:p>
        </w:tc>
        <w:tc>
          <w:tcPr>
            <w:tcW w:w="1418" w:type="dxa"/>
            <w:tcBorders>
              <w:top w:val="single" w:sz="2" w:space="0" w:color="auto"/>
              <w:left w:val="single" w:sz="2" w:space="0" w:color="auto"/>
              <w:bottom w:val="single" w:sz="2" w:space="0" w:color="auto"/>
              <w:right w:val="single" w:sz="2" w:space="0" w:color="auto"/>
            </w:tcBorders>
            <w:vAlign w:val="center"/>
          </w:tcPr>
          <w:p w14:paraId="406019BE" w14:textId="77777777" w:rsidR="007B3DB2" w:rsidRPr="0063248C" w:rsidRDefault="00000000">
            <w:pPr>
              <w:spacing w:line="240" w:lineRule="exact"/>
              <w:jc w:val="right"/>
              <w:rPr>
                <w:rFonts w:cs="宋体"/>
                <w:sz w:val="18"/>
                <w:szCs w:val="18"/>
              </w:rPr>
            </w:pPr>
            <w:r w:rsidRPr="0063248C">
              <w:rPr>
                <w:rFonts w:cs="宋体"/>
                <w:sz w:val="18"/>
                <w:szCs w:val="18"/>
              </w:rPr>
              <w:t>302,164.62</w:t>
            </w:r>
          </w:p>
        </w:tc>
        <w:tc>
          <w:tcPr>
            <w:tcW w:w="1417" w:type="dxa"/>
            <w:tcBorders>
              <w:top w:val="single" w:sz="2" w:space="0" w:color="auto"/>
              <w:left w:val="single" w:sz="2" w:space="0" w:color="auto"/>
              <w:bottom w:val="single" w:sz="2" w:space="0" w:color="auto"/>
              <w:right w:val="single" w:sz="2" w:space="0" w:color="auto"/>
            </w:tcBorders>
            <w:vAlign w:val="center"/>
          </w:tcPr>
          <w:p w14:paraId="41C85CA0" w14:textId="77777777" w:rsidR="007B3DB2" w:rsidRPr="0063248C" w:rsidRDefault="00000000">
            <w:pPr>
              <w:spacing w:line="240" w:lineRule="exact"/>
              <w:jc w:val="right"/>
              <w:rPr>
                <w:rFonts w:cs="宋体"/>
                <w:sz w:val="18"/>
                <w:szCs w:val="18"/>
              </w:rPr>
            </w:pPr>
            <w:r w:rsidRPr="0063248C">
              <w:rPr>
                <w:rFonts w:cs="宋体"/>
                <w:sz w:val="18"/>
                <w:szCs w:val="18"/>
              </w:rPr>
              <w:t>4,887,557.06</w:t>
            </w:r>
          </w:p>
        </w:tc>
      </w:tr>
      <w:tr w:rsidR="007B3DB2" w:rsidRPr="0063248C" w14:paraId="59197459"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7D36CC"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）处置或报废</w:t>
            </w:r>
          </w:p>
        </w:tc>
        <w:tc>
          <w:tcPr>
            <w:tcW w:w="1377" w:type="dxa"/>
            <w:tcBorders>
              <w:top w:val="single" w:sz="2" w:space="0" w:color="auto"/>
              <w:left w:val="single" w:sz="2" w:space="0" w:color="auto"/>
              <w:bottom w:val="single" w:sz="2" w:space="0" w:color="auto"/>
              <w:right w:val="single" w:sz="2" w:space="0" w:color="auto"/>
            </w:tcBorders>
            <w:vAlign w:val="center"/>
          </w:tcPr>
          <w:p w14:paraId="38ABEC8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9CD3C6" w14:textId="77777777" w:rsidR="007B3DB2" w:rsidRPr="0063248C" w:rsidRDefault="00000000">
            <w:pPr>
              <w:spacing w:line="240" w:lineRule="exact"/>
              <w:jc w:val="right"/>
              <w:rPr>
                <w:rFonts w:cs="宋体"/>
                <w:sz w:val="18"/>
                <w:szCs w:val="18"/>
              </w:rPr>
            </w:pPr>
            <w:r w:rsidRPr="0063248C">
              <w:rPr>
                <w:rFonts w:cs="宋体"/>
                <w:sz w:val="18"/>
                <w:szCs w:val="18"/>
              </w:rPr>
              <w:t>1,957,030.72</w:t>
            </w:r>
          </w:p>
        </w:tc>
        <w:tc>
          <w:tcPr>
            <w:tcW w:w="1377" w:type="dxa"/>
            <w:tcBorders>
              <w:top w:val="single" w:sz="2" w:space="0" w:color="auto"/>
              <w:left w:val="single" w:sz="2" w:space="0" w:color="auto"/>
              <w:bottom w:val="single" w:sz="2" w:space="0" w:color="auto"/>
              <w:right w:val="single" w:sz="2" w:space="0" w:color="auto"/>
            </w:tcBorders>
            <w:vAlign w:val="center"/>
          </w:tcPr>
          <w:p w14:paraId="397534A3" w14:textId="77777777" w:rsidR="007B3DB2" w:rsidRPr="0063248C" w:rsidRDefault="00000000">
            <w:pPr>
              <w:spacing w:line="240" w:lineRule="exact"/>
              <w:jc w:val="right"/>
              <w:rPr>
                <w:rFonts w:cs="宋体"/>
                <w:sz w:val="18"/>
                <w:szCs w:val="18"/>
              </w:rPr>
            </w:pPr>
            <w:r w:rsidRPr="0063248C">
              <w:rPr>
                <w:rFonts w:cs="宋体"/>
                <w:sz w:val="18"/>
                <w:szCs w:val="18"/>
              </w:rPr>
              <w:t>251,074.83</w:t>
            </w:r>
          </w:p>
        </w:tc>
        <w:tc>
          <w:tcPr>
            <w:tcW w:w="1296" w:type="dxa"/>
            <w:tcBorders>
              <w:top w:val="single" w:sz="2" w:space="0" w:color="auto"/>
              <w:left w:val="single" w:sz="2" w:space="0" w:color="auto"/>
              <w:bottom w:val="single" w:sz="2" w:space="0" w:color="auto"/>
              <w:right w:val="single" w:sz="2" w:space="0" w:color="auto"/>
            </w:tcBorders>
            <w:vAlign w:val="center"/>
          </w:tcPr>
          <w:p w14:paraId="607125A8" w14:textId="77777777" w:rsidR="007B3DB2" w:rsidRPr="0063248C" w:rsidRDefault="00000000">
            <w:pPr>
              <w:spacing w:line="240" w:lineRule="exact"/>
              <w:jc w:val="right"/>
              <w:rPr>
                <w:rFonts w:cs="宋体"/>
                <w:sz w:val="18"/>
                <w:szCs w:val="18"/>
              </w:rPr>
            </w:pPr>
            <w:r w:rsidRPr="0063248C">
              <w:rPr>
                <w:rFonts w:cs="宋体"/>
                <w:sz w:val="18"/>
                <w:szCs w:val="18"/>
              </w:rPr>
              <w:t>2,331,317.15</w:t>
            </w:r>
          </w:p>
        </w:tc>
        <w:tc>
          <w:tcPr>
            <w:tcW w:w="1418" w:type="dxa"/>
            <w:tcBorders>
              <w:top w:val="single" w:sz="2" w:space="0" w:color="auto"/>
              <w:left w:val="single" w:sz="2" w:space="0" w:color="auto"/>
              <w:bottom w:val="single" w:sz="2" w:space="0" w:color="auto"/>
              <w:right w:val="single" w:sz="2" w:space="0" w:color="auto"/>
            </w:tcBorders>
            <w:vAlign w:val="center"/>
          </w:tcPr>
          <w:p w14:paraId="6FBE9311" w14:textId="77777777" w:rsidR="007B3DB2" w:rsidRPr="0063248C" w:rsidRDefault="00000000">
            <w:pPr>
              <w:spacing w:line="240" w:lineRule="exact"/>
              <w:jc w:val="right"/>
              <w:rPr>
                <w:rFonts w:cs="宋体"/>
                <w:sz w:val="18"/>
                <w:szCs w:val="18"/>
              </w:rPr>
            </w:pPr>
            <w:r w:rsidRPr="0063248C">
              <w:rPr>
                <w:rFonts w:cs="宋体"/>
                <w:sz w:val="18"/>
                <w:szCs w:val="18"/>
              </w:rPr>
              <w:t>302,164.62</w:t>
            </w:r>
          </w:p>
        </w:tc>
        <w:tc>
          <w:tcPr>
            <w:tcW w:w="1417" w:type="dxa"/>
            <w:tcBorders>
              <w:top w:val="single" w:sz="2" w:space="0" w:color="auto"/>
              <w:left w:val="single" w:sz="2" w:space="0" w:color="auto"/>
              <w:bottom w:val="single" w:sz="2" w:space="0" w:color="auto"/>
              <w:right w:val="single" w:sz="2" w:space="0" w:color="auto"/>
            </w:tcBorders>
            <w:vAlign w:val="center"/>
          </w:tcPr>
          <w:p w14:paraId="7D1CE8BC" w14:textId="77777777" w:rsidR="007B3DB2" w:rsidRPr="0063248C" w:rsidRDefault="00000000">
            <w:pPr>
              <w:spacing w:line="240" w:lineRule="exact"/>
              <w:jc w:val="right"/>
              <w:rPr>
                <w:rFonts w:cs="宋体"/>
                <w:sz w:val="18"/>
                <w:szCs w:val="18"/>
              </w:rPr>
            </w:pPr>
            <w:r w:rsidRPr="0063248C">
              <w:rPr>
                <w:rFonts w:cs="宋体"/>
                <w:sz w:val="18"/>
                <w:szCs w:val="18"/>
              </w:rPr>
              <w:t>4,841,587.32</w:t>
            </w:r>
          </w:p>
        </w:tc>
      </w:tr>
      <w:tr w:rsidR="007B3DB2" w:rsidRPr="0063248C" w14:paraId="0C2EEA41"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0916481" w14:textId="77777777" w:rsidR="007B3DB2" w:rsidRPr="0063248C" w:rsidRDefault="00000000">
            <w:pPr>
              <w:spacing w:line="240" w:lineRule="exact"/>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）在建工程转入</w:t>
            </w:r>
          </w:p>
        </w:tc>
        <w:tc>
          <w:tcPr>
            <w:tcW w:w="1377" w:type="dxa"/>
            <w:tcBorders>
              <w:top w:val="single" w:sz="2" w:space="0" w:color="auto"/>
              <w:left w:val="single" w:sz="2" w:space="0" w:color="auto"/>
              <w:bottom w:val="single" w:sz="2" w:space="0" w:color="auto"/>
              <w:right w:val="single" w:sz="2" w:space="0" w:color="auto"/>
            </w:tcBorders>
            <w:vAlign w:val="center"/>
          </w:tcPr>
          <w:p w14:paraId="24C99177" w14:textId="77777777" w:rsidR="007B3DB2" w:rsidRPr="0063248C" w:rsidRDefault="00000000">
            <w:pPr>
              <w:spacing w:line="240" w:lineRule="exact"/>
              <w:jc w:val="right"/>
              <w:rPr>
                <w:rFonts w:cs="宋体"/>
                <w:sz w:val="18"/>
                <w:szCs w:val="18"/>
              </w:rPr>
            </w:pPr>
            <w:r w:rsidRPr="0063248C">
              <w:rPr>
                <w:rFonts w:cs="宋体"/>
                <w:sz w:val="18"/>
                <w:szCs w:val="18"/>
              </w:rPr>
              <w:t>45,969.74</w:t>
            </w:r>
          </w:p>
        </w:tc>
        <w:tc>
          <w:tcPr>
            <w:tcW w:w="1377" w:type="dxa"/>
            <w:tcBorders>
              <w:top w:val="single" w:sz="2" w:space="0" w:color="auto"/>
              <w:left w:val="single" w:sz="2" w:space="0" w:color="auto"/>
              <w:bottom w:val="single" w:sz="2" w:space="0" w:color="auto"/>
              <w:right w:val="single" w:sz="2" w:space="0" w:color="auto"/>
            </w:tcBorders>
            <w:vAlign w:val="center"/>
          </w:tcPr>
          <w:p w14:paraId="63DE4B9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068CA9"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304F2110"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6B42B57"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8EFA237" w14:textId="77777777" w:rsidR="007B3DB2" w:rsidRPr="0063248C" w:rsidRDefault="00000000">
            <w:pPr>
              <w:spacing w:line="240" w:lineRule="exact"/>
              <w:jc w:val="right"/>
              <w:rPr>
                <w:rFonts w:cs="宋体"/>
                <w:sz w:val="18"/>
                <w:szCs w:val="18"/>
              </w:rPr>
            </w:pPr>
            <w:r w:rsidRPr="0063248C">
              <w:rPr>
                <w:rFonts w:cs="宋体"/>
                <w:sz w:val="18"/>
                <w:szCs w:val="18"/>
              </w:rPr>
              <w:t>45,969.74</w:t>
            </w:r>
          </w:p>
        </w:tc>
      </w:tr>
      <w:tr w:rsidR="007B3DB2" w:rsidRPr="0063248C" w14:paraId="16F55FFE"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EDD8405"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131EADCD" w14:textId="77777777" w:rsidR="007B3DB2" w:rsidRPr="0063248C" w:rsidRDefault="00000000">
            <w:pPr>
              <w:spacing w:line="240" w:lineRule="exact"/>
              <w:jc w:val="right"/>
              <w:rPr>
                <w:rFonts w:cs="宋体"/>
                <w:sz w:val="18"/>
                <w:szCs w:val="18"/>
              </w:rPr>
            </w:pPr>
            <w:r w:rsidRPr="0063248C">
              <w:rPr>
                <w:rFonts w:cs="宋体"/>
                <w:sz w:val="18"/>
                <w:szCs w:val="18"/>
              </w:rPr>
              <w:t>419,536,989.64</w:t>
            </w:r>
          </w:p>
        </w:tc>
        <w:tc>
          <w:tcPr>
            <w:tcW w:w="1377" w:type="dxa"/>
            <w:tcBorders>
              <w:top w:val="single" w:sz="2" w:space="0" w:color="auto"/>
              <w:left w:val="single" w:sz="2" w:space="0" w:color="auto"/>
              <w:bottom w:val="single" w:sz="2" w:space="0" w:color="auto"/>
              <w:right w:val="single" w:sz="2" w:space="0" w:color="auto"/>
            </w:tcBorders>
            <w:vAlign w:val="center"/>
          </w:tcPr>
          <w:p w14:paraId="1AFE603A" w14:textId="77777777" w:rsidR="007B3DB2" w:rsidRPr="0063248C" w:rsidRDefault="00000000">
            <w:pPr>
              <w:spacing w:line="240" w:lineRule="exact"/>
              <w:jc w:val="right"/>
              <w:rPr>
                <w:rFonts w:cs="宋体"/>
                <w:sz w:val="18"/>
                <w:szCs w:val="18"/>
              </w:rPr>
            </w:pPr>
            <w:r w:rsidRPr="0063248C">
              <w:rPr>
                <w:rFonts w:cs="宋体"/>
                <w:sz w:val="18"/>
                <w:szCs w:val="18"/>
              </w:rPr>
              <w:t>452,280,373.91</w:t>
            </w:r>
          </w:p>
        </w:tc>
        <w:tc>
          <w:tcPr>
            <w:tcW w:w="1377" w:type="dxa"/>
            <w:tcBorders>
              <w:top w:val="single" w:sz="2" w:space="0" w:color="auto"/>
              <w:left w:val="single" w:sz="2" w:space="0" w:color="auto"/>
              <w:bottom w:val="single" w:sz="2" w:space="0" w:color="auto"/>
              <w:right w:val="single" w:sz="2" w:space="0" w:color="auto"/>
            </w:tcBorders>
            <w:vAlign w:val="center"/>
          </w:tcPr>
          <w:p w14:paraId="2BBE40E0" w14:textId="77777777" w:rsidR="007B3DB2" w:rsidRPr="0063248C" w:rsidRDefault="00000000">
            <w:pPr>
              <w:spacing w:line="240" w:lineRule="exact"/>
              <w:jc w:val="right"/>
              <w:rPr>
                <w:rFonts w:cs="宋体"/>
                <w:sz w:val="18"/>
                <w:szCs w:val="18"/>
              </w:rPr>
            </w:pPr>
            <w:r w:rsidRPr="0063248C">
              <w:rPr>
                <w:rFonts w:cs="宋体"/>
                <w:sz w:val="18"/>
                <w:szCs w:val="18"/>
              </w:rPr>
              <w:t>39,659,116.83</w:t>
            </w:r>
          </w:p>
        </w:tc>
        <w:tc>
          <w:tcPr>
            <w:tcW w:w="1296" w:type="dxa"/>
            <w:tcBorders>
              <w:top w:val="single" w:sz="2" w:space="0" w:color="auto"/>
              <w:left w:val="single" w:sz="2" w:space="0" w:color="auto"/>
              <w:bottom w:val="single" w:sz="2" w:space="0" w:color="auto"/>
              <w:right w:val="single" w:sz="2" w:space="0" w:color="auto"/>
            </w:tcBorders>
            <w:vAlign w:val="center"/>
          </w:tcPr>
          <w:p w14:paraId="3CCBA6DE" w14:textId="77777777" w:rsidR="007B3DB2" w:rsidRPr="0063248C" w:rsidRDefault="00000000">
            <w:pPr>
              <w:spacing w:line="240" w:lineRule="exact"/>
              <w:jc w:val="right"/>
              <w:rPr>
                <w:rFonts w:cs="宋体"/>
                <w:sz w:val="18"/>
                <w:szCs w:val="18"/>
              </w:rPr>
            </w:pPr>
            <w:r w:rsidRPr="0063248C">
              <w:rPr>
                <w:rFonts w:cs="宋体"/>
                <w:sz w:val="18"/>
                <w:szCs w:val="18"/>
              </w:rPr>
              <w:t>26,442,677.93</w:t>
            </w:r>
          </w:p>
        </w:tc>
        <w:tc>
          <w:tcPr>
            <w:tcW w:w="1418" w:type="dxa"/>
            <w:tcBorders>
              <w:top w:val="single" w:sz="2" w:space="0" w:color="auto"/>
              <w:left w:val="single" w:sz="2" w:space="0" w:color="auto"/>
              <w:bottom w:val="single" w:sz="2" w:space="0" w:color="auto"/>
              <w:right w:val="single" w:sz="2" w:space="0" w:color="auto"/>
            </w:tcBorders>
            <w:vAlign w:val="center"/>
          </w:tcPr>
          <w:p w14:paraId="6BCD7627" w14:textId="77777777" w:rsidR="007B3DB2" w:rsidRPr="0063248C" w:rsidRDefault="00000000">
            <w:pPr>
              <w:spacing w:line="240" w:lineRule="exact"/>
              <w:jc w:val="right"/>
              <w:rPr>
                <w:rFonts w:cs="宋体"/>
                <w:sz w:val="18"/>
                <w:szCs w:val="18"/>
              </w:rPr>
            </w:pPr>
            <w:r w:rsidRPr="0063248C">
              <w:rPr>
                <w:rFonts w:cs="宋体"/>
                <w:sz w:val="18"/>
                <w:szCs w:val="18"/>
              </w:rPr>
              <w:t>55,772,174.50</w:t>
            </w:r>
          </w:p>
        </w:tc>
        <w:tc>
          <w:tcPr>
            <w:tcW w:w="1417" w:type="dxa"/>
            <w:tcBorders>
              <w:top w:val="single" w:sz="2" w:space="0" w:color="auto"/>
              <w:left w:val="single" w:sz="2" w:space="0" w:color="auto"/>
              <w:bottom w:val="single" w:sz="2" w:space="0" w:color="auto"/>
              <w:right w:val="single" w:sz="2" w:space="0" w:color="auto"/>
            </w:tcBorders>
            <w:vAlign w:val="center"/>
          </w:tcPr>
          <w:p w14:paraId="443A9866" w14:textId="77777777" w:rsidR="007B3DB2" w:rsidRPr="0063248C" w:rsidRDefault="00000000">
            <w:pPr>
              <w:spacing w:line="240" w:lineRule="exact"/>
              <w:jc w:val="right"/>
              <w:rPr>
                <w:rFonts w:cs="宋体"/>
                <w:sz w:val="18"/>
                <w:szCs w:val="18"/>
              </w:rPr>
            </w:pPr>
            <w:r w:rsidRPr="0063248C">
              <w:rPr>
                <w:rFonts w:cs="宋体"/>
                <w:sz w:val="18"/>
                <w:szCs w:val="18"/>
              </w:rPr>
              <w:t>993,691,332.81</w:t>
            </w:r>
          </w:p>
        </w:tc>
      </w:tr>
      <w:tr w:rsidR="007B3DB2" w:rsidRPr="0063248C" w14:paraId="33A640A4"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E704C11" w14:textId="77777777" w:rsidR="007B3DB2" w:rsidRPr="0063248C" w:rsidRDefault="00000000">
            <w:pPr>
              <w:spacing w:before="40" w:after="40" w:line="240" w:lineRule="exact"/>
              <w:rPr>
                <w:rFonts w:cs="宋体"/>
                <w:sz w:val="18"/>
                <w:szCs w:val="18"/>
              </w:rPr>
            </w:pPr>
            <w:r w:rsidRPr="0063248C">
              <w:rPr>
                <w:rFonts w:cs="宋体"/>
                <w:sz w:val="18"/>
                <w:szCs w:val="18"/>
              </w:rPr>
              <w:t>三、减值准备</w:t>
            </w:r>
          </w:p>
        </w:tc>
        <w:tc>
          <w:tcPr>
            <w:tcW w:w="1377" w:type="dxa"/>
            <w:tcBorders>
              <w:top w:val="single" w:sz="2" w:space="0" w:color="auto"/>
              <w:left w:val="single" w:sz="2" w:space="0" w:color="auto"/>
              <w:bottom w:val="single" w:sz="2" w:space="0" w:color="auto"/>
              <w:right w:val="single" w:sz="2" w:space="0" w:color="auto"/>
            </w:tcBorders>
            <w:vAlign w:val="center"/>
          </w:tcPr>
          <w:p w14:paraId="15231C3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FF37D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0EDBC0"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75110CB8"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A21E2FC"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10DA600" w14:textId="77777777" w:rsidR="007B3DB2" w:rsidRPr="0063248C" w:rsidRDefault="007B3DB2">
            <w:pPr>
              <w:spacing w:line="240" w:lineRule="exact"/>
              <w:jc w:val="right"/>
              <w:rPr>
                <w:rFonts w:cs="宋体"/>
                <w:sz w:val="18"/>
                <w:szCs w:val="18"/>
              </w:rPr>
            </w:pPr>
          </w:p>
        </w:tc>
      </w:tr>
      <w:tr w:rsidR="007B3DB2" w:rsidRPr="0063248C" w14:paraId="1422B3A5"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C0AAA20"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lastRenderedPageBreak/>
              <w:t>1.</w:t>
            </w:r>
            <w:r w:rsidRPr="0063248C">
              <w:rPr>
                <w:rFonts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102D393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1F981B3" w14:textId="77777777" w:rsidR="007B3DB2" w:rsidRPr="0063248C" w:rsidRDefault="00000000">
            <w:pPr>
              <w:spacing w:line="240" w:lineRule="exact"/>
              <w:jc w:val="right"/>
              <w:rPr>
                <w:rFonts w:cs="宋体"/>
                <w:sz w:val="18"/>
                <w:szCs w:val="18"/>
              </w:rPr>
            </w:pPr>
            <w:r w:rsidRPr="0063248C">
              <w:rPr>
                <w:rFonts w:cs="宋体"/>
                <w:sz w:val="18"/>
                <w:szCs w:val="18"/>
              </w:rPr>
              <w:t>1,042,863.08</w:t>
            </w:r>
          </w:p>
        </w:tc>
        <w:tc>
          <w:tcPr>
            <w:tcW w:w="1377" w:type="dxa"/>
            <w:tcBorders>
              <w:top w:val="single" w:sz="2" w:space="0" w:color="auto"/>
              <w:left w:val="single" w:sz="2" w:space="0" w:color="auto"/>
              <w:bottom w:val="single" w:sz="2" w:space="0" w:color="auto"/>
              <w:right w:val="single" w:sz="2" w:space="0" w:color="auto"/>
            </w:tcBorders>
            <w:vAlign w:val="center"/>
          </w:tcPr>
          <w:p w14:paraId="4BF16DC5" w14:textId="77777777" w:rsidR="007B3DB2" w:rsidRPr="0063248C" w:rsidRDefault="00000000">
            <w:pPr>
              <w:spacing w:line="240" w:lineRule="exact"/>
              <w:jc w:val="right"/>
              <w:rPr>
                <w:rFonts w:cs="宋体"/>
                <w:sz w:val="18"/>
                <w:szCs w:val="18"/>
              </w:rPr>
            </w:pPr>
            <w:r w:rsidRPr="0063248C">
              <w:rPr>
                <w:rFonts w:cs="宋体"/>
                <w:sz w:val="18"/>
                <w:szCs w:val="18"/>
              </w:rPr>
              <w:t>18,326.22</w:t>
            </w:r>
          </w:p>
        </w:tc>
        <w:tc>
          <w:tcPr>
            <w:tcW w:w="1296" w:type="dxa"/>
            <w:tcBorders>
              <w:top w:val="single" w:sz="2" w:space="0" w:color="auto"/>
              <w:left w:val="single" w:sz="2" w:space="0" w:color="auto"/>
              <w:bottom w:val="single" w:sz="2" w:space="0" w:color="auto"/>
              <w:right w:val="single" w:sz="2" w:space="0" w:color="auto"/>
            </w:tcBorders>
            <w:vAlign w:val="center"/>
          </w:tcPr>
          <w:p w14:paraId="080CEBD2" w14:textId="77777777" w:rsidR="007B3DB2" w:rsidRPr="0063248C" w:rsidRDefault="00000000">
            <w:pPr>
              <w:spacing w:line="240" w:lineRule="exact"/>
              <w:jc w:val="right"/>
              <w:rPr>
                <w:rFonts w:cs="宋体"/>
                <w:sz w:val="18"/>
                <w:szCs w:val="18"/>
              </w:rPr>
            </w:pPr>
            <w:r w:rsidRPr="0063248C">
              <w:rPr>
                <w:rFonts w:cs="宋体"/>
                <w:sz w:val="18"/>
                <w:szCs w:val="18"/>
              </w:rPr>
              <w:t>63,289.01</w:t>
            </w:r>
          </w:p>
        </w:tc>
        <w:tc>
          <w:tcPr>
            <w:tcW w:w="1418" w:type="dxa"/>
            <w:tcBorders>
              <w:top w:val="single" w:sz="2" w:space="0" w:color="auto"/>
              <w:left w:val="single" w:sz="2" w:space="0" w:color="auto"/>
              <w:bottom w:val="single" w:sz="2" w:space="0" w:color="auto"/>
              <w:right w:val="single" w:sz="2" w:space="0" w:color="auto"/>
            </w:tcBorders>
            <w:vAlign w:val="center"/>
          </w:tcPr>
          <w:p w14:paraId="72BF952D" w14:textId="77777777" w:rsidR="007B3DB2" w:rsidRPr="0063248C" w:rsidRDefault="00000000">
            <w:pPr>
              <w:spacing w:line="240" w:lineRule="exact"/>
              <w:jc w:val="right"/>
              <w:rPr>
                <w:rFonts w:cs="宋体"/>
                <w:sz w:val="18"/>
                <w:szCs w:val="18"/>
              </w:rPr>
            </w:pPr>
            <w:r w:rsidRPr="0063248C">
              <w:rPr>
                <w:rFonts w:cs="宋体"/>
                <w:sz w:val="18"/>
                <w:szCs w:val="18"/>
              </w:rPr>
              <w:t>138,658.26</w:t>
            </w:r>
          </w:p>
        </w:tc>
        <w:tc>
          <w:tcPr>
            <w:tcW w:w="1417" w:type="dxa"/>
            <w:tcBorders>
              <w:top w:val="single" w:sz="2" w:space="0" w:color="auto"/>
              <w:left w:val="single" w:sz="2" w:space="0" w:color="auto"/>
              <w:bottom w:val="single" w:sz="2" w:space="0" w:color="auto"/>
              <w:right w:val="single" w:sz="2" w:space="0" w:color="auto"/>
            </w:tcBorders>
            <w:vAlign w:val="center"/>
          </w:tcPr>
          <w:p w14:paraId="3ACAE0E6" w14:textId="77777777" w:rsidR="007B3DB2" w:rsidRPr="0063248C" w:rsidRDefault="00000000">
            <w:pPr>
              <w:spacing w:line="240" w:lineRule="exact"/>
              <w:jc w:val="right"/>
              <w:rPr>
                <w:rFonts w:cs="宋体"/>
                <w:sz w:val="18"/>
                <w:szCs w:val="18"/>
              </w:rPr>
            </w:pPr>
            <w:r w:rsidRPr="0063248C">
              <w:rPr>
                <w:rFonts w:cs="宋体"/>
                <w:sz w:val="18"/>
                <w:szCs w:val="18"/>
              </w:rPr>
              <w:t>1,263,136.57</w:t>
            </w:r>
          </w:p>
        </w:tc>
      </w:tr>
      <w:tr w:rsidR="007B3DB2" w:rsidRPr="0063248C" w14:paraId="59CB91F7"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2527D7D"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01A4CEE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AA200A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00023A"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2F623E34"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6F92BE4"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015A79B" w14:textId="77777777" w:rsidR="007B3DB2" w:rsidRPr="0063248C" w:rsidRDefault="007B3DB2">
            <w:pPr>
              <w:spacing w:line="240" w:lineRule="exact"/>
              <w:jc w:val="right"/>
              <w:rPr>
                <w:rFonts w:cs="宋体"/>
                <w:sz w:val="18"/>
                <w:szCs w:val="18"/>
              </w:rPr>
            </w:pPr>
          </w:p>
        </w:tc>
      </w:tr>
      <w:tr w:rsidR="007B3DB2" w:rsidRPr="0063248C" w14:paraId="7C9B6ACE"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1AB9475"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5E6B514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19E58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87A351"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00913F82"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F3E12F9"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B6AD5DD" w14:textId="77777777" w:rsidR="007B3DB2" w:rsidRPr="0063248C" w:rsidRDefault="007B3DB2">
            <w:pPr>
              <w:spacing w:line="240" w:lineRule="exact"/>
              <w:jc w:val="right"/>
              <w:rPr>
                <w:rFonts w:cs="宋体"/>
                <w:sz w:val="18"/>
                <w:szCs w:val="18"/>
              </w:rPr>
            </w:pPr>
          </w:p>
        </w:tc>
      </w:tr>
      <w:tr w:rsidR="007B3DB2" w:rsidRPr="0063248C" w14:paraId="3F3F59D2"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15D53D9"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66A52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DA32E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E016DF"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38DA3703"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67D4B4D"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FBEA150" w14:textId="77777777" w:rsidR="007B3DB2" w:rsidRPr="0063248C" w:rsidRDefault="007B3DB2">
            <w:pPr>
              <w:spacing w:line="240" w:lineRule="exact"/>
              <w:jc w:val="right"/>
              <w:rPr>
                <w:rFonts w:cs="宋体"/>
                <w:sz w:val="18"/>
                <w:szCs w:val="18"/>
              </w:rPr>
            </w:pPr>
          </w:p>
        </w:tc>
      </w:tr>
      <w:tr w:rsidR="007B3DB2" w:rsidRPr="0063248C" w14:paraId="4CA35ACE"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C65AC5F"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6392A59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E8172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CC3570"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722AEB77"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3983601"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15CB548" w14:textId="77777777" w:rsidR="007B3DB2" w:rsidRPr="0063248C" w:rsidRDefault="007B3DB2">
            <w:pPr>
              <w:spacing w:line="240" w:lineRule="exact"/>
              <w:jc w:val="right"/>
              <w:rPr>
                <w:rFonts w:cs="宋体"/>
                <w:sz w:val="18"/>
                <w:szCs w:val="18"/>
              </w:rPr>
            </w:pPr>
          </w:p>
        </w:tc>
      </w:tr>
      <w:tr w:rsidR="007B3DB2" w:rsidRPr="0063248C" w14:paraId="7BE41661"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1DF6DE6"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）处置或报废</w:t>
            </w:r>
          </w:p>
        </w:tc>
        <w:tc>
          <w:tcPr>
            <w:tcW w:w="1377" w:type="dxa"/>
            <w:tcBorders>
              <w:top w:val="single" w:sz="2" w:space="0" w:color="auto"/>
              <w:left w:val="single" w:sz="2" w:space="0" w:color="auto"/>
              <w:bottom w:val="single" w:sz="2" w:space="0" w:color="auto"/>
              <w:right w:val="single" w:sz="2" w:space="0" w:color="auto"/>
            </w:tcBorders>
            <w:vAlign w:val="center"/>
          </w:tcPr>
          <w:p w14:paraId="6387DAF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DE7D10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149F1B2"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3CCA2DE1"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34EE017"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3F7938A" w14:textId="77777777" w:rsidR="007B3DB2" w:rsidRPr="0063248C" w:rsidRDefault="007B3DB2">
            <w:pPr>
              <w:spacing w:line="240" w:lineRule="exact"/>
              <w:jc w:val="right"/>
              <w:rPr>
                <w:rFonts w:cs="宋体"/>
                <w:sz w:val="18"/>
                <w:szCs w:val="18"/>
              </w:rPr>
            </w:pPr>
          </w:p>
        </w:tc>
      </w:tr>
      <w:tr w:rsidR="007B3DB2" w:rsidRPr="0063248C" w14:paraId="030200AB"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83B942D"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B075D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A482F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40B50A"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536E17C6"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192EA49"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C32C6D0" w14:textId="77777777" w:rsidR="007B3DB2" w:rsidRPr="0063248C" w:rsidRDefault="007B3DB2">
            <w:pPr>
              <w:spacing w:line="240" w:lineRule="exact"/>
              <w:jc w:val="right"/>
              <w:rPr>
                <w:rFonts w:cs="宋体"/>
                <w:sz w:val="18"/>
                <w:szCs w:val="18"/>
              </w:rPr>
            </w:pPr>
          </w:p>
        </w:tc>
      </w:tr>
      <w:tr w:rsidR="007B3DB2" w:rsidRPr="0063248C" w14:paraId="0956F8F9"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EE05132"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7E97EA6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07FF95" w14:textId="77777777" w:rsidR="007B3DB2" w:rsidRPr="0063248C" w:rsidRDefault="00000000">
            <w:pPr>
              <w:spacing w:line="240" w:lineRule="exact"/>
              <w:jc w:val="right"/>
              <w:rPr>
                <w:rFonts w:cs="宋体"/>
                <w:sz w:val="18"/>
                <w:szCs w:val="18"/>
              </w:rPr>
            </w:pPr>
            <w:r w:rsidRPr="0063248C">
              <w:rPr>
                <w:rFonts w:cs="宋体"/>
                <w:sz w:val="18"/>
                <w:szCs w:val="18"/>
              </w:rPr>
              <w:t>1,042,863.08</w:t>
            </w:r>
          </w:p>
        </w:tc>
        <w:tc>
          <w:tcPr>
            <w:tcW w:w="1377" w:type="dxa"/>
            <w:tcBorders>
              <w:top w:val="single" w:sz="2" w:space="0" w:color="auto"/>
              <w:left w:val="single" w:sz="2" w:space="0" w:color="auto"/>
              <w:bottom w:val="single" w:sz="2" w:space="0" w:color="auto"/>
              <w:right w:val="single" w:sz="2" w:space="0" w:color="auto"/>
            </w:tcBorders>
            <w:vAlign w:val="center"/>
          </w:tcPr>
          <w:p w14:paraId="3EE4B758" w14:textId="77777777" w:rsidR="007B3DB2" w:rsidRPr="0063248C" w:rsidRDefault="00000000">
            <w:pPr>
              <w:spacing w:line="240" w:lineRule="exact"/>
              <w:jc w:val="right"/>
              <w:rPr>
                <w:rFonts w:cs="宋体"/>
                <w:sz w:val="18"/>
                <w:szCs w:val="18"/>
              </w:rPr>
            </w:pPr>
            <w:r w:rsidRPr="0063248C">
              <w:rPr>
                <w:rFonts w:cs="宋体"/>
                <w:sz w:val="18"/>
                <w:szCs w:val="18"/>
              </w:rPr>
              <w:t>18,326.22</w:t>
            </w:r>
          </w:p>
        </w:tc>
        <w:tc>
          <w:tcPr>
            <w:tcW w:w="1296" w:type="dxa"/>
            <w:tcBorders>
              <w:top w:val="single" w:sz="2" w:space="0" w:color="auto"/>
              <w:left w:val="single" w:sz="2" w:space="0" w:color="auto"/>
              <w:bottom w:val="single" w:sz="2" w:space="0" w:color="auto"/>
              <w:right w:val="single" w:sz="2" w:space="0" w:color="auto"/>
            </w:tcBorders>
            <w:vAlign w:val="center"/>
          </w:tcPr>
          <w:p w14:paraId="675A77FE" w14:textId="77777777" w:rsidR="007B3DB2" w:rsidRPr="0063248C" w:rsidRDefault="00000000">
            <w:pPr>
              <w:spacing w:line="240" w:lineRule="exact"/>
              <w:jc w:val="right"/>
              <w:rPr>
                <w:rFonts w:cs="宋体"/>
                <w:sz w:val="18"/>
                <w:szCs w:val="18"/>
              </w:rPr>
            </w:pPr>
            <w:r w:rsidRPr="0063248C">
              <w:rPr>
                <w:rFonts w:cs="宋体"/>
                <w:sz w:val="18"/>
                <w:szCs w:val="18"/>
              </w:rPr>
              <w:t>63,289.01</w:t>
            </w:r>
          </w:p>
        </w:tc>
        <w:tc>
          <w:tcPr>
            <w:tcW w:w="1418" w:type="dxa"/>
            <w:tcBorders>
              <w:top w:val="single" w:sz="2" w:space="0" w:color="auto"/>
              <w:left w:val="single" w:sz="2" w:space="0" w:color="auto"/>
              <w:bottom w:val="single" w:sz="2" w:space="0" w:color="auto"/>
              <w:right w:val="single" w:sz="2" w:space="0" w:color="auto"/>
            </w:tcBorders>
            <w:vAlign w:val="center"/>
          </w:tcPr>
          <w:p w14:paraId="14BA40FD" w14:textId="77777777" w:rsidR="007B3DB2" w:rsidRPr="0063248C" w:rsidRDefault="00000000">
            <w:pPr>
              <w:spacing w:line="240" w:lineRule="exact"/>
              <w:jc w:val="right"/>
              <w:rPr>
                <w:rFonts w:cs="宋体"/>
                <w:sz w:val="18"/>
                <w:szCs w:val="18"/>
              </w:rPr>
            </w:pPr>
            <w:r w:rsidRPr="0063248C">
              <w:rPr>
                <w:rFonts w:cs="宋体"/>
                <w:sz w:val="18"/>
                <w:szCs w:val="18"/>
              </w:rPr>
              <w:t>138,658.26</w:t>
            </w:r>
          </w:p>
        </w:tc>
        <w:tc>
          <w:tcPr>
            <w:tcW w:w="1417" w:type="dxa"/>
            <w:tcBorders>
              <w:top w:val="single" w:sz="2" w:space="0" w:color="auto"/>
              <w:left w:val="single" w:sz="2" w:space="0" w:color="auto"/>
              <w:bottom w:val="single" w:sz="2" w:space="0" w:color="auto"/>
              <w:right w:val="single" w:sz="2" w:space="0" w:color="auto"/>
            </w:tcBorders>
            <w:vAlign w:val="center"/>
          </w:tcPr>
          <w:p w14:paraId="485BEB19" w14:textId="77777777" w:rsidR="007B3DB2" w:rsidRPr="0063248C" w:rsidRDefault="00000000">
            <w:pPr>
              <w:spacing w:line="240" w:lineRule="exact"/>
              <w:jc w:val="right"/>
              <w:rPr>
                <w:rFonts w:cs="宋体"/>
                <w:sz w:val="18"/>
                <w:szCs w:val="18"/>
              </w:rPr>
            </w:pPr>
            <w:r w:rsidRPr="0063248C">
              <w:rPr>
                <w:rFonts w:cs="宋体"/>
                <w:sz w:val="18"/>
                <w:szCs w:val="18"/>
              </w:rPr>
              <w:t>1,263,136.57</w:t>
            </w:r>
          </w:p>
        </w:tc>
      </w:tr>
      <w:tr w:rsidR="007B3DB2" w:rsidRPr="0063248C" w14:paraId="564E0FC1"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89A2898" w14:textId="77777777" w:rsidR="007B3DB2" w:rsidRPr="0063248C" w:rsidRDefault="00000000">
            <w:pPr>
              <w:spacing w:before="40" w:after="40" w:line="240" w:lineRule="exact"/>
              <w:rPr>
                <w:rFonts w:cs="宋体"/>
                <w:sz w:val="18"/>
                <w:szCs w:val="18"/>
              </w:rPr>
            </w:pPr>
            <w:r w:rsidRPr="0063248C">
              <w:rPr>
                <w:rFonts w:cs="宋体"/>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7D143BA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40D60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6071B0" w14:textId="77777777" w:rsidR="007B3DB2" w:rsidRPr="0063248C" w:rsidRDefault="007B3DB2">
            <w:pPr>
              <w:spacing w:line="240" w:lineRule="exact"/>
              <w:jc w:val="right"/>
              <w:rPr>
                <w:rFonts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44F632EC" w14:textId="77777777" w:rsidR="007B3DB2" w:rsidRPr="0063248C" w:rsidRDefault="007B3DB2">
            <w:pPr>
              <w:spacing w:line="240" w:lineRule="exact"/>
              <w:jc w:val="right"/>
              <w:rPr>
                <w:rFonts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40C543D"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8086D18" w14:textId="77777777" w:rsidR="007B3DB2" w:rsidRPr="0063248C" w:rsidRDefault="007B3DB2">
            <w:pPr>
              <w:spacing w:line="240" w:lineRule="exact"/>
              <w:jc w:val="right"/>
              <w:rPr>
                <w:rFonts w:cs="宋体"/>
                <w:sz w:val="18"/>
                <w:szCs w:val="18"/>
              </w:rPr>
            </w:pPr>
          </w:p>
        </w:tc>
      </w:tr>
      <w:tr w:rsidR="007B3DB2" w:rsidRPr="0063248C" w14:paraId="3C36463D"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BBF3762"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期末账面价值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41BC5D07" w14:textId="77777777" w:rsidR="007B3DB2" w:rsidRPr="0063248C" w:rsidRDefault="00000000">
            <w:pPr>
              <w:spacing w:line="240" w:lineRule="exact"/>
              <w:jc w:val="right"/>
              <w:rPr>
                <w:rFonts w:cs="宋体"/>
                <w:sz w:val="18"/>
                <w:szCs w:val="18"/>
              </w:rPr>
            </w:pPr>
            <w:r w:rsidRPr="0063248C">
              <w:rPr>
                <w:rFonts w:cs="宋体"/>
                <w:sz w:val="18"/>
                <w:szCs w:val="18"/>
              </w:rPr>
              <w:t>1,218,242,265.62</w:t>
            </w:r>
          </w:p>
        </w:tc>
        <w:tc>
          <w:tcPr>
            <w:tcW w:w="1377" w:type="dxa"/>
            <w:tcBorders>
              <w:top w:val="single" w:sz="2" w:space="0" w:color="auto"/>
              <w:left w:val="single" w:sz="2" w:space="0" w:color="auto"/>
              <w:bottom w:val="single" w:sz="2" w:space="0" w:color="auto"/>
              <w:right w:val="single" w:sz="2" w:space="0" w:color="auto"/>
            </w:tcBorders>
            <w:vAlign w:val="center"/>
          </w:tcPr>
          <w:p w14:paraId="7249B8BF" w14:textId="77777777" w:rsidR="007B3DB2" w:rsidRPr="0063248C" w:rsidRDefault="00000000">
            <w:pPr>
              <w:spacing w:line="240" w:lineRule="exact"/>
              <w:jc w:val="right"/>
              <w:rPr>
                <w:rFonts w:cs="宋体"/>
                <w:sz w:val="18"/>
                <w:szCs w:val="18"/>
              </w:rPr>
            </w:pPr>
            <w:r w:rsidRPr="0063248C">
              <w:rPr>
                <w:rFonts w:cs="宋体"/>
                <w:sz w:val="18"/>
                <w:szCs w:val="18"/>
              </w:rPr>
              <w:t>448,255,216.83</w:t>
            </w:r>
          </w:p>
        </w:tc>
        <w:tc>
          <w:tcPr>
            <w:tcW w:w="1377" w:type="dxa"/>
            <w:tcBorders>
              <w:top w:val="single" w:sz="2" w:space="0" w:color="auto"/>
              <w:left w:val="single" w:sz="2" w:space="0" w:color="auto"/>
              <w:bottom w:val="single" w:sz="2" w:space="0" w:color="auto"/>
              <w:right w:val="single" w:sz="2" w:space="0" w:color="auto"/>
            </w:tcBorders>
            <w:vAlign w:val="center"/>
          </w:tcPr>
          <w:p w14:paraId="1141641C" w14:textId="77777777" w:rsidR="007B3DB2" w:rsidRPr="0063248C" w:rsidRDefault="00000000">
            <w:pPr>
              <w:spacing w:line="240" w:lineRule="exact"/>
              <w:jc w:val="right"/>
              <w:rPr>
                <w:rFonts w:cs="宋体"/>
                <w:sz w:val="18"/>
                <w:szCs w:val="18"/>
              </w:rPr>
            </w:pPr>
            <w:r w:rsidRPr="0063248C">
              <w:rPr>
                <w:rFonts w:cs="宋体"/>
                <w:sz w:val="18"/>
                <w:szCs w:val="18"/>
              </w:rPr>
              <w:t>7,686,549.63</w:t>
            </w:r>
          </w:p>
        </w:tc>
        <w:tc>
          <w:tcPr>
            <w:tcW w:w="1296" w:type="dxa"/>
            <w:tcBorders>
              <w:top w:val="single" w:sz="2" w:space="0" w:color="auto"/>
              <w:left w:val="single" w:sz="2" w:space="0" w:color="auto"/>
              <w:bottom w:val="single" w:sz="2" w:space="0" w:color="auto"/>
              <w:right w:val="single" w:sz="2" w:space="0" w:color="auto"/>
            </w:tcBorders>
            <w:vAlign w:val="center"/>
          </w:tcPr>
          <w:p w14:paraId="14AA4F3B" w14:textId="77777777" w:rsidR="007B3DB2" w:rsidRPr="0063248C" w:rsidRDefault="00000000">
            <w:pPr>
              <w:spacing w:line="240" w:lineRule="exact"/>
              <w:jc w:val="right"/>
              <w:rPr>
                <w:rFonts w:cs="宋体"/>
                <w:sz w:val="18"/>
                <w:szCs w:val="18"/>
              </w:rPr>
            </w:pPr>
            <w:r w:rsidRPr="0063248C">
              <w:rPr>
                <w:rFonts w:cs="宋体"/>
                <w:sz w:val="18"/>
                <w:szCs w:val="18"/>
              </w:rPr>
              <w:t>7,299,447.42</w:t>
            </w:r>
          </w:p>
        </w:tc>
        <w:tc>
          <w:tcPr>
            <w:tcW w:w="1418" w:type="dxa"/>
            <w:tcBorders>
              <w:top w:val="single" w:sz="2" w:space="0" w:color="auto"/>
              <w:left w:val="single" w:sz="2" w:space="0" w:color="auto"/>
              <w:bottom w:val="single" w:sz="2" w:space="0" w:color="auto"/>
              <w:right w:val="single" w:sz="2" w:space="0" w:color="auto"/>
            </w:tcBorders>
            <w:vAlign w:val="center"/>
          </w:tcPr>
          <w:p w14:paraId="64AE41BB" w14:textId="77777777" w:rsidR="007B3DB2" w:rsidRPr="0063248C" w:rsidRDefault="00000000">
            <w:pPr>
              <w:spacing w:line="240" w:lineRule="exact"/>
              <w:jc w:val="right"/>
              <w:rPr>
                <w:rFonts w:cs="宋体"/>
                <w:sz w:val="18"/>
                <w:szCs w:val="18"/>
              </w:rPr>
            </w:pPr>
            <w:r w:rsidRPr="0063248C">
              <w:rPr>
                <w:rFonts w:cs="宋体"/>
                <w:sz w:val="18"/>
                <w:szCs w:val="18"/>
              </w:rPr>
              <w:t>23,834,692.23</w:t>
            </w:r>
          </w:p>
        </w:tc>
        <w:tc>
          <w:tcPr>
            <w:tcW w:w="1417" w:type="dxa"/>
            <w:tcBorders>
              <w:top w:val="single" w:sz="2" w:space="0" w:color="auto"/>
              <w:left w:val="single" w:sz="2" w:space="0" w:color="auto"/>
              <w:bottom w:val="single" w:sz="2" w:space="0" w:color="auto"/>
              <w:right w:val="single" w:sz="2" w:space="0" w:color="auto"/>
            </w:tcBorders>
            <w:vAlign w:val="center"/>
          </w:tcPr>
          <w:p w14:paraId="0C1C7EB9" w14:textId="77777777" w:rsidR="007B3DB2" w:rsidRPr="0063248C" w:rsidRDefault="00000000">
            <w:pPr>
              <w:spacing w:line="240" w:lineRule="exact"/>
              <w:jc w:val="right"/>
              <w:rPr>
                <w:rFonts w:cs="宋体"/>
                <w:sz w:val="18"/>
                <w:szCs w:val="18"/>
              </w:rPr>
            </w:pPr>
            <w:r w:rsidRPr="0063248C">
              <w:rPr>
                <w:rFonts w:cs="宋体"/>
                <w:sz w:val="18"/>
                <w:szCs w:val="18"/>
              </w:rPr>
              <w:t>1,705,318,171.73</w:t>
            </w:r>
          </w:p>
        </w:tc>
      </w:tr>
      <w:tr w:rsidR="007B3DB2" w:rsidRPr="0063248C" w14:paraId="1BB7FF9C" w14:textId="77777777" w:rsidTr="00760A5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931737F"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期初账面价值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492880BD" w14:textId="77777777" w:rsidR="007B3DB2" w:rsidRPr="0063248C" w:rsidRDefault="00000000">
            <w:pPr>
              <w:spacing w:line="240" w:lineRule="exact"/>
              <w:jc w:val="right"/>
              <w:rPr>
                <w:rFonts w:cs="宋体"/>
                <w:sz w:val="18"/>
                <w:szCs w:val="18"/>
              </w:rPr>
            </w:pPr>
            <w:r w:rsidRPr="0063248C">
              <w:rPr>
                <w:rFonts w:cs="宋体"/>
                <w:sz w:val="18"/>
                <w:szCs w:val="18"/>
              </w:rPr>
              <w:t>1,171,868,423.28</w:t>
            </w:r>
          </w:p>
        </w:tc>
        <w:tc>
          <w:tcPr>
            <w:tcW w:w="1377" w:type="dxa"/>
            <w:tcBorders>
              <w:top w:val="single" w:sz="2" w:space="0" w:color="auto"/>
              <w:left w:val="single" w:sz="2" w:space="0" w:color="auto"/>
              <w:bottom w:val="single" w:sz="2" w:space="0" w:color="auto"/>
              <w:right w:val="single" w:sz="2" w:space="0" w:color="auto"/>
            </w:tcBorders>
            <w:vAlign w:val="center"/>
          </w:tcPr>
          <w:p w14:paraId="31DFB5F1" w14:textId="77777777" w:rsidR="007B3DB2" w:rsidRPr="0063248C" w:rsidRDefault="00000000">
            <w:pPr>
              <w:spacing w:line="240" w:lineRule="exact"/>
              <w:jc w:val="right"/>
              <w:rPr>
                <w:rFonts w:cs="宋体"/>
                <w:sz w:val="18"/>
                <w:szCs w:val="18"/>
              </w:rPr>
            </w:pPr>
            <w:r w:rsidRPr="0063248C">
              <w:rPr>
                <w:rFonts w:cs="宋体"/>
                <w:sz w:val="18"/>
                <w:szCs w:val="18"/>
              </w:rPr>
              <w:t>476,420,809.28</w:t>
            </w:r>
          </w:p>
        </w:tc>
        <w:tc>
          <w:tcPr>
            <w:tcW w:w="1377" w:type="dxa"/>
            <w:tcBorders>
              <w:top w:val="single" w:sz="2" w:space="0" w:color="auto"/>
              <w:left w:val="single" w:sz="2" w:space="0" w:color="auto"/>
              <w:bottom w:val="single" w:sz="2" w:space="0" w:color="auto"/>
              <w:right w:val="single" w:sz="2" w:space="0" w:color="auto"/>
            </w:tcBorders>
            <w:vAlign w:val="center"/>
          </w:tcPr>
          <w:p w14:paraId="6E53ABE0" w14:textId="77777777" w:rsidR="007B3DB2" w:rsidRPr="0063248C" w:rsidRDefault="00000000">
            <w:pPr>
              <w:spacing w:line="240" w:lineRule="exact"/>
              <w:jc w:val="right"/>
              <w:rPr>
                <w:rFonts w:cs="宋体"/>
                <w:sz w:val="18"/>
                <w:szCs w:val="18"/>
              </w:rPr>
            </w:pPr>
            <w:r w:rsidRPr="0063248C">
              <w:rPr>
                <w:rFonts w:cs="宋体"/>
                <w:sz w:val="18"/>
                <w:szCs w:val="18"/>
              </w:rPr>
              <w:t>8,977,074.73</w:t>
            </w:r>
          </w:p>
        </w:tc>
        <w:tc>
          <w:tcPr>
            <w:tcW w:w="1296" w:type="dxa"/>
            <w:tcBorders>
              <w:top w:val="single" w:sz="2" w:space="0" w:color="auto"/>
              <w:left w:val="single" w:sz="2" w:space="0" w:color="auto"/>
              <w:bottom w:val="single" w:sz="2" w:space="0" w:color="auto"/>
              <w:right w:val="single" w:sz="2" w:space="0" w:color="auto"/>
            </w:tcBorders>
            <w:vAlign w:val="center"/>
          </w:tcPr>
          <w:p w14:paraId="1AF59B9A" w14:textId="77777777" w:rsidR="007B3DB2" w:rsidRPr="0063248C" w:rsidRDefault="00000000">
            <w:pPr>
              <w:spacing w:line="240" w:lineRule="exact"/>
              <w:jc w:val="right"/>
              <w:rPr>
                <w:rFonts w:cs="宋体"/>
                <w:sz w:val="18"/>
                <w:szCs w:val="18"/>
              </w:rPr>
            </w:pPr>
            <w:r w:rsidRPr="0063248C">
              <w:rPr>
                <w:rFonts w:cs="宋体"/>
                <w:sz w:val="18"/>
                <w:szCs w:val="18"/>
              </w:rPr>
              <w:t>9,344,697.16</w:t>
            </w:r>
          </w:p>
        </w:tc>
        <w:tc>
          <w:tcPr>
            <w:tcW w:w="1418" w:type="dxa"/>
            <w:tcBorders>
              <w:top w:val="single" w:sz="2" w:space="0" w:color="auto"/>
              <w:left w:val="single" w:sz="2" w:space="0" w:color="auto"/>
              <w:bottom w:val="single" w:sz="2" w:space="0" w:color="auto"/>
              <w:right w:val="single" w:sz="2" w:space="0" w:color="auto"/>
            </w:tcBorders>
            <w:vAlign w:val="center"/>
          </w:tcPr>
          <w:p w14:paraId="5B5F13B9" w14:textId="77777777" w:rsidR="007B3DB2" w:rsidRPr="0063248C" w:rsidRDefault="00000000">
            <w:pPr>
              <w:spacing w:line="240" w:lineRule="exact"/>
              <w:jc w:val="right"/>
              <w:rPr>
                <w:rFonts w:cs="宋体"/>
                <w:sz w:val="18"/>
                <w:szCs w:val="18"/>
              </w:rPr>
            </w:pPr>
            <w:r w:rsidRPr="0063248C">
              <w:rPr>
                <w:rFonts w:cs="宋体"/>
                <w:sz w:val="18"/>
                <w:szCs w:val="18"/>
              </w:rPr>
              <w:t>26,328,152.44</w:t>
            </w:r>
          </w:p>
        </w:tc>
        <w:tc>
          <w:tcPr>
            <w:tcW w:w="1417" w:type="dxa"/>
            <w:tcBorders>
              <w:top w:val="single" w:sz="2" w:space="0" w:color="auto"/>
              <w:left w:val="single" w:sz="2" w:space="0" w:color="auto"/>
              <w:bottom w:val="single" w:sz="2" w:space="0" w:color="auto"/>
              <w:right w:val="single" w:sz="2" w:space="0" w:color="auto"/>
            </w:tcBorders>
            <w:vAlign w:val="center"/>
          </w:tcPr>
          <w:p w14:paraId="6984838F" w14:textId="77777777" w:rsidR="007B3DB2" w:rsidRPr="0063248C" w:rsidRDefault="00000000">
            <w:pPr>
              <w:spacing w:line="240" w:lineRule="exact"/>
              <w:jc w:val="right"/>
              <w:rPr>
                <w:rFonts w:cs="宋体"/>
                <w:sz w:val="18"/>
                <w:szCs w:val="18"/>
              </w:rPr>
            </w:pPr>
            <w:r w:rsidRPr="0063248C">
              <w:rPr>
                <w:rFonts w:cs="宋体"/>
                <w:sz w:val="18"/>
                <w:szCs w:val="18"/>
              </w:rPr>
              <w:t>1,692,939,156.89</w:t>
            </w:r>
          </w:p>
        </w:tc>
      </w:tr>
    </w:tbl>
    <w:p w14:paraId="7CD5C468" w14:textId="77777777" w:rsidR="007B3DB2" w:rsidRPr="0063248C" w:rsidRDefault="00000000">
      <w:pPr>
        <w:keepNext/>
        <w:keepLines/>
        <w:spacing w:before="300" w:after="300" w:line="280" w:lineRule="exact"/>
        <w:outlineLvl w:val="3"/>
        <w:rPr>
          <w:rFonts w:cs="宋体"/>
          <w:b/>
          <w:bCs/>
          <w:szCs w:val="21"/>
        </w:rPr>
      </w:pPr>
      <w:bookmarkStart w:id="270" w:name="_Toc989159"/>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暂时闲置的固定资产情况</w:t>
      </w:r>
      <w:bookmarkEnd w:id="270"/>
    </w:p>
    <w:p w14:paraId="46F033DB" w14:textId="77777777" w:rsidR="008669F6" w:rsidRPr="0063248C" w:rsidRDefault="008669F6" w:rsidP="008669F6">
      <w:pPr>
        <w:spacing w:before="40" w:after="40" w:line="240" w:lineRule="exact"/>
        <w:rPr>
          <w:rFonts w:cs="宋体"/>
          <w:sz w:val="18"/>
          <w:szCs w:val="18"/>
        </w:rPr>
      </w:pPr>
      <w:bookmarkStart w:id="271" w:name="_Toc989160"/>
      <w:r>
        <w:rPr>
          <w:rFonts w:cs="宋体" w:hint="eastAsia"/>
          <w:sz w:val="18"/>
          <w:szCs w:val="18"/>
        </w:rPr>
        <w:t>无</w:t>
      </w:r>
    </w:p>
    <w:p w14:paraId="4E615F4D"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通过经营租赁租出的固定资产</w:t>
      </w:r>
      <w:bookmarkEnd w:id="271"/>
    </w:p>
    <w:p w14:paraId="0891EB50"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7B3DB2" w:rsidRPr="0063248C" w14:paraId="40AC09D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0FD037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57B27A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期末账面价值</w:t>
            </w:r>
          </w:p>
        </w:tc>
      </w:tr>
      <w:tr w:rsidR="007B3DB2" w:rsidRPr="0063248C" w14:paraId="10889BD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301E8A7" w14:textId="77777777" w:rsidR="007B3DB2" w:rsidRPr="0063248C" w:rsidRDefault="00000000">
            <w:pPr>
              <w:spacing w:line="240" w:lineRule="exact"/>
              <w:rPr>
                <w:rFonts w:cs="宋体"/>
                <w:sz w:val="18"/>
                <w:szCs w:val="18"/>
              </w:rPr>
            </w:pPr>
            <w:r w:rsidRPr="0063248C">
              <w:rPr>
                <w:rFonts w:cs="宋体"/>
                <w:sz w:val="18"/>
                <w:szCs w:val="18"/>
              </w:rPr>
              <w:t>房屋建筑物</w:t>
            </w:r>
          </w:p>
        </w:tc>
        <w:tc>
          <w:tcPr>
            <w:tcW w:w="4820" w:type="dxa"/>
            <w:tcBorders>
              <w:top w:val="single" w:sz="2" w:space="0" w:color="auto"/>
              <w:left w:val="single" w:sz="2" w:space="0" w:color="auto"/>
              <w:bottom w:val="single" w:sz="2" w:space="0" w:color="auto"/>
              <w:right w:val="single" w:sz="2" w:space="0" w:color="auto"/>
            </w:tcBorders>
            <w:vAlign w:val="center"/>
          </w:tcPr>
          <w:p w14:paraId="1B4711F5" w14:textId="77777777" w:rsidR="007B3DB2" w:rsidRPr="0063248C" w:rsidRDefault="00000000">
            <w:pPr>
              <w:spacing w:line="240" w:lineRule="exact"/>
              <w:jc w:val="right"/>
              <w:rPr>
                <w:rFonts w:cs="宋体"/>
                <w:sz w:val="18"/>
                <w:szCs w:val="18"/>
              </w:rPr>
            </w:pPr>
            <w:r w:rsidRPr="0063248C">
              <w:rPr>
                <w:rFonts w:cs="宋体"/>
                <w:sz w:val="18"/>
                <w:szCs w:val="18"/>
              </w:rPr>
              <w:t>1,065,273.72</w:t>
            </w:r>
          </w:p>
        </w:tc>
      </w:tr>
      <w:tr w:rsidR="007B3DB2" w:rsidRPr="0063248C" w14:paraId="3CDB74C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3CED3DA" w14:textId="77777777" w:rsidR="007B3DB2" w:rsidRPr="0063248C" w:rsidRDefault="00000000">
            <w:pPr>
              <w:spacing w:line="240" w:lineRule="exact"/>
              <w:rPr>
                <w:rFonts w:cs="宋体"/>
                <w:sz w:val="18"/>
                <w:szCs w:val="18"/>
              </w:rPr>
            </w:pPr>
            <w:r w:rsidRPr="0063248C">
              <w:rPr>
                <w:rFonts w:cs="宋体"/>
                <w:sz w:val="18"/>
                <w:szCs w:val="18"/>
              </w:rPr>
              <w:t>机器设备</w:t>
            </w:r>
          </w:p>
        </w:tc>
        <w:tc>
          <w:tcPr>
            <w:tcW w:w="4820" w:type="dxa"/>
            <w:tcBorders>
              <w:top w:val="single" w:sz="2" w:space="0" w:color="auto"/>
              <w:left w:val="single" w:sz="2" w:space="0" w:color="auto"/>
              <w:bottom w:val="single" w:sz="2" w:space="0" w:color="auto"/>
              <w:right w:val="single" w:sz="2" w:space="0" w:color="auto"/>
            </w:tcBorders>
            <w:vAlign w:val="center"/>
          </w:tcPr>
          <w:p w14:paraId="10A2491C" w14:textId="77777777" w:rsidR="007B3DB2" w:rsidRPr="0063248C" w:rsidRDefault="00000000">
            <w:pPr>
              <w:spacing w:line="240" w:lineRule="exact"/>
              <w:jc w:val="right"/>
              <w:rPr>
                <w:rFonts w:cs="宋体"/>
                <w:sz w:val="18"/>
                <w:szCs w:val="18"/>
              </w:rPr>
            </w:pPr>
            <w:r w:rsidRPr="0063248C">
              <w:rPr>
                <w:rFonts w:cs="宋体"/>
                <w:sz w:val="18"/>
                <w:szCs w:val="18"/>
              </w:rPr>
              <w:t>10,106.29</w:t>
            </w:r>
          </w:p>
        </w:tc>
      </w:tr>
      <w:tr w:rsidR="007B3DB2" w:rsidRPr="0063248C" w14:paraId="5DD84C3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A1B4284" w14:textId="77777777" w:rsidR="007B3DB2" w:rsidRPr="0063248C" w:rsidRDefault="00000000">
            <w:pPr>
              <w:spacing w:line="240" w:lineRule="exact"/>
              <w:rPr>
                <w:rFonts w:cs="宋体"/>
                <w:sz w:val="18"/>
                <w:szCs w:val="18"/>
              </w:rPr>
            </w:pPr>
            <w:r w:rsidRPr="0063248C">
              <w:rPr>
                <w:rFonts w:cs="宋体"/>
                <w:sz w:val="18"/>
                <w:szCs w:val="18"/>
              </w:rPr>
              <w:t>运输设备</w:t>
            </w:r>
          </w:p>
        </w:tc>
        <w:tc>
          <w:tcPr>
            <w:tcW w:w="4820" w:type="dxa"/>
            <w:tcBorders>
              <w:top w:val="single" w:sz="2" w:space="0" w:color="auto"/>
              <w:left w:val="single" w:sz="2" w:space="0" w:color="auto"/>
              <w:bottom w:val="single" w:sz="2" w:space="0" w:color="auto"/>
              <w:right w:val="single" w:sz="2" w:space="0" w:color="auto"/>
            </w:tcBorders>
            <w:vAlign w:val="center"/>
          </w:tcPr>
          <w:p w14:paraId="12D3AE74" w14:textId="77777777" w:rsidR="007B3DB2" w:rsidRPr="0063248C" w:rsidRDefault="00000000">
            <w:pPr>
              <w:spacing w:line="240" w:lineRule="exact"/>
              <w:jc w:val="right"/>
              <w:rPr>
                <w:rFonts w:cs="宋体"/>
                <w:sz w:val="18"/>
                <w:szCs w:val="18"/>
              </w:rPr>
            </w:pPr>
            <w:r w:rsidRPr="0063248C">
              <w:rPr>
                <w:rFonts w:cs="宋体"/>
                <w:sz w:val="18"/>
                <w:szCs w:val="18"/>
              </w:rPr>
              <w:t>103,547.52</w:t>
            </w:r>
          </w:p>
        </w:tc>
      </w:tr>
      <w:tr w:rsidR="007B3DB2" w:rsidRPr="0063248C" w14:paraId="7C16A74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DF0BD09" w14:textId="77777777" w:rsidR="007B3DB2" w:rsidRPr="0063248C" w:rsidRDefault="00000000">
            <w:pPr>
              <w:spacing w:line="240" w:lineRule="exact"/>
              <w:rPr>
                <w:rFonts w:cs="宋体"/>
                <w:sz w:val="18"/>
                <w:szCs w:val="18"/>
              </w:rPr>
            </w:pPr>
            <w:r w:rsidRPr="0063248C">
              <w:rPr>
                <w:rFonts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2790E10E" w14:textId="77777777" w:rsidR="007B3DB2" w:rsidRPr="0063248C" w:rsidRDefault="00000000">
            <w:pPr>
              <w:spacing w:line="240" w:lineRule="exact"/>
              <w:jc w:val="right"/>
              <w:rPr>
                <w:rFonts w:cs="宋体"/>
                <w:sz w:val="18"/>
                <w:szCs w:val="18"/>
              </w:rPr>
            </w:pPr>
            <w:r w:rsidRPr="0063248C">
              <w:rPr>
                <w:rFonts w:cs="宋体"/>
                <w:sz w:val="18"/>
                <w:szCs w:val="18"/>
              </w:rPr>
              <w:t>1,178,927.53</w:t>
            </w:r>
          </w:p>
        </w:tc>
      </w:tr>
    </w:tbl>
    <w:p w14:paraId="0C1D57A5" w14:textId="77777777" w:rsidR="007B3DB2" w:rsidRPr="0063248C" w:rsidRDefault="00000000">
      <w:pPr>
        <w:keepNext/>
        <w:keepLines/>
        <w:spacing w:before="300" w:after="300" w:line="280" w:lineRule="exact"/>
        <w:outlineLvl w:val="3"/>
        <w:rPr>
          <w:rFonts w:cs="宋体"/>
          <w:b/>
          <w:bCs/>
          <w:szCs w:val="21"/>
        </w:rPr>
      </w:pPr>
      <w:bookmarkStart w:id="272" w:name="_Toc989161"/>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未办妥产权证书的固定资产情况</w:t>
      </w:r>
      <w:bookmarkEnd w:id="272"/>
    </w:p>
    <w:p w14:paraId="5CB8159A"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376A4B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21ABC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C7F4A5"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012161" w14:textId="77777777" w:rsidR="007B3DB2" w:rsidRPr="0063248C" w:rsidRDefault="00000000">
            <w:pPr>
              <w:spacing w:before="40" w:after="40" w:line="240" w:lineRule="exact"/>
              <w:jc w:val="center"/>
              <w:rPr>
                <w:rFonts w:cs="宋体"/>
                <w:sz w:val="18"/>
                <w:szCs w:val="18"/>
              </w:rPr>
            </w:pPr>
            <w:r w:rsidRPr="0063248C">
              <w:rPr>
                <w:rFonts w:cs="宋体"/>
                <w:sz w:val="18"/>
                <w:szCs w:val="18"/>
              </w:rPr>
              <w:t>未办妥产权证书的原因</w:t>
            </w:r>
          </w:p>
        </w:tc>
      </w:tr>
      <w:tr w:rsidR="007B3DB2" w:rsidRPr="0063248C" w14:paraId="26F3542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3F2539A" w14:textId="77777777" w:rsidR="007B3DB2" w:rsidRPr="0063248C" w:rsidRDefault="00000000">
            <w:pPr>
              <w:spacing w:line="240" w:lineRule="exact"/>
              <w:rPr>
                <w:rFonts w:cs="宋体"/>
                <w:sz w:val="18"/>
                <w:szCs w:val="18"/>
              </w:rPr>
            </w:pPr>
            <w:r w:rsidRPr="0063248C">
              <w:rPr>
                <w:rFonts w:cs="宋体"/>
                <w:sz w:val="18"/>
                <w:szCs w:val="18"/>
              </w:rPr>
              <w:t>低温冷冻深加工车间</w:t>
            </w:r>
          </w:p>
        </w:tc>
        <w:tc>
          <w:tcPr>
            <w:tcW w:w="3213" w:type="dxa"/>
            <w:tcBorders>
              <w:top w:val="single" w:sz="2" w:space="0" w:color="auto"/>
              <w:left w:val="single" w:sz="2" w:space="0" w:color="auto"/>
              <w:bottom w:val="single" w:sz="2" w:space="0" w:color="auto"/>
              <w:right w:val="single" w:sz="2" w:space="0" w:color="auto"/>
            </w:tcBorders>
            <w:vAlign w:val="center"/>
          </w:tcPr>
          <w:p w14:paraId="027DE5E2" w14:textId="77777777" w:rsidR="007B3DB2" w:rsidRPr="0063248C" w:rsidRDefault="00000000">
            <w:pPr>
              <w:spacing w:line="240" w:lineRule="exact"/>
              <w:jc w:val="right"/>
              <w:rPr>
                <w:rFonts w:cs="宋体"/>
                <w:sz w:val="18"/>
                <w:szCs w:val="18"/>
              </w:rPr>
            </w:pPr>
            <w:r w:rsidRPr="0063248C">
              <w:rPr>
                <w:rFonts w:cs="宋体"/>
                <w:sz w:val="18"/>
                <w:szCs w:val="18"/>
              </w:rPr>
              <w:t>278,768,078.29</w:t>
            </w:r>
          </w:p>
        </w:tc>
        <w:tc>
          <w:tcPr>
            <w:tcW w:w="3213" w:type="dxa"/>
            <w:tcBorders>
              <w:top w:val="single" w:sz="2" w:space="0" w:color="auto"/>
              <w:left w:val="single" w:sz="2" w:space="0" w:color="auto"/>
              <w:bottom w:val="single" w:sz="2" w:space="0" w:color="auto"/>
              <w:right w:val="single" w:sz="2" w:space="0" w:color="auto"/>
            </w:tcBorders>
            <w:vAlign w:val="center"/>
          </w:tcPr>
          <w:p w14:paraId="32E8C5A7" w14:textId="77777777" w:rsidR="007B3DB2" w:rsidRPr="0063248C" w:rsidRDefault="00000000">
            <w:pPr>
              <w:spacing w:line="240" w:lineRule="exact"/>
              <w:rPr>
                <w:rFonts w:cs="宋体"/>
                <w:sz w:val="18"/>
                <w:szCs w:val="18"/>
              </w:rPr>
            </w:pPr>
            <w:r w:rsidRPr="0063248C">
              <w:rPr>
                <w:rFonts w:cs="宋体"/>
                <w:sz w:val="18"/>
                <w:szCs w:val="18"/>
              </w:rPr>
              <w:t>正在办理中</w:t>
            </w:r>
          </w:p>
        </w:tc>
      </w:tr>
    </w:tbl>
    <w:p w14:paraId="5FEFA398"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0763F91B" w14:textId="77777777" w:rsidR="00517D34" w:rsidRPr="0063248C" w:rsidRDefault="00000000">
      <w:pPr>
        <w:pStyle w:val="a3"/>
        <w:divId w:val="10643755"/>
        <w:rPr>
          <w:rFonts w:ascii="Times New Roman" w:hAnsi="Times New Roman"/>
          <w:sz w:val="18"/>
          <w:szCs w:val="18"/>
        </w:rPr>
      </w:pPr>
      <w:r w:rsidRPr="0063248C">
        <w:rPr>
          <w:rFonts w:ascii="Times New Roman" w:hAnsi="Times New Roman" w:hint="eastAsia"/>
          <w:sz w:val="18"/>
          <w:szCs w:val="18"/>
        </w:rPr>
        <w:t>无</w:t>
      </w:r>
    </w:p>
    <w:p w14:paraId="21583017" w14:textId="77777777" w:rsidR="007B3DB2" w:rsidRPr="0063248C" w:rsidRDefault="00000000">
      <w:pPr>
        <w:keepNext/>
        <w:keepLines/>
        <w:spacing w:before="300" w:after="300" w:line="280" w:lineRule="exact"/>
        <w:outlineLvl w:val="3"/>
        <w:rPr>
          <w:rFonts w:cs="宋体"/>
          <w:b/>
          <w:bCs/>
          <w:szCs w:val="21"/>
        </w:rPr>
      </w:pPr>
      <w:bookmarkStart w:id="273" w:name="_Toc989162"/>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固定资产的减值测试情况</w:t>
      </w:r>
      <w:bookmarkEnd w:id="273"/>
    </w:p>
    <w:p w14:paraId="4F39AD6F"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2BF554F" w14:textId="77777777" w:rsidR="007B3DB2" w:rsidRPr="0063248C" w:rsidRDefault="00000000">
      <w:pPr>
        <w:keepNext/>
        <w:keepLines/>
        <w:spacing w:before="300" w:after="300" w:line="280" w:lineRule="exact"/>
        <w:outlineLvl w:val="3"/>
        <w:rPr>
          <w:rFonts w:cs="宋体"/>
          <w:b/>
          <w:bCs/>
          <w:szCs w:val="21"/>
        </w:rPr>
      </w:pPr>
      <w:bookmarkStart w:id="274" w:name="_Toc989163"/>
      <w:r w:rsidRPr="0063248C">
        <w:rPr>
          <w:rFonts w:cs="宋体"/>
          <w:b/>
          <w:bCs/>
          <w:szCs w:val="21"/>
        </w:rPr>
        <w:t>（</w:t>
      </w:r>
      <w:r w:rsidRPr="0063248C">
        <w:rPr>
          <w:rFonts w:cs="宋体"/>
          <w:b/>
          <w:bCs/>
          <w:szCs w:val="21"/>
        </w:rPr>
        <w:t>6</w:t>
      </w:r>
      <w:r w:rsidRPr="0063248C">
        <w:rPr>
          <w:rFonts w:cs="宋体"/>
          <w:b/>
          <w:bCs/>
          <w:szCs w:val="21"/>
        </w:rPr>
        <w:t>）</w:t>
      </w:r>
      <w:r w:rsidRPr="0063248C">
        <w:rPr>
          <w:rFonts w:cs="宋体"/>
          <w:b/>
          <w:bCs/>
          <w:szCs w:val="21"/>
        </w:rPr>
        <w:t xml:space="preserve"> </w:t>
      </w:r>
      <w:r w:rsidRPr="0063248C">
        <w:rPr>
          <w:rFonts w:cs="宋体"/>
          <w:b/>
          <w:bCs/>
          <w:szCs w:val="21"/>
        </w:rPr>
        <w:t>固定资产清理</w:t>
      </w:r>
      <w:bookmarkEnd w:id="274"/>
    </w:p>
    <w:p w14:paraId="3409852A" w14:textId="587C5768" w:rsidR="007B3DB2" w:rsidRPr="008669F6" w:rsidRDefault="008669F6" w:rsidP="008669F6">
      <w:pPr>
        <w:spacing w:before="40" w:after="40" w:line="240" w:lineRule="exact"/>
        <w:rPr>
          <w:rFonts w:cs="宋体"/>
          <w:sz w:val="18"/>
          <w:szCs w:val="18"/>
        </w:rPr>
      </w:pPr>
      <w:r>
        <w:rPr>
          <w:rFonts w:cs="宋体" w:hint="eastAsia"/>
          <w:sz w:val="18"/>
          <w:szCs w:val="18"/>
        </w:rPr>
        <w:t>无</w:t>
      </w:r>
    </w:p>
    <w:p w14:paraId="6C465BA6" w14:textId="77777777" w:rsidR="007B3DB2" w:rsidRPr="0063248C" w:rsidRDefault="00000000">
      <w:pPr>
        <w:pStyle w:val="3"/>
        <w:spacing w:line="280" w:lineRule="exact"/>
        <w:jc w:val="left"/>
        <w:rPr>
          <w:rFonts w:cs="宋体"/>
          <w:b/>
          <w:bCs/>
        </w:rPr>
      </w:pPr>
      <w:bookmarkStart w:id="275" w:name="_Toc989164"/>
      <w:r w:rsidRPr="0063248C">
        <w:rPr>
          <w:rFonts w:cs="宋体"/>
          <w:b/>
          <w:bCs/>
        </w:rPr>
        <w:lastRenderedPageBreak/>
        <w:t>22</w:t>
      </w:r>
      <w:r w:rsidRPr="0063248C">
        <w:rPr>
          <w:rFonts w:cs="宋体"/>
          <w:b/>
          <w:bCs/>
        </w:rPr>
        <w:t>、在建工程</w:t>
      </w:r>
      <w:bookmarkEnd w:id="275"/>
    </w:p>
    <w:p w14:paraId="6236D368"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15356A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593065"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A276F2"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B9FD4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6F96FC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37FA39" w14:textId="77777777" w:rsidR="007B3DB2" w:rsidRPr="0063248C" w:rsidRDefault="00000000">
            <w:pPr>
              <w:spacing w:before="40" w:after="40" w:line="240" w:lineRule="exact"/>
              <w:rPr>
                <w:rFonts w:cs="宋体"/>
                <w:sz w:val="18"/>
                <w:szCs w:val="18"/>
              </w:rPr>
            </w:pPr>
            <w:r w:rsidRPr="0063248C">
              <w:rPr>
                <w:rFonts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2787326D" w14:textId="77777777" w:rsidR="007B3DB2" w:rsidRPr="0063248C" w:rsidRDefault="00000000">
            <w:pPr>
              <w:spacing w:line="240" w:lineRule="exact"/>
              <w:jc w:val="right"/>
              <w:rPr>
                <w:rFonts w:cs="宋体"/>
                <w:sz w:val="18"/>
                <w:szCs w:val="18"/>
              </w:rPr>
            </w:pPr>
            <w:r w:rsidRPr="0063248C">
              <w:rPr>
                <w:rFonts w:cs="宋体"/>
                <w:sz w:val="18"/>
                <w:szCs w:val="18"/>
              </w:rPr>
              <w:t>903,628,173.02</w:t>
            </w:r>
          </w:p>
        </w:tc>
        <w:tc>
          <w:tcPr>
            <w:tcW w:w="3213" w:type="dxa"/>
            <w:tcBorders>
              <w:top w:val="single" w:sz="2" w:space="0" w:color="auto"/>
              <w:left w:val="single" w:sz="2" w:space="0" w:color="auto"/>
              <w:bottom w:val="single" w:sz="2" w:space="0" w:color="auto"/>
              <w:right w:val="single" w:sz="2" w:space="0" w:color="auto"/>
            </w:tcBorders>
            <w:vAlign w:val="center"/>
          </w:tcPr>
          <w:p w14:paraId="08A651A6" w14:textId="77777777" w:rsidR="007B3DB2" w:rsidRPr="0063248C" w:rsidRDefault="00000000">
            <w:pPr>
              <w:spacing w:line="240" w:lineRule="exact"/>
              <w:jc w:val="right"/>
              <w:rPr>
                <w:rFonts w:cs="宋体"/>
                <w:sz w:val="18"/>
                <w:szCs w:val="18"/>
              </w:rPr>
            </w:pPr>
            <w:r w:rsidRPr="0063248C">
              <w:rPr>
                <w:rFonts w:cs="宋体"/>
                <w:sz w:val="18"/>
                <w:szCs w:val="18"/>
              </w:rPr>
              <w:t>919,386,014.19</w:t>
            </w:r>
          </w:p>
        </w:tc>
      </w:tr>
      <w:tr w:rsidR="007B3DB2" w:rsidRPr="0063248C" w14:paraId="47E63D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6D7130"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79BE5C7" w14:textId="77777777" w:rsidR="007B3DB2" w:rsidRPr="0063248C" w:rsidRDefault="00000000">
            <w:pPr>
              <w:spacing w:line="240" w:lineRule="exact"/>
              <w:jc w:val="right"/>
              <w:rPr>
                <w:rFonts w:cs="宋体"/>
                <w:sz w:val="18"/>
                <w:szCs w:val="18"/>
              </w:rPr>
            </w:pPr>
            <w:r w:rsidRPr="0063248C">
              <w:rPr>
                <w:rFonts w:cs="宋体"/>
                <w:sz w:val="18"/>
                <w:szCs w:val="18"/>
              </w:rPr>
              <w:t>903,628,173.02</w:t>
            </w:r>
          </w:p>
        </w:tc>
        <w:tc>
          <w:tcPr>
            <w:tcW w:w="3213" w:type="dxa"/>
            <w:tcBorders>
              <w:top w:val="single" w:sz="2" w:space="0" w:color="auto"/>
              <w:left w:val="single" w:sz="2" w:space="0" w:color="auto"/>
              <w:bottom w:val="single" w:sz="2" w:space="0" w:color="auto"/>
              <w:right w:val="single" w:sz="2" w:space="0" w:color="auto"/>
            </w:tcBorders>
            <w:vAlign w:val="center"/>
          </w:tcPr>
          <w:p w14:paraId="52CAC4A1" w14:textId="77777777" w:rsidR="007B3DB2" w:rsidRPr="0063248C" w:rsidRDefault="00000000">
            <w:pPr>
              <w:spacing w:line="240" w:lineRule="exact"/>
              <w:jc w:val="right"/>
              <w:rPr>
                <w:rFonts w:cs="宋体"/>
                <w:sz w:val="18"/>
                <w:szCs w:val="18"/>
              </w:rPr>
            </w:pPr>
            <w:r w:rsidRPr="0063248C">
              <w:rPr>
                <w:rFonts w:cs="宋体"/>
                <w:sz w:val="18"/>
                <w:szCs w:val="18"/>
              </w:rPr>
              <w:t>919,386,014.19</w:t>
            </w:r>
          </w:p>
        </w:tc>
      </w:tr>
    </w:tbl>
    <w:p w14:paraId="66CB0452" w14:textId="77777777" w:rsidR="007B3DB2" w:rsidRPr="0063248C" w:rsidRDefault="00000000">
      <w:pPr>
        <w:keepNext/>
        <w:keepLines/>
        <w:spacing w:before="300" w:after="300" w:line="280" w:lineRule="exact"/>
        <w:outlineLvl w:val="3"/>
        <w:rPr>
          <w:rFonts w:cs="宋体"/>
          <w:b/>
          <w:bCs/>
          <w:szCs w:val="21"/>
        </w:rPr>
      </w:pPr>
      <w:bookmarkStart w:id="276" w:name="_Toc989165"/>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在建工程情况</w:t>
      </w:r>
      <w:bookmarkEnd w:id="276"/>
    </w:p>
    <w:p w14:paraId="1571AAF6"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60CBED7D"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4B86BCB"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20C2F1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876CE0F"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41837705"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A62BEA9"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939229A"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FF1332D"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3453F42"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2988ED5"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1AC62A4"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D50D837"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r>
      <w:tr w:rsidR="007B3DB2" w:rsidRPr="0063248C" w14:paraId="21D2CE3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B79C7C4" w14:textId="77777777" w:rsidR="007B3DB2" w:rsidRPr="0063248C" w:rsidRDefault="00000000">
            <w:pPr>
              <w:spacing w:line="240" w:lineRule="exact"/>
              <w:rPr>
                <w:rFonts w:cs="宋体"/>
                <w:sz w:val="18"/>
                <w:szCs w:val="18"/>
              </w:rPr>
            </w:pPr>
            <w:r w:rsidRPr="0063248C">
              <w:rPr>
                <w:rFonts w:cs="宋体"/>
                <w:sz w:val="18"/>
                <w:szCs w:val="18"/>
              </w:rPr>
              <w:t>土建工程</w:t>
            </w:r>
          </w:p>
        </w:tc>
        <w:tc>
          <w:tcPr>
            <w:tcW w:w="1377" w:type="dxa"/>
            <w:tcBorders>
              <w:top w:val="single" w:sz="2" w:space="0" w:color="auto"/>
              <w:left w:val="single" w:sz="2" w:space="0" w:color="auto"/>
              <w:bottom w:val="single" w:sz="2" w:space="0" w:color="auto"/>
              <w:right w:val="single" w:sz="2" w:space="0" w:color="auto"/>
            </w:tcBorders>
            <w:vAlign w:val="center"/>
          </w:tcPr>
          <w:p w14:paraId="39F198F3" w14:textId="77777777" w:rsidR="007B3DB2" w:rsidRPr="0063248C" w:rsidRDefault="00000000">
            <w:pPr>
              <w:spacing w:line="240" w:lineRule="exact"/>
              <w:jc w:val="right"/>
              <w:rPr>
                <w:rFonts w:cs="宋体"/>
                <w:sz w:val="18"/>
                <w:szCs w:val="18"/>
              </w:rPr>
            </w:pPr>
            <w:r w:rsidRPr="0063248C">
              <w:rPr>
                <w:rFonts w:cs="宋体"/>
                <w:sz w:val="18"/>
                <w:szCs w:val="18"/>
              </w:rPr>
              <w:t>872,957,969.82</w:t>
            </w:r>
          </w:p>
        </w:tc>
        <w:tc>
          <w:tcPr>
            <w:tcW w:w="1377" w:type="dxa"/>
            <w:tcBorders>
              <w:top w:val="single" w:sz="2" w:space="0" w:color="auto"/>
              <w:left w:val="single" w:sz="2" w:space="0" w:color="auto"/>
              <w:bottom w:val="single" w:sz="2" w:space="0" w:color="auto"/>
              <w:right w:val="single" w:sz="2" w:space="0" w:color="auto"/>
            </w:tcBorders>
            <w:vAlign w:val="center"/>
          </w:tcPr>
          <w:p w14:paraId="048567B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E97FC0" w14:textId="77777777" w:rsidR="007B3DB2" w:rsidRPr="0063248C" w:rsidRDefault="00000000">
            <w:pPr>
              <w:spacing w:line="240" w:lineRule="exact"/>
              <w:jc w:val="right"/>
              <w:rPr>
                <w:rFonts w:cs="宋体"/>
                <w:sz w:val="18"/>
                <w:szCs w:val="18"/>
              </w:rPr>
            </w:pPr>
            <w:r w:rsidRPr="0063248C">
              <w:rPr>
                <w:rFonts w:cs="宋体"/>
                <w:sz w:val="18"/>
                <w:szCs w:val="18"/>
              </w:rPr>
              <w:t>872,957,969.82</w:t>
            </w:r>
          </w:p>
        </w:tc>
        <w:tc>
          <w:tcPr>
            <w:tcW w:w="1377" w:type="dxa"/>
            <w:tcBorders>
              <w:top w:val="single" w:sz="2" w:space="0" w:color="auto"/>
              <w:left w:val="single" w:sz="2" w:space="0" w:color="auto"/>
              <w:bottom w:val="single" w:sz="2" w:space="0" w:color="auto"/>
              <w:right w:val="single" w:sz="2" w:space="0" w:color="auto"/>
            </w:tcBorders>
            <w:vAlign w:val="center"/>
          </w:tcPr>
          <w:p w14:paraId="74D6A42A" w14:textId="77777777" w:rsidR="007B3DB2" w:rsidRPr="0063248C" w:rsidRDefault="00000000">
            <w:pPr>
              <w:spacing w:line="240" w:lineRule="exact"/>
              <w:jc w:val="right"/>
              <w:rPr>
                <w:rFonts w:cs="宋体"/>
                <w:sz w:val="18"/>
                <w:szCs w:val="18"/>
              </w:rPr>
            </w:pPr>
            <w:r w:rsidRPr="0063248C">
              <w:rPr>
                <w:rFonts w:cs="宋体"/>
                <w:sz w:val="18"/>
                <w:szCs w:val="18"/>
              </w:rPr>
              <w:t>895,841,207.68</w:t>
            </w:r>
          </w:p>
        </w:tc>
        <w:tc>
          <w:tcPr>
            <w:tcW w:w="1377" w:type="dxa"/>
            <w:tcBorders>
              <w:top w:val="single" w:sz="2" w:space="0" w:color="auto"/>
              <w:left w:val="single" w:sz="2" w:space="0" w:color="auto"/>
              <w:bottom w:val="single" w:sz="2" w:space="0" w:color="auto"/>
              <w:right w:val="single" w:sz="2" w:space="0" w:color="auto"/>
            </w:tcBorders>
            <w:vAlign w:val="center"/>
          </w:tcPr>
          <w:p w14:paraId="6964E10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E19E0D2" w14:textId="77777777" w:rsidR="007B3DB2" w:rsidRPr="0063248C" w:rsidRDefault="00000000">
            <w:pPr>
              <w:spacing w:line="240" w:lineRule="exact"/>
              <w:jc w:val="right"/>
              <w:rPr>
                <w:rFonts w:cs="宋体"/>
                <w:sz w:val="18"/>
                <w:szCs w:val="18"/>
              </w:rPr>
            </w:pPr>
            <w:r w:rsidRPr="0063248C">
              <w:rPr>
                <w:rFonts w:cs="宋体"/>
                <w:sz w:val="18"/>
                <w:szCs w:val="18"/>
              </w:rPr>
              <w:t>895,841,207.68</w:t>
            </w:r>
          </w:p>
        </w:tc>
      </w:tr>
      <w:tr w:rsidR="007B3DB2" w:rsidRPr="0063248C" w14:paraId="1666415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F3E5D2A" w14:textId="77777777" w:rsidR="007B3DB2" w:rsidRPr="0063248C" w:rsidRDefault="00000000">
            <w:pPr>
              <w:spacing w:line="240" w:lineRule="exact"/>
              <w:rPr>
                <w:rFonts w:cs="宋体"/>
                <w:sz w:val="18"/>
                <w:szCs w:val="18"/>
              </w:rPr>
            </w:pPr>
            <w:r w:rsidRPr="0063248C">
              <w:rPr>
                <w:rFonts w:cs="宋体"/>
                <w:sz w:val="18"/>
                <w:szCs w:val="18"/>
              </w:rPr>
              <w:t>安装工程</w:t>
            </w:r>
          </w:p>
        </w:tc>
        <w:tc>
          <w:tcPr>
            <w:tcW w:w="1377" w:type="dxa"/>
            <w:tcBorders>
              <w:top w:val="single" w:sz="2" w:space="0" w:color="auto"/>
              <w:left w:val="single" w:sz="2" w:space="0" w:color="auto"/>
              <w:bottom w:val="single" w:sz="2" w:space="0" w:color="auto"/>
              <w:right w:val="single" w:sz="2" w:space="0" w:color="auto"/>
            </w:tcBorders>
            <w:vAlign w:val="center"/>
          </w:tcPr>
          <w:p w14:paraId="0688E2C9" w14:textId="77777777" w:rsidR="007B3DB2" w:rsidRPr="0063248C" w:rsidRDefault="00000000">
            <w:pPr>
              <w:spacing w:line="240" w:lineRule="exact"/>
              <w:jc w:val="right"/>
              <w:rPr>
                <w:rFonts w:cs="宋体"/>
                <w:sz w:val="18"/>
                <w:szCs w:val="18"/>
              </w:rPr>
            </w:pPr>
            <w:r w:rsidRPr="0063248C">
              <w:rPr>
                <w:rFonts w:cs="宋体"/>
                <w:sz w:val="18"/>
                <w:szCs w:val="18"/>
              </w:rPr>
              <w:t>30,670,203.20</w:t>
            </w:r>
          </w:p>
        </w:tc>
        <w:tc>
          <w:tcPr>
            <w:tcW w:w="1377" w:type="dxa"/>
            <w:tcBorders>
              <w:top w:val="single" w:sz="2" w:space="0" w:color="auto"/>
              <w:left w:val="single" w:sz="2" w:space="0" w:color="auto"/>
              <w:bottom w:val="single" w:sz="2" w:space="0" w:color="auto"/>
              <w:right w:val="single" w:sz="2" w:space="0" w:color="auto"/>
            </w:tcBorders>
            <w:vAlign w:val="center"/>
          </w:tcPr>
          <w:p w14:paraId="4C70FA4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3E7E04" w14:textId="77777777" w:rsidR="007B3DB2" w:rsidRPr="0063248C" w:rsidRDefault="00000000">
            <w:pPr>
              <w:spacing w:line="240" w:lineRule="exact"/>
              <w:jc w:val="right"/>
              <w:rPr>
                <w:rFonts w:cs="宋体"/>
                <w:sz w:val="18"/>
                <w:szCs w:val="18"/>
              </w:rPr>
            </w:pPr>
            <w:r w:rsidRPr="0063248C">
              <w:rPr>
                <w:rFonts w:cs="宋体"/>
                <w:sz w:val="18"/>
                <w:szCs w:val="18"/>
              </w:rPr>
              <w:t>30,670,203.20</w:t>
            </w:r>
          </w:p>
        </w:tc>
        <w:tc>
          <w:tcPr>
            <w:tcW w:w="1377" w:type="dxa"/>
            <w:tcBorders>
              <w:top w:val="single" w:sz="2" w:space="0" w:color="auto"/>
              <w:left w:val="single" w:sz="2" w:space="0" w:color="auto"/>
              <w:bottom w:val="single" w:sz="2" w:space="0" w:color="auto"/>
              <w:right w:val="single" w:sz="2" w:space="0" w:color="auto"/>
            </w:tcBorders>
            <w:vAlign w:val="center"/>
          </w:tcPr>
          <w:p w14:paraId="69751B78" w14:textId="77777777" w:rsidR="007B3DB2" w:rsidRPr="0063248C" w:rsidRDefault="00000000">
            <w:pPr>
              <w:spacing w:line="240" w:lineRule="exact"/>
              <w:jc w:val="right"/>
              <w:rPr>
                <w:rFonts w:cs="宋体"/>
                <w:sz w:val="18"/>
                <w:szCs w:val="18"/>
              </w:rPr>
            </w:pPr>
            <w:r w:rsidRPr="0063248C">
              <w:rPr>
                <w:rFonts w:cs="宋体"/>
                <w:sz w:val="18"/>
                <w:szCs w:val="18"/>
              </w:rPr>
              <w:t>23,544,806.51</w:t>
            </w:r>
          </w:p>
        </w:tc>
        <w:tc>
          <w:tcPr>
            <w:tcW w:w="1377" w:type="dxa"/>
            <w:tcBorders>
              <w:top w:val="single" w:sz="2" w:space="0" w:color="auto"/>
              <w:left w:val="single" w:sz="2" w:space="0" w:color="auto"/>
              <w:bottom w:val="single" w:sz="2" w:space="0" w:color="auto"/>
              <w:right w:val="single" w:sz="2" w:space="0" w:color="auto"/>
            </w:tcBorders>
            <w:vAlign w:val="center"/>
          </w:tcPr>
          <w:p w14:paraId="4CABB76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A74746" w14:textId="77777777" w:rsidR="007B3DB2" w:rsidRPr="0063248C" w:rsidRDefault="00000000">
            <w:pPr>
              <w:spacing w:line="240" w:lineRule="exact"/>
              <w:jc w:val="right"/>
              <w:rPr>
                <w:rFonts w:cs="宋体"/>
                <w:sz w:val="18"/>
                <w:szCs w:val="18"/>
              </w:rPr>
            </w:pPr>
            <w:r w:rsidRPr="0063248C">
              <w:rPr>
                <w:rFonts w:cs="宋体"/>
                <w:sz w:val="18"/>
                <w:szCs w:val="18"/>
              </w:rPr>
              <w:t>23,544,806.51</w:t>
            </w:r>
          </w:p>
        </w:tc>
      </w:tr>
      <w:tr w:rsidR="007B3DB2" w:rsidRPr="0063248C" w14:paraId="10361DD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BE66D37"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01F8CE6C" w14:textId="77777777" w:rsidR="007B3DB2" w:rsidRPr="0063248C" w:rsidRDefault="00000000">
            <w:pPr>
              <w:spacing w:line="240" w:lineRule="exact"/>
              <w:jc w:val="right"/>
              <w:rPr>
                <w:rFonts w:cs="宋体"/>
                <w:sz w:val="18"/>
                <w:szCs w:val="18"/>
              </w:rPr>
            </w:pPr>
            <w:r w:rsidRPr="0063248C">
              <w:rPr>
                <w:rFonts w:cs="宋体"/>
                <w:sz w:val="18"/>
                <w:szCs w:val="18"/>
              </w:rPr>
              <w:t>903,628,173.02</w:t>
            </w:r>
          </w:p>
        </w:tc>
        <w:tc>
          <w:tcPr>
            <w:tcW w:w="1377" w:type="dxa"/>
            <w:tcBorders>
              <w:top w:val="single" w:sz="2" w:space="0" w:color="auto"/>
              <w:left w:val="single" w:sz="2" w:space="0" w:color="auto"/>
              <w:bottom w:val="single" w:sz="2" w:space="0" w:color="auto"/>
              <w:right w:val="single" w:sz="2" w:space="0" w:color="auto"/>
            </w:tcBorders>
            <w:vAlign w:val="center"/>
          </w:tcPr>
          <w:p w14:paraId="4113A70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9FB8E50" w14:textId="77777777" w:rsidR="007B3DB2" w:rsidRPr="0063248C" w:rsidRDefault="00000000">
            <w:pPr>
              <w:spacing w:line="240" w:lineRule="exact"/>
              <w:jc w:val="right"/>
              <w:rPr>
                <w:rFonts w:cs="宋体"/>
                <w:sz w:val="18"/>
                <w:szCs w:val="18"/>
              </w:rPr>
            </w:pPr>
            <w:r w:rsidRPr="0063248C">
              <w:rPr>
                <w:rFonts w:cs="宋体"/>
                <w:sz w:val="18"/>
                <w:szCs w:val="18"/>
              </w:rPr>
              <w:t>903,628,173.02</w:t>
            </w:r>
          </w:p>
        </w:tc>
        <w:tc>
          <w:tcPr>
            <w:tcW w:w="1377" w:type="dxa"/>
            <w:tcBorders>
              <w:top w:val="single" w:sz="2" w:space="0" w:color="auto"/>
              <w:left w:val="single" w:sz="2" w:space="0" w:color="auto"/>
              <w:bottom w:val="single" w:sz="2" w:space="0" w:color="auto"/>
              <w:right w:val="single" w:sz="2" w:space="0" w:color="auto"/>
            </w:tcBorders>
            <w:vAlign w:val="center"/>
          </w:tcPr>
          <w:p w14:paraId="328F6A94" w14:textId="77777777" w:rsidR="007B3DB2" w:rsidRPr="0063248C" w:rsidRDefault="00000000">
            <w:pPr>
              <w:spacing w:line="240" w:lineRule="exact"/>
              <w:jc w:val="right"/>
              <w:rPr>
                <w:rFonts w:cs="宋体"/>
                <w:sz w:val="18"/>
                <w:szCs w:val="18"/>
              </w:rPr>
            </w:pPr>
            <w:r w:rsidRPr="0063248C">
              <w:rPr>
                <w:rFonts w:cs="宋体"/>
                <w:sz w:val="18"/>
                <w:szCs w:val="18"/>
              </w:rPr>
              <w:t>919,386,014.19</w:t>
            </w:r>
          </w:p>
        </w:tc>
        <w:tc>
          <w:tcPr>
            <w:tcW w:w="1377" w:type="dxa"/>
            <w:tcBorders>
              <w:top w:val="single" w:sz="2" w:space="0" w:color="auto"/>
              <w:left w:val="single" w:sz="2" w:space="0" w:color="auto"/>
              <w:bottom w:val="single" w:sz="2" w:space="0" w:color="auto"/>
              <w:right w:val="single" w:sz="2" w:space="0" w:color="auto"/>
            </w:tcBorders>
            <w:vAlign w:val="center"/>
          </w:tcPr>
          <w:p w14:paraId="42F88F9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A9C6A2" w14:textId="77777777" w:rsidR="007B3DB2" w:rsidRPr="0063248C" w:rsidRDefault="00000000">
            <w:pPr>
              <w:spacing w:line="240" w:lineRule="exact"/>
              <w:jc w:val="right"/>
              <w:rPr>
                <w:rFonts w:cs="宋体"/>
                <w:sz w:val="18"/>
                <w:szCs w:val="18"/>
              </w:rPr>
            </w:pPr>
            <w:r w:rsidRPr="0063248C">
              <w:rPr>
                <w:rFonts w:cs="宋体"/>
                <w:sz w:val="18"/>
                <w:szCs w:val="18"/>
              </w:rPr>
              <w:t>919,386,014.19</w:t>
            </w:r>
          </w:p>
        </w:tc>
      </w:tr>
    </w:tbl>
    <w:p w14:paraId="072313DA" w14:textId="77777777" w:rsidR="007B3DB2" w:rsidRPr="0063248C" w:rsidRDefault="00000000">
      <w:pPr>
        <w:keepNext/>
        <w:keepLines/>
        <w:spacing w:before="300" w:after="300" w:line="280" w:lineRule="exact"/>
        <w:outlineLvl w:val="3"/>
        <w:rPr>
          <w:rFonts w:cs="宋体"/>
          <w:b/>
          <w:bCs/>
          <w:szCs w:val="21"/>
        </w:rPr>
      </w:pPr>
      <w:bookmarkStart w:id="277" w:name="_Toc989166"/>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重要在建工程项目本期变动情况</w:t>
      </w:r>
      <w:bookmarkEnd w:id="277"/>
    </w:p>
    <w:p w14:paraId="67BD50C2"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742"/>
        <w:gridCol w:w="742"/>
        <w:gridCol w:w="742"/>
        <w:gridCol w:w="742"/>
        <w:gridCol w:w="742"/>
        <w:gridCol w:w="742"/>
        <w:gridCol w:w="741"/>
        <w:gridCol w:w="741"/>
        <w:gridCol w:w="741"/>
        <w:gridCol w:w="741"/>
        <w:gridCol w:w="741"/>
        <w:gridCol w:w="741"/>
        <w:gridCol w:w="741"/>
      </w:tblGrid>
      <w:tr w:rsidR="007B3DB2" w:rsidRPr="0063248C" w14:paraId="5D794684"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4D01604"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DE974BE" w14:textId="77777777" w:rsidR="007B3DB2" w:rsidRPr="0063248C" w:rsidRDefault="00000000">
            <w:pPr>
              <w:spacing w:before="40" w:after="40" w:line="240" w:lineRule="exact"/>
              <w:jc w:val="center"/>
              <w:rPr>
                <w:rFonts w:cs="宋体"/>
                <w:sz w:val="18"/>
                <w:szCs w:val="18"/>
              </w:rPr>
            </w:pPr>
            <w:r w:rsidRPr="0063248C">
              <w:rPr>
                <w:rFonts w:cs="宋体"/>
                <w:sz w:val="18"/>
                <w:szCs w:val="18"/>
              </w:rPr>
              <w:t>预算数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03055F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95EE6BA"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8C67364"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本期转入固定资产金额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045AD0E"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C0CB0E1"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DEA6375" w14:textId="77777777" w:rsidR="007B3DB2" w:rsidRPr="0063248C" w:rsidRDefault="00000000">
            <w:pPr>
              <w:spacing w:before="40" w:after="40" w:line="240" w:lineRule="exact"/>
              <w:jc w:val="center"/>
              <w:rPr>
                <w:rFonts w:cs="宋体"/>
                <w:sz w:val="18"/>
                <w:szCs w:val="18"/>
              </w:rPr>
            </w:pPr>
            <w:r w:rsidRPr="0063248C">
              <w:rPr>
                <w:rFonts w:cs="宋体"/>
                <w:sz w:val="18"/>
                <w:szCs w:val="18"/>
              </w:rPr>
              <w:t>工程累计投入占预算比例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3F65ECF" w14:textId="77777777" w:rsidR="007B3DB2" w:rsidRPr="0063248C" w:rsidRDefault="00000000">
            <w:pPr>
              <w:spacing w:before="40" w:after="40" w:line="240" w:lineRule="exact"/>
              <w:jc w:val="center"/>
              <w:rPr>
                <w:rFonts w:cs="宋体"/>
                <w:sz w:val="18"/>
                <w:szCs w:val="18"/>
              </w:rPr>
            </w:pPr>
            <w:r w:rsidRPr="0063248C">
              <w:rPr>
                <w:rFonts w:cs="宋体"/>
                <w:sz w:val="18"/>
                <w:szCs w:val="18"/>
              </w:rPr>
              <w:t>工程进度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D9FD131" w14:textId="77777777" w:rsidR="007B3DB2" w:rsidRPr="0063248C" w:rsidRDefault="00000000">
            <w:pPr>
              <w:spacing w:before="40" w:after="40" w:line="240" w:lineRule="exact"/>
              <w:jc w:val="center"/>
              <w:rPr>
                <w:rFonts w:cs="宋体"/>
                <w:sz w:val="18"/>
                <w:szCs w:val="18"/>
              </w:rPr>
            </w:pPr>
            <w:r w:rsidRPr="0063248C">
              <w:rPr>
                <w:rFonts w:cs="宋体"/>
                <w:sz w:val="18"/>
                <w:szCs w:val="18"/>
              </w:rPr>
              <w:t>利息资本化累计金额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728FBCD"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其中：本期利息资本</w:t>
            </w:r>
            <w:proofErr w:type="gramStart"/>
            <w:r w:rsidRPr="0063248C">
              <w:rPr>
                <w:rFonts w:cs="宋体"/>
                <w:sz w:val="18"/>
                <w:szCs w:val="18"/>
              </w:rPr>
              <w:t>化金额</w:t>
            </w:r>
            <w:proofErr w:type="gramEnd"/>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A50A764"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本期利息资本化率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332587C" w14:textId="77777777" w:rsidR="007B3DB2" w:rsidRPr="0063248C" w:rsidRDefault="00000000">
            <w:pPr>
              <w:spacing w:before="40" w:after="40" w:line="240" w:lineRule="exact"/>
              <w:jc w:val="center"/>
              <w:rPr>
                <w:rFonts w:cs="宋体"/>
                <w:sz w:val="18"/>
                <w:szCs w:val="18"/>
              </w:rPr>
            </w:pPr>
            <w:r w:rsidRPr="0063248C">
              <w:rPr>
                <w:rFonts w:cs="宋体"/>
                <w:sz w:val="18"/>
                <w:szCs w:val="18"/>
              </w:rPr>
              <w:t>资金来源</w:t>
            </w:r>
          </w:p>
        </w:tc>
      </w:tr>
      <w:tr w:rsidR="007B3DB2" w:rsidRPr="0063248C" w14:paraId="266ED172"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0931C02" w14:textId="77777777" w:rsidR="007B3DB2" w:rsidRPr="0063248C" w:rsidRDefault="00000000">
            <w:pPr>
              <w:spacing w:line="240" w:lineRule="exact"/>
              <w:rPr>
                <w:rFonts w:cs="宋体"/>
                <w:sz w:val="18"/>
                <w:szCs w:val="18"/>
              </w:rPr>
            </w:pPr>
            <w:r w:rsidRPr="0063248C">
              <w:rPr>
                <w:rFonts w:cs="宋体"/>
                <w:sz w:val="18"/>
                <w:szCs w:val="18"/>
              </w:rPr>
              <w:t>生食下货</w:t>
            </w:r>
            <w:proofErr w:type="gramStart"/>
            <w:r w:rsidRPr="0063248C">
              <w:rPr>
                <w:rFonts w:cs="宋体"/>
                <w:sz w:val="18"/>
                <w:szCs w:val="18"/>
              </w:rPr>
              <w:t>库改造</w:t>
            </w:r>
            <w:proofErr w:type="gramEnd"/>
          </w:p>
        </w:tc>
        <w:tc>
          <w:tcPr>
            <w:tcW w:w="741" w:type="dxa"/>
            <w:tcBorders>
              <w:top w:val="single" w:sz="2" w:space="0" w:color="auto"/>
              <w:left w:val="single" w:sz="2" w:space="0" w:color="auto"/>
              <w:bottom w:val="single" w:sz="2" w:space="0" w:color="auto"/>
              <w:right w:val="single" w:sz="2" w:space="0" w:color="auto"/>
            </w:tcBorders>
            <w:vAlign w:val="center"/>
          </w:tcPr>
          <w:p w14:paraId="76A63B56" w14:textId="77777777" w:rsidR="007B3DB2" w:rsidRPr="0063248C" w:rsidRDefault="00000000">
            <w:pPr>
              <w:spacing w:line="240" w:lineRule="exact"/>
              <w:jc w:val="right"/>
              <w:rPr>
                <w:rFonts w:cs="宋体"/>
                <w:sz w:val="18"/>
                <w:szCs w:val="18"/>
              </w:rPr>
            </w:pPr>
            <w:r w:rsidRPr="0063248C">
              <w:rPr>
                <w:rFonts w:cs="宋体"/>
                <w:sz w:val="18"/>
                <w:szCs w:val="18"/>
              </w:rPr>
              <w:t>1,450,000.00</w:t>
            </w:r>
          </w:p>
        </w:tc>
        <w:tc>
          <w:tcPr>
            <w:tcW w:w="741" w:type="dxa"/>
            <w:tcBorders>
              <w:top w:val="single" w:sz="2" w:space="0" w:color="auto"/>
              <w:left w:val="single" w:sz="2" w:space="0" w:color="auto"/>
              <w:bottom w:val="single" w:sz="2" w:space="0" w:color="auto"/>
              <w:right w:val="single" w:sz="2" w:space="0" w:color="auto"/>
            </w:tcBorders>
            <w:vAlign w:val="center"/>
          </w:tcPr>
          <w:p w14:paraId="623F3E70" w14:textId="77777777" w:rsidR="007B3DB2" w:rsidRPr="0063248C" w:rsidRDefault="00000000">
            <w:pPr>
              <w:spacing w:line="240" w:lineRule="exact"/>
              <w:jc w:val="right"/>
              <w:rPr>
                <w:rFonts w:cs="宋体"/>
                <w:sz w:val="18"/>
                <w:szCs w:val="18"/>
              </w:rPr>
            </w:pPr>
            <w:r w:rsidRPr="0063248C">
              <w:rPr>
                <w:rFonts w:cs="宋体"/>
                <w:sz w:val="18"/>
                <w:szCs w:val="18"/>
              </w:rPr>
              <w:t>513,761.47</w:t>
            </w:r>
          </w:p>
        </w:tc>
        <w:tc>
          <w:tcPr>
            <w:tcW w:w="741" w:type="dxa"/>
            <w:tcBorders>
              <w:top w:val="single" w:sz="2" w:space="0" w:color="auto"/>
              <w:left w:val="single" w:sz="2" w:space="0" w:color="auto"/>
              <w:bottom w:val="single" w:sz="2" w:space="0" w:color="auto"/>
              <w:right w:val="single" w:sz="2" w:space="0" w:color="auto"/>
            </w:tcBorders>
            <w:vAlign w:val="center"/>
          </w:tcPr>
          <w:p w14:paraId="2F4B339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308019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53141B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B1DC53" w14:textId="77777777" w:rsidR="007B3DB2" w:rsidRPr="0063248C" w:rsidRDefault="00000000">
            <w:pPr>
              <w:spacing w:line="240" w:lineRule="exact"/>
              <w:jc w:val="right"/>
              <w:rPr>
                <w:rFonts w:cs="宋体"/>
                <w:sz w:val="18"/>
                <w:szCs w:val="18"/>
              </w:rPr>
            </w:pPr>
            <w:r w:rsidRPr="0063248C">
              <w:rPr>
                <w:rFonts w:cs="宋体"/>
                <w:sz w:val="18"/>
                <w:szCs w:val="18"/>
              </w:rPr>
              <w:t>513,761.47</w:t>
            </w:r>
          </w:p>
        </w:tc>
        <w:tc>
          <w:tcPr>
            <w:tcW w:w="741" w:type="dxa"/>
            <w:tcBorders>
              <w:top w:val="single" w:sz="2" w:space="0" w:color="auto"/>
              <w:left w:val="single" w:sz="2" w:space="0" w:color="auto"/>
              <w:bottom w:val="single" w:sz="2" w:space="0" w:color="auto"/>
              <w:right w:val="single" w:sz="2" w:space="0" w:color="auto"/>
            </w:tcBorders>
            <w:vAlign w:val="center"/>
          </w:tcPr>
          <w:p w14:paraId="4B5E1865" w14:textId="77777777" w:rsidR="007B3DB2" w:rsidRPr="0063248C" w:rsidRDefault="00000000">
            <w:pPr>
              <w:spacing w:line="240" w:lineRule="exact"/>
              <w:jc w:val="right"/>
              <w:rPr>
                <w:rFonts w:cs="宋体"/>
                <w:sz w:val="18"/>
                <w:szCs w:val="18"/>
              </w:rPr>
            </w:pPr>
            <w:r w:rsidRPr="0063248C">
              <w:rPr>
                <w:rFonts w:cs="宋体"/>
                <w:sz w:val="18"/>
                <w:szCs w:val="18"/>
              </w:rPr>
              <w:t>35.43%</w:t>
            </w:r>
          </w:p>
        </w:tc>
        <w:tc>
          <w:tcPr>
            <w:tcW w:w="741" w:type="dxa"/>
            <w:tcBorders>
              <w:top w:val="single" w:sz="2" w:space="0" w:color="auto"/>
              <w:left w:val="single" w:sz="2" w:space="0" w:color="auto"/>
              <w:bottom w:val="single" w:sz="2" w:space="0" w:color="auto"/>
              <w:right w:val="single" w:sz="2" w:space="0" w:color="auto"/>
            </w:tcBorders>
            <w:vAlign w:val="center"/>
          </w:tcPr>
          <w:p w14:paraId="73DAB607" w14:textId="77777777" w:rsidR="007B3DB2" w:rsidRPr="0063248C" w:rsidRDefault="00000000">
            <w:pPr>
              <w:spacing w:line="240" w:lineRule="exact"/>
              <w:rPr>
                <w:rFonts w:cs="宋体"/>
                <w:sz w:val="18"/>
                <w:szCs w:val="18"/>
              </w:rPr>
            </w:pPr>
            <w:r w:rsidRPr="0063248C">
              <w:rPr>
                <w:rFonts w:cs="宋体"/>
                <w:sz w:val="18"/>
                <w:szCs w:val="18"/>
              </w:rPr>
              <w:t>0.5</w:t>
            </w:r>
          </w:p>
        </w:tc>
        <w:tc>
          <w:tcPr>
            <w:tcW w:w="741" w:type="dxa"/>
            <w:tcBorders>
              <w:top w:val="single" w:sz="2" w:space="0" w:color="auto"/>
              <w:left w:val="single" w:sz="2" w:space="0" w:color="auto"/>
              <w:bottom w:val="single" w:sz="2" w:space="0" w:color="auto"/>
              <w:right w:val="single" w:sz="2" w:space="0" w:color="auto"/>
            </w:tcBorders>
            <w:vAlign w:val="center"/>
          </w:tcPr>
          <w:p w14:paraId="2886147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ACCF99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491060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AA210E4"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04A8AC04"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0465DB5C" w14:textId="77777777" w:rsidR="007B3DB2" w:rsidRPr="0063248C" w:rsidRDefault="00000000">
            <w:pPr>
              <w:spacing w:line="240" w:lineRule="exact"/>
              <w:rPr>
                <w:rFonts w:cs="宋体"/>
                <w:sz w:val="18"/>
                <w:szCs w:val="18"/>
              </w:rPr>
            </w:pPr>
            <w:r w:rsidRPr="0063248C">
              <w:rPr>
                <w:rFonts w:cs="宋体"/>
                <w:sz w:val="18"/>
                <w:szCs w:val="18"/>
              </w:rPr>
              <w:t>生食蓄水池</w:t>
            </w:r>
          </w:p>
        </w:tc>
        <w:tc>
          <w:tcPr>
            <w:tcW w:w="741" w:type="dxa"/>
            <w:tcBorders>
              <w:top w:val="single" w:sz="2" w:space="0" w:color="auto"/>
              <w:left w:val="single" w:sz="2" w:space="0" w:color="auto"/>
              <w:bottom w:val="single" w:sz="2" w:space="0" w:color="auto"/>
              <w:right w:val="single" w:sz="2" w:space="0" w:color="auto"/>
            </w:tcBorders>
            <w:vAlign w:val="center"/>
          </w:tcPr>
          <w:p w14:paraId="529CFCD6" w14:textId="77777777" w:rsidR="007B3DB2" w:rsidRPr="0063248C" w:rsidRDefault="00000000">
            <w:pPr>
              <w:spacing w:line="240" w:lineRule="exact"/>
              <w:jc w:val="right"/>
              <w:rPr>
                <w:rFonts w:cs="宋体"/>
                <w:sz w:val="18"/>
                <w:szCs w:val="18"/>
              </w:rPr>
            </w:pPr>
            <w:r w:rsidRPr="0063248C">
              <w:rPr>
                <w:rFonts w:cs="宋体"/>
                <w:sz w:val="18"/>
                <w:szCs w:val="18"/>
              </w:rPr>
              <w:t>1,500,000.00</w:t>
            </w:r>
          </w:p>
        </w:tc>
        <w:tc>
          <w:tcPr>
            <w:tcW w:w="741" w:type="dxa"/>
            <w:tcBorders>
              <w:top w:val="single" w:sz="2" w:space="0" w:color="auto"/>
              <w:left w:val="single" w:sz="2" w:space="0" w:color="auto"/>
              <w:bottom w:val="single" w:sz="2" w:space="0" w:color="auto"/>
              <w:right w:val="single" w:sz="2" w:space="0" w:color="auto"/>
            </w:tcBorders>
            <w:vAlign w:val="center"/>
          </w:tcPr>
          <w:p w14:paraId="6B9C8238" w14:textId="77777777" w:rsidR="007B3DB2" w:rsidRPr="0063248C" w:rsidRDefault="00000000">
            <w:pPr>
              <w:spacing w:line="240" w:lineRule="exact"/>
              <w:jc w:val="right"/>
              <w:rPr>
                <w:rFonts w:cs="宋体"/>
                <w:sz w:val="18"/>
                <w:szCs w:val="18"/>
              </w:rPr>
            </w:pPr>
            <w:r w:rsidRPr="0063248C">
              <w:rPr>
                <w:rFonts w:cs="宋体"/>
                <w:sz w:val="18"/>
                <w:szCs w:val="18"/>
              </w:rPr>
              <w:t>4,328.20</w:t>
            </w:r>
          </w:p>
        </w:tc>
        <w:tc>
          <w:tcPr>
            <w:tcW w:w="741" w:type="dxa"/>
            <w:tcBorders>
              <w:top w:val="single" w:sz="2" w:space="0" w:color="auto"/>
              <w:left w:val="single" w:sz="2" w:space="0" w:color="auto"/>
              <w:bottom w:val="single" w:sz="2" w:space="0" w:color="auto"/>
              <w:right w:val="single" w:sz="2" w:space="0" w:color="auto"/>
            </w:tcBorders>
            <w:vAlign w:val="center"/>
          </w:tcPr>
          <w:p w14:paraId="6E3C8E6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4312E5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DCB766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189389C" w14:textId="77777777" w:rsidR="007B3DB2" w:rsidRPr="0063248C" w:rsidRDefault="00000000">
            <w:pPr>
              <w:spacing w:line="240" w:lineRule="exact"/>
              <w:jc w:val="right"/>
              <w:rPr>
                <w:rFonts w:cs="宋体"/>
                <w:sz w:val="18"/>
                <w:szCs w:val="18"/>
              </w:rPr>
            </w:pPr>
            <w:r w:rsidRPr="0063248C">
              <w:rPr>
                <w:rFonts w:cs="宋体"/>
                <w:sz w:val="18"/>
                <w:szCs w:val="18"/>
              </w:rPr>
              <w:t>4,328.20</w:t>
            </w:r>
          </w:p>
        </w:tc>
        <w:tc>
          <w:tcPr>
            <w:tcW w:w="741" w:type="dxa"/>
            <w:tcBorders>
              <w:top w:val="single" w:sz="2" w:space="0" w:color="auto"/>
              <w:left w:val="single" w:sz="2" w:space="0" w:color="auto"/>
              <w:bottom w:val="single" w:sz="2" w:space="0" w:color="auto"/>
              <w:right w:val="single" w:sz="2" w:space="0" w:color="auto"/>
            </w:tcBorders>
            <w:vAlign w:val="center"/>
          </w:tcPr>
          <w:p w14:paraId="184D9C8E" w14:textId="77777777" w:rsidR="007B3DB2" w:rsidRPr="0063248C" w:rsidRDefault="00000000">
            <w:pPr>
              <w:spacing w:line="240" w:lineRule="exact"/>
              <w:jc w:val="right"/>
              <w:rPr>
                <w:rFonts w:cs="宋体"/>
                <w:sz w:val="18"/>
                <w:szCs w:val="18"/>
              </w:rPr>
            </w:pPr>
            <w:r w:rsidRPr="0063248C">
              <w:rPr>
                <w:rFonts w:cs="宋体"/>
                <w:sz w:val="18"/>
                <w:szCs w:val="18"/>
              </w:rPr>
              <w:t>0.29%</w:t>
            </w:r>
          </w:p>
        </w:tc>
        <w:tc>
          <w:tcPr>
            <w:tcW w:w="741" w:type="dxa"/>
            <w:tcBorders>
              <w:top w:val="single" w:sz="2" w:space="0" w:color="auto"/>
              <w:left w:val="single" w:sz="2" w:space="0" w:color="auto"/>
              <w:bottom w:val="single" w:sz="2" w:space="0" w:color="auto"/>
              <w:right w:val="single" w:sz="2" w:space="0" w:color="auto"/>
            </w:tcBorders>
            <w:vAlign w:val="center"/>
          </w:tcPr>
          <w:p w14:paraId="747BABEE" w14:textId="77777777" w:rsidR="007B3DB2" w:rsidRPr="0063248C" w:rsidRDefault="00000000">
            <w:pPr>
              <w:spacing w:line="240" w:lineRule="exact"/>
              <w:rPr>
                <w:rFonts w:cs="宋体"/>
                <w:sz w:val="18"/>
                <w:szCs w:val="18"/>
              </w:rPr>
            </w:pPr>
            <w:r w:rsidRPr="0063248C">
              <w:rPr>
                <w:rFonts w:cs="宋体"/>
                <w:sz w:val="18"/>
                <w:szCs w:val="18"/>
              </w:rPr>
              <w:t>0.0005</w:t>
            </w:r>
          </w:p>
        </w:tc>
        <w:tc>
          <w:tcPr>
            <w:tcW w:w="741" w:type="dxa"/>
            <w:tcBorders>
              <w:top w:val="single" w:sz="2" w:space="0" w:color="auto"/>
              <w:left w:val="single" w:sz="2" w:space="0" w:color="auto"/>
              <w:bottom w:val="single" w:sz="2" w:space="0" w:color="auto"/>
              <w:right w:val="single" w:sz="2" w:space="0" w:color="auto"/>
            </w:tcBorders>
            <w:vAlign w:val="center"/>
          </w:tcPr>
          <w:p w14:paraId="477FBA1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A126B6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AF3BF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09C3BA4"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53B77686"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55DBDA16" w14:textId="77777777" w:rsidR="007B3DB2" w:rsidRPr="0063248C" w:rsidRDefault="00000000">
            <w:pPr>
              <w:spacing w:line="240" w:lineRule="exact"/>
              <w:rPr>
                <w:rFonts w:cs="宋体"/>
                <w:sz w:val="18"/>
                <w:szCs w:val="18"/>
              </w:rPr>
            </w:pPr>
            <w:r w:rsidRPr="0063248C">
              <w:rPr>
                <w:rFonts w:cs="宋体"/>
                <w:sz w:val="18"/>
                <w:szCs w:val="18"/>
              </w:rPr>
              <w:t>酱卤车间搬迁及真空车间改造项目</w:t>
            </w:r>
          </w:p>
        </w:tc>
        <w:tc>
          <w:tcPr>
            <w:tcW w:w="741" w:type="dxa"/>
            <w:tcBorders>
              <w:top w:val="single" w:sz="2" w:space="0" w:color="auto"/>
              <w:left w:val="single" w:sz="2" w:space="0" w:color="auto"/>
              <w:bottom w:val="single" w:sz="2" w:space="0" w:color="auto"/>
              <w:right w:val="single" w:sz="2" w:space="0" w:color="auto"/>
            </w:tcBorders>
            <w:vAlign w:val="center"/>
          </w:tcPr>
          <w:p w14:paraId="6E4A7203" w14:textId="77777777" w:rsidR="007B3DB2" w:rsidRPr="0063248C" w:rsidRDefault="00000000">
            <w:pPr>
              <w:spacing w:line="240" w:lineRule="exact"/>
              <w:jc w:val="right"/>
              <w:rPr>
                <w:rFonts w:cs="宋体"/>
                <w:sz w:val="18"/>
                <w:szCs w:val="18"/>
              </w:rPr>
            </w:pPr>
            <w:r w:rsidRPr="0063248C">
              <w:rPr>
                <w:rFonts w:cs="宋体"/>
                <w:sz w:val="18"/>
                <w:szCs w:val="18"/>
              </w:rPr>
              <w:t>3,610,000.00</w:t>
            </w:r>
          </w:p>
        </w:tc>
        <w:tc>
          <w:tcPr>
            <w:tcW w:w="741" w:type="dxa"/>
            <w:tcBorders>
              <w:top w:val="single" w:sz="2" w:space="0" w:color="auto"/>
              <w:left w:val="single" w:sz="2" w:space="0" w:color="auto"/>
              <w:bottom w:val="single" w:sz="2" w:space="0" w:color="auto"/>
              <w:right w:val="single" w:sz="2" w:space="0" w:color="auto"/>
            </w:tcBorders>
            <w:vAlign w:val="center"/>
          </w:tcPr>
          <w:p w14:paraId="3904CCE2" w14:textId="77777777" w:rsidR="007B3DB2" w:rsidRPr="0063248C" w:rsidRDefault="00000000">
            <w:pPr>
              <w:spacing w:line="240" w:lineRule="exact"/>
              <w:jc w:val="right"/>
              <w:rPr>
                <w:rFonts w:cs="宋体"/>
                <w:sz w:val="18"/>
                <w:szCs w:val="18"/>
              </w:rPr>
            </w:pPr>
            <w:r w:rsidRPr="0063248C">
              <w:rPr>
                <w:rFonts w:cs="宋体"/>
                <w:sz w:val="18"/>
                <w:szCs w:val="18"/>
              </w:rPr>
              <w:t>1,482,357.15</w:t>
            </w:r>
          </w:p>
        </w:tc>
        <w:tc>
          <w:tcPr>
            <w:tcW w:w="741" w:type="dxa"/>
            <w:tcBorders>
              <w:top w:val="single" w:sz="2" w:space="0" w:color="auto"/>
              <w:left w:val="single" w:sz="2" w:space="0" w:color="auto"/>
              <w:bottom w:val="single" w:sz="2" w:space="0" w:color="auto"/>
              <w:right w:val="single" w:sz="2" w:space="0" w:color="auto"/>
            </w:tcBorders>
            <w:vAlign w:val="center"/>
          </w:tcPr>
          <w:p w14:paraId="0834D43E" w14:textId="77777777" w:rsidR="007B3DB2" w:rsidRPr="0063248C" w:rsidRDefault="00000000">
            <w:pPr>
              <w:spacing w:line="240" w:lineRule="exact"/>
              <w:jc w:val="right"/>
              <w:rPr>
                <w:rFonts w:cs="宋体"/>
                <w:sz w:val="18"/>
                <w:szCs w:val="18"/>
              </w:rPr>
            </w:pPr>
            <w:r w:rsidRPr="0063248C">
              <w:rPr>
                <w:rFonts w:cs="宋体"/>
                <w:sz w:val="18"/>
                <w:szCs w:val="18"/>
              </w:rPr>
              <w:t>908,934.80</w:t>
            </w:r>
          </w:p>
        </w:tc>
        <w:tc>
          <w:tcPr>
            <w:tcW w:w="741" w:type="dxa"/>
            <w:tcBorders>
              <w:top w:val="single" w:sz="2" w:space="0" w:color="auto"/>
              <w:left w:val="single" w:sz="2" w:space="0" w:color="auto"/>
              <w:bottom w:val="single" w:sz="2" w:space="0" w:color="auto"/>
              <w:right w:val="single" w:sz="2" w:space="0" w:color="auto"/>
            </w:tcBorders>
            <w:vAlign w:val="center"/>
          </w:tcPr>
          <w:p w14:paraId="6DBF15B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6B089A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D9DE831" w14:textId="77777777" w:rsidR="007B3DB2" w:rsidRPr="0063248C" w:rsidRDefault="00000000">
            <w:pPr>
              <w:spacing w:line="240" w:lineRule="exact"/>
              <w:jc w:val="right"/>
              <w:rPr>
                <w:rFonts w:cs="宋体"/>
                <w:sz w:val="18"/>
                <w:szCs w:val="18"/>
              </w:rPr>
            </w:pPr>
            <w:r w:rsidRPr="0063248C">
              <w:rPr>
                <w:rFonts w:cs="宋体"/>
                <w:sz w:val="18"/>
                <w:szCs w:val="18"/>
              </w:rPr>
              <w:t>2,391,291.95</w:t>
            </w:r>
          </w:p>
        </w:tc>
        <w:tc>
          <w:tcPr>
            <w:tcW w:w="741" w:type="dxa"/>
            <w:tcBorders>
              <w:top w:val="single" w:sz="2" w:space="0" w:color="auto"/>
              <w:left w:val="single" w:sz="2" w:space="0" w:color="auto"/>
              <w:bottom w:val="single" w:sz="2" w:space="0" w:color="auto"/>
              <w:right w:val="single" w:sz="2" w:space="0" w:color="auto"/>
            </w:tcBorders>
            <w:vAlign w:val="center"/>
          </w:tcPr>
          <w:p w14:paraId="3DE18ACD" w14:textId="77777777" w:rsidR="007B3DB2" w:rsidRPr="0063248C" w:rsidRDefault="00000000">
            <w:pPr>
              <w:spacing w:line="240" w:lineRule="exact"/>
              <w:jc w:val="right"/>
              <w:rPr>
                <w:rFonts w:cs="宋体"/>
                <w:sz w:val="18"/>
                <w:szCs w:val="18"/>
              </w:rPr>
            </w:pPr>
            <w:r w:rsidRPr="0063248C">
              <w:rPr>
                <w:rFonts w:cs="宋体"/>
                <w:sz w:val="18"/>
                <w:szCs w:val="18"/>
              </w:rPr>
              <w:t>66.24%</w:t>
            </w:r>
          </w:p>
        </w:tc>
        <w:tc>
          <w:tcPr>
            <w:tcW w:w="741" w:type="dxa"/>
            <w:tcBorders>
              <w:top w:val="single" w:sz="2" w:space="0" w:color="auto"/>
              <w:left w:val="single" w:sz="2" w:space="0" w:color="auto"/>
              <w:bottom w:val="single" w:sz="2" w:space="0" w:color="auto"/>
              <w:right w:val="single" w:sz="2" w:space="0" w:color="auto"/>
            </w:tcBorders>
            <w:vAlign w:val="center"/>
          </w:tcPr>
          <w:p w14:paraId="10969CA3" w14:textId="77777777" w:rsidR="007B3DB2" w:rsidRPr="0063248C" w:rsidRDefault="00000000">
            <w:pPr>
              <w:spacing w:line="240" w:lineRule="exact"/>
              <w:rPr>
                <w:rFonts w:cs="宋体"/>
                <w:sz w:val="18"/>
                <w:szCs w:val="18"/>
              </w:rPr>
            </w:pPr>
            <w:r w:rsidRPr="0063248C">
              <w:rPr>
                <w:rFonts w:cs="宋体"/>
                <w:sz w:val="18"/>
                <w:szCs w:val="18"/>
              </w:rPr>
              <w:t>0.96</w:t>
            </w:r>
          </w:p>
        </w:tc>
        <w:tc>
          <w:tcPr>
            <w:tcW w:w="741" w:type="dxa"/>
            <w:tcBorders>
              <w:top w:val="single" w:sz="2" w:space="0" w:color="auto"/>
              <w:left w:val="single" w:sz="2" w:space="0" w:color="auto"/>
              <w:bottom w:val="single" w:sz="2" w:space="0" w:color="auto"/>
              <w:right w:val="single" w:sz="2" w:space="0" w:color="auto"/>
            </w:tcBorders>
            <w:vAlign w:val="center"/>
          </w:tcPr>
          <w:p w14:paraId="7D03DB9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80C7A3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BA412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162BB47"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1484244E"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04AC374" w14:textId="77777777" w:rsidR="007B3DB2" w:rsidRPr="0063248C" w:rsidRDefault="00000000">
            <w:pPr>
              <w:spacing w:line="240" w:lineRule="exact"/>
              <w:rPr>
                <w:rFonts w:cs="宋体"/>
                <w:sz w:val="18"/>
                <w:szCs w:val="18"/>
              </w:rPr>
            </w:pPr>
            <w:r w:rsidRPr="0063248C">
              <w:rPr>
                <w:rFonts w:cs="宋体"/>
                <w:sz w:val="18"/>
                <w:szCs w:val="18"/>
              </w:rPr>
              <w:t>工厂直营冷鲜肉批零中心（莱阳工厂店）建设项目</w:t>
            </w:r>
          </w:p>
        </w:tc>
        <w:tc>
          <w:tcPr>
            <w:tcW w:w="741" w:type="dxa"/>
            <w:tcBorders>
              <w:top w:val="single" w:sz="2" w:space="0" w:color="auto"/>
              <w:left w:val="single" w:sz="2" w:space="0" w:color="auto"/>
              <w:bottom w:val="single" w:sz="2" w:space="0" w:color="auto"/>
              <w:right w:val="single" w:sz="2" w:space="0" w:color="auto"/>
            </w:tcBorders>
            <w:vAlign w:val="center"/>
          </w:tcPr>
          <w:p w14:paraId="0F390BA4" w14:textId="77777777" w:rsidR="007B3DB2" w:rsidRPr="0063248C" w:rsidRDefault="00000000">
            <w:pPr>
              <w:spacing w:line="240" w:lineRule="exact"/>
              <w:jc w:val="right"/>
              <w:rPr>
                <w:rFonts w:cs="宋体"/>
                <w:sz w:val="18"/>
                <w:szCs w:val="18"/>
              </w:rPr>
            </w:pPr>
            <w:r w:rsidRPr="0063248C">
              <w:rPr>
                <w:rFonts w:cs="宋体"/>
                <w:sz w:val="18"/>
                <w:szCs w:val="18"/>
              </w:rPr>
              <w:t>188,000.00</w:t>
            </w:r>
          </w:p>
        </w:tc>
        <w:tc>
          <w:tcPr>
            <w:tcW w:w="741" w:type="dxa"/>
            <w:tcBorders>
              <w:top w:val="single" w:sz="2" w:space="0" w:color="auto"/>
              <w:left w:val="single" w:sz="2" w:space="0" w:color="auto"/>
              <w:bottom w:val="single" w:sz="2" w:space="0" w:color="auto"/>
              <w:right w:val="single" w:sz="2" w:space="0" w:color="auto"/>
            </w:tcBorders>
            <w:vAlign w:val="center"/>
          </w:tcPr>
          <w:p w14:paraId="1A804588" w14:textId="77777777" w:rsidR="007B3DB2" w:rsidRPr="0063248C" w:rsidRDefault="00000000">
            <w:pPr>
              <w:spacing w:line="240" w:lineRule="exact"/>
              <w:jc w:val="right"/>
              <w:rPr>
                <w:rFonts w:cs="宋体"/>
                <w:sz w:val="18"/>
                <w:szCs w:val="18"/>
              </w:rPr>
            </w:pPr>
            <w:r w:rsidRPr="0063248C">
              <w:rPr>
                <w:rFonts w:cs="宋体"/>
                <w:sz w:val="18"/>
                <w:szCs w:val="18"/>
              </w:rPr>
              <w:t>34,495.41</w:t>
            </w:r>
          </w:p>
        </w:tc>
        <w:tc>
          <w:tcPr>
            <w:tcW w:w="741" w:type="dxa"/>
            <w:tcBorders>
              <w:top w:val="single" w:sz="2" w:space="0" w:color="auto"/>
              <w:left w:val="single" w:sz="2" w:space="0" w:color="auto"/>
              <w:bottom w:val="single" w:sz="2" w:space="0" w:color="auto"/>
              <w:right w:val="single" w:sz="2" w:space="0" w:color="auto"/>
            </w:tcBorders>
            <w:vAlign w:val="center"/>
          </w:tcPr>
          <w:p w14:paraId="45F839A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EC8FEA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FDD587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9973E8B" w14:textId="77777777" w:rsidR="007B3DB2" w:rsidRPr="0063248C" w:rsidRDefault="00000000">
            <w:pPr>
              <w:spacing w:line="240" w:lineRule="exact"/>
              <w:jc w:val="right"/>
              <w:rPr>
                <w:rFonts w:cs="宋体"/>
                <w:sz w:val="18"/>
                <w:szCs w:val="18"/>
              </w:rPr>
            </w:pPr>
            <w:r w:rsidRPr="0063248C">
              <w:rPr>
                <w:rFonts w:cs="宋体"/>
                <w:sz w:val="18"/>
                <w:szCs w:val="18"/>
              </w:rPr>
              <w:t>34,495.41</w:t>
            </w:r>
          </w:p>
        </w:tc>
        <w:tc>
          <w:tcPr>
            <w:tcW w:w="741" w:type="dxa"/>
            <w:tcBorders>
              <w:top w:val="single" w:sz="2" w:space="0" w:color="auto"/>
              <w:left w:val="single" w:sz="2" w:space="0" w:color="auto"/>
              <w:bottom w:val="single" w:sz="2" w:space="0" w:color="auto"/>
              <w:right w:val="single" w:sz="2" w:space="0" w:color="auto"/>
            </w:tcBorders>
            <w:vAlign w:val="center"/>
          </w:tcPr>
          <w:p w14:paraId="4A47439F" w14:textId="77777777" w:rsidR="007B3DB2" w:rsidRPr="0063248C" w:rsidRDefault="00000000">
            <w:pPr>
              <w:spacing w:line="240" w:lineRule="exact"/>
              <w:jc w:val="right"/>
              <w:rPr>
                <w:rFonts w:cs="宋体"/>
                <w:sz w:val="18"/>
                <w:szCs w:val="18"/>
              </w:rPr>
            </w:pPr>
            <w:r w:rsidRPr="0063248C">
              <w:rPr>
                <w:rFonts w:cs="宋体"/>
                <w:sz w:val="18"/>
                <w:szCs w:val="18"/>
              </w:rPr>
              <w:t>18.35%</w:t>
            </w:r>
          </w:p>
        </w:tc>
        <w:tc>
          <w:tcPr>
            <w:tcW w:w="741" w:type="dxa"/>
            <w:tcBorders>
              <w:top w:val="single" w:sz="2" w:space="0" w:color="auto"/>
              <w:left w:val="single" w:sz="2" w:space="0" w:color="auto"/>
              <w:bottom w:val="single" w:sz="2" w:space="0" w:color="auto"/>
              <w:right w:val="single" w:sz="2" w:space="0" w:color="auto"/>
            </w:tcBorders>
            <w:vAlign w:val="center"/>
          </w:tcPr>
          <w:p w14:paraId="2AF9FE88" w14:textId="77777777" w:rsidR="007B3DB2" w:rsidRPr="0063248C" w:rsidRDefault="00000000">
            <w:pPr>
              <w:spacing w:line="240" w:lineRule="exact"/>
              <w:rPr>
                <w:rFonts w:cs="宋体"/>
                <w:sz w:val="18"/>
                <w:szCs w:val="18"/>
              </w:rPr>
            </w:pPr>
            <w:r w:rsidRPr="0063248C">
              <w:rPr>
                <w:rFonts w:cs="宋体"/>
                <w:sz w:val="18"/>
                <w:szCs w:val="18"/>
              </w:rPr>
              <w:t>0.9</w:t>
            </w:r>
          </w:p>
        </w:tc>
        <w:tc>
          <w:tcPr>
            <w:tcW w:w="741" w:type="dxa"/>
            <w:tcBorders>
              <w:top w:val="single" w:sz="2" w:space="0" w:color="auto"/>
              <w:left w:val="single" w:sz="2" w:space="0" w:color="auto"/>
              <w:bottom w:val="single" w:sz="2" w:space="0" w:color="auto"/>
              <w:right w:val="single" w:sz="2" w:space="0" w:color="auto"/>
            </w:tcBorders>
            <w:vAlign w:val="center"/>
          </w:tcPr>
          <w:p w14:paraId="53A6841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6265AA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870422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5A7E18A"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0256A5F9"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2C718E84" w14:textId="77777777" w:rsidR="007B3DB2" w:rsidRPr="0063248C" w:rsidRDefault="00000000">
            <w:pPr>
              <w:spacing w:line="240" w:lineRule="exact"/>
              <w:rPr>
                <w:rFonts w:cs="宋体"/>
                <w:sz w:val="18"/>
                <w:szCs w:val="18"/>
              </w:rPr>
            </w:pPr>
            <w:r w:rsidRPr="0063248C">
              <w:rPr>
                <w:rFonts w:cs="宋体"/>
                <w:sz w:val="18"/>
                <w:szCs w:val="18"/>
              </w:rPr>
              <w:t>龙大美食数字化平台生食生产系统</w:t>
            </w:r>
          </w:p>
        </w:tc>
        <w:tc>
          <w:tcPr>
            <w:tcW w:w="741" w:type="dxa"/>
            <w:tcBorders>
              <w:top w:val="single" w:sz="2" w:space="0" w:color="auto"/>
              <w:left w:val="single" w:sz="2" w:space="0" w:color="auto"/>
              <w:bottom w:val="single" w:sz="2" w:space="0" w:color="auto"/>
              <w:right w:val="single" w:sz="2" w:space="0" w:color="auto"/>
            </w:tcBorders>
            <w:vAlign w:val="center"/>
          </w:tcPr>
          <w:p w14:paraId="1B75310D" w14:textId="77777777" w:rsidR="007B3DB2" w:rsidRPr="0063248C" w:rsidRDefault="00000000">
            <w:pPr>
              <w:spacing w:line="240" w:lineRule="exact"/>
              <w:jc w:val="right"/>
              <w:rPr>
                <w:rFonts w:cs="宋体"/>
                <w:sz w:val="18"/>
                <w:szCs w:val="18"/>
              </w:rPr>
            </w:pPr>
            <w:r w:rsidRPr="0063248C">
              <w:rPr>
                <w:rFonts w:cs="宋体"/>
                <w:sz w:val="18"/>
                <w:szCs w:val="18"/>
              </w:rPr>
              <w:t>3,720,000.00</w:t>
            </w:r>
          </w:p>
        </w:tc>
        <w:tc>
          <w:tcPr>
            <w:tcW w:w="741" w:type="dxa"/>
            <w:tcBorders>
              <w:top w:val="single" w:sz="2" w:space="0" w:color="auto"/>
              <w:left w:val="single" w:sz="2" w:space="0" w:color="auto"/>
              <w:bottom w:val="single" w:sz="2" w:space="0" w:color="auto"/>
              <w:right w:val="single" w:sz="2" w:space="0" w:color="auto"/>
            </w:tcBorders>
            <w:vAlign w:val="center"/>
          </w:tcPr>
          <w:p w14:paraId="79E7840E" w14:textId="77777777" w:rsidR="007B3DB2" w:rsidRPr="0063248C" w:rsidRDefault="00000000">
            <w:pPr>
              <w:spacing w:line="240" w:lineRule="exact"/>
              <w:jc w:val="right"/>
              <w:rPr>
                <w:rFonts w:cs="宋体"/>
                <w:sz w:val="18"/>
                <w:szCs w:val="18"/>
              </w:rPr>
            </w:pPr>
            <w:r w:rsidRPr="0063248C">
              <w:rPr>
                <w:rFonts w:cs="宋体"/>
                <w:sz w:val="18"/>
                <w:szCs w:val="18"/>
              </w:rPr>
              <w:t>732,743.36</w:t>
            </w:r>
          </w:p>
        </w:tc>
        <w:tc>
          <w:tcPr>
            <w:tcW w:w="741" w:type="dxa"/>
            <w:tcBorders>
              <w:top w:val="single" w:sz="2" w:space="0" w:color="auto"/>
              <w:left w:val="single" w:sz="2" w:space="0" w:color="auto"/>
              <w:bottom w:val="single" w:sz="2" w:space="0" w:color="auto"/>
              <w:right w:val="single" w:sz="2" w:space="0" w:color="auto"/>
            </w:tcBorders>
            <w:vAlign w:val="center"/>
          </w:tcPr>
          <w:p w14:paraId="41C2001A" w14:textId="77777777" w:rsidR="007B3DB2" w:rsidRPr="0063248C" w:rsidRDefault="00000000">
            <w:pPr>
              <w:spacing w:line="240" w:lineRule="exact"/>
              <w:jc w:val="right"/>
              <w:rPr>
                <w:rFonts w:cs="宋体"/>
                <w:sz w:val="18"/>
                <w:szCs w:val="18"/>
              </w:rPr>
            </w:pPr>
            <w:r w:rsidRPr="0063248C">
              <w:rPr>
                <w:rFonts w:cs="宋体"/>
                <w:sz w:val="18"/>
                <w:szCs w:val="18"/>
              </w:rPr>
              <w:t>244,247.79</w:t>
            </w:r>
          </w:p>
        </w:tc>
        <w:tc>
          <w:tcPr>
            <w:tcW w:w="741" w:type="dxa"/>
            <w:tcBorders>
              <w:top w:val="single" w:sz="2" w:space="0" w:color="auto"/>
              <w:left w:val="single" w:sz="2" w:space="0" w:color="auto"/>
              <w:bottom w:val="single" w:sz="2" w:space="0" w:color="auto"/>
              <w:right w:val="single" w:sz="2" w:space="0" w:color="auto"/>
            </w:tcBorders>
            <w:vAlign w:val="center"/>
          </w:tcPr>
          <w:p w14:paraId="4A8AB86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6D0B11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F269440" w14:textId="77777777" w:rsidR="007B3DB2" w:rsidRPr="0063248C" w:rsidRDefault="00000000">
            <w:pPr>
              <w:spacing w:line="240" w:lineRule="exact"/>
              <w:jc w:val="right"/>
              <w:rPr>
                <w:rFonts w:cs="宋体"/>
                <w:sz w:val="18"/>
                <w:szCs w:val="18"/>
              </w:rPr>
            </w:pPr>
            <w:r w:rsidRPr="0063248C">
              <w:rPr>
                <w:rFonts w:cs="宋体"/>
                <w:sz w:val="18"/>
                <w:szCs w:val="18"/>
              </w:rPr>
              <w:t>976,991.15</w:t>
            </w:r>
          </w:p>
        </w:tc>
        <w:tc>
          <w:tcPr>
            <w:tcW w:w="741" w:type="dxa"/>
            <w:tcBorders>
              <w:top w:val="single" w:sz="2" w:space="0" w:color="auto"/>
              <w:left w:val="single" w:sz="2" w:space="0" w:color="auto"/>
              <w:bottom w:val="single" w:sz="2" w:space="0" w:color="auto"/>
              <w:right w:val="single" w:sz="2" w:space="0" w:color="auto"/>
            </w:tcBorders>
            <w:vAlign w:val="center"/>
          </w:tcPr>
          <w:p w14:paraId="16122D60" w14:textId="77777777" w:rsidR="007B3DB2" w:rsidRPr="0063248C" w:rsidRDefault="00000000">
            <w:pPr>
              <w:spacing w:line="240" w:lineRule="exact"/>
              <w:jc w:val="right"/>
              <w:rPr>
                <w:rFonts w:cs="宋体"/>
                <w:sz w:val="18"/>
                <w:szCs w:val="18"/>
              </w:rPr>
            </w:pPr>
            <w:r w:rsidRPr="0063248C">
              <w:rPr>
                <w:rFonts w:cs="宋体"/>
                <w:sz w:val="18"/>
                <w:szCs w:val="18"/>
              </w:rPr>
              <w:t>26.26%</w:t>
            </w:r>
          </w:p>
        </w:tc>
        <w:tc>
          <w:tcPr>
            <w:tcW w:w="741" w:type="dxa"/>
            <w:tcBorders>
              <w:top w:val="single" w:sz="2" w:space="0" w:color="auto"/>
              <w:left w:val="single" w:sz="2" w:space="0" w:color="auto"/>
              <w:bottom w:val="single" w:sz="2" w:space="0" w:color="auto"/>
              <w:right w:val="single" w:sz="2" w:space="0" w:color="auto"/>
            </w:tcBorders>
            <w:vAlign w:val="center"/>
          </w:tcPr>
          <w:p w14:paraId="52637259" w14:textId="77777777" w:rsidR="007B3DB2" w:rsidRPr="0063248C" w:rsidRDefault="00000000">
            <w:pPr>
              <w:spacing w:line="240" w:lineRule="exact"/>
              <w:rPr>
                <w:rFonts w:cs="宋体"/>
                <w:sz w:val="18"/>
                <w:szCs w:val="18"/>
              </w:rPr>
            </w:pPr>
            <w:r w:rsidRPr="0063248C">
              <w:rPr>
                <w:rFonts w:cs="宋体"/>
                <w:sz w:val="18"/>
                <w:szCs w:val="18"/>
              </w:rPr>
              <w:t>0.2</w:t>
            </w:r>
          </w:p>
        </w:tc>
        <w:tc>
          <w:tcPr>
            <w:tcW w:w="741" w:type="dxa"/>
            <w:tcBorders>
              <w:top w:val="single" w:sz="2" w:space="0" w:color="auto"/>
              <w:left w:val="single" w:sz="2" w:space="0" w:color="auto"/>
              <w:bottom w:val="single" w:sz="2" w:space="0" w:color="auto"/>
              <w:right w:val="single" w:sz="2" w:space="0" w:color="auto"/>
            </w:tcBorders>
            <w:vAlign w:val="center"/>
          </w:tcPr>
          <w:p w14:paraId="4C269C3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042F82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437407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6B113EF"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4562E4DA"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5129F588" w14:textId="77777777" w:rsidR="007B3DB2" w:rsidRPr="0063248C" w:rsidRDefault="00000000">
            <w:pPr>
              <w:spacing w:line="240" w:lineRule="exact"/>
              <w:rPr>
                <w:rFonts w:cs="宋体"/>
                <w:sz w:val="18"/>
                <w:szCs w:val="18"/>
              </w:rPr>
            </w:pPr>
            <w:r w:rsidRPr="0063248C">
              <w:rPr>
                <w:rFonts w:cs="宋体"/>
                <w:sz w:val="18"/>
                <w:szCs w:val="18"/>
              </w:rPr>
              <w:t>批发部改造</w:t>
            </w:r>
          </w:p>
        </w:tc>
        <w:tc>
          <w:tcPr>
            <w:tcW w:w="741" w:type="dxa"/>
            <w:tcBorders>
              <w:top w:val="single" w:sz="2" w:space="0" w:color="auto"/>
              <w:left w:val="single" w:sz="2" w:space="0" w:color="auto"/>
              <w:bottom w:val="single" w:sz="2" w:space="0" w:color="auto"/>
              <w:right w:val="single" w:sz="2" w:space="0" w:color="auto"/>
            </w:tcBorders>
            <w:vAlign w:val="center"/>
          </w:tcPr>
          <w:p w14:paraId="51BD4577" w14:textId="77777777" w:rsidR="007B3DB2" w:rsidRPr="0063248C" w:rsidRDefault="00000000">
            <w:pPr>
              <w:spacing w:line="240" w:lineRule="exact"/>
              <w:jc w:val="right"/>
              <w:rPr>
                <w:rFonts w:cs="宋体"/>
                <w:sz w:val="18"/>
                <w:szCs w:val="18"/>
              </w:rPr>
            </w:pPr>
            <w:r w:rsidRPr="0063248C">
              <w:rPr>
                <w:rFonts w:cs="宋体"/>
                <w:sz w:val="18"/>
                <w:szCs w:val="18"/>
              </w:rPr>
              <w:t>1,500,000.00</w:t>
            </w:r>
          </w:p>
        </w:tc>
        <w:tc>
          <w:tcPr>
            <w:tcW w:w="741" w:type="dxa"/>
            <w:tcBorders>
              <w:top w:val="single" w:sz="2" w:space="0" w:color="auto"/>
              <w:left w:val="single" w:sz="2" w:space="0" w:color="auto"/>
              <w:bottom w:val="single" w:sz="2" w:space="0" w:color="auto"/>
              <w:right w:val="single" w:sz="2" w:space="0" w:color="auto"/>
            </w:tcBorders>
            <w:vAlign w:val="center"/>
          </w:tcPr>
          <w:p w14:paraId="651EB5A7" w14:textId="77777777" w:rsidR="007B3DB2" w:rsidRPr="0063248C" w:rsidRDefault="00000000">
            <w:pPr>
              <w:spacing w:line="240" w:lineRule="exact"/>
              <w:jc w:val="right"/>
              <w:rPr>
                <w:rFonts w:cs="宋体"/>
                <w:sz w:val="18"/>
                <w:szCs w:val="18"/>
              </w:rPr>
            </w:pPr>
            <w:r w:rsidRPr="0063248C">
              <w:rPr>
                <w:rFonts w:cs="宋体"/>
                <w:sz w:val="18"/>
                <w:szCs w:val="18"/>
              </w:rPr>
              <w:t>146,974.40</w:t>
            </w:r>
          </w:p>
        </w:tc>
        <w:tc>
          <w:tcPr>
            <w:tcW w:w="741" w:type="dxa"/>
            <w:tcBorders>
              <w:top w:val="single" w:sz="2" w:space="0" w:color="auto"/>
              <w:left w:val="single" w:sz="2" w:space="0" w:color="auto"/>
              <w:bottom w:val="single" w:sz="2" w:space="0" w:color="auto"/>
              <w:right w:val="single" w:sz="2" w:space="0" w:color="auto"/>
            </w:tcBorders>
            <w:vAlign w:val="center"/>
          </w:tcPr>
          <w:p w14:paraId="662BB62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5F9263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23B7FC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FA16B1B" w14:textId="77777777" w:rsidR="007B3DB2" w:rsidRPr="0063248C" w:rsidRDefault="00000000">
            <w:pPr>
              <w:spacing w:line="240" w:lineRule="exact"/>
              <w:jc w:val="right"/>
              <w:rPr>
                <w:rFonts w:cs="宋体"/>
                <w:sz w:val="18"/>
                <w:szCs w:val="18"/>
              </w:rPr>
            </w:pPr>
            <w:r w:rsidRPr="0063248C">
              <w:rPr>
                <w:rFonts w:cs="宋体"/>
                <w:sz w:val="18"/>
                <w:szCs w:val="18"/>
              </w:rPr>
              <w:t>146,974.40</w:t>
            </w:r>
          </w:p>
        </w:tc>
        <w:tc>
          <w:tcPr>
            <w:tcW w:w="741" w:type="dxa"/>
            <w:tcBorders>
              <w:top w:val="single" w:sz="2" w:space="0" w:color="auto"/>
              <w:left w:val="single" w:sz="2" w:space="0" w:color="auto"/>
              <w:bottom w:val="single" w:sz="2" w:space="0" w:color="auto"/>
              <w:right w:val="single" w:sz="2" w:space="0" w:color="auto"/>
            </w:tcBorders>
            <w:vAlign w:val="center"/>
          </w:tcPr>
          <w:p w14:paraId="5E96A9AC" w14:textId="77777777" w:rsidR="007B3DB2" w:rsidRPr="0063248C" w:rsidRDefault="00000000">
            <w:pPr>
              <w:spacing w:line="240" w:lineRule="exact"/>
              <w:jc w:val="right"/>
              <w:rPr>
                <w:rFonts w:cs="宋体"/>
                <w:sz w:val="18"/>
                <w:szCs w:val="18"/>
              </w:rPr>
            </w:pPr>
            <w:r w:rsidRPr="0063248C">
              <w:rPr>
                <w:rFonts w:cs="宋体"/>
                <w:sz w:val="18"/>
                <w:szCs w:val="18"/>
              </w:rPr>
              <w:t>9.80%</w:t>
            </w:r>
          </w:p>
        </w:tc>
        <w:tc>
          <w:tcPr>
            <w:tcW w:w="741" w:type="dxa"/>
            <w:tcBorders>
              <w:top w:val="single" w:sz="2" w:space="0" w:color="auto"/>
              <w:left w:val="single" w:sz="2" w:space="0" w:color="auto"/>
              <w:bottom w:val="single" w:sz="2" w:space="0" w:color="auto"/>
              <w:right w:val="single" w:sz="2" w:space="0" w:color="auto"/>
            </w:tcBorders>
            <w:vAlign w:val="center"/>
          </w:tcPr>
          <w:p w14:paraId="54F81488" w14:textId="77777777" w:rsidR="007B3DB2" w:rsidRPr="0063248C" w:rsidRDefault="00000000">
            <w:pPr>
              <w:spacing w:line="240" w:lineRule="exact"/>
              <w:rPr>
                <w:rFonts w:cs="宋体"/>
                <w:sz w:val="18"/>
                <w:szCs w:val="18"/>
              </w:rPr>
            </w:pPr>
            <w:r w:rsidRPr="0063248C">
              <w:rPr>
                <w:rFonts w:cs="宋体"/>
                <w:sz w:val="18"/>
                <w:szCs w:val="18"/>
              </w:rPr>
              <w:t>0.9</w:t>
            </w:r>
          </w:p>
        </w:tc>
        <w:tc>
          <w:tcPr>
            <w:tcW w:w="741" w:type="dxa"/>
            <w:tcBorders>
              <w:top w:val="single" w:sz="2" w:space="0" w:color="auto"/>
              <w:left w:val="single" w:sz="2" w:space="0" w:color="auto"/>
              <w:bottom w:val="single" w:sz="2" w:space="0" w:color="auto"/>
              <w:right w:val="single" w:sz="2" w:space="0" w:color="auto"/>
            </w:tcBorders>
            <w:vAlign w:val="center"/>
          </w:tcPr>
          <w:p w14:paraId="4C38989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241F9D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81AC76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65FD45E"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3B58BF3E"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7DF25CB4" w14:textId="77777777" w:rsidR="007B3DB2" w:rsidRPr="0063248C" w:rsidRDefault="00000000">
            <w:pPr>
              <w:spacing w:line="240" w:lineRule="exact"/>
              <w:rPr>
                <w:rFonts w:cs="宋体"/>
                <w:sz w:val="18"/>
                <w:szCs w:val="18"/>
              </w:rPr>
            </w:pPr>
            <w:r w:rsidRPr="0063248C">
              <w:rPr>
                <w:rFonts w:cs="宋体"/>
                <w:sz w:val="18"/>
                <w:szCs w:val="18"/>
              </w:rPr>
              <w:t>预制菜研发检测车间项目</w:t>
            </w:r>
          </w:p>
        </w:tc>
        <w:tc>
          <w:tcPr>
            <w:tcW w:w="741" w:type="dxa"/>
            <w:tcBorders>
              <w:top w:val="single" w:sz="2" w:space="0" w:color="auto"/>
              <w:left w:val="single" w:sz="2" w:space="0" w:color="auto"/>
              <w:bottom w:val="single" w:sz="2" w:space="0" w:color="auto"/>
              <w:right w:val="single" w:sz="2" w:space="0" w:color="auto"/>
            </w:tcBorders>
            <w:vAlign w:val="center"/>
          </w:tcPr>
          <w:p w14:paraId="55DB599A" w14:textId="77777777" w:rsidR="007B3DB2" w:rsidRPr="0063248C" w:rsidRDefault="00000000">
            <w:pPr>
              <w:spacing w:line="240" w:lineRule="exact"/>
              <w:jc w:val="right"/>
              <w:rPr>
                <w:rFonts w:cs="宋体"/>
                <w:sz w:val="18"/>
                <w:szCs w:val="18"/>
              </w:rPr>
            </w:pPr>
            <w:r w:rsidRPr="0063248C">
              <w:rPr>
                <w:rFonts w:cs="宋体"/>
                <w:sz w:val="18"/>
                <w:szCs w:val="18"/>
              </w:rPr>
              <w:t>6,000,000.00</w:t>
            </w:r>
          </w:p>
        </w:tc>
        <w:tc>
          <w:tcPr>
            <w:tcW w:w="741" w:type="dxa"/>
            <w:tcBorders>
              <w:top w:val="single" w:sz="2" w:space="0" w:color="auto"/>
              <w:left w:val="single" w:sz="2" w:space="0" w:color="auto"/>
              <w:bottom w:val="single" w:sz="2" w:space="0" w:color="auto"/>
              <w:right w:val="single" w:sz="2" w:space="0" w:color="auto"/>
            </w:tcBorders>
            <w:vAlign w:val="center"/>
          </w:tcPr>
          <w:p w14:paraId="5B095EA8" w14:textId="77777777" w:rsidR="007B3DB2" w:rsidRPr="0063248C" w:rsidRDefault="00000000">
            <w:pPr>
              <w:spacing w:line="240" w:lineRule="exact"/>
              <w:jc w:val="right"/>
              <w:rPr>
                <w:rFonts w:cs="宋体"/>
                <w:sz w:val="18"/>
                <w:szCs w:val="18"/>
              </w:rPr>
            </w:pPr>
            <w:r w:rsidRPr="0063248C">
              <w:rPr>
                <w:rFonts w:cs="宋体"/>
                <w:sz w:val="18"/>
                <w:szCs w:val="18"/>
              </w:rPr>
              <w:t>20,361.93</w:t>
            </w:r>
          </w:p>
        </w:tc>
        <w:tc>
          <w:tcPr>
            <w:tcW w:w="741" w:type="dxa"/>
            <w:tcBorders>
              <w:top w:val="single" w:sz="2" w:space="0" w:color="auto"/>
              <w:left w:val="single" w:sz="2" w:space="0" w:color="auto"/>
              <w:bottom w:val="single" w:sz="2" w:space="0" w:color="auto"/>
              <w:right w:val="single" w:sz="2" w:space="0" w:color="auto"/>
            </w:tcBorders>
            <w:vAlign w:val="center"/>
          </w:tcPr>
          <w:p w14:paraId="11813A96" w14:textId="77777777" w:rsidR="007B3DB2" w:rsidRPr="0063248C" w:rsidRDefault="00000000">
            <w:pPr>
              <w:spacing w:line="240" w:lineRule="exact"/>
              <w:jc w:val="right"/>
              <w:rPr>
                <w:rFonts w:cs="宋体"/>
                <w:sz w:val="18"/>
                <w:szCs w:val="18"/>
              </w:rPr>
            </w:pPr>
            <w:r w:rsidRPr="0063248C">
              <w:rPr>
                <w:rFonts w:cs="宋体"/>
                <w:sz w:val="18"/>
                <w:szCs w:val="18"/>
              </w:rPr>
              <w:t>1,032,386.78</w:t>
            </w:r>
          </w:p>
        </w:tc>
        <w:tc>
          <w:tcPr>
            <w:tcW w:w="741" w:type="dxa"/>
            <w:tcBorders>
              <w:top w:val="single" w:sz="2" w:space="0" w:color="auto"/>
              <w:left w:val="single" w:sz="2" w:space="0" w:color="auto"/>
              <w:bottom w:val="single" w:sz="2" w:space="0" w:color="auto"/>
              <w:right w:val="single" w:sz="2" w:space="0" w:color="auto"/>
            </w:tcBorders>
            <w:vAlign w:val="center"/>
          </w:tcPr>
          <w:p w14:paraId="25B1410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C181CF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41BA90F" w14:textId="77777777" w:rsidR="007B3DB2" w:rsidRPr="0063248C" w:rsidRDefault="00000000">
            <w:pPr>
              <w:spacing w:line="240" w:lineRule="exact"/>
              <w:jc w:val="right"/>
              <w:rPr>
                <w:rFonts w:cs="宋体"/>
                <w:sz w:val="18"/>
                <w:szCs w:val="18"/>
              </w:rPr>
            </w:pPr>
            <w:r w:rsidRPr="0063248C">
              <w:rPr>
                <w:rFonts w:cs="宋体"/>
                <w:sz w:val="18"/>
                <w:szCs w:val="18"/>
              </w:rPr>
              <w:t>1,052,748.71</w:t>
            </w:r>
          </w:p>
        </w:tc>
        <w:tc>
          <w:tcPr>
            <w:tcW w:w="741" w:type="dxa"/>
            <w:tcBorders>
              <w:top w:val="single" w:sz="2" w:space="0" w:color="auto"/>
              <w:left w:val="single" w:sz="2" w:space="0" w:color="auto"/>
              <w:bottom w:val="single" w:sz="2" w:space="0" w:color="auto"/>
              <w:right w:val="single" w:sz="2" w:space="0" w:color="auto"/>
            </w:tcBorders>
            <w:vAlign w:val="center"/>
          </w:tcPr>
          <w:p w14:paraId="14319E49" w14:textId="77777777" w:rsidR="007B3DB2" w:rsidRPr="0063248C" w:rsidRDefault="00000000">
            <w:pPr>
              <w:spacing w:line="240" w:lineRule="exact"/>
              <w:jc w:val="right"/>
              <w:rPr>
                <w:rFonts w:cs="宋体"/>
                <w:sz w:val="18"/>
                <w:szCs w:val="18"/>
              </w:rPr>
            </w:pPr>
            <w:r w:rsidRPr="0063248C">
              <w:rPr>
                <w:rFonts w:cs="宋体"/>
                <w:sz w:val="18"/>
                <w:szCs w:val="18"/>
              </w:rPr>
              <w:t>17.55%</w:t>
            </w:r>
          </w:p>
        </w:tc>
        <w:tc>
          <w:tcPr>
            <w:tcW w:w="741" w:type="dxa"/>
            <w:tcBorders>
              <w:top w:val="single" w:sz="2" w:space="0" w:color="auto"/>
              <w:left w:val="single" w:sz="2" w:space="0" w:color="auto"/>
              <w:bottom w:val="single" w:sz="2" w:space="0" w:color="auto"/>
              <w:right w:val="single" w:sz="2" w:space="0" w:color="auto"/>
            </w:tcBorders>
            <w:vAlign w:val="center"/>
          </w:tcPr>
          <w:p w14:paraId="4E921755" w14:textId="77777777" w:rsidR="007B3DB2" w:rsidRPr="0063248C" w:rsidRDefault="00000000">
            <w:pPr>
              <w:spacing w:line="240" w:lineRule="exact"/>
              <w:rPr>
                <w:rFonts w:cs="宋体"/>
                <w:sz w:val="18"/>
                <w:szCs w:val="18"/>
              </w:rPr>
            </w:pPr>
            <w:r w:rsidRPr="0063248C">
              <w:rPr>
                <w:rFonts w:cs="宋体"/>
                <w:sz w:val="18"/>
                <w:szCs w:val="18"/>
              </w:rPr>
              <w:t>0.25</w:t>
            </w:r>
          </w:p>
        </w:tc>
        <w:tc>
          <w:tcPr>
            <w:tcW w:w="741" w:type="dxa"/>
            <w:tcBorders>
              <w:top w:val="single" w:sz="2" w:space="0" w:color="auto"/>
              <w:left w:val="single" w:sz="2" w:space="0" w:color="auto"/>
              <w:bottom w:val="single" w:sz="2" w:space="0" w:color="auto"/>
              <w:right w:val="single" w:sz="2" w:space="0" w:color="auto"/>
            </w:tcBorders>
            <w:vAlign w:val="center"/>
          </w:tcPr>
          <w:p w14:paraId="5595F64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51649A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31369A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AC9D0B6"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18F02FAD"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56AD814B" w14:textId="77777777" w:rsidR="007B3DB2" w:rsidRPr="0063248C" w:rsidRDefault="00000000">
            <w:pPr>
              <w:spacing w:line="240" w:lineRule="exact"/>
              <w:rPr>
                <w:rFonts w:cs="宋体"/>
                <w:sz w:val="18"/>
                <w:szCs w:val="18"/>
              </w:rPr>
            </w:pPr>
            <w:r w:rsidRPr="0063248C">
              <w:rPr>
                <w:rFonts w:cs="宋体"/>
                <w:sz w:val="18"/>
                <w:szCs w:val="18"/>
              </w:rPr>
              <w:t>生食莱</w:t>
            </w:r>
            <w:r w:rsidRPr="0063248C">
              <w:rPr>
                <w:rFonts w:cs="宋体"/>
                <w:sz w:val="18"/>
                <w:szCs w:val="18"/>
              </w:rPr>
              <w:lastRenderedPageBreak/>
              <w:t>阳工厂蒸发冷凝器项目</w:t>
            </w:r>
          </w:p>
        </w:tc>
        <w:tc>
          <w:tcPr>
            <w:tcW w:w="741" w:type="dxa"/>
            <w:tcBorders>
              <w:top w:val="single" w:sz="2" w:space="0" w:color="auto"/>
              <w:left w:val="single" w:sz="2" w:space="0" w:color="auto"/>
              <w:bottom w:val="single" w:sz="2" w:space="0" w:color="auto"/>
              <w:right w:val="single" w:sz="2" w:space="0" w:color="auto"/>
            </w:tcBorders>
            <w:vAlign w:val="center"/>
          </w:tcPr>
          <w:p w14:paraId="5945F6EE" w14:textId="77777777" w:rsidR="007B3DB2" w:rsidRPr="0063248C" w:rsidRDefault="00000000">
            <w:pPr>
              <w:spacing w:line="240" w:lineRule="exact"/>
              <w:jc w:val="right"/>
              <w:rPr>
                <w:rFonts w:cs="宋体"/>
                <w:sz w:val="18"/>
                <w:szCs w:val="18"/>
              </w:rPr>
            </w:pPr>
            <w:r w:rsidRPr="0063248C">
              <w:rPr>
                <w:rFonts w:cs="宋体"/>
                <w:sz w:val="18"/>
                <w:szCs w:val="18"/>
              </w:rPr>
              <w:lastRenderedPageBreak/>
              <w:t>230,000</w:t>
            </w:r>
            <w:r w:rsidRPr="0063248C">
              <w:rPr>
                <w:rFonts w:cs="宋体"/>
                <w:sz w:val="18"/>
                <w:szCs w:val="18"/>
              </w:rPr>
              <w:lastRenderedPageBreak/>
              <w:t>.00</w:t>
            </w:r>
          </w:p>
        </w:tc>
        <w:tc>
          <w:tcPr>
            <w:tcW w:w="741" w:type="dxa"/>
            <w:tcBorders>
              <w:top w:val="single" w:sz="2" w:space="0" w:color="auto"/>
              <w:left w:val="single" w:sz="2" w:space="0" w:color="auto"/>
              <w:bottom w:val="single" w:sz="2" w:space="0" w:color="auto"/>
              <w:right w:val="single" w:sz="2" w:space="0" w:color="auto"/>
            </w:tcBorders>
            <w:vAlign w:val="center"/>
          </w:tcPr>
          <w:p w14:paraId="6C1EFCB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BD327FD" w14:textId="77777777" w:rsidR="007B3DB2" w:rsidRPr="0063248C" w:rsidRDefault="00000000">
            <w:pPr>
              <w:spacing w:line="240" w:lineRule="exact"/>
              <w:jc w:val="right"/>
              <w:rPr>
                <w:rFonts w:cs="宋体"/>
                <w:sz w:val="18"/>
                <w:szCs w:val="18"/>
              </w:rPr>
            </w:pPr>
            <w:r w:rsidRPr="0063248C">
              <w:rPr>
                <w:rFonts w:cs="宋体"/>
                <w:sz w:val="18"/>
                <w:szCs w:val="18"/>
              </w:rPr>
              <w:t>123,893</w:t>
            </w:r>
            <w:r w:rsidRPr="0063248C">
              <w:rPr>
                <w:rFonts w:cs="宋体"/>
                <w:sz w:val="18"/>
                <w:szCs w:val="18"/>
              </w:rPr>
              <w:lastRenderedPageBreak/>
              <w:t>.81</w:t>
            </w:r>
          </w:p>
        </w:tc>
        <w:tc>
          <w:tcPr>
            <w:tcW w:w="741" w:type="dxa"/>
            <w:tcBorders>
              <w:top w:val="single" w:sz="2" w:space="0" w:color="auto"/>
              <w:left w:val="single" w:sz="2" w:space="0" w:color="auto"/>
              <w:bottom w:val="single" w:sz="2" w:space="0" w:color="auto"/>
              <w:right w:val="single" w:sz="2" w:space="0" w:color="auto"/>
            </w:tcBorders>
            <w:vAlign w:val="center"/>
          </w:tcPr>
          <w:p w14:paraId="6EB217C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4846A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CCA4DA8" w14:textId="77777777" w:rsidR="007B3DB2" w:rsidRPr="0063248C" w:rsidRDefault="00000000">
            <w:pPr>
              <w:spacing w:line="240" w:lineRule="exact"/>
              <w:jc w:val="right"/>
              <w:rPr>
                <w:rFonts w:cs="宋体"/>
                <w:sz w:val="18"/>
                <w:szCs w:val="18"/>
              </w:rPr>
            </w:pPr>
            <w:r w:rsidRPr="0063248C">
              <w:rPr>
                <w:rFonts w:cs="宋体"/>
                <w:sz w:val="18"/>
                <w:szCs w:val="18"/>
              </w:rPr>
              <w:t>123,893</w:t>
            </w:r>
            <w:r w:rsidRPr="0063248C">
              <w:rPr>
                <w:rFonts w:cs="宋体"/>
                <w:sz w:val="18"/>
                <w:szCs w:val="18"/>
              </w:rPr>
              <w:lastRenderedPageBreak/>
              <w:t>.81</w:t>
            </w:r>
          </w:p>
        </w:tc>
        <w:tc>
          <w:tcPr>
            <w:tcW w:w="741" w:type="dxa"/>
            <w:tcBorders>
              <w:top w:val="single" w:sz="2" w:space="0" w:color="auto"/>
              <w:left w:val="single" w:sz="2" w:space="0" w:color="auto"/>
              <w:bottom w:val="single" w:sz="2" w:space="0" w:color="auto"/>
              <w:right w:val="single" w:sz="2" w:space="0" w:color="auto"/>
            </w:tcBorders>
            <w:vAlign w:val="center"/>
          </w:tcPr>
          <w:p w14:paraId="4811DE3A" w14:textId="77777777" w:rsidR="007B3DB2" w:rsidRPr="0063248C" w:rsidRDefault="00000000">
            <w:pPr>
              <w:spacing w:line="240" w:lineRule="exact"/>
              <w:jc w:val="right"/>
              <w:rPr>
                <w:rFonts w:cs="宋体"/>
                <w:sz w:val="18"/>
                <w:szCs w:val="18"/>
              </w:rPr>
            </w:pPr>
            <w:r w:rsidRPr="0063248C">
              <w:rPr>
                <w:rFonts w:cs="宋体"/>
                <w:sz w:val="18"/>
                <w:szCs w:val="18"/>
              </w:rPr>
              <w:lastRenderedPageBreak/>
              <w:t>53.87%</w:t>
            </w:r>
          </w:p>
        </w:tc>
        <w:tc>
          <w:tcPr>
            <w:tcW w:w="741" w:type="dxa"/>
            <w:tcBorders>
              <w:top w:val="single" w:sz="2" w:space="0" w:color="auto"/>
              <w:left w:val="single" w:sz="2" w:space="0" w:color="auto"/>
              <w:bottom w:val="single" w:sz="2" w:space="0" w:color="auto"/>
              <w:right w:val="single" w:sz="2" w:space="0" w:color="auto"/>
            </w:tcBorders>
            <w:vAlign w:val="center"/>
          </w:tcPr>
          <w:p w14:paraId="708739C0" w14:textId="77777777" w:rsidR="007B3DB2" w:rsidRPr="0063248C" w:rsidRDefault="00000000">
            <w:pPr>
              <w:spacing w:line="240" w:lineRule="exact"/>
              <w:rPr>
                <w:rFonts w:cs="宋体"/>
                <w:sz w:val="18"/>
                <w:szCs w:val="18"/>
              </w:rPr>
            </w:pPr>
            <w:r w:rsidRPr="0063248C">
              <w:rPr>
                <w:rFonts w:cs="宋体"/>
                <w:sz w:val="18"/>
                <w:szCs w:val="18"/>
              </w:rPr>
              <w:t>0.5</w:t>
            </w:r>
          </w:p>
        </w:tc>
        <w:tc>
          <w:tcPr>
            <w:tcW w:w="741" w:type="dxa"/>
            <w:tcBorders>
              <w:top w:val="single" w:sz="2" w:space="0" w:color="auto"/>
              <w:left w:val="single" w:sz="2" w:space="0" w:color="auto"/>
              <w:bottom w:val="single" w:sz="2" w:space="0" w:color="auto"/>
              <w:right w:val="single" w:sz="2" w:space="0" w:color="auto"/>
            </w:tcBorders>
            <w:vAlign w:val="center"/>
          </w:tcPr>
          <w:p w14:paraId="0EBF5D0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E61C7E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83F301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B244176"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7390E5EB"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5161B13A" w14:textId="77777777" w:rsidR="007B3DB2" w:rsidRPr="0063248C" w:rsidRDefault="00000000">
            <w:pPr>
              <w:spacing w:line="240" w:lineRule="exact"/>
              <w:rPr>
                <w:rFonts w:cs="宋体"/>
                <w:sz w:val="18"/>
                <w:szCs w:val="18"/>
              </w:rPr>
            </w:pPr>
            <w:r w:rsidRPr="0063248C">
              <w:rPr>
                <w:rFonts w:cs="宋体"/>
                <w:sz w:val="18"/>
                <w:szCs w:val="18"/>
              </w:rPr>
              <w:t>数字化费控管理系统</w:t>
            </w:r>
          </w:p>
        </w:tc>
        <w:tc>
          <w:tcPr>
            <w:tcW w:w="741" w:type="dxa"/>
            <w:tcBorders>
              <w:top w:val="single" w:sz="2" w:space="0" w:color="auto"/>
              <w:left w:val="single" w:sz="2" w:space="0" w:color="auto"/>
              <w:bottom w:val="single" w:sz="2" w:space="0" w:color="auto"/>
              <w:right w:val="single" w:sz="2" w:space="0" w:color="auto"/>
            </w:tcBorders>
            <w:vAlign w:val="center"/>
          </w:tcPr>
          <w:p w14:paraId="2BD8CC72" w14:textId="77777777" w:rsidR="007B3DB2" w:rsidRPr="0063248C" w:rsidRDefault="00000000">
            <w:pPr>
              <w:spacing w:line="240" w:lineRule="exact"/>
              <w:jc w:val="right"/>
              <w:rPr>
                <w:rFonts w:cs="宋体"/>
                <w:sz w:val="18"/>
                <w:szCs w:val="18"/>
              </w:rPr>
            </w:pPr>
            <w:r w:rsidRPr="0063248C">
              <w:rPr>
                <w:rFonts w:cs="宋体"/>
                <w:sz w:val="18"/>
                <w:szCs w:val="18"/>
              </w:rPr>
              <w:t>300,000.00</w:t>
            </w:r>
          </w:p>
        </w:tc>
        <w:tc>
          <w:tcPr>
            <w:tcW w:w="741" w:type="dxa"/>
            <w:tcBorders>
              <w:top w:val="single" w:sz="2" w:space="0" w:color="auto"/>
              <w:left w:val="single" w:sz="2" w:space="0" w:color="auto"/>
              <w:bottom w:val="single" w:sz="2" w:space="0" w:color="auto"/>
              <w:right w:val="single" w:sz="2" w:space="0" w:color="auto"/>
            </w:tcBorders>
            <w:vAlign w:val="center"/>
          </w:tcPr>
          <w:p w14:paraId="37280B1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63ECE8C" w14:textId="77777777" w:rsidR="007B3DB2" w:rsidRPr="0063248C" w:rsidRDefault="00000000">
            <w:pPr>
              <w:spacing w:line="240" w:lineRule="exact"/>
              <w:jc w:val="right"/>
              <w:rPr>
                <w:rFonts w:cs="宋体"/>
                <w:sz w:val="18"/>
                <w:szCs w:val="18"/>
              </w:rPr>
            </w:pPr>
            <w:r w:rsidRPr="0063248C">
              <w:rPr>
                <w:rFonts w:cs="宋体"/>
                <w:sz w:val="18"/>
                <w:szCs w:val="18"/>
              </w:rPr>
              <w:t>104,716.98</w:t>
            </w:r>
          </w:p>
        </w:tc>
        <w:tc>
          <w:tcPr>
            <w:tcW w:w="741" w:type="dxa"/>
            <w:tcBorders>
              <w:top w:val="single" w:sz="2" w:space="0" w:color="auto"/>
              <w:left w:val="single" w:sz="2" w:space="0" w:color="auto"/>
              <w:bottom w:val="single" w:sz="2" w:space="0" w:color="auto"/>
              <w:right w:val="single" w:sz="2" w:space="0" w:color="auto"/>
            </w:tcBorders>
            <w:vAlign w:val="center"/>
          </w:tcPr>
          <w:p w14:paraId="02868C2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EBA9B7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EAF707" w14:textId="77777777" w:rsidR="007B3DB2" w:rsidRPr="0063248C" w:rsidRDefault="00000000">
            <w:pPr>
              <w:spacing w:line="240" w:lineRule="exact"/>
              <w:jc w:val="right"/>
              <w:rPr>
                <w:rFonts w:cs="宋体"/>
                <w:sz w:val="18"/>
                <w:szCs w:val="18"/>
              </w:rPr>
            </w:pPr>
            <w:r w:rsidRPr="0063248C">
              <w:rPr>
                <w:rFonts w:cs="宋体"/>
                <w:sz w:val="18"/>
                <w:szCs w:val="18"/>
              </w:rPr>
              <w:t>104,716.98</w:t>
            </w:r>
          </w:p>
        </w:tc>
        <w:tc>
          <w:tcPr>
            <w:tcW w:w="741" w:type="dxa"/>
            <w:tcBorders>
              <w:top w:val="single" w:sz="2" w:space="0" w:color="auto"/>
              <w:left w:val="single" w:sz="2" w:space="0" w:color="auto"/>
              <w:bottom w:val="single" w:sz="2" w:space="0" w:color="auto"/>
              <w:right w:val="single" w:sz="2" w:space="0" w:color="auto"/>
            </w:tcBorders>
            <w:vAlign w:val="center"/>
          </w:tcPr>
          <w:p w14:paraId="6C13AD5E" w14:textId="77777777" w:rsidR="007B3DB2" w:rsidRPr="0063248C" w:rsidRDefault="00000000">
            <w:pPr>
              <w:spacing w:line="240" w:lineRule="exact"/>
              <w:jc w:val="right"/>
              <w:rPr>
                <w:rFonts w:cs="宋体"/>
                <w:sz w:val="18"/>
                <w:szCs w:val="18"/>
              </w:rPr>
            </w:pPr>
            <w:r w:rsidRPr="0063248C">
              <w:rPr>
                <w:rFonts w:cs="宋体"/>
                <w:sz w:val="18"/>
                <w:szCs w:val="18"/>
              </w:rPr>
              <w:t>34.91%</w:t>
            </w:r>
          </w:p>
        </w:tc>
        <w:tc>
          <w:tcPr>
            <w:tcW w:w="741" w:type="dxa"/>
            <w:tcBorders>
              <w:top w:val="single" w:sz="2" w:space="0" w:color="auto"/>
              <w:left w:val="single" w:sz="2" w:space="0" w:color="auto"/>
              <w:bottom w:val="single" w:sz="2" w:space="0" w:color="auto"/>
              <w:right w:val="single" w:sz="2" w:space="0" w:color="auto"/>
            </w:tcBorders>
            <w:vAlign w:val="center"/>
          </w:tcPr>
          <w:p w14:paraId="49EEE995" w14:textId="77777777" w:rsidR="007B3DB2" w:rsidRPr="0063248C" w:rsidRDefault="00000000">
            <w:pPr>
              <w:spacing w:line="240" w:lineRule="exact"/>
              <w:rPr>
                <w:rFonts w:cs="宋体"/>
                <w:sz w:val="18"/>
                <w:szCs w:val="18"/>
              </w:rPr>
            </w:pPr>
            <w:r w:rsidRPr="0063248C">
              <w:rPr>
                <w:rFonts w:cs="宋体"/>
                <w:sz w:val="18"/>
                <w:szCs w:val="18"/>
              </w:rPr>
              <w:t>0.5</w:t>
            </w:r>
          </w:p>
        </w:tc>
        <w:tc>
          <w:tcPr>
            <w:tcW w:w="741" w:type="dxa"/>
            <w:tcBorders>
              <w:top w:val="single" w:sz="2" w:space="0" w:color="auto"/>
              <w:left w:val="single" w:sz="2" w:space="0" w:color="auto"/>
              <w:bottom w:val="single" w:sz="2" w:space="0" w:color="auto"/>
              <w:right w:val="single" w:sz="2" w:space="0" w:color="auto"/>
            </w:tcBorders>
            <w:vAlign w:val="center"/>
          </w:tcPr>
          <w:p w14:paraId="6D83CB7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421D2B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09CECA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F3085FC"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3EEE97BD"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8D14C41" w14:textId="77777777" w:rsidR="007B3DB2" w:rsidRPr="0063248C" w:rsidRDefault="00000000">
            <w:pPr>
              <w:spacing w:line="240" w:lineRule="exact"/>
              <w:rPr>
                <w:rFonts w:cs="宋体"/>
                <w:sz w:val="18"/>
                <w:szCs w:val="18"/>
              </w:rPr>
            </w:pPr>
            <w:r w:rsidRPr="0063248C">
              <w:rPr>
                <w:rFonts w:cs="宋体"/>
                <w:sz w:val="18"/>
                <w:szCs w:val="18"/>
              </w:rPr>
              <w:t>信息技术开发项目</w:t>
            </w:r>
          </w:p>
        </w:tc>
        <w:tc>
          <w:tcPr>
            <w:tcW w:w="741" w:type="dxa"/>
            <w:tcBorders>
              <w:top w:val="single" w:sz="2" w:space="0" w:color="auto"/>
              <w:left w:val="single" w:sz="2" w:space="0" w:color="auto"/>
              <w:bottom w:val="single" w:sz="2" w:space="0" w:color="auto"/>
              <w:right w:val="single" w:sz="2" w:space="0" w:color="auto"/>
            </w:tcBorders>
            <w:vAlign w:val="center"/>
          </w:tcPr>
          <w:p w14:paraId="30671209" w14:textId="77777777" w:rsidR="007B3DB2" w:rsidRPr="0063248C" w:rsidRDefault="00000000">
            <w:pPr>
              <w:spacing w:line="240" w:lineRule="exact"/>
              <w:jc w:val="right"/>
              <w:rPr>
                <w:rFonts w:cs="宋体"/>
                <w:sz w:val="18"/>
                <w:szCs w:val="18"/>
              </w:rPr>
            </w:pPr>
            <w:r w:rsidRPr="0063248C">
              <w:rPr>
                <w:rFonts w:cs="宋体"/>
                <w:sz w:val="18"/>
                <w:szCs w:val="18"/>
              </w:rPr>
              <w:t>1,440,000.00</w:t>
            </w:r>
          </w:p>
        </w:tc>
        <w:tc>
          <w:tcPr>
            <w:tcW w:w="741" w:type="dxa"/>
            <w:tcBorders>
              <w:top w:val="single" w:sz="2" w:space="0" w:color="auto"/>
              <w:left w:val="single" w:sz="2" w:space="0" w:color="auto"/>
              <w:bottom w:val="single" w:sz="2" w:space="0" w:color="auto"/>
              <w:right w:val="single" w:sz="2" w:space="0" w:color="auto"/>
            </w:tcBorders>
            <w:vAlign w:val="center"/>
          </w:tcPr>
          <w:p w14:paraId="7D2BB47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0B81BB8" w14:textId="77777777" w:rsidR="007B3DB2" w:rsidRPr="0063248C" w:rsidRDefault="00000000">
            <w:pPr>
              <w:spacing w:line="240" w:lineRule="exact"/>
              <w:jc w:val="right"/>
              <w:rPr>
                <w:rFonts w:cs="宋体"/>
                <w:sz w:val="18"/>
                <w:szCs w:val="18"/>
              </w:rPr>
            </w:pPr>
            <w:r w:rsidRPr="0063248C">
              <w:rPr>
                <w:rFonts w:cs="宋体"/>
                <w:sz w:val="18"/>
                <w:szCs w:val="18"/>
              </w:rPr>
              <w:t>324,324.97</w:t>
            </w:r>
          </w:p>
        </w:tc>
        <w:tc>
          <w:tcPr>
            <w:tcW w:w="741" w:type="dxa"/>
            <w:tcBorders>
              <w:top w:val="single" w:sz="2" w:space="0" w:color="auto"/>
              <w:left w:val="single" w:sz="2" w:space="0" w:color="auto"/>
              <w:bottom w:val="single" w:sz="2" w:space="0" w:color="auto"/>
              <w:right w:val="single" w:sz="2" w:space="0" w:color="auto"/>
            </w:tcBorders>
            <w:vAlign w:val="center"/>
          </w:tcPr>
          <w:p w14:paraId="020C228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694A5B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FA5A104" w14:textId="77777777" w:rsidR="007B3DB2" w:rsidRPr="0063248C" w:rsidRDefault="00000000">
            <w:pPr>
              <w:spacing w:line="240" w:lineRule="exact"/>
              <w:jc w:val="right"/>
              <w:rPr>
                <w:rFonts w:cs="宋体"/>
                <w:sz w:val="18"/>
                <w:szCs w:val="18"/>
              </w:rPr>
            </w:pPr>
            <w:r w:rsidRPr="0063248C">
              <w:rPr>
                <w:rFonts w:cs="宋体"/>
                <w:sz w:val="18"/>
                <w:szCs w:val="18"/>
              </w:rPr>
              <w:t>324,324.97</w:t>
            </w:r>
          </w:p>
        </w:tc>
        <w:tc>
          <w:tcPr>
            <w:tcW w:w="741" w:type="dxa"/>
            <w:tcBorders>
              <w:top w:val="single" w:sz="2" w:space="0" w:color="auto"/>
              <w:left w:val="single" w:sz="2" w:space="0" w:color="auto"/>
              <w:bottom w:val="single" w:sz="2" w:space="0" w:color="auto"/>
              <w:right w:val="single" w:sz="2" w:space="0" w:color="auto"/>
            </w:tcBorders>
            <w:vAlign w:val="center"/>
          </w:tcPr>
          <w:p w14:paraId="001EF0E5" w14:textId="77777777" w:rsidR="007B3DB2" w:rsidRPr="0063248C" w:rsidRDefault="00000000">
            <w:pPr>
              <w:spacing w:line="240" w:lineRule="exact"/>
              <w:jc w:val="right"/>
              <w:rPr>
                <w:rFonts w:cs="宋体"/>
                <w:sz w:val="18"/>
                <w:szCs w:val="18"/>
              </w:rPr>
            </w:pPr>
            <w:r w:rsidRPr="0063248C">
              <w:rPr>
                <w:rFonts w:cs="宋体"/>
                <w:sz w:val="18"/>
                <w:szCs w:val="18"/>
              </w:rPr>
              <w:t>22.52%</w:t>
            </w:r>
          </w:p>
        </w:tc>
        <w:tc>
          <w:tcPr>
            <w:tcW w:w="741" w:type="dxa"/>
            <w:tcBorders>
              <w:top w:val="single" w:sz="2" w:space="0" w:color="auto"/>
              <w:left w:val="single" w:sz="2" w:space="0" w:color="auto"/>
              <w:bottom w:val="single" w:sz="2" w:space="0" w:color="auto"/>
              <w:right w:val="single" w:sz="2" w:space="0" w:color="auto"/>
            </w:tcBorders>
            <w:vAlign w:val="center"/>
          </w:tcPr>
          <w:p w14:paraId="3E0C3DE2" w14:textId="77777777" w:rsidR="007B3DB2" w:rsidRPr="0063248C" w:rsidRDefault="00000000">
            <w:pPr>
              <w:spacing w:line="240" w:lineRule="exact"/>
              <w:rPr>
                <w:rFonts w:cs="宋体"/>
                <w:sz w:val="18"/>
                <w:szCs w:val="18"/>
              </w:rPr>
            </w:pPr>
            <w:r w:rsidRPr="0063248C">
              <w:rPr>
                <w:rFonts w:cs="宋体"/>
                <w:sz w:val="18"/>
                <w:szCs w:val="18"/>
              </w:rPr>
              <w:t>0.3</w:t>
            </w:r>
          </w:p>
        </w:tc>
        <w:tc>
          <w:tcPr>
            <w:tcW w:w="741" w:type="dxa"/>
            <w:tcBorders>
              <w:top w:val="single" w:sz="2" w:space="0" w:color="auto"/>
              <w:left w:val="single" w:sz="2" w:space="0" w:color="auto"/>
              <w:bottom w:val="single" w:sz="2" w:space="0" w:color="auto"/>
              <w:right w:val="single" w:sz="2" w:space="0" w:color="auto"/>
            </w:tcBorders>
            <w:vAlign w:val="center"/>
          </w:tcPr>
          <w:p w14:paraId="76AEE5E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B6151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A534B0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87300B3"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531D9074"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623FF6CA" w14:textId="77777777" w:rsidR="007B3DB2" w:rsidRPr="0063248C" w:rsidRDefault="00000000">
            <w:pPr>
              <w:spacing w:line="240" w:lineRule="exact"/>
              <w:rPr>
                <w:rFonts w:cs="宋体"/>
                <w:sz w:val="18"/>
                <w:szCs w:val="18"/>
              </w:rPr>
            </w:pPr>
            <w:r w:rsidRPr="0063248C">
              <w:rPr>
                <w:rFonts w:cs="宋体"/>
                <w:sz w:val="18"/>
                <w:szCs w:val="18"/>
              </w:rPr>
              <w:t>生食血粉车间喷淋塔</w:t>
            </w:r>
          </w:p>
        </w:tc>
        <w:tc>
          <w:tcPr>
            <w:tcW w:w="741" w:type="dxa"/>
            <w:tcBorders>
              <w:top w:val="single" w:sz="2" w:space="0" w:color="auto"/>
              <w:left w:val="single" w:sz="2" w:space="0" w:color="auto"/>
              <w:bottom w:val="single" w:sz="2" w:space="0" w:color="auto"/>
              <w:right w:val="single" w:sz="2" w:space="0" w:color="auto"/>
            </w:tcBorders>
            <w:vAlign w:val="center"/>
          </w:tcPr>
          <w:p w14:paraId="4AEB8803" w14:textId="77777777" w:rsidR="007B3DB2" w:rsidRPr="0063248C" w:rsidRDefault="00000000">
            <w:pPr>
              <w:spacing w:line="240" w:lineRule="exact"/>
              <w:jc w:val="right"/>
              <w:rPr>
                <w:rFonts w:cs="宋体"/>
                <w:sz w:val="18"/>
                <w:szCs w:val="18"/>
              </w:rPr>
            </w:pPr>
            <w:r w:rsidRPr="0063248C">
              <w:rPr>
                <w:rFonts w:cs="宋体"/>
                <w:sz w:val="18"/>
                <w:szCs w:val="18"/>
              </w:rPr>
              <w:t>300,000.00</w:t>
            </w:r>
          </w:p>
        </w:tc>
        <w:tc>
          <w:tcPr>
            <w:tcW w:w="741" w:type="dxa"/>
            <w:tcBorders>
              <w:top w:val="single" w:sz="2" w:space="0" w:color="auto"/>
              <w:left w:val="single" w:sz="2" w:space="0" w:color="auto"/>
              <w:bottom w:val="single" w:sz="2" w:space="0" w:color="auto"/>
              <w:right w:val="single" w:sz="2" w:space="0" w:color="auto"/>
            </w:tcBorders>
            <w:vAlign w:val="center"/>
          </w:tcPr>
          <w:p w14:paraId="48CDB2C1"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164F83E3" w14:textId="77777777" w:rsidR="007B3DB2" w:rsidRPr="0063248C" w:rsidRDefault="00000000">
            <w:pPr>
              <w:spacing w:line="240" w:lineRule="exact"/>
              <w:jc w:val="right"/>
              <w:rPr>
                <w:rFonts w:cs="宋体"/>
                <w:sz w:val="18"/>
                <w:szCs w:val="18"/>
              </w:rPr>
            </w:pPr>
            <w:r w:rsidRPr="0063248C">
              <w:rPr>
                <w:rFonts w:cs="宋体"/>
                <w:sz w:val="18"/>
                <w:szCs w:val="18"/>
              </w:rPr>
              <w:t>111,251.33</w:t>
            </w:r>
          </w:p>
        </w:tc>
        <w:tc>
          <w:tcPr>
            <w:tcW w:w="741" w:type="dxa"/>
            <w:tcBorders>
              <w:top w:val="single" w:sz="2" w:space="0" w:color="auto"/>
              <w:left w:val="single" w:sz="2" w:space="0" w:color="auto"/>
              <w:bottom w:val="single" w:sz="2" w:space="0" w:color="auto"/>
              <w:right w:val="single" w:sz="2" w:space="0" w:color="auto"/>
            </w:tcBorders>
            <w:vAlign w:val="center"/>
          </w:tcPr>
          <w:p w14:paraId="038352E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109E5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898614C" w14:textId="77777777" w:rsidR="007B3DB2" w:rsidRPr="0063248C" w:rsidRDefault="00000000">
            <w:pPr>
              <w:spacing w:line="240" w:lineRule="exact"/>
              <w:jc w:val="right"/>
              <w:rPr>
                <w:rFonts w:cs="宋体"/>
                <w:sz w:val="18"/>
                <w:szCs w:val="18"/>
              </w:rPr>
            </w:pPr>
            <w:r w:rsidRPr="0063248C">
              <w:rPr>
                <w:rFonts w:cs="宋体"/>
                <w:sz w:val="18"/>
                <w:szCs w:val="18"/>
              </w:rPr>
              <w:t>111,251.33</w:t>
            </w:r>
          </w:p>
        </w:tc>
        <w:tc>
          <w:tcPr>
            <w:tcW w:w="741" w:type="dxa"/>
            <w:tcBorders>
              <w:top w:val="single" w:sz="2" w:space="0" w:color="auto"/>
              <w:left w:val="single" w:sz="2" w:space="0" w:color="auto"/>
              <w:bottom w:val="single" w:sz="2" w:space="0" w:color="auto"/>
              <w:right w:val="single" w:sz="2" w:space="0" w:color="auto"/>
            </w:tcBorders>
            <w:vAlign w:val="center"/>
          </w:tcPr>
          <w:p w14:paraId="08D9A90F" w14:textId="77777777" w:rsidR="007B3DB2" w:rsidRPr="0063248C" w:rsidRDefault="00000000">
            <w:pPr>
              <w:spacing w:line="240" w:lineRule="exact"/>
              <w:jc w:val="right"/>
              <w:rPr>
                <w:rFonts w:cs="宋体"/>
                <w:sz w:val="18"/>
                <w:szCs w:val="18"/>
              </w:rPr>
            </w:pPr>
            <w:r w:rsidRPr="0063248C">
              <w:rPr>
                <w:rFonts w:cs="宋体"/>
                <w:sz w:val="18"/>
                <w:szCs w:val="18"/>
              </w:rPr>
              <w:t>37.08%</w:t>
            </w:r>
          </w:p>
        </w:tc>
        <w:tc>
          <w:tcPr>
            <w:tcW w:w="741" w:type="dxa"/>
            <w:tcBorders>
              <w:top w:val="single" w:sz="2" w:space="0" w:color="auto"/>
              <w:left w:val="single" w:sz="2" w:space="0" w:color="auto"/>
              <w:bottom w:val="single" w:sz="2" w:space="0" w:color="auto"/>
              <w:right w:val="single" w:sz="2" w:space="0" w:color="auto"/>
            </w:tcBorders>
            <w:vAlign w:val="center"/>
          </w:tcPr>
          <w:p w14:paraId="21374F16" w14:textId="77777777" w:rsidR="007B3DB2" w:rsidRPr="0063248C" w:rsidRDefault="00000000">
            <w:pPr>
              <w:spacing w:line="240" w:lineRule="exact"/>
              <w:rPr>
                <w:rFonts w:cs="宋体"/>
                <w:sz w:val="18"/>
                <w:szCs w:val="18"/>
              </w:rPr>
            </w:pPr>
            <w:r w:rsidRPr="0063248C">
              <w:rPr>
                <w:rFonts w:cs="宋体"/>
                <w:sz w:val="18"/>
                <w:szCs w:val="18"/>
              </w:rPr>
              <w:t>0.5</w:t>
            </w:r>
          </w:p>
        </w:tc>
        <w:tc>
          <w:tcPr>
            <w:tcW w:w="741" w:type="dxa"/>
            <w:tcBorders>
              <w:top w:val="single" w:sz="2" w:space="0" w:color="auto"/>
              <w:left w:val="single" w:sz="2" w:space="0" w:color="auto"/>
              <w:bottom w:val="single" w:sz="2" w:space="0" w:color="auto"/>
              <w:right w:val="single" w:sz="2" w:space="0" w:color="auto"/>
            </w:tcBorders>
            <w:vAlign w:val="center"/>
          </w:tcPr>
          <w:p w14:paraId="61E1C00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C90BFD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81D234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0E02CA6"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0BAEBDB5"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303B9C2A" w14:textId="77777777" w:rsidR="007B3DB2" w:rsidRPr="0063248C" w:rsidRDefault="00000000">
            <w:pPr>
              <w:spacing w:line="240" w:lineRule="exact"/>
              <w:rPr>
                <w:rFonts w:cs="宋体"/>
                <w:sz w:val="18"/>
                <w:szCs w:val="18"/>
              </w:rPr>
            </w:pPr>
            <w:r w:rsidRPr="0063248C">
              <w:rPr>
                <w:rFonts w:cs="宋体"/>
                <w:sz w:val="18"/>
                <w:szCs w:val="18"/>
              </w:rPr>
              <w:t>速冻库改造（二期）</w:t>
            </w:r>
          </w:p>
        </w:tc>
        <w:tc>
          <w:tcPr>
            <w:tcW w:w="741" w:type="dxa"/>
            <w:tcBorders>
              <w:top w:val="single" w:sz="2" w:space="0" w:color="auto"/>
              <w:left w:val="single" w:sz="2" w:space="0" w:color="auto"/>
              <w:bottom w:val="single" w:sz="2" w:space="0" w:color="auto"/>
              <w:right w:val="single" w:sz="2" w:space="0" w:color="auto"/>
            </w:tcBorders>
            <w:vAlign w:val="center"/>
          </w:tcPr>
          <w:p w14:paraId="79E2D1EB" w14:textId="77777777" w:rsidR="007B3DB2" w:rsidRPr="0063248C" w:rsidRDefault="00000000">
            <w:pPr>
              <w:spacing w:line="240" w:lineRule="exact"/>
              <w:jc w:val="right"/>
              <w:rPr>
                <w:rFonts w:cs="宋体"/>
                <w:sz w:val="18"/>
                <w:szCs w:val="18"/>
              </w:rPr>
            </w:pPr>
            <w:r w:rsidRPr="0063248C">
              <w:rPr>
                <w:rFonts w:cs="宋体"/>
                <w:sz w:val="18"/>
                <w:szCs w:val="18"/>
              </w:rPr>
              <w:t>1,800,000.00</w:t>
            </w:r>
          </w:p>
        </w:tc>
        <w:tc>
          <w:tcPr>
            <w:tcW w:w="741" w:type="dxa"/>
            <w:tcBorders>
              <w:top w:val="single" w:sz="2" w:space="0" w:color="auto"/>
              <w:left w:val="single" w:sz="2" w:space="0" w:color="auto"/>
              <w:bottom w:val="single" w:sz="2" w:space="0" w:color="auto"/>
              <w:right w:val="single" w:sz="2" w:space="0" w:color="auto"/>
            </w:tcBorders>
            <w:vAlign w:val="center"/>
          </w:tcPr>
          <w:p w14:paraId="0D9C1C56" w14:textId="77777777" w:rsidR="007B3DB2" w:rsidRPr="0063248C" w:rsidRDefault="00000000">
            <w:pPr>
              <w:spacing w:line="240" w:lineRule="exact"/>
              <w:jc w:val="right"/>
              <w:rPr>
                <w:rFonts w:cs="宋体"/>
                <w:sz w:val="18"/>
                <w:szCs w:val="18"/>
              </w:rPr>
            </w:pPr>
            <w:r w:rsidRPr="0063248C">
              <w:rPr>
                <w:rFonts w:cs="宋体"/>
                <w:sz w:val="18"/>
                <w:szCs w:val="18"/>
              </w:rPr>
              <w:t>750,861.10</w:t>
            </w:r>
          </w:p>
        </w:tc>
        <w:tc>
          <w:tcPr>
            <w:tcW w:w="741" w:type="dxa"/>
            <w:tcBorders>
              <w:top w:val="single" w:sz="2" w:space="0" w:color="auto"/>
              <w:left w:val="single" w:sz="2" w:space="0" w:color="auto"/>
              <w:bottom w:val="single" w:sz="2" w:space="0" w:color="auto"/>
              <w:right w:val="single" w:sz="2" w:space="0" w:color="auto"/>
            </w:tcBorders>
            <w:vAlign w:val="center"/>
          </w:tcPr>
          <w:p w14:paraId="38F7BB60" w14:textId="77777777" w:rsidR="007B3DB2" w:rsidRPr="0063248C" w:rsidRDefault="00000000">
            <w:pPr>
              <w:spacing w:line="240" w:lineRule="exact"/>
              <w:jc w:val="right"/>
              <w:rPr>
                <w:rFonts w:cs="宋体"/>
                <w:sz w:val="18"/>
                <w:szCs w:val="18"/>
              </w:rPr>
            </w:pPr>
            <w:r w:rsidRPr="0063248C">
              <w:rPr>
                <w:rFonts w:cs="宋体"/>
                <w:sz w:val="18"/>
                <w:szCs w:val="18"/>
              </w:rPr>
              <w:t>116,446.48</w:t>
            </w:r>
          </w:p>
        </w:tc>
        <w:tc>
          <w:tcPr>
            <w:tcW w:w="741" w:type="dxa"/>
            <w:tcBorders>
              <w:top w:val="single" w:sz="2" w:space="0" w:color="auto"/>
              <w:left w:val="single" w:sz="2" w:space="0" w:color="auto"/>
              <w:bottom w:val="single" w:sz="2" w:space="0" w:color="auto"/>
              <w:right w:val="single" w:sz="2" w:space="0" w:color="auto"/>
            </w:tcBorders>
            <w:vAlign w:val="center"/>
          </w:tcPr>
          <w:p w14:paraId="12DC2B3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371BE0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D951552" w14:textId="77777777" w:rsidR="007B3DB2" w:rsidRPr="0063248C" w:rsidRDefault="00000000">
            <w:pPr>
              <w:spacing w:line="240" w:lineRule="exact"/>
              <w:jc w:val="right"/>
              <w:rPr>
                <w:rFonts w:cs="宋体"/>
                <w:sz w:val="18"/>
                <w:szCs w:val="18"/>
              </w:rPr>
            </w:pPr>
            <w:r w:rsidRPr="0063248C">
              <w:rPr>
                <w:rFonts w:cs="宋体"/>
                <w:sz w:val="18"/>
                <w:szCs w:val="18"/>
              </w:rPr>
              <w:t>867,307.58</w:t>
            </w:r>
          </w:p>
        </w:tc>
        <w:tc>
          <w:tcPr>
            <w:tcW w:w="741" w:type="dxa"/>
            <w:tcBorders>
              <w:top w:val="single" w:sz="2" w:space="0" w:color="auto"/>
              <w:left w:val="single" w:sz="2" w:space="0" w:color="auto"/>
              <w:bottom w:val="single" w:sz="2" w:space="0" w:color="auto"/>
              <w:right w:val="single" w:sz="2" w:space="0" w:color="auto"/>
            </w:tcBorders>
            <w:vAlign w:val="center"/>
          </w:tcPr>
          <w:p w14:paraId="3B5FDCC1" w14:textId="77777777" w:rsidR="007B3DB2" w:rsidRPr="0063248C" w:rsidRDefault="00000000">
            <w:pPr>
              <w:spacing w:line="240" w:lineRule="exact"/>
              <w:jc w:val="right"/>
              <w:rPr>
                <w:rFonts w:cs="宋体"/>
                <w:sz w:val="18"/>
                <w:szCs w:val="18"/>
              </w:rPr>
            </w:pPr>
            <w:r w:rsidRPr="0063248C">
              <w:rPr>
                <w:rFonts w:cs="宋体"/>
                <w:sz w:val="18"/>
                <w:szCs w:val="18"/>
              </w:rPr>
              <w:t>48.18%</w:t>
            </w:r>
          </w:p>
        </w:tc>
        <w:tc>
          <w:tcPr>
            <w:tcW w:w="741" w:type="dxa"/>
            <w:tcBorders>
              <w:top w:val="single" w:sz="2" w:space="0" w:color="auto"/>
              <w:left w:val="single" w:sz="2" w:space="0" w:color="auto"/>
              <w:bottom w:val="single" w:sz="2" w:space="0" w:color="auto"/>
              <w:right w:val="single" w:sz="2" w:space="0" w:color="auto"/>
            </w:tcBorders>
            <w:vAlign w:val="center"/>
          </w:tcPr>
          <w:p w14:paraId="67A4BC84" w14:textId="77777777" w:rsidR="007B3DB2" w:rsidRPr="0063248C" w:rsidRDefault="00000000">
            <w:pPr>
              <w:spacing w:line="240" w:lineRule="exact"/>
              <w:rPr>
                <w:rFonts w:cs="宋体"/>
                <w:sz w:val="18"/>
                <w:szCs w:val="18"/>
              </w:rPr>
            </w:pPr>
            <w:r w:rsidRPr="0063248C">
              <w:rPr>
                <w:rFonts w:cs="宋体"/>
                <w:sz w:val="18"/>
                <w:szCs w:val="18"/>
              </w:rPr>
              <w:t>0.9</w:t>
            </w:r>
          </w:p>
        </w:tc>
        <w:tc>
          <w:tcPr>
            <w:tcW w:w="741" w:type="dxa"/>
            <w:tcBorders>
              <w:top w:val="single" w:sz="2" w:space="0" w:color="auto"/>
              <w:left w:val="single" w:sz="2" w:space="0" w:color="auto"/>
              <w:bottom w:val="single" w:sz="2" w:space="0" w:color="auto"/>
              <w:right w:val="single" w:sz="2" w:space="0" w:color="auto"/>
            </w:tcBorders>
            <w:vAlign w:val="center"/>
          </w:tcPr>
          <w:p w14:paraId="35E0FD1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359BC0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48F81F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07961EE"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379FB427"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9B07EDA" w14:textId="77777777" w:rsidR="007B3DB2" w:rsidRPr="0063248C" w:rsidRDefault="00000000">
            <w:pPr>
              <w:spacing w:line="240" w:lineRule="exact"/>
              <w:rPr>
                <w:rFonts w:cs="宋体"/>
                <w:sz w:val="18"/>
                <w:szCs w:val="18"/>
              </w:rPr>
            </w:pPr>
            <w:r w:rsidRPr="0063248C">
              <w:rPr>
                <w:rFonts w:cs="宋体"/>
                <w:sz w:val="18"/>
                <w:szCs w:val="18"/>
              </w:rPr>
              <w:t>分割车间鲜品输送线</w:t>
            </w:r>
          </w:p>
        </w:tc>
        <w:tc>
          <w:tcPr>
            <w:tcW w:w="741" w:type="dxa"/>
            <w:tcBorders>
              <w:top w:val="single" w:sz="2" w:space="0" w:color="auto"/>
              <w:left w:val="single" w:sz="2" w:space="0" w:color="auto"/>
              <w:bottom w:val="single" w:sz="2" w:space="0" w:color="auto"/>
              <w:right w:val="single" w:sz="2" w:space="0" w:color="auto"/>
            </w:tcBorders>
            <w:vAlign w:val="center"/>
          </w:tcPr>
          <w:p w14:paraId="12FF5095" w14:textId="77777777" w:rsidR="007B3DB2" w:rsidRPr="0063248C" w:rsidRDefault="00000000">
            <w:pPr>
              <w:spacing w:line="240" w:lineRule="exact"/>
              <w:jc w:val="right"/>
              <w:rPr>
                <w:rFonts w:cs="宋体"/>
                <w:sz w:val="18"/>
                <w:szCs w:val="18"/>
              </w:rPr>
            </w:pPr>
            <w:r w:rsidRPr="0063248C">
              <w:rPr>
                <w:rFonts w:cs="宋体"/>
                <w:sz w:val="18"/>
                <w:szCs w:val="18"/>
              </w:rPr>
              <w:t>1,300,000.00</w:t>
            </w:r>
          </w:p>
        </w:tc>
        <w:tc>
          <w:tcPr>
            <w:tcW w:w="741" w:type="dxa"/>
            <w:tcBorders>
              <w:top w:val="single" w:sz="2" w:space="0" w:color="auto"/>
              <w:left w:val="single" w:sz="2" w:space="0" w:color="auto"/>
              <w:bottom w:val="single" w:sz="2" w:space="0" w:color="auto"/>
              <w:right w:val="single" w:sz="2" w:space="0" w:color="auto"/>
            </w:tcBorders>
            <w:vAlign w:val="center"/>
          </w:tcPr>
          <w:p w14:paraId="67C3205F" w14:textId="77777777" w:rsidR="007B3DB2" w:rsidRPr="0063248C" w:rsidRDefault="00000000">
            <w:pPr>
              <w:spacing w:line="240" w:lineRule="exact"/>
              <w:jc w:val="right"/>
              <w:rPr>
                <w:rFonts w:cs="宋体"/>
                <w:sz w:val="18"/>
                <w:szCs w:val="18"/>
              </w:rPr>
            </w:pPr>
            <w:r w:rsidRPr="0063248C">
              <w:rPr>
                <w:rFonts w:cs="宋体"/>
                <w:sz w:val="18"/>
                <w:szCs w:val="18"/>
              </w:rPr>
              <w:t>477,876.10</w:t>
            </w:r>
          </w:p>
        </w:tc>
        <w:tc>
          <w:tcPr>
            <w:tcW w:w="741" w:type="dxa"/>
            <w:tcBorders>
              <w:top w:val="single" w:sz="2" w:space="0" w:color="auto"/>
              <w:left w:val="single" w:sz="2" w:space="0" w:color="auto"/>
              <w:bottom w:val="single" w:sz="2" w:space="0" w:color="auto"/>
              <w:right w:val="single" w:sz="2" w:space="0" w:color="auto"/>
            </w:tcBorders>
            <w:vAlign w:val="center"/>
          </w:tcPr>
          <w:p w14:paraId="43BDB7D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42E9C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20F715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57C5F6A" w14:textId="77777777" w:rsidR="007B3DB2" w:rsidRPr="0063248C" w:rsidRDefault="00000000">
            <w:pPr>
              <w:spacing w:line="240" w:lineRule="exact"/>
              <w:jc w:val="right"/>
              <w:rPr>
                <w:rFonts w:cs="宋体"/>
                <w:sz w:val="18"/>
                <w:szCs w:val="18"/>
              </w:rPr>
            </w:pPr>
            <w:r w:rsidRPr="0063248C">
              <w:rPr>
                <w:rFonts w:cs="宋体"/>
                <w:sz w:val="18"/>
                <w:szCs w:val="18"/>
              </w:rPr>
              <w:t>477,876.10</w:t>
            </w:r>
          </w:p>
        </w:tc>
        <w:tc>
          <w:tcPr>
            <w:tcW w:w="741" w:type="dxa"/>
            <w:tcBorders>
              <w:top w:val="single" w:sz="2" w:space="0" w:color="auto"/>
              <w:left w:val="single" w:sz="2" w:space="0" w:color="auto"/>
              <w:bottom w:val="single" w:sz="2" w:space="0" w:color="auto"/>
              <w:right w:val="single" w:sz="2" w:space="0" w:color="auto"/>
            </w:tcBorders>
            <w:vAlign w:val="center"/>
          </w:tcPr>
          <w:p w14:paraId="2F65378F" w14:textId="77777777" w:rsidR="007B3DB2" w:rsidRPr="0063248C" w:rsidRDefault="00000000">
            <w:pPr>
              <w:spacing w:line="240" w:lineRule="exact"/>
              <w:jc w:val="right"/>
              <w:rPr>
                <w:rFonts w:cs="宋体"/>
                <w:sz w:val="18"/>
                <w:szCs w:val="18"/>
              </w:rPr>
            </w:pPr>
            <w:r w:rsidRPr="0063248C">
              <w:rPr>
                <w:rFonts w:cs="宋体"/>
                <w:sz w:val="18"/>
                <w:szCs w:val="18"/>
              </w:rPr>
              <w:t>36.76%</w:t>
            </w:r>
          </w:p>
        </w:tc>
        <w:tc>
          <w:tcPr>
            <w:tcW w:w="741" w:type="dxa"/>
            <w:tcBorders>
              <w:top w:val="single" w:sz="2" w:space="0" w:color="auto"/>
              <w:left w:val="single" w:sz="2" w:space="0" w:color="auto"/>
              <w:bottom w:val="single" w:sz="2" w:space="0" w:color="auto"/>
              <w:right w:val="single" w:sz="2" w:space="0" w:color="auto"/>
            </w:tcBorders>
            <w:vAlign w:val="center"/>
          </w:tcPr>
          <w:p w14:paraId="59112F75" w14:textId="77777777" w:rsidR="007B3DB2" w:rsidRPr="0063248C" w:rsidRDefault="00000000">
            <w:pPr>
              <w:spacing w:line="240" w:lineRule="exact"/>
              <w:rPr>
                <w:rFonts w:cs="宋体"/>
                <w:sz w:val="18"/>
                <w:szCs w:val="18"/>
              </w:rPr>
            </w:pPr>
            <w:r w:rsidRPr="0063248C">
              <w:rPr>
                <w:rFonts w:cs="宋体"/>
                <w:sz w:val="18"/>
                <w:szCs w:val="18"/>
              </w:rPr>
              <w:t>0.92</w:t>
            </w:r>
          </w:p>
        </w:tc>
        <w:tc>
          <w:tcPr>
            <w:tcW w:w="741" w:type="dxa"/>
            <w:tcBorders>
              <w:top w:val="single" w:sz="2" w:space="0" w:color="auto"/>
              <w:left w:val="single" w:sz="2" w:space="0" w:color="auto"/>
              <w:bottom w:val="single" w:sz="2" w:space="0" w:color="auto"/>
              <w:right w:val="single" w:sz="2" w:space="0" w:color="auto"/>
            </w:tcBorders>
            <w:vAlign w:val="center"/>
          </w:tcPr>
          <w:p w14:paraId="0356726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67067B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46853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9720E69"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63B9F8F8"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04CF0620" w14:textId="77777777" w:rsidR="007B3DB2" w:rsidRPr="0063248C" w:rsidRDefault="00000000">
            <w:pPr>
              <w:spacing w:line="240" w:lineRule="exact"/>
              <w:rPr>
                <w:rFonts w:cs="宋体"/>
                <w:sz w:val="18"/>
                <w:szCs w:val="18"/>
              </w:rPr>
            </w:pPr>
            <w:r w:rsidRPr="0063248C">
              <w:rPr>
                <w:rFonts w:cs="宋体"/>
                <w:sz w:val="18"/>
                <w:szCs w:val="18"/>
              </w:rPr>
              <w:t>进口肉类精深加工及调味品生产项目</w:t>
            </w:r>
          </w:p>
        </w:tc>
        <w:tc>
          <w:tcPr>
            <w:tcW w:w="741" w:type="dxa"/>
            <w:tcBorders>
              <w:top w:val="single" w:sz="2" w:space="0" w:color="auto"/>
              <w:left w:val="single" w:sz="2" w:space="0" w:color="auto"/>
              <w:bottom w:val="single" w:sz="2" w:space="0" w:color="auto"/>
              <w:right w:val="single" w:sz="2" w:space="0" w:color="auto"/>
            </w:tcBorders>
            <w:vAlign w:val="center"/>
          </w:tcPr>
          <w:p w14:paraId="152AB7D2" w14:textId="77777777" w:rsidR="007B3DB2" w:rsidRPr="0063248C" w:rsidRDefault="00000000">
            <w:pPr>
              <w:spacing w:line="240" w:lineRule="exact"/>
              <w:jc w:val="right"/>
              <w:rPr>
                <w:rFonts w:cs="宋体"/>
                <w:sz w:val="18"/>
                <w:szCs w:val="18"/>
              </w:rPr>
            </w:pPr>
            <w:r w:rsidRPr="0063248C">
              <w:rPr>
                <w:rFonts w:cs="宋体"/>
                <w:sz w:val="18"/>
                <w:szCs w:val="18"/>
              </w:rPr>
              <w:t>208,380,200.00</w:t>
            </w:r>
          </w:p>
        </w:tc>
        <w:tc>
          <w:tcPr>
            <w:tcW w:w="741" w:type="dxa"/>
            <w:tcBorders>
              <w:top w:val="single" w:sz="2" w:space="0" w:color="auto"/>
              <w:left w:val="single" w:sz="2" w:space="0" w:color="auto"/>
              <w:bottom w:val="single" w:sz="2" w:space="0" w:color="auto"/>
              <w:right w:val="single" w:sz="2" w:space="0" w:color="auto"/>
            </w:tcBorders>
            <w:vAlign w:val="center"/>
          </w:tcPr>
          <w:p w14:paraId="22DA9DA0" w14:textId="77777777" w:rsidR="007B3DB2" w:rsidRPr="0063248C" w:rsidRDefault="00000000">
            <w:pPr>
              <w:spacing w:line="240" w:lineRule="exact"/>
              <w:jc w:val="right"/>
              <w:rPr>
                <w:rFonts w:cs="宋体"/>
                <w:sz w:val="18"/>
                <w:szCs w:val="18"/>
              </w:rPr>
            </w:pPr>
            <w:r w:rsidRPr="0063248C">
              <w:rPr>
                <w:rFonts w:cs="宋体"/>
                <w:sz w:val="18"/>
                <w:szCs w:val="18"/>
              </w:rPr>
              <w:t>117,578,983.61</w:t>
            </w:r>
          </w:p>
        </w:tc>
        <w:tc>
          <w:tcPr>
            <w:tcW w:w="741" w:type="dxa"/>
            <w:tcBorders>
              <w:top w:val="single" w:sz="2" w:space="0" w:color="auto"/>
              <w:left w:val="single" w:sz="2" w:space="0" w:color="auto"/>
              <w:bottom w:val="single" w:sz="2" w:space="0" w:color="auto"/>
              <w:right w:val="single" w:sz="2" w:space="0" w:color="auto"/>
            </w:tcBorders>
            <w:vAlign w:val="center"/>
          </w:tcPr>
          <w:p w14:paraId="37DDCEA7" w14:textId="77777777" w:rsidR="007B3DB2" w:rsidRPr="0063248C" w:rsidRDefault="00000000">
            <w:pPr>
              <w:spacing w:line="240" w:lineRule="exact"/>
              <w:jc w:val="right"/>
              <w:rPr>
                <w:rFonts w:cs="宋体"/>
                <w:sz w:val="18"/>
                <w:szCs w:val="18"/>
              </w:rPr>
            </w:pPr>
            <w:r w:rsidRPr="0063248C">
              <w:rPr>
                <w:rFonts w:cs="宋体"/>
                <w:sz w:val="18"/>
                <w:szCs w:val="18"/>
              </w:rPr>
              <w:t>31,865,502.57</w:t>
            </w:r>
          </w:p>
        </w:tc>
        <w:tc>
          <w:tcPr>
            <w:tcW w:w="741" w:type="dxa"/>
            <w:tcBorders>
              <w:top w:val="single" w:sz="2" w:space="0" w:color="auto"/>
              <w:left w:val="single" w:sz="2" w:space="0" w:color="auto"/>
              <w:bottom w:val="single" w:sz="2" w:space="0" w:color="auto"/>
              <w:right w:val="single" w:sz="2" w:space="0" w:color="auto"/>
            </w:tcBorders>
            <w:vAlign w:val="center"/>
          </w:tcPr>
          <w:p w14:paraId="534DBA1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7E964B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C8ADB1" w14:textId="77777777" w:rsidR="007B3DB2" w:rsidRPr="0063248C" w:rsidRDefault="00000000">
            <w:pPr>
              <w:spacing w:line="240" w:lineRule="exact"/>
              <w:jc w:val="right"/>
              <w:rPr>
                <w:rFonts w:cs="宋体"/>
                <w:sz w:val="18"/>
                <w:szCs w:val="18"/>
              </w:rPr>
            </w:pPr>
            <w:r w:rsidRPr="0063248C">
              <w:rPr>
                <w:rFonts w:cs="宋体"/>
                <w:sz w:val="18"/>
                <w:szCs w:val="18"/>
              </w:rPr>
              <w:t>149,444,486.18</w:t>
            </w:r>
          </w:p>
        </w:tc>
        <w:tc>
          <w:tcPr>
            <w:tcW w:w="741" w:type="dxa"/>
            <w:tcBorders>
              <w:top w:val="single" w:sz="2" w:space="0" w:color="auto"/>
              <w:left w:val="single" w:sz="2" w:space="0" w:color="auto"/>
              <w:bottom w:val="single" w:sz="2" w:space="0" w:color="auto"/>
              <w:right w:val="single" w:sz="2" w:space="0" w:color="auto"/>
            </w:tcBorders>
            <w:vAlign w:val="center"/>
          </w:tcPr>
          <w:p w14:paraId="50BC65DF" w14:textId="77777777" w:rsidR="007B3DB2" w:rsidRPr="0063248C" w:rsidRDefault="00000000">
            <w:pPr>
              <w:spacing w:line="240" w:lineRule="exact"/>
              <w:jc w:val="right"/>
              <w:rPr>
                <w:rFonts w:cs="宋体"/>
                <w:sz w:val="18"/>
                <w:szCs w:val="18"/>
              </w:rPr>
            </w:pPr>
            <w:r w:rsidRPr="0063248C">
              <w:rPr>
                <w:rFonts w:cs="宋体"/>
                <w:sz w:val="18"/>
                <w:szCs w:val="18"/>
              </w:rPr>
              <w:t>71.72%</w:t>
            </w:r>
          </w:p>
        </w:tc>
        <w:tc>
          <w:tcPr>
            <w:tcW w:w="741" w:type="dxa"/>
            <w:tcBorders>
              <w:top w:val="single" w:sz="2" w:space="0" w:color="auto"/>
              <w:left w:val="single" w:sz="2" w:space="0" w:color="auto"/>
              <w:bottom w:val="single" w:sz="2" w:space="0" w:color="auto"/>
              <w:right w:val="single" w:sz="2" w:space="0" w:color="auto"/>
            </w:tcBorders>
            <w:vAlign w:val="center"/>
          </w:tcPr>
          <w:p w14:paraId="669CFE8A" w14:textId="77777777" w:rsidR="007B3DB2" w:rsidRPr="0063248C" w:rsidRDefault="00000000">
            <w:pPr>
              <w:spacing w:line="240" w:lineRule="exact"/>
              <w:rPr>
                <w:rFonts w:cs="宋体"/>
                <w:sz w:val="18"/>
                <w:szCs w:val="18"/>
              </w:rPr>
            </w:pPr>
            <w:r w:rsidRPr="0063248C">
              <w:rPr>
                <w:rFonts w:cs="宋体"/>
                <w:sz w:val="18"/>
                <w:szCs w:val="18"/>
              </w:rPr>
              <w:t>0.9</w:t>
            </w:r>
          </w:p>
        </w:tc>
        <w:tc>
          <w:tcPr>
            <w:tcW w:w="741" w:type="dxa"/>
            <w:tcBorders>
              <w:top w:val="single" w:sz="2" w:space="0" w:color="auto"/>
              <w:left w:val="single" w:sz="2" w:space="0" w:color="auto"/>
              <w:bottom w:val="single" w:sz="2" w:space="0" w:color="auto"/>
              <w:right w:val="single" w:sz="2" w:space="0" w:color="auto"/>
            </w:tcBorders>
            <w:vAlign w:val="center"/>
          </w:tcPr>
          <w:p w14:paraId="2FDDEEDE" w14:textId="77777777" w:rsidR="007B3DB2" w:rsidRPr="0063248C" w:rsidRDefault="00000000">
            <w:pPr>
              <w:spacing w:line="240" w:lineRule="exact"/>
              <w:jc w:val="right"/>
              <w:rPr>
                <w:rFonts w:cs="宋体"/>
                <w:sz w:val="18"/>
                <w:szCs w:val="18"/>
              </w:rPr>
            </w:pPr>
            <w:r w:rsidRPr="0063248C">
              <w:rPr>
                <w:rFonts w:cs="宋体"/>
                <w:sz w:val="18"/>
                <w:szCs w:val="18"/>
              </w:rPr>
              <w:t>4,117,281.18</w:t>
            </w:r>
          </w:p>
        </w:tc>
        <w:tc>
          <w:tcPr>
            <w:tcW w:w="741" w:type="dxa"/>
            <w:tcBorders>
              <w:top w:val="single" w:sz="2" w:space="0" w:color="auto"/>
              <w:left w:val="single" w:sz="2" w:space="0" w:color="auto"/>
              <w:bottom w:val="single" w:sz="2" w:space="0" w:color="auto"/>
              <w:right w:val="single" w:sz="2" w:space="0" w:color="auto"/>
            </w:tcBorders>
            <w:vAlign w:val="center"/>
          </w:tcPr>
          <w:p w14:paraId="7021825A" w14:textId="77777777" w:rsidR="007B3DB2" w:rsidRPr="0063248C" w:rsidRDefault="00000000">
            <w:pPr>
              <w:spacing w:line="240" w:lineRule="exact"/>
              <w:jc w:val="right"/>
              <w:rPr>
                <w:rFonts w:cs="宋体"/>
                <w:sz w:val="18"/>
                <w:szCs w:val="18"/>
              </w:rPr>
            </w:pPr>
            <w:r w:rsidRPr="0063248C">
              <w:rPr>
                <w:rFonts w:cs="宋体"/>
                <w:sz w:val="18"/>
                <w:szCs w:val="18"/>
              </w:rPr>
              <w:t>2,262,361.90</w:t>
            </w:r>
          </w:p>
        </w:tc>
        <w:tc>
          <w:tcPr>
            <w:tcW w:w="741" w:type="dxa"/>
            <w:tcBorders>
              <w:top w:val="single" w:sz="2" w:space="0" w:color="auto"/>
              <w:left w:val="single" w:sz="2" w:space="0" w:color="auto"/>
              <w:bottom w:val="single" w:sz="2" w:space="0" w:color="auto"/>
              <w:right w:val="single" w:sz="2" w:space="0" w:color="auto"/>
            </w:tcBorders>
            <w:vAlign w:val="center"/>
          </w:tcPr>
          <w:p w14:paraId="5092B061" w14:textId="77777777" w:rsidR="007B3DB2" w:rsidRPr="0063248C" w:rsidRDefault="00000000">
            <w:pPr>
              <w:spacing w:line="240" w:lineRule="exact"/>
              <w:jc w:val="right"/>
              <w:rPr>
                <w:rFonts w:cs="宋体"/>
                <w:sz w:val="18"/>
                <w:szCs w:val="18"/>
              </w:rPr>
            </w:pPr>
            <w:r w:rsidRPr="0063248C">
              <w:rPr>
                <w:rFonts w:cs="宋体"/>
                <w:sz w:val="18"/>
                <w:szCs w:val="18"/>
              </w:rPr>
              <w:t>7.10%</w:t>
            </w:r>
          </w:p>
        </w:tc>
        <w:tc>
          <w:tcPr>
            <w:tcW w:w="741" w:type="dxa"/>
            <w:tcBorders>
              <w:top w:val="single" w:sz="2" w:space="0" w:color="auto"/>
              <w:left w:val="single" w:sz="2" w:space="0" w:color="auto"/>
              <w:bottom w:val="single" w:sz="2" w:space="0" w:color="auto"/>
              <w:right w:val="single" w:sz="2" w:space="0" w:color="auto"/>
            </w:tcBorders>
            <w:vAlign w:val="center"/>
          </w:tcPr>
          <w:p w14:paraId="2685527B" w14:textId="77777777" w:rsidR="007B3DB2" w:rsidRPr="0063248C" w:rsidRDefault="00000000">
            <w:pPr>
              <w:spacing w:line="240" w:lineRule="exact"/>
              <w:rPr>
                <w:rFonts w:cs="宋体"/>
                <w:sz w:val="18"/>
                <w:szCs w:val="18"/>
              </w:rPr>
            </w:pPr>
            <w:r w:rsidRPr="0063248C">
              <w:rPr>
                <w:rFonts w:cs="宋体"/>
                <w:sz w:val="18"/>
                <w:szCs w:val="18"/>
              </w:rPr>
              <w:t>金融机构贷款</w:t>
            </w:r>
          </w:p>
        </w:tc>
      </w:tr>
      <w:tr w:rsidR="007B3DB2" w:rsidRPr="0063248C" w14:paraId="56F52602"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70913C73" w14:textId="77777777" w:rsidR="007B3DB2" w:rsidRPr="0063248C" w:rsidRDefault="00000000">
            <w:pPr>
              <w:spacing w:line="240" w:lineRule="exact"/>
              <w:rPr>
                <w:rFonts w:cs="宋体"/>
                <w:sz w:val="18"/>
                <w:szCs w:val="18"/>
              </w:rPr>
            </w:pPr>
            <w:r w:rsidRPr="0063248C">
              <w:rPr>
                <w:rFonts w:cs="宋体"/>
                <w:sz w:val="18"/>
                <w:szCs w:val="18"/>
              </w:rPr>
              <w:t>黑龙江屠宰筹建</w:t>
            </w:r>
          </w:p>
        </w:tc>
        <w:tc>
          <w:tcPr>
            <w:tcW w:w="741" w:type="dxa"/>
            <w:tcBorders>
              <w:top w:val="single" w:sz="2" w:space="0" w:color="auto"/>
              <w:left w:val="single" w:sz="2" w:space="0" w:color="auto"/>
              <w:bottom w:val="single" w:sz="2" w:space="0" w:color="auto"/>
              <w:right w:val="single" w:sz="2" w:space="0" w:color="auto"/>
            </w:tcBorders>
            <w:vAlign w:val="center"/>
          </w:tcPr>
          <w:p w14:paraId="0EC8F95F" w14:textId="77777777" w:rsidR="007B3DB2" w:rsidRPr="0063248C" w:rsidRDefault="00000000">
            <w:pPr>
              <w:spacing w:line="240" w:lineRule="exact"/>
              <w:jc w:val="right"/>
              <w:rPr>
                <w:rFonts w:cs="宋体"/>
                <w:sz w:val="18"/>
                <w:szCs w:val="18"/>
              </w:rPr>
            </w:pPr>
            <w:r w:rsidRPr="0063248C">
              <w:rPr>
                <w:rFonts w:cs="宋体"/>
                <w:sz w:val="18"/>
                <w:szCs w:val="18"/>
              </w:rPr>
              <w:t>196,530,000.00</w:t>
            </w:r>
          </w:p>
        </w:tc>
        <w:tc>
          <w:tcPr>
            <w:tcW w:w="741" w:type="dxa"/>
            <w:tcBorders>
              <w:top w:val="single" w:sz="2" w:space="0" w:color="auto"/>
              <w:left w:val="single" w:sz="2" w:space="0" w:color="auto"/>
              <w:bottom w:val="single" w:sz="2" w:space="0" w:color="auto"/>
              <w:right w:val="single" w:sz="2" w:space="0" w:color="auto"/>
            </w:tcBorders>
            <w:vAlign w:val="center"/>
          </w:tcPr>
          <w:p w14:paraId="4F137313" w14:textId="77777777" w:rsidR="007B3DB2" w:rsidRPr="0063248C" w:rsidRDefault="00000000">
            <w:pPr>
              <w:spacing w:line="240" w:lineRule="exact"/>
              <w:jc w:val="right"/>
              <w:rPr>
                <w:rFonts w:cs="宋体"/>
                <w:sz w:val="18"/>
                <w:szCs w:val="18"/>
              </w:rPr>
            </w:pPr>
            <w:r w:rsidRPr="0063248C">
              <w:rPr>
                <w:rFonts w:cs="宋体"/>
                <w:sz w:val="18"/>
                <w:szCs w:val="18"/>
              </w:rPr>
              <w:t>5,028,081.40</w:t>
            </w:r>
          </w:p>
        </w:tc>
        <w:tc>
          <w:tcPr>
            <w:tcW w:w="741" w:type="dxa"/>
            <w:tcBorders>
              <w:top w:val="single" w:sz="2" w:space="0" w:color="auto"/>
              <w:left w:val="single" w:sz="2" w:space="0" w:color="auto"/>
              <w:bottom w:val="single" w:sz="2" w:space="0" w:color="auto"/>
              <w:right w:val="single" w:sz="2" w:space="0" w:color="auto"/>
            </w:tcBorders>
            <w:vAlign w:val="center"/>
          </w:tcPr>
          <w:p w14:paraId="38327745" w14:textId="77777777" w:rsidR="007B3DB2" w:rsidRPr="0063248C" w:rsidRDefault="00000000">
            <w:pPr>
              <w:spacing w:line="240" w:lineRule="exact"/>
              <w:jc w:val="right"/>
              <w:rPr>
                <w:rFonts w:cs="宋体"/>
                <w:sz w:val="18"/>
                <w:szCs w:val="18"/>
              </w:rPr>
            </w:pPr>
            <w:r w:rsidRPr="0063248C">
              <w:rPr>
                <w:rFonts w:cs="宋体"/>
                <w:sz w:val="18"/>
                <w:szCs w:val="18"/>
              </w:rPr>
              <w:t>322,451.34</w:t>
            </w:r>
          </w:p>
        </w:tc>
        <w:tc>
          <w:tcPr>
            <w:tcW w:w="741" w:type="dxa"/>
            <w:tcBorders>
              <w:top w:val="single" w:sz="2" w:space="0" w:color="auto"/>
              <w:left w:val="single" w:sz="2" w:space="0" w:color="auto"/>
              <w:bottom w:val="single" w:sz="2" w:space="0" w:color="auto"/>
              <w:right w:val="single" w:sz="2" w:space="0" w:color="auto"/>
            </w:tcBorders>
            <w:vAlign w:val="center"/>
          </w:tcPr>
          <w:p w14:paraId="031663F8" w14:textId="77777777" w:rsidR="007B3DB2" w:rsidRPr="0063248C" w:rsidRDefault="00000000">
            <w:pPr>
              <w:spacing w:line="240" w:lineRule="exact"/>
              <w:jc w:val="right"/>
              <w:rPr>
                <w:rFonts w:cs="宋体"/>
                <w:sz w:val="18"/>
                <w:szCs w:val="18"/>
              </w:rPr>
            </w:pPr>
            <w:r w:rsidRPr="0063248C">
              <w:rPr>
                <w:rFonts w:cs="宋体"/>
                <w:sz w:val="18"/>
                <w:szCs w:val="18"/>
              </w:rPr>
              <w:t>2,441,070.27</w:t>
            </w:r>
          </w:p>
        </w:tc>
        <w:tc>
          <w:tcPr>
            <w:tcW w:w="741" w:type="dxa"/>
            <w:tcBorders>
              <w:top w:val="single" w:sz="2" w:space="0" w:color="auto"/>
              <w:left w:val="single" w:sz="2" w:space="0" w:color="auto"/>
              <w:bottom w:val="single" w:sz="2" w:space="0" w:color="auto"/>
              <w:right w:val="single" w:sz="2" w:space="0" w:color="auto"/>
            </w:tcBorders>
            <w:vAlign w:val="center"/>
          </w:tcPr>
          <w:p w14:paraId="0D05C2A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09B5A0" w14:textId="77777777" w:rsidR="007B3DB2" w:rsidRPr="0063248C" w:rsidRDefault="00000000">
            <w:pPr>
              <w:spacing w:line="240" w:lineRule="exact"/>
              <w:jc w:val="right"/>
              <w:rPr>
                <w:rFonts w:cs="宋体"/>
                <w:sz w:val="18"/>
                <w:szCs w:val="18"/>
              </w:rPr>
            </w:pPr>
            <w:r w:rsidRPr="0063248C">
              <w:rPr>
                <w:rFonts w:cs="宋体"/>
                <w:sz w:val="18"/>
                <w:szCs w:val="18"/>
              </w:rPr>
              <w:t>2,909,462.47</w:t>
            </w:r>
          </w:p>
        </w:tc>
        <w:tc>
          <w:tcPr>
            <w:tcW w:w="741" w:type="dxa"/>
            <w:tcBorders>
              <w:top w:val="single" w:sz="2" w:space="0" w:color="auto"/>
              <w:left w:val="single" w:sz="2" w:space="0" w:color="auto"/>
              <w:bottom w:val="single" w:sz="2" w:space="0" w:color="auto"/>
              <w:right w:val="single" w:sz="2" w:space="0" w:color="auto"/>
            </w:tcBorders>
            <w:vAlign w:val="center"/>
          </w:tcPr>
          <w:p w14:paraId="5C8978A1" w14:textId="77777777" w:rsidR="007B3DB2" w:rsidRPr="0063248C" w:rsidRDefault="00000000">
            <w:pPr>
              <w:spacing w:line="240" w:lineRule="exact"/>
              <w:jc w:val="right"/>
              <w:rPr>
                <w:rFonts w:cs="宋体"/>
                <w:sz w:val="18"/>
                <w:szCs w:val="18"/>
              </w:rPr>
            </w:pPr>
            <w:r w:rsidRPr="0063248C">
              <w:rPr>
                <w:rFonts w:cs="宋体"/>
                <w:sz w:val="18"/>
                <w:szCs w:val="18"/>
              </w:rPr>
              <w:t>75.54%</w:t>
            </w:r>
          </w:p>
        </w:tc>
        <w:tc>
          <w:tcPr>
            <w:tcW w:w="741" w:type="dxa"/>
            <w:tcBorders>
              <w:top w:val="single" w:sz="2" w:space="0" w:color="auto"/>
              <w:left w:val="single" w:sz="2" w:space="0" w:color="auto"/>
              <w:bottom w:val="single" w:sz="2" w:space="0" w:color="auto"/>
              <w:right w:val="single" w:sz="2" w:space="0" w:color="auto"/>
            </w:tcBorders>
            <w:vAlign w:val="center"/>
          </w:tcPr>
          <w:p w14:paraId="20E5AE51" w14:textId="77777777" w:rsidR="007B3DB2" w:rsidRPr="0063248C" w:rsidRDefault="00000000">
            <w:pPr>
              <w:spacing w:line="240" w:lineRule="exact"/>
              <w:rPr>
                <w:rFonts w:cs="宋体"/>
                <w:sz w:val="18"/>
                <w:szCs w:val="18"/>
              </w:rPr>
            </w:pPr>
            <w:r w:rsidRPr="0063248C">
              <w:rPr>
                <w:rFonts w:cs="宋体"/>
                <w:sz w:val="18"/>
                <w:szCs w:val="18"/>
              </w:rPr>
              <w:t>0.99</w:t>
            </w:r>
          </w:p>
        </w:tc>
        <w:tc>
          <w:tcPr>
            <w:tcW w:w="741" w:type="dxa"/>
            <w:tcBorders>
              <w:top w:val="single" w:sz="2" w:space="0" w:color="auto"/>
              <w:left w:val="single" w:sz="2" w:space="0" w:color="auto"/>
              <w:bottom w:val="single" w:sz="2" w:space="0" w:color="auto"/>
              <w:right w:val="single" w:sz="2" w:space="0" w:color="auto"/>
            </w:tcBorders>
            <w:vAlign w:val="center"/>
          </w:tcPr>
          <w:p w14:paraId="265D11E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B8562E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730EFE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B70F1B3"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4078359D"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5C00D98" w14:textId="77777777" w:rsidR="007B3DB2" w:rsidRPr="0063248C" w:rsidRDefault="00000000">
            <w:pPr>
              <w:spacing w:line="240" w:lineRule="exact"/>
              <w:rPr>
                <w:rFonts w:cs="宋体"/>
                <w:sz w:val="18"/>
                <w:szCs w:val="18"/>
              </w:rPr>
            </w:pPr>
            <w:r w:rsidRPr="0063248C">
              <w:rPr>
                <w:rFonts w:cs="宋体"/>
                <w:sz w:val="18"/>
                <w:szCs w:val="18"/>
              </w:rPr>
              <w:t>巴中龙大生猪屠宰及加工项目</w:t>
            </w:r>
          </w:p>
        </w:tc>
        <w:tc>
          <w:tcPr>
            <w:tcW w:w="741" w:type="dxa"/>
            <w:tcBorders>
              <w:top w:val="single" w:sz="2" w:space="0" w:color="auto"/>
              <w:left w:val="single" w:sz="2" w:space="0" w:color="auto"/>
              <w:bottom w:val="single" w:sz="2" w:space="0" w:color="auto"/>
              <w:right w:val="single" w:sz="2" w:space="0" w:color="auto"/>
            </w:tcBorders>
            <w:vAlign w:val="center"/>
          </w:tcPr>
          <w:p w14:paraId="03D64528" w14:textId="77777777" w:rsidR="007B3DB2" w:rsidRPr="0063248C" w:rsidRDefault="00000000">
            <w:pPr>
              <w:spacing w:line="240" w:lineRule="exact"/>
              <w:jc w:val="right"/>
              <w:rPr>
                <w:rFonts w:cs="宋体"/>
                <w:sz w:val="18"/>
                <w:szCs w:val="18"/>
              </w:rPr>
            </w:pPr>
            <w:r w:rsidRPr="0063248C">
              <w:rPr>
                <w:rFonts w:cs="宋体"/>
                <w:sz w:val="18"/>
                <w:szCs w:val="18"/>
              </w:rPr>
              <w:t>249,000,000.00</w:t>
            </w:r>
          </w:p>
        </w:tc>
        <w:tc>
          <w:tcPr>
            <w:tcW w:w="741" w:type="dxa"/>
            <w:tcBorders>
              <w:top w:val="single" w:sz="2" w:space="0" w:color="auto"/>
              <w:left w:val="single" w:sz="2" w:space="0" w:color="auto"/>
              <w:bottom w:val="single" w:sz="2" w:space="0" w:color="auto"/>
              <w:right w:val="single" w:sz="2" w:space="0" w:color="auto"/>
            </w:tcBorders>
            <w:vAlign w:val="center"/>
          </w:tcPr>
          <w:p w14:paraId="4E27C734" w14:textId="77777777" w:rsidR="007B3DB2" w:rsidRPr="0063248C" w:rsidRDefault="00000000">
            <w:pPr>
              <w:spacing w:line="240" w:lineRule="exact"/>
              <w:jc w:val="right"/>
              <w:rPr>
                <w:rFonts w:cs="宋体"/>
                <w:sz w:val="18"/>
                <w:szCs w:val="18"/>
              </w:rPr>
            </w:pPr>
            <w:r w:rsidRPr="0063248C">
              <w:rPr>
                <w:rFonts w:cs="宋体"/>
                <w:sz w:val="18"/>
                <w:szCs w:val="18"/>
              </w:rPr>
              <w:t>78,245,938.47</w:t>
            </w:r>
          </w:p>
        </w:tc>
        <w:tc>
          <w:tcPr>
            <w:tcW w:w="741" w:type="dxa"/>
            <w:tcBorders>
              <w:top w:val="single" w:sz="2" w:space="0" w:color="auto"/>
              <w:left w:val="single" w:sz="2" w:space="0" w:color="auto"/>
              <w:bottom w:val="single" w:sz="2" w:space="0" w:color="auto"/>
              <w:right w:val="single" w:sz="2" w:space="0" w:color="auto"/>
            </w:tcBorders>
            <w:vAlign w:val="center"/>
          </w:tcPr>
          <w:p w14:paraId="6711EE27" w14:textId="77777777" w:rsidR="007B3DB2" w:rsidRPr="0063248C" w:rsidRDefault="00000000">
            <w:pPr>
              <w:spacing w:line="240" w:lineRule="exact"/>
              <w:jc w:val="right"/>
              <w:rPr>
                <w:rFonts w:cs="宋体"/>
                <w:sz w:val="18"/>
                <w:szCs w:val="18"/>
              </w:rPr>
            </w:pPr>
            <w:r w:rsidRPr="0063248C">
              <w:rPr>
                <w:rFonts w:cs="宋体"/>
                <w:sz w:val="18"/>
                <w:szCs w:val="18"/>
              </w:rPr>
              <w:t>476,265.41</w:t>
            </w:r>
          </w:p>
        </w:tc>
        <w:tc>
          <w:tcPr>
            <w:tcW w:w="741" w:type="dxa"/>
            <w:tcBorders>
              <w:top w:val="single" w:sz="2" w:space="0" w:color="auto"/>
              <w:left w:val="single" w:sz="2" w:space="0" w:color="auto"/>
              <w:bottom w:val="single" w:sz="2" w:space="0" w:color="auto"/>
              <w:right w:val="single" w:sz="2" w:space="0" w:color="auto"/>
            </w:tcBorders>
            <w:vAlign w:val="center"/>
          </w:tcPr>
          <w:p w14:paraId="35EA4D52" w14:textId="77777777" w:rsidR="007B3DB2" w:rsidRPr="0063248C" w:rsidRDefault="00000000">
            <w:pPr>
              <w:spacing w:line="240" w:lineRule="exact"/>
              <w:jc w:val="right"/>
              <w:rPr>
                <w:rFonts w:cs="宋体"/>
                <w:sz w:val="18"/>
                <w:szCs w:val="18"/>
              </w:rPr>
            </w:pPr>
            <w:r w:rsidRPr="0063248C">
              <w:rPr>
                <w:rFonts w:cs="宋体"/>
                <w:sz w:val="18"/>
                <w:szCs w:val="18"/>
              </w:rPr>
              <w:t>76,232,000.02</w:t>
            </w:r>
          </w:p>
        </w:tc>
        <w:tc>
          <w:tcPr>
            <w:tcW w:w="741" w:type="dxa"/>
            <w:tcBorders>
              <w:top w:val="single" w:sz="2" w:space="0" w:color="auto"/>
              <w:left w:val="single" w:sz="2" w:space="0" w:color="auto"/>
              <w:bottom w:val="single" w:sz="2" w:space="0" w:color="auto"/>
              <w:right w:val="single" w:sz="2" w:space="0" w:color="auto"/>
            </w:tcBorders>
            <w:vAlign w:val="center"/>
          </w:tcPr>
          <w:p w14:paraId="78A525F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2AF6DFE" w14:textId="77777777" w:rsidR="007B3DB2" w:rsidRPr="0063248C" w:rsidRDefault="00000000">
            <w:pPr>
              <w:spacing w:line="240" w:lineRule="exact"/>
              <w:jc w:val="right"/>
              <w:rPr>
                <w:rFonts w:cs="宋体"/>
                <w:sz w:val="18"/>
                <w:szCs w:val="18"/>
              </w:rPr>
            </w:pPr>
            <w:r w:rsidRPr="0063248C">
              <w:rPr>
                <w:rFonts w:cs="宋体"/>
                <w:sz w:val="18"/>
                <w:szCs w:val="18"/>
              </w:rPr>
              <w:t>2,490,203.86</w:t>
            </w:r>
          </w:p>
        </w:tc>
        <w:tc>
          <w:tcPr>
            <w:tcW w:w="741" w:type="dxa"/>
            <w:tcBorders>
              <w:top w:val="single" w:sz="2" w:space="0" w:color="auto"/>
              <w:left w:val="single" w:sz="2" w:space="0" w:color="auto"/>
              <w:bottom w:val="single" w:sz="2" w:space="0" w:color="auto"/>
              <w:right w:val="single" w:sz="2" w:space="0" w:color="auto"/>
            </w:tcBorders>
            <w:vAlign w:val="center"/>
          </w:tcPr>
          <w:p w14:paraId="4F1B98B1" w14:textId="77777777" w:rsidR="007B3DB2" w:rsidRPr="0063248C" w:rsidRDefault="00000000">
            <w:pPr>
              <w:spacing w:line="240" w:lineRule="exact"/>
              <w:jc w:val="right"/>
              <w:rPr>
                <w:rFonts w:cs="宋体"/>
                <w:sz w:val="18"/>
                <w:szCs w:val="18"/>
              </w:rPr>
            </w:pPr>
            <w:r w:rsidRPr="0063248C">
              <w:rPr>
                <w:rFonts w:cs="宋体"/>
                <w:sz w:val="18"/>
                <w:szCs w:val="18"/>
              </w:rPr>
              <w:t>31.62%</w:t>
            </w:r>
          </w:p>
        </w:tc>
        <w:tc>
          <w:tcPr>
            <w:tcW w:w="741" w:type="dxa"/>
            <w:tcBorders>
              <w:top w:val="single" w:sz="2" w:space="0" w:color="auto"/>
              <w:left w:val="single" w:sz="2" w:space="0" w:color="auto"/>
              <w:bottom w:val="single" w:sz="2" w:space="0" w:color="auto"/>
              <w:right w:val="single" w:sz="2" w:space="0" w:color="auto"/>
            </w:tcBorders>
            <w:vAlign w:val="center"/>
          </w:tcPr>
          <w:p w14:paraId="70BD9C09" w14:textId="77777777" w:rsidR="007B3DB2" w:rsidRPr="0063248C" w:rsidRDefault="00000000">
            <w:pPr>
              <w:spacing w:line="240" w:lineRule="exact"/>
              <w:rPr>
                <w:rFonts w:cs="宋体"/>
                <w:sz w:val="18"/>
                <w:szCs w:val="18"/>
              </w:rPr>
            </w:pPr>
            <w:r w:rsidRPr="0063248C">
              <w:rPr>
                <w:rFonts w:cs="宋体"/>
                <w:sz w:val="18"/>
                <w:szCs w:val="18"/>
              </w:rPr>
              <w:t>0.85</w:t>
            </w:r>
          </w:p>
        </w:tc>
        <w:tc>
          <w:tcPr>
            <w:tcW w:w="741" w:type="dxa"/>
            <w:tcBorders>
              <w:top w:val="single" w:sz="2" w:space="0" w:color="auto"/>
              <w:left w:val="single" w:sz="2" w:space="0" w:color="auto"/>
              <w:bottom w:val="single" w:sz="2" w:space="0" w:color="auto"/>
              <w:right w:val="single" w:sz="2" w:space="0" w:color="auto"/>
            </w:tcBorders>
            <w:vAlign w:val="center"/>
          </w:tcPr>
          <w:p w14:paraId="3517E80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12D179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9EF5E9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F0C9336"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2278FB07"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5EADAE50" w14:textId="77777777" w:rsidR="007B3DB2" w:rsidRPr="0063248C" w:rsidRDefault="00000000">
            <w:pPr>
              <w:spacing w:line="240" w:lineRule="exact"/>
              <w:rPr>
                <w:rFonts w:cs="宋体"/>
                <w:sz w:val="18"/>
                <w:szCs w:val="18"/>
              </w:rPr>
            </w:pPr>
            <w:r w:rsidRPr="0063248C">
              <w:rPr>
                <w:rFonts w:cs="宋体"/>
                <w:sz w:val="18"/>
                <w:szCs w:val="18"/>
              </w:rPr>
              <w:t>巴中龙大屠宰线成套设备</w:t>
            </w:r>
          </w:p>
        </w:tc>
        <w:tc>
          <w:tcPr>
            <w:tcW w:w="741" w:type="dxa"/>
            <w:tcBorders>
              <w:top w:val="single" w:sz="2" w:space="0" w:color="auto"/>
              <w:left w:val="single" w:sz="2" w:space="0" w:color="auto"/>
              <w:bottom w:val="single" w:sz="2" w:space="0" w:color="auto"/>
              <w:right w:val="single" w:sz="2" w:space="0" w:color="auto"/>
            </w:tcBorders>
            <w:vAlign w:val="center"/>
          </w:tcPr>
          <w:p w14:paraId="48050A94" w14:textId="77777777" w:rsidR="007B3DB2" w:rsidRPr="0063248C" w:rsidRDefault="00000000">
            <w:pPr>
              <w:spacing w:line="240" w:lineRule="exact"/>
              <w:jc w:val="right"/>
              <w:rPr>
                <w:rFonts w:cs="宋体"/>
                <w:sz w:val="18"/>
                <w:szCs w:val="18"/>
              </w:rPr>
            </w:pPr>
            <w:r w:rsidRPr="0063248C">
              <w:rPr>
                <w:rFonts w:cs="宋体"/>
                <w:sz w:val="18"/>
                <w:szCs w:val="18"/>
              </w:rPr>
              <w:t>5,990,000.00</w:t>
            </w:r>
          </w:p>
        </w:tc>
        <w:tc>
          <w:tcPr>
            <w:tcW w:w="741" w:type="dxa"/>
            <w:tcBorders>
              <w:top w:val="single" w:sz="2" w:space="0" w:color="auto"/>
              <w:left w:val="single" w:sz="2" w:space="0" w:color="auto"/>
              <w:bottom w:val="single" w:sz="2" w:space="0" w:color="auto"/>
              <w:right w:val="single" w:sz="2" w:space="0" w:color="auto"/>
            </w:tcBorders>
            <w:vAlign w:val="center"/>
          </w:tcPr>
          <w:p w14:paraId="0473AF9A" w14:textId="77777777" w:rsidR="007B3DB2" w:rsidRPr="0063248C" w:rsidRDefault="00000000">
            <w:pPr>
              <w:spacing w:line="240" w:lineRule="exact"/>
              <w:jc w:val="right"/>
              <w:rPr>
                <w:rFonts w:cs="宋体"/>
                <w:sz w:val="18"/>
                <w:szCs w:val="18"/>
              </w:rPr>
            </w:pPr>
            <w:r w:rsidRPr="0063248C">
              <w:rPr>
                <w:rFonts w:cs="宋体"/>
                <w:sz w:val="18"/>
                <w:szCs w:val="18"/>
              </w:rPr>
              <w:t>5,603,982.30</w:t>
            </w:r>
          </w:p>
        </w:tc>
        <w:tc>
          <w:tcPr>
            <w:tcW w:w="741" w:type="dxa"/>
            <w:tcBorders>
              <w:top w:val="single" w:sz="2" w:space="0" w:color="auto"/>
              <w:left w:val="single" w:sz="2" w:space="0" w:color="auto"/>
              <w:bottom w:val="single" w:sz="2" w:space="0" w:color="auto"/>
              <w:right w:val="single" w:sz="2" w:space="0" w:color="auto"/>
            </w:tcBorders>
            <w:vAlign w:val="center"/>
          </w:tcPr>
          <w:p w14:paraId="652466A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0823DD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F8AB3D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72270C2" w14:textId="77777777" w:rsidR="007B3DB2" w:rsidRPr="0063248C" w:rsidRDefault="00000000">
            <w:pPr>
              <w:spacing w:line="240" w:lineRule="exact"/>
              <w:jc w:val="right"/>
              <w:rPr>
                <w:rFonts w:cs="宋体"/>
                <w:sz w:val="18"/>
                <w:szCs w:val="18"/>
              </w:rPr>
            </w:pPr>
            <w:r w:rsidRPr="0063248C">
              <w:rPr>
                <w:rFonts w:cs="宋体"/>
                <w:sz w:val="18"/>
                <w:szCs w:val="18"/>
              </w:rPr>
              <w:t>5,603,982.30</w:t>
            </w:r>
          </w:p>
        </w:tc>
        <w:tc>
          <w:tcPr>
            <w:tcW w:w="741" w:type="dxa"/>
            <w:tcBorders>
              <w:top w:val="single" w:sz="2" w:space="0" w:color="auto"/>
              <w:left w:val="single" w:sz="2" w:space="0" w:color="auto"/>
              <w:bottom w:val="single" w:sz="2" w:space="0" w:color="auto"/>
              <w:right w:val="single" w:sz="2" w:space="0" w:color="auto"/>
            </w:tcBorders>
            <w:vAlign w:val="center"/>
          </w:tcPr>
          <w:p w14:paraId="2F4CB604" w14:textId="77777777" w:rsidR="007B3DB2" w:rsidRPr="0063248C" w:rsidRDefault="00000000">
            <w:pPr>
              <w:spacing w:line="240" w:lineRule="exact"/>
              <w:jc w:val="right"/>
              <w:rPr>
                <w:rFonts w:cs="宋体"/>
                <w:sz w:val="18"/>
                <w:szCs w:val="18"/>
              </w:rPr>
            </w:pPr>
            <w:r w:rsidRPr="0063248C">
              <w:rPr>
                <w:rFonts w:cs="宋体"/>
                <w:sz w:val="18"/>
                <w:szCs w:val="18"/>
              </w:rPr>
              <w:t>93.56%</w:t>
            </w:r>
          </w:p>
        </w:tc>
        <w:tc>
          <w:tcPr>
            <w:tcW w:w="741" w:type="dxa"/>
            <w:tcBorders>
              <w:top w:val="single" w:sz="2" w:space="0" w:color="auto"/>
              <w:left w:val="single" w:sz="2" w:space="0" w:color="auto"/>
              <w:bottom w:val="single" w:sz="2" w:space="0" w:color="auto"/>
              <w:right w:val="single" w:sz="2" w:space="0" w:color="auto"/>
            </w:tcBorders>
            <w:vAlign w:val="center"/>
          </w:tcPr>
          <w:p w14:paraId="2CEF94BE" w14:textId="77777777" w:rsidR="007B3DB2" w:rsidRPr="0063248C" w:rsidRDefault="00000000">
            <w:pPr>
              <w:spacing w:line="240" w:lineRule="exact"/>
              <w:rPr>
                <w:rFonts w:cs="宋体"/>
                <w:sz w:val="18"/>
                <w:szCs w:val="18"/>
              </w:rPr>
            </w:pPr>
            <w:r w:rsidRPr="0063248C">
              <w:rPr>
                <w:rFonts w:cs="宋体"/>
                <w:sz w:val="18"/>
                <w:szCs w:val="18"/>
              </w:rPr>
              <w:t>0.95</w:t>
            </w:r>
          </w:p>
        </w:tc>
        <w:tc>
          <w:tcPr>
            <w:tcW w:w="741" w:type="dxa"/>
            <w:tcBorders>
              <w:top w:val="single" w:sz="2" w:space="0" w:color="auto"/>
              <w:left w:val="single" w:sz="2" w:space="0" w:color="auto"/>
              <w:bottom w:val="single" w:sz="2" w:space="0" w:color="auto"/>
              <w:right w:val="single" w:sz="2" w:space="0" w:color="auto"/>
            </w:tcBorders>
            <w:vAlign w:val="center"/>
          </w:tcPr>
          <w:p w14:paraId="7E29F5F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ACE06B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CE5137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B28ACC6"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0546153E"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642FFE1" w14:textId="77777777" w:rsidR="007B3DB2" w:rsidRPr="0063248C" w:rsidRDefault="00000000">
            <w:pPr>
              <w:spacing w:line="240" w:lineRule="exact"/>
              <w:rPr>
                <w:rFonts w:cs="宋体"/>
                <w:sz w:val="18"/>
                <w:szCs w:val="18"/>
              </w:rPr>
            </w:pPr>
            <w:r w:rsidRPr="0063248C">
              <w:rPr>
                <w:rFonts w:cs="宋体"/>
                <w:sz w:val="18"/>
                <w:szCs w:val="18"/>
              </w:rPr>
              <w:t>巴中龙大制冷系统</w:t>
            </w:r>
          </w:p>
        </w:tc>
        <w:tc>
          <w:tcPr>
            <w:tcW w:w="741" w:type="dxa"/>
            <w:tcBorders>
              <w:top w:val="single" w:sz="2" w:space="0" w:color="auto"/>
              <w:left w:val="single" w:sz="2" w:space="0" w:color="auto"/>
              <w:bottom w:val="single" w:sz="2" w:space="0" w:color="auto"/>
              <w:right w:val="single" w:sz="2" w:space="0" w:color="auto"/>
            </w:tcBorders>
            <w:vAlign w:val="center"/>
          </w:tcPr>
          <w:p w14:paraId="235F2764" w14:textId="77777777" w:rsidR="007B3DB2" w:rsidRPr="0063248C" w:rsidRDefault="00000000">
            <w:pPr>
              <w:spacing w:line="240" w:lineRule="exact"/>
              <w:jc w:val="right"/>
              <w:rPr>
                <w:rFonts w:cs="宋体"/>
                <w:sz w:val="18"/>
                <w:szCs w:val="18"/>
              </w:rPr>
            </w:pPr>
            <w:r w:rsidRPr="0063248C">
              <w:rPr>
                <w:rFonts w:cs="宋体"/>
                <w:sz w:val="18"/>
                <w:szCs w:val="18"/>
              </w:rPr>
              <w:t>11,000,000.00</w:t>
            </w:r>
          </w:p>
        </w:tc>
        <w:tc>
          <w:tcPr>
            <w:tcW w:w="741" w:type="dxa"/>
            <w:tcBorders>
              <w:top w:val="single" w:sz="2" w:space="0" w:color="auto"/>
              <w:left w:val="single" w:sz="2" w:space="0" w:color="auto"/>
              <w:bottom w:val="single" w:sz="2" w:space="0" w:color="auto"/>
              <w:right w:val="single" w:sz="2" w:space="0" w:color="auto"/>
            </w:tcBorders>
            <w:vAlign w:val="center"/>
          </w:tcPr>
          <w:p w14:paraId="1476FA34" w14:textId="77777777" w:rsidR="007B3DB2" w:rsidRPr="0063248C" w:rsidRDefault="00000000">
            <w:pPr>
              <w:spacing w:line="240" w:lineRule="exact"/>
              <w:jc w:val="right"/>
              <w:rPr>
                <w:rFonts w:cs="宋体"/>
                <w:sz w:val="18"/>
                <w:szCs w:val="18"/>
              </w:rPr>
            </w:pPr>
            <w:r w:rsidRPr="0063248C">
              <w:rPr>
                <w:rFonts w:cs="宋体"/>
                <w:sz w:val="18"/>
                <w:szCs w:val="18"/>
              </w:rPr>
              <w:t>5,844,930.93</w:t>
            </w:r>
          </w:p>
        </w:tc>
        <w:tc>
          <w:tcPr>
            <w:tcW w:w="741" w:type="dxa"/>
            <w:tcBorders>
              <w:top w:val="single" w:sz="2" w:space="0" w:color="auto"/>
              <w:left w:val="single" w:sz="2" w:space="0" w:color="auto"/>
              <w:bottom w:val="single" w:sz="2" w:space="0" w:color="auto"/>
              <w:right w:val="single" w:sz="2" w:space="0" w:color="auto"/>
            </w:tcBorders>
            <w:vAlign w:val="center"/>
          </w:tcPr>
          <w:p w14:paraId="33694C52" w14:textId="77777777" w:rsidR="007B3DB2" w:rsidRPr="0063248C" w:rsidRDefault="00000000">
            <w:pPr>
              <w:spacing w:line="240" w:lineRule="exact"/>
              <w:jc w:val="right"/>
              <w:rPr>
                <w:rFonts w:cs="宋体"/>
                <w:sz w:val="18"/>
                <w:szCs w:val="18"/>
              </w:rPr>
            </w:pPr>
            <w:r w:rsidRPr="0063248C">
              <w:rPr>
                <w:rFonts w:cs="宋体"/>
                <w:sz w:val="18"/>
                <w:szCs w:val="18"/>
              </w:rPr>
              <w:t>2,794,746.83</w:t>
            </w:r>
          </w:p>
        </w:tc>
        <w:tc>
          <w:tcPr>
            <w:tcW w:w="741" w:type="dxa"/>
            <w:tcBorders>
              <w:top w:val="single" w:sz="2" w:space="0" w:color="auto"/>
              <w:left w:val="single" w:sz="2" w:space="0" w:color="auto"/>
              <w:bottom w:val="single" w:sz="2" w:space="0" w:color="auto"/>
              <w:right w:val="single" w:sz="2" w:space="0" w:color="auto"/>
            </w:tcBorders>
            <w:vAlign w:val="center"/>
          </w:tcPr>
          <w:p w14:paraId="69A1BEC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D21B69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166527D" w14:textId="77777777" w:rsidR="007B3DB2" w:rsidRPr="0063248C" w:rsidRDefault="00000000">
            <w:pPr>
              <w:spacing w:line="240" w:lineRule="exact"/>
              <w:jc w:val="right"/>
              <w:rPr>
                <w:rFonts w:cs="宋体"/>
                <w:sz w:val="18"/>
                <w:szCs w:val="18"/>
              </w:rPr>
            </w:pPr>
            <w:r w:rsidRPr="0063248C">
              <w:rPr>
                <w:rFonts w:cs="宋体"/>
                <w:sz w:val="18"/>
                <w:szCs w:val="18"/>
              </w:rPr>
              <w:t>8,639,677.76</w:t>
            </w:r>
          </w:p>
        </w:tc>
        <w:tc>
          <w:tcPr>
            <w:tcW w:w="741" w:type="dxa"/>
            <w:tcBorders>
              <w:top w:val="single" w:sz="2" w:space="0" w:color="auto"/>
              <w:left w:val="single" w:sz="2" w:space="0" w:color="auto"/>
              <w:bottom w:val="single" w:sz="2" w:space="0" w:color="auto"/>
              <w:right w:val="single" w:sz="2" w:space="0" w:color="auto"/>
            </w:tcBorders>
            <w:vAlign w:val="center"/>
          </w:tcPr>
          <w:p w14:paraId="1D774FAB" w14:textId="77777777" w:rsidR="007B3DB2" w:rsidRPr="0063248C" w:rsidRDefault="00000000">
            <w:pPr>
              <w:spacing w:line="240" w:lineRule="exact"/>
              <w:jc w:val="right"/>
              <w:rPr>
                <w:rFonts w:cs="宋体"/>
                <w:sz w:val="18"/>
                <w:szCs w:val="18"/>
              </w:rPr>
            </w:pPr>
            <w:r w:rsidRPr="0063248C">
              <w:rPr>
                <w:rFonts w:cs="宋体"/>
                <w:sz w:val="18"/>
                <w:szCs w:val="18"/>
              </w:rPr>
              <w:t>78.54%</w:t>
            </w:r>
          </w:p>
        </w:tc>
        <w:tc>
          <w:tcPr>
            <w:tcW w:w="741" w:type="dxa"/>
            <w:tcBorders>
              <w:top w:val="single" w:sz="2" w:space="0" w:color="auto"/>
              <w:left w:val="single" w:sz="2" w:space="0" w:color="auto"/>
              <w:bottom w:val="single" w:sz="2" w:space="0" w:color="auto"/>
              <w:right w:val="single" w:sz="2" w:space="0" w:color="auto"/>
            </w:tcBorders>
            <w:vAlign w:val="center"/>
          </w:tcPr>
          <w:p w14:paraId="053806D3" w14:textId="77777777" w:rsidR="007B3DB2" w:rsidRPr="0063248C" w:rsidRDefault="00000000">
            <w:pPr>
              <w:spacing w:line="240" w:lineRule="exact"/>
              <w:rPr>
                <w:rFonts w:cs="宋体"/>
                <w:sz w:val="18"/>
                <w:szCs w:val="18"/>
              </w:rPr>
            </w:pPr>
            <w:r w:rsidRPr="0063248C">
              <w:rPr>
                <w:rFonts w:cs="宋体"/>
                <w:sz w:val="18"/>
                <w:szCs w:val="18"/>
              </w:rPr>
              <w:t>0.95</w:t>
            </w:r>
          </w:p>
        </w:tc>
        <w:tc>
          <w:tcPr>
            <w:tcW w:w="741" w:type="dxa"/>
            <w:tcBorders>
              <w:top w:val="single" w:sz="2" w:space="0" w:color="auto"/>
              <w:left w:val="single" w:sz="2" w:space="0" w:color="auto"/>
              <w:bottom w:val="single" w:sz="2" w:space="0" w:color="auto"/>
              <w:right w:val="single" w:sz="2" w:space="0" w:color="auto"/>
            </w:tcBorders>
            <w:vAlign w:val="center"/>
          </w:tcPr>
          <w:p w14:paraId="516A8CD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AAEDA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B6CD53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93BC6C9"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25CA4A4F"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6CA9A7B0" w14:textId="77777777" w:rsidR="007B3DB2" w:rsidRPr="0063248C" w:rsidRDefault="00000000">
            <w:pPr>
              <w:spacing w:line="240" w:lineRule="exact"/>
              <w:rPr>
                <w:rFonts w:cs="宋体"/>
                <w:sz w:val="18"/>
                <w:szCs w:val="18"/>
              </w:rPr>
            </w:pPr>
            <w:r w:rsidRPr="0063248C">
              <w:rPr>
                <w:rFonts w:cs="宋体"/>
                <w:sz w:val="18"/>
                <w:szCs w:val="18"/>
              </w:rPr>
              <w:t>巴中龙大泡沫清洗消毒系统</w:t>
            </w:r>
          </w:p>
        </w:tc>
        <w:tc>
          <w:tcPr>
            <w:tcW w:w="741" w:type="dxa"/>
            <w:tcBorders>
              <w:top w:val="single" w:sz="2" w:space="0" w:color="auto"/>
              <w:left w:val="single" w:sz="2" w:space="0" w:color="auto"/>
              <w:bottom w:val="single" w:sz="2" w:space="0" w:color="auto"/>
              <w:right w:val="single" w:sz="2" w:space="0" w:color="auto"/>
            </w:tcBorders>
            <w:vAlign w:val="center"/>
          </w:tcPr>
          <w:p w14:paraId="439305AC" w14:textId="77777777" w:rsidR="007B3DB2" w:rsidRPr="0063248C" w:rsidRDefault="00000000">
            <w:pPr>
              <w:spacing w:line="240" w:lineRule="exact"/>
              <w:jc w:val="right"/>
              <w:rPr>
                <w:rFonts w:cs="宋体"/>
                <w:sz w:val="18"/>
                <w:szCs w:val="18"/>
              </w:rPr>
            </w:pPr>
            <w:r w:rsidRPr="0063248C">
              <w:rPr>
                <w:rFonts w:cs="宋体"/>
                <w:sz w:val="18"/>
                <w:szCs w:val="18"/>
              </w:rPr>
              <w:t>133,000.00</w:t>
            </w:r>
          </w:p>
        </w:tc>
        <w:tc>
          <w:tcPr>
            <w:tcW w:w="741" w:type="dxa"/>
            <w:tcBorders>
              <w:top w:val="single" w:sz="2" w:space="0" w:color="auto"/>
              <w:left w:val="single" w:sz="2" w:space="0" w:color="auto"/>
              <w:bottom w:val="single" w:sz="2" w:space="0" w:color="auto"/>
              <w:right w:val="single" w:sz="2" w:space="0" w:color="auto"/>
            </w:tcBorders>
            <w:vAlign w:val="center"/>
          </w:tcPr>
          <w:p w14:paraId="7A4D5F56" w14:textId="77777777" w:rsidR="007B3DB2" w:rsidRPr="0063248C" w:rsidRDefault="00000000">
            <w:pPr>
              <w:spacing w:line="240" w:lineRule="exact"/>
              <w:jc w:val="right"/>
              <w:rPr>
                <w:rFonts w:cs="宋体"/>
                <w:sz w:val="18"/>
                <w:szCs w:val="18"/>
              </w:rPr>
            </w:pPr>
            <w:r w:rsidRPr="0063248C">
              <w:rPr>
                <w:rFonts w:cs="宋体"/>
                <w:sz w:val="18"/>
                <w:szCs w:val="18"/>
              </w:rPr>
              <w:t>23,539.82</w:t>
            </w:r>
          </w:p>
        </w:tc>
        <w:tc>
          <w:tcPr>
            <w:tcW w:w="741" w:type="dxa"/>
            <w:tcBorders>
              <w:top w:val="single" w:sz="2" w:space="0" w:color="auto"/>
              <w:left w:val="single" w:sz="2" w:space="0" w:color="auto"/>
              <w:bottom w:val="single" w:sz="2" w:space="0" w:color="auto"/>
              <w:right w:val="single" w:sz="2" w:space="0" w:color="auto"/>
            </w:tcBorders>
            <w:vAlign w:val="center"/>
          </w:tcPr>
          <w:p w14:paraId="054F6DD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336886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E1CD94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3C923AE" w14:textId="77777777" w:rsidR="007B3DB2" w:rsidRPr="0063248C" w:rsidRDefault="00000000">
            <w:pPr>
              <w:spacing w:line="240" w:lineRule="exact"/>
              <w:jc w:val="right"/>
              <w:rPr>
                <w:rFonts w:cs="宋体"/>
                <w:sz w:val="18"/>
                <w:szCs w:val="18"/>
              </w:rPr>
            </w:pPr>
            <w:r w:rsidRPr="0063248C">
              <w:rPr>
                <w:rFonts w:cs="宋体"/>
                <w:sz w:val="18"/>
                <w:szCs w:val="18"/>
              </w:rPr>
              <w:t>23,539.82</w:t>
            </w:r>
          </w:p>
        </w:tc>
        <w:tc>
          <w:tcPr>
            <w:tcW w:w="741" w:type="dxa"/>
            <w:tcBorders>
              <w:top w:val="single" w:sz="2" w:space="0" w:color="auto"/>
              <w:left w:val="single" w:sz="2" w:space="0" w:color="auto"/>
              <w:bottom w:val="single" w:sz="2" w:space="0" w:color="auto"/>
              <w:right w:val="single" w:sz="2" w:space="0" w:color="auto"/>
            </w:tcBorders>
            <w:vAlign w:val="center"/>
          </w:tcPr>
          <w:p w14:paraId="366AB9C8" w14:textId="77777777" w:rsidR="007B3DB2" w:rsidRPr="0063248C" w:rsidRDefault="00000000">
            <w:pPr>
              <w:spacing w:line="240" w:lineRule="exact"/>
              <w:jc w:val="right"/>
              <w:rPr>
                <w:rFonts w:cs="宋体"/>
                <w:sz w:val="18"/>
                <w:szCs w:val="18"/>
              </w:rPr>
            </w:pPr>
            <w:r w:rsidRPr="0063248C">
              <w:rPr>
                <w:rFonts w:cs="宋体"/>
                <w:sz w:val="18"/>
                <w:szCs w:val="18"/>
              </w:rPr>
              <w:t>17.70%</w:t>
            </w:r>
          </w:p>
        </w:tc>
        <w:tc>
          <w:tcPr>
            <w:tcW w:w="741" w:type="dxa"/>
            <w:tcBorders>
              <w:top w:val="single" w:sz="2" w:space="0" w:color="auto"/>
              <w:left w:val="single" w:sz="2" w:space="0" w:color="auto"/>
              <w:bottom w:val="single" w:sz="2" w:space="0" w:color="auto"/>
              <w:right w:val="single" w:sz="2" w:space="0" w:color="auto"/>
            </w:tcBorders>
            <w:vAlign w:val="center"/>
          </w:tcPr>
          <w:p w14:paraId="3765F2E4" w14:textId="77777777" w:rsidR="007B3DB2" w:rsidRPr="0063248C" w:rsidRDefault="00000000">
            <w:pPr>
              <w:spacing w:line="240" w:lineRule="exact"/>
              <w:rPr>
                <w:rFonts w:cs="宋体"/>
                <w:sz w:val="18"/>
                <w:szCs w:val="18"/>
              </w:rPr>
            </w:pPr>
            <w:r w:rsidRPr="0063248C">
              <w:rPr>
                <w:rFonts w:cs="宋体"/>
                <w:sz w:val="18"/>
                <w:szCs w:val="18"/>
              </w:rPr>
              <w:t>0.95</w:t>
            </w:r>
          </w:p>
        </w:tc>
        <w:tc>
          <w:tcPr>
            <w:tcW w:w="741" w:type="dxa"/>
            <w:tcBorders>
              <w:top w:val="single" w:sz="2" w:space="0" w:color="auto"/>
              <w:left w:val="single" w:sz="2" w:space="0" w:color="auto"/>
              <w:bottom w:val="single" w:sz="2" w:space="0" w:color="auto"/>
              <w:right w:val="single" w:sz="2" w:space="0" w:color="auto"/>
            </w:tcBorders>
            <w:vAlign w:val="center"/>
          </w:tcPr>
          <w:p w14:paraId="5D23E85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59672A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7B9715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3D2BE8"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356DC929"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5C91892C" w14:textId="77777777" w:rsidR="007B3DB2" w:rsidRPr="0063248C" w:rsidRDefault="00000000">
            <w:pPr>
              <w:spacing w:line="240" w:lineRule="exact"/>
              <w:rPr>
                <w:rFonts w:cs="宋体"/>
                <w:sz w:val="18"/>
                <w:szCs w:val="18"/>
              </w:rPr>
            </w:pPr>
            <w:r w:rsidRPr="0063248C">
              <w:rPr>
                <w:rFonts w:cs="宋体"/>
                <w:sz w:val="18"/>
                <w:szCs w:val="18"/>
              </w:rPr>
              <w:t>巴中龙大屠宰项目锅炉系统</w:t>
            </w:r>
          </w:p>
        </w:tc>
        <w:tc>
          <w:tcPr>
            <w:tcW w:w="741" w:type="dxa"/>
            <w:tcBorders>
              <w:top w:val="single" w:sz="2" w:space="0" w:color="auto"/>
              <w:left w:val="single" w:sz="2" w:space="0" w:color="auto"/>
              <w:bottom w:val="single" w:sz="2" w:space="0" w:color="auto"/>
              <w:right w:val="single" w:sz="2" w:space="0" w:color="auto"/>
            </w:tcBorders>
            <w:vAlign w:val="center"/>
          </w:tcPr>
          <w:p w14:paraId="564839F8" w14:textId="77777777" w:rsidR="007B3DB2" w:rsidRPr="0063248C" w:rsidRDefault="00000000">
            <w:pPr>
              <w:spacing w:line="240" w:lineRule="exact"/>
              <w:jc w:val="right"/>
              <w:rPr>
                <w:rFonts w:cs="宋体"/>
                <w:sz w:val="18"/>
                <w:szCs w:val="18"/>
              </w:rPr>
            </w:pPr>
            <w:r w:rsidRPr="0063248C">
              <w:rPr>
                <w:rFonts w:cs="宋体"/>
                <w:sz w:val="18"/>
                <w:szCs w:val="18"/>
              </w:rPr>
              <w:t>596,981.10</w:t>
            </w:r>
          </w:p>
        </w:tc>
        <w:tc>
          <w:tcPr>
            <w:tcW w:w="741" w:type="dxa"/>
            <w:tcBorders>
              <w:top w:val="single" w:sz="2" w:space="0" w:color="auto"/>
              <w:left w:val="single" w:sz="2" w:space="0" w:color="auto"/>
              <w:bottom w:val="single" w:sz="2" w:space="0" w:color="auto"/>
              <w:right w:val="single" w:sz="2" w:space="0" w:color="auto"/>
            </w:tcBorders>
            <w:vAlign w:val="center"/>
          </w:tcPr>
          <w:p w14:paraId="2BE4C8E5" w14:textId="77777777" w:rsidR="007B3DB2" w:rsidRPr="0063248C" w:rsidRDefault="00000000">
            <w:pPr>
              <w:spacing w:line="240" w:lineRule="exact"/>
              <w:jc w:val="right"/>
              <w:rPr>
                <w:rFonts w:cs="宋体"/>
                <w:sz w:val="18"/>
                <w:szCs w:val="18"/>
              </w:rPr>
            </w:pPr>
            <w:r w:rsidRPr="0063248C">
              <w:rPr>
                <w:rFonts w:cs="宋体"/>
                <w:sz w:val="18"/>
                <w:szCs w:val="18"/>
              </w:rPr>
              <w:t>528,301.86</w:t>
            </w:r>
          </w:p>
        </w:tc>
        <w:tc>
          <w:tcPr>
            <w:tcW w:w="741" w:type="dxa"/>
            <w:tcBorders>
              <w:top w:val="single" w:sz="2" w:space="0" w:color="auto"/>
              <w:left w:val="single" w:sz="2" w:space="0" w:color="auto"/>
              <w:bottom w:val="single" w:sz="2" w:space="0" w:color="auto"/>
              <w:right w:val="single" w:sz="2" w:space="0" w:color="auto"/>
            </w:tcBorders>
            <w:vAlign w:val="center"/>
          </w:tcPr>
          <w:p w14:paraId="02FBBEF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ED94E3E" w14:textId="77777777" w:rsidR="007B3DB2" w:rsidRPr="0063248C" w:rsidRDefault="00000000">
            <w:pPr>
              <w:spacing w:line="240" w:lineRule="exact"/>
              <w:jc w:val="right"/>
              <w:rPr>
                <w:rFonts w:cs="宋体"/>
                <w:sz w:val="18"/>
                <w:szCs w:val="18"/>
              </w:rPr>
            </w:pPr>
            <w:r w:rsidRPr="0063248C">
              <w:rPr>
                <w:rFonts w:cs="宋体"/>
                <w:sz w:val="18"/>
                <w:szCs w:val="18"/>
              </w:rPr>
              <w:t>528,301.86</w:t>
            </w:r>
          </w:p>
        </w:tc>
        <w:tc>
          <w:tcPr>
            <w:tcW w:w="741" w:type="dxa"/>
            <w:tcBorders>
              <w:top w:val="single" w:sz="2" w:space="0" w:color="auto"/>
              <w:left w:val="single" w:sz="2" w:space="0" w:color="auto"/>
              <w:bottom w:val="single" w:sz="2" w:space="0" w:color="auto"/>
              <w:right w:val="single" w:sz="2" w:space="0" w:color="auto"/>
            </w:tcBorders>
            <w:vAlign w:val="center"/>
          </w:tcPr>
          <w:p w14:paraId="419B4B7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DAABB6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19E4D1A3" w14:textId="77777777" w:rsidR="007B3DB2" w:rsidRPr="0063248C" w:rsidRDefault="00000000">
            <w:pPr>
              <w:spacing w:line="240" w:lineRule="exact"/>
              <w:jc w:val="right"/>
              <w:rPr>
                <w:rFonts w:cs="宋体"/>
                <w:sz w:val="18"/>
                <w:szCs w:val="18"/>
              </w:rPr>
            </w:pPr>
            <w:r w:rsidRPr="0063248C">
              <w:rPr>
                <w:rFonts w:cs="宋体"/>
                <w:sz w:val="18"/>
                <w:szCs w:val="18"/>
              </w:rPr>
              <w:t>88.50%</w:t>
            </w:r>
          </w:p>
        </w:tc>
        <w:tc>
          <w:tcPr>
            <w:tcW w:w="741" w:type="dxa"/>
            <w:tcBorders>
              <w:top w:val="single" w:sz="2" w:space="0" w:color="auto"/>
              <w:left w:val="single" w:sz="2" w:space="0" w:color="auto"/>
              <w:bottom w:val="single" w:sz="2" w:space="0" w:color="auto"/>
              <w:right w:val="single" w:sz="2" w:space="0" w:color="auto"/>
            </w:tcBorders>
            <w:vAlign w:val="center"/>
          </w:tcPr>
          <w:p w14:paraId="7A4B2511" w14:textId="77777777" w:rsidR="007B3DB2" w:rsidRPr="0063248C" w:rsidRDefault="00000000">
            <w:pPr>
              <w:spacing w:line="240" w:lineRule="exact"/>
              <w:rPr>
                <w:rFonts w:cs="宋体"/>
                <w:sz w:val="18"/>
                <w:szCs w:val="18"/>
              </w:rPr>
            </w:pPr>
            <w:r w:rsidRPr="0063248C">
              <w:rPr>
                <w:rFonts w:cs="宋体"/>
                <w:sz w:val="18"/>
                <w:szCs w:val="18"/>
              </w:rPr>
              <w:t>1</w:t>
            </w:r>
          </w:p>
        </w:tc>
        <w:tc>
          <w:tcPr>
            <w:tcW w:w="741" w:type="dxa"/>
            <w:tcBorders>
              <w:top w:val="single" w:sz="2" w:space="0" w:color="auto"/>
              <w:left w:val="single" w:sz="2" w:space="0" w:color="auto"/>
              <w:bottom w:val="single" w:sz="2" w:space="0" w:color="auto"/>
              <w:right w:val="single" w:sz="2" w:space="0" w:color="auto"/>
            </w:tcBorders>
            <w:vAlign w:val="center"/>
          </w:tcPr>
          <w:p w14:paraId="2FD9E8A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5BE07E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641470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50021C"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67F2E5D2"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FCAED54" w14:textId="77777777" w:rsidR="007B3DB2" w:rsidRPr="0063248C" w:rsidRDefault="00000000">
            <w:pPr>
              <w:spacing w:line="240" w:lineRule="exact"/>
              <w:rPr>
                <w:rFonts w:cs="宋体"/>
                <w:sz w:val="18"/>
                <w:szCs w:val="18"/>
              </w:rPr>
            </w:pPr>
            <w:r w:rsidRPr="0063248C">
              <w:rPr>
                <w:rFonts w:cs="宋体"/>
                <w:sz w:val="18"/>
                <w:szCs w:val="18"/>
              </w:rPr>
              <w:t>巴中龙大废气处理设备</w:t>
            </w:r>
          </w:p>
        </w:tc>
        <w:tc>
          <w:tcPr>
            <w:tcW w:w="741" w:type="dxa"/>
            <w:tcBorders>
              <w:top w:val="single" w:sz="2" w:space="0" w:color="auto"/>
              <w:left w:val="single" w:sz="2" w:space="0" w:color="auto"/>
              <w:bottom w:val="single" w:sz="2" w:space="0" w:color="auto"/>
              <w:right w:val="single" w:sz="2" w:space="0" w:color="auto"/>
            </w:tcBorders>
            <w:vAlign w:val="center"/>
          </w:tcPr>
          <w:p w14:paraId="36FF9BA3" w14:textId="77777777" w:rsidR="007B3DB2" w:rsidRPr="0063248C" w:rsidRDefault="00000000">
            <w:pPr>
              <w:spacing w:line="240" w:lineRule="exact"/>
              <w:jc w:val="right"/>
              <w:rPr>
                <w:rFonts w:cs="宋体"/>
                <w:sz w:val="18"/>
                <w:szCs w:val="18"/>
              </w:rPr>
            </w:pPr>
            <w:r w:rsidRPr="0063248C">
              <w:rPr>
                <w:rFonts w:cs="宋体"/>
                <w:sz w:val="18"/>
                <w:szCs w:val="18"/>
              </w:rPr>
              <w:t>627,839.35</w:t>
            </w:r>
          </w:p>
        </w:tc>
        <w:tc>
          <w:tcPr>
            <w:tcW w:w="741" w:type="dxa"/>
            <w:tcBorders>
              <w:top w:val="single" w:sz="2" w:space="0" w:color="auto"/>
              <w:left w:val="single" w:sz="2" w:space="0" w:color="auto"/>
              <w:bottom w:val="single" w:sz="2" w:space="0" w:color="auto"/>
              <w:right w:val="single" w:sz="2" w:space="0" w:color="auto"/>
            </w:tcBorders>
            <w:vAlign w:val="center"/>
          </w:tcPr>
          <w:p w14:paraId="07029A2E" w14:textId="77777777" w:rsidR="007B3DB2" w:rsidRPr="0063248C" w:rsidRDefault="00000000">
            <w:pPr>
              <w:spacing w:line="240" w:lineRule="exact"/>
              <w:jc w:val="right"/>
              <w:rPr>
                <w:rFonts w:cs="宋体"/>
                <w:sz w:val="18"/>
                <w:szCs w:val="18"/>
              </w:rPr>
            </w:pPr>
            <w:r w:rsidRPr="0063248C">
              <w:rPr>
                <w:rFonts w:cs="宋体"/>
                <w:sz w:val="18"/>
                <w:szCs w:val="18"/>
              </w:rPr>
              <w:t>416,707.54</w:t>
            </w:r>
          </w:p>
        </w:tc>
        <w:tc>
          <w:tcPr>
            <w:tcW w:w="741" w:type="dxa"/>
            <w:tcBorders>
              <w:top w:val="single" w:sz="2" w:space="0" w:color="auto"/>
              <w:left w:val="single" w:sz="2" w:space="0" w:color="auto"/>
              <w:bottom w:val="single" w:sz="2" w:space="0" w:color="auto"/>
              <w:right w:val="single" w:sz="2" w:space="0" w:color="auto"/>
            </w:tcBorders>
            <w:vAlign w:val="center"/>
          </w:tcPr>
          <w:p w14:paraId="09E181A6" w14:textId="77777777" w:rsidR="007B3DB2" w:rsidRPr="0063248C" w:rsidRDefault="00000000">
            <w:pPr>
              <w:spacing w:line="240" w:lineRule="exact"/>
              <w:jc w:val="right"/>
              <w:rPr>
                <w:rFonts w:cs="宋体"/>
                <w:sz w:val="18"/>
                <w:szCs w:val="18"/>
              </w:rPr>
            </w:pPr>
            <w:r w:rsidRPr="0063248C">
              <w:rPr>
                <w:rFonts w:cs="宋体"/>
                <w:sz w:val="18"/>
                <w:szCs w:val="18"/>
              </w:rPr>
              <w:t>55,561.01</w:t>
            </w:r>
          </w:p>
        </w:tc>
        <w:tc>
          <w:tcPr>
            <w:tcW w:w="741" w:type="dxa"/>
            <w:tcBorders>
              <w:top w:val="single" w:sz="2" w:space="0" w:color="auto"/>
              <w:left w:val="single" w:sz="2" w:space="0" w:color="auto"/>
              <w:bottom w:val="single" w:sz="2" w:space="0" w:color="auto"/>
              <w:right w:val="single" w:sz="2" w:space="0" w:color="auto"/>
            </w:tcBorders>
            <w:vAlign w:val="center"/>
          </w:tcPr>
          <w:p w14:paraId="2B3773D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964550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91EB76C" w14:textId="77777777" w:rsidR="007B3DB2" w:rsidRPr="0063248C" w:rsidRDefault="00000000">
            <w:pPr>
              <w:spacing w:line="240" w:lineRule="exact"/>
              <w:jc w:val="right"/>
              <w:rPr>
                <w:rFonts w:cs="宋体"/>
                <w:sz w:val="18"/>
                <w:szCs w:val="18"/>
              </w:rPr>
            </w:pPr>
            <w:r w:rsidRPr="0063248C">
              <w:rPr>
                <w:rFonts w:cs="宋体"/>
                <w:sz w:val="18"/>
                <w:szCs w:val="18"/>
              </w:rPr>
              <w:t>472,268.55</w:t>
            </w:r>
          </w:p>
        </w:tc>
        <w:tc>
          <w:tcPr>
            <w:tcW w:w="741" w:type="dxa"/>
            <w:tcBorders>
              <w:top w:val="single" w:sz="2" w:space="0" w:color="auto"/>
              <w:left w:val="single" w:sz="2" w:space="0" w:color="auto"/>
              <w:bottom w:val="single" w:sz="2" w:space="0" w:color="auto"/>
              <w:right w:val="single" w:sz="2" w:space="0" w:color="auto"/>
            </w:tcBorders>
            <w:vAlign w:val="center"/>
          </w:tcPr>
          <w:p w14:paraId="5A6F87D2" w14:textId="77777777" w:rsidR="007B3DB2" w:rsidRPr="0063248C" w:rsidRDefault="00000000">
            <w:pPr>
              <w:spacing w:line="240" w:lineRule="exact"/>
              <w:jc w:val="right"/>
              <w:rPr>
                <w:rFonts w:cs="宋体"/>
                <w:sz w:val="18"/>
                <w:szCs w:val="18"/>
              </w:rPr>
            </w:pPr>
            <w:r w:rsidRPr="0063248C">
              <w:rPr>
                <w:rFonts w:cs="宋体"/>
                <w:sz w:val="18"/>
                <w:szCs w:val="18"/>
              </w:rPr>
              <w:t>75.22%</w:t>
            </w:r>
          </w:p>
        </w:tc>
        <w:tc>
          <w:tcPr>
            <w:tcW w:w="741" w:type="dxa"/>
            <w:tcBorders>
              <w:top w:val="single" w:sz="2" w:space="0" w:color="auto"/>
              <w:left w:val="single" w:sz="2" w:space="0" w:color="auto"/>
              <w:bottom w:val="single" w:sz="2" w:space="0" w:color="auto"/>
              <w:right w:val="single" w:sz="2" w:space="0" w:color="auto"/>
            </w:tcBorders>
            <w:vAlign w:val="center"/>
          </w:tcPr>
          <w:p w14:paraId="03BA581D" w14:textId="77777777" w:rsidR="007B3DB2" w:rsidRPr="0063248C" w:rsidRDefault="00000000">
            <w:pPr>
              <w:spacing w:line="240" w:lineRule="exact"/>
              <w:rPr>
                <w:rFonts w:cs="宋体"/>
                <w:sz w:val="18"/>
                <w:szCs w:val="18"/>
              </w:rPr>
            </w:pPr>
            <w:r w:rsidRPr="0063248C">
              <w:rPr>
                <w:rFonts w:cs="宋体"/>
                <w:sz w:val="18"/>
                <w:szCs w:val="18"/>
              </w:rPr>
              <w:t>0.95</w:t>
            </w:r>
          </w:p>
        </w:tc>
        <w:tc>
          <w:tcPr>
            <w:tcW w:w="741" w:type="dxa"/>
            <w:tcBorders>
              <w:top w:val="single" w:sz="2" w:space="0" w:color="auto"/>
              <w:left w:val="single" w:sz="2" w:space="0" w:color="auto"/>
              <w:bottom w:val="single" w:sz="2" w:space="0" w:color="auto"/>
              <w:right w:val="single" w:sz="2" w:space="0" w:color="auto"/>
            </w:tcBorders>
            <w:vAlign w:val="center"/>
          </w:tcPr>
          <w:p w14:paraId="1ED2F55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E1A521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2CCD7A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77A3FEB"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5F84F7E3"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6C67A61E" w14:textId="77777777" w:rsidR="007B3DB2" w:rsidRPr="0063248C" w:rsidRDefault="00000000">
            <w:pPr>
              <w:spacing w:line="240" w:lineRule="exact"/>
              <w:rPr>
                <w:rFonts w:cs="宋体"/>
                <w:sz w:val="18"/>
                <w:szCs w:val="18"/>
              </w:rPr>
            </w:pPr>
            <w:r w:rsidRPr="0063248C">
              <w:rPr>
                <w:rFonts w:cs="宋体"/>
                <w:sz w:val="18"/>
                <w:szCs w:val="18"/>
              </w:rPr>
              <w:t>巴中龙大污水处理设备</w:t>
            </w:r>
          </w:p>
        </w:tc>
        <w:tc>
          <w:tcPr>
            <w:tcW w:w="741" w:type="dxa"/>
            <w:tcBorders>
              <w:top w:val="single" w:sz="2" w:space="0" w:color="auto"/>
              <w:left w:val="single" w:sz="2" w:space="0" w:color="auto"/>
              <w:bottom w:val="single" w:sz="2" w:space="0" w:color="auto"/>
              <w:right w:val="single" w:sz="2" w:space="0" w:color="auto"/>
            </w:tcBorders>
            <w:vAlign w:val="center"/>
          </w:tcPr>
          <w:p w14:paraId="5F5CBE43" w14:textId="77777777" w:rsidR="007B3DB2" w:rsidRPr="0063248C" w:rsidRDefault="00000000">
            <w:pPr>
              <w:spacing w:line="240" w:lineRule="exact"/>
              <w:jc w:val="right"/>
              <w:rPr>
                <w:rFonts w:cs="宋体"/>
                <w:sz w:val="18"/>
                <w:szCs w:val="18"/>
              </w:rPr>
            </w:pPr>
            <w:r w:rsidRPr="0063248C">
              <w:rPr>
                <w:rFonts w:cs="宋体"/>
                <w:sz w:val="18"/>
                <w:szCs w:val="18"/>
              </w:rPr>
              <w:t>1,855,770.49</w:t>
            </w:r>
          </w:p>
        </w:tc>
        <w:tc>
          <w:tcPr>
            <w:tcW w:w="741" w:type="dxa"/>
            <w:tcBorders>
              <w:top w:val="single" w:sz="2" w:space="0" w:color="auto"/>
              <w:left w:val="single" w:sz="2" w:space="0" w:color="auto"/>
              <w:bottom w:val="single" w:sz="2" w:space="0" w:color="auto"/>
              <w:right w:val="single" w:sz="2" w:space="0" w:color="auto"/>
            </w:tcBorders>
            <w:vAlign w:val="center"/>
          </w:tcPr>
          <w:p w14:paraId="03FC09CD" w14:textId="77777777" w:rsidR="007B3DB2" w:rsidRPr="0063248C" w:rsidRDefault="00000000">
            <w:pPr>
              <w:spacing w:line="240" w:lineRule="exact"/>
              <w:jc w:val="right"/>
              <w:rPr>
                <w:rFonts w:cs="宋体"/>
                <w:sz w:val="18"/>
                <w:szCs w:val="18"/>
              </w:rPr>
            </w:pPr>
            <w:r w:rsidRPr="0063248C">
              <w:rPr>
                <w:rFonts w:cs="宋体"/>
                <w:sz w:val="18"/>
                <w:szCs w:val="18"/>
              </w:rPr>
              <w:t>1,231,706.08</w:t>
            </w:r>
          </w:p>
        </w:tc>
        <w:tc>
          <w:tcPr>
            <w:tcW w:w="741" w:type="dxa"/>
            <w:tcBorders>
              <w:top w:val="single" w:sz="2" w:space="0" w:color="auto"/>
              <w:left w:val="single" w:sz="2" w:space="0" w:color="auto"/>
              <w:bottom w:val="single" w:sz="2" w:space="0" w:color="auto"/>
              <w:right w:val="single" w:sz="2" w:space="0" w:color="auto"/>
            </w:tcBorders>
            <w:vAlign w:val="center"/>
          </w:tcPr>
          <w:p w14:paraId="7710C1CE" w14:textId="77777777" w:rsidR="007B3DB2" w:rsidRPr="0063248C" w:rsidRDefault="00000000">
            <w:pPr>
              <w:spacing w:line="240" w:lineRule="exact"/>
              <w:jc w:val="right"/>
              <w:rPr>
                <w:rFonts w:cs="宋体"/>
                <w:sz w:val="18"/>
                <w:szCs w:val="18"/>
              </w:rPr>
            </w:pPr>
            <w:r w:rsidRPr="0063248C">
              <w:rPr>
                <w:rFonts w:cs="宋体"/>
                <w:sz w:val="18"/>
                <w:szCs w:val="18"/>
              </w:rPr>
              <w:t>336,793.86</w:t>
            </w:r>
          </w:p>
        </w:tc>
        <w:tc>
          <w:tcPr>
            <w:tcW w:w="741" w:type="dxa"/>
            <w:tcBorders>
              <w:top w:val="single" w:sz="2" w:space="0" w:color="auto"/>
              <w:left w:val="single" w:sz="2" w:space="0" w:color="auto"/>
              <w:bottom w:val="single" w:sz="2" w:space="0" w:color="auto"/>
              <w:right w:val="single" w:sz="2" w:space="0" w:color="auto"/>
            </w:tcBorders>
            <w:vAlign w:val="center"/>
          </w:tcPr>
          <w:p w14:paraId="58E7EED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4C2F42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61CE5D7" w14:textId="77777777" w:rsidR="007B3DB2" w:rsidRPr="0063248C" w:rsidRDefault="00000000">
            <w:pPr>
              <w:spacing w:line="240" w:lineRule="exact"/>
              <w:jc w:val="right"/>
              <w:rPr>
                <w:rFonts w:cs="宋体"/>
                <w:sz w:val="18"/>
                <w:szCs w:val="18"/>
              </w:rPr>
            </w:pPr>
            <w:r w:rsidRPr="0063248C">
              <w:rPr>
                <w:rFonts w:cs="宋体"/>
                <w:sz w:val="18"/>
                <w:szCs w:val="18"/>
              </w:rPr>
              <w:t>1,568,499.94</w:t>
            </w:r>
          </w:p>
        </w:tc>
        <w:tc>
          <w:tcPr>
            <w:tcW w:w="741" w:type="dxa"/>
            <w:tcBorders>
              <w:top w:val="single" w:sz="2" w:space="0" w:color="auto"/>
              <w:left w:val="single" w:sz="2" w:space="0" w:color="auto"/>
              <w:bottom w:val="single" w:sz="2" w:space="0" w:color="auto"/>
              <w:right w:val="single" w:sz="2" w:space="0" w:color="auto"/>
            </w:tcBorders>
            <w:vAlign w:val="center"/>
          </w:tcPr>
          <w:p w14:paraId="2DAA3E00" w14:textId="77777777" w:rsidR="007B3DB2" w:rsidRPr="0063248C" w:rsidRDefault="00000000">
            <w:pPr>
              <w:spacing w:line="240" w:lineRule="exact"/>
              <w:jc w:val="right"/>
              <w:rPr>
                <w:rFonts w:cs="宋体"/>
                <w:sz w:val="18"/>
                <w:szCs w:val="18"/>
              </w:rPr>
            </w:pPr>
            <w:r w:rsidRPr="0063248C">
              <w:rPr>
                <w:rFonts w:cs="宋体"/>
                <w:sz w:val="18"/>
                <w:szCs w:val="18"/>
              </w:rPr>
              <w:t>84.52%</w:t>
            </w:r>
          </w:p>
        </w:tc>
        <w:tc>
          <w:tcPr>
            <w:tcW w:w="741" w:type="dxa"/>
            <w:tcBorders>
              <w:top w:val="single" w:sz="2" w:space="0" w:color="auto"/>
              <w:left w:val="single" w:sz="2" w:space="0" w:color="auto"/>
              <w:bottom w:val="single" w:sz="2" w:space="0" w:color="auto"/>
              <w:right w:val="single" w:sz="2" w:space="0" w:color="auto"/>
            </w:tcBorders>
            <w:vAlign w:val="center"/>
          </w:tcPr>
          <w:p w14:paraId="7719581E" w14:textId="77777777" w:rsidR="007B3DB2" w:rsidRPr="0063248C" w:rsidRDefault="00000000">
            <w:pPr>
              <w:spacing w:line="240" w:lineRule="exact"/>
              <w:rPr>
                <w:rFonts w:cs="宋体"/>
                <w:sz w:val="18"/>
                <w:szCs w:val="18"/>
              </w:rPr>
            </w:pPr>
            <w:r w:rsidRPr="0063248C">
              <w:rPr>
                <w:rFonts w:cs="宋体"/>
                <w:sz w:val="18"/>
                <w:szCs w:val="18"/>
              </w:rPr>
              <w:t>0.95</w:t>
            </w:r>
          </w:p>
        </w:tc>
        <w:tc>
          <w:tcPr>
            <w:tcW w:w="741" w:type="dxa"/>
            <w:tcBorders>
              <w:top w:val="single" w:sz="2" w:space="0" w:color="auto"/>
              <w:left w:val="single" w:sz="2" w:space="0" w:color="auto"/>
              <w:bottom w:val="single" w:sz="2" w:space="0" w:color="auto"/>
              <w:right w:val="single" w:sz="2" w:space="0" w:color="auto"/>
            </w:tcBorders>
            <w:vAlign w:val="center"/>
          </w:tcPr>
          <w:p w14:paraId="22567A1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A96ED0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B0FADC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38AD11C"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4A5F21C7"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0B269BB5" w14:textId="77777777" w:rsidR="007B3DB2" w:rsidRPr="0063248C" w:rsidRDefault="00000000">
            <w:pPr>
              <w:spacing w:line="240" w:lineRule="exact"/>
              <w:rPr>
                <w:rFonts w:cs="宋体"/>
                <w:sz w:val="18"/>
                <w:szCs w:val="18"/>
              </w:rPr>
            </w:pPr>
            <w:r w:rsidRPr="0063248C">
              <w:rPr>
                <w:rFonts w:cs="宋体"/>
                <w:sz w:val="18"/>
                <w:szCs w:val="18"/>
              </w:rPr>
              <w:lastRenderedPageBreak/>
              <w:t>巴中屠宰项目</w:t>
            </w:r>
            <w:r w:rsidRPr="0063248C">
              <w:rPr>
                <w:rFonts w:cs="宋体"/>
                <w:sz w:val="18"/>
                <w:szCs w:val="18"/>
              </w:rPr>
              <w:t>X</w:t>
            </w:r>
            <w:r w:rsidRPr="0063248C">
              <w:rPr>
                <w:rFonts w:cs="宋体"/>
                <w:sz w:val="18"/>
                <w:szCs w:val="18"/>
              </w:rPr>
              <w:t>光机成套设备</w:t>
            </w:r>
          </w:p>
        </w:tc>
        <w:tc>
          <w:tcPr>
            <w:tcW w:w="741" w:type="dxa"/>
            <w:tcBorders>
              <w:top w:val="single" w:sz="2" w:space="0" w:color="auto"/>
              <w:left w:val="single" w:sz="2" w:space="0" w:color="auto"/>
              <w:bottom w:val="single" w:sz="2" w:space="0" w:color="auto"/>
              <w:right w:val="single" w:sz="2" w:space="0" w:color="auto"/>
            </w:tcBorders>
            <w:vAlign w:val="center"/>
          </w:tcPr>
          <w:p w14:paraId="633012DE" w14:textId="77777777" w:rsidR="007B3DB2" w:rsidRPr="0063248C" w:rsidRDefault="00000000">
            <w:pPr>
              <w:spacing w:line="240" w:lineRule="exact"/>
              <w:jc w:val="right"/>
              <w:rPr>
                <w:rFonts w:cs="宋体"/>
                <w:sz w:val="18"/>
                <w:szCs w:val="18"/>
              </w:rPr>
            </w:pPr>
            <w:r w:rsidRPr="0063248C">
              <w:rPr>
                <w:rFonts w:cs="宋体"/>
                <w:sz w:val="18"/>
                <w:szCs w:val="18"/>
              </w:rPr>
              <w:t>564,000.00</w:t>
            </w:r>
          </w:p>
        </w:tc>
        <w:tc>
          <w:tcPr>
            <w:tcW w:w="741" w:type="dxa"/>
            <w:tcBorders>
              <w:top w:val="single" w:sz="2" w:space="0" w:color="auto"/>
              <w:left w:val="single" w:sz="2" w:space="0" w:color="auto"/>
              <w:bottom w:val="single" w:sz="2" w:space="0" w:color="auto"/>
              <w:right w:val="single" w:sz="2" w:space="0" w:color="auto"/>
            </w:tcBorders>
            <w:vAlign w:val="center"/>
          </w:tcPr>
          <w:p w14:paraId="4650BD9E" w14:textId="77777777" w:rsidR="007B3DB2" w:rsidRPr="0063248C" w:rsidRDefault="00000000">
            <w:pPr>
              <w:spacing w:line="240" w:lineRule="exact"/>
              <w:jc w:val="right"/>
              <w:rPr>
                <w:rFonts w:cs="宋体"/>
                <w:sz w:val="18"/>
                <w:szCs w:val="18"/>
              </w:rPr>
            </w:pPr>
            <w:r w:rsidRPr="0063248C">
              <w:rPr>
                <w:rFonts w:cs="宋体"/>
                <w:sz w:val="18"/>
                <w:szCs w:val="18"/>
              </w:rPr>
              <w:t>499,115.04</w:t>
            </w:r>
          </w:p>
        </w:tc>
        <w:tc>
          <w:tcPr>
            <w:tcW w:w="741" w:type="dxa"/>
            <w:tcBorders>
              <w:top w:val="single" w:sz="2" w:space="0" w:color="auto"/>
              <w:left w:val="single" w:sz="2" w:space="0" w:color="auto"/>
              <w:bottom w:val="single" w:sz="2" w:space="0" w:color="auto"/>
              <w:right w:val="single" w:sz="2" w:space="0" w:color="auto"/>
            </w:tcBorders>
            <w:vAlign w:val="center"/>
          </w:tcPr>
          <w:p w14:paraId="2287309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760C530" w14:textId="77777777" w:rsidR="007B3DB2" w:rsidRPr="0063248C" w:rsidRDefault="00000000">
            <w:pPr>
              <w:spacing w:line="240" w:lineRule="exact"/>
              <w:jc w:val="right"/>
              <w:rPr>
                <w:rFonts w:cs="宋体"/>
                <w:sz w:val="18"/>
                <w:szCs w:val="18"/>
              </w:rPr>
            </w:pPr>
            <w:r w:rsidRPr="0063248C">
              <w:rPr>
                <w:rFonts w:cs="宋体"/>
                <w:sz w:val="18"/>
                <w:szCs w:val="18"/>
              </w:rPr>
              <w:t>499,115.04</w:t>
            </w:r>
          </w:p>
        </w:tc>
        <w:tc>
          <w:tcPr>
            <w:tcW w:w="741" w:type="dxa"/>
            <w:tcBorders>
              <w:top w:val="single" w:sz="2" w:space="0" w:color="auto"/>
              <w:left w:val="single" w:sz="2" w:space="0" w:color="auto"/>
              <w:bottom w:val="single" w:sz="2" w:space="0" w:color="auto"/>
              <w:right w:val="single" w:sz="2" w:space="0" w:color="auto"/>
            </w:tcBorders>
            <w:vAlign w:val="center"/>
          </w:tcPr>
          <w:p w14:paraId="1679873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F4565CE"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345F7058" w14:textId="77777777" w:rsidR="007B3DB2" w:rsidRPr="0063248C" w:rsidRDefault="00000000">
            <w:pPr>
              <w:spacing w:line="240" w:lineRule="exact"/>
              <w:jc w:val="right"/>
              <w:rPr>
                <w:rFonts w:cs="宋体"/>
                <w:sz w:val="18"/>
                <w:szCs w:val="18"/>
              </w:rPr>
            </w:pPr>
            <w:r w:rsidRPr="0063248C">
              <w:rPr>
                <w:rFonts w:cs="宋体"/>
                <w:sz w:val="18"/>
                <w:szCs w:val="18"/>
              </w:rPr>
              <w:t>88.50%</w:t>
            </w:r>
          </w:p>
        </w:tc>
        <w:tc>
          <w:tcPr>
            <w:tcW w:w="741" w:type="dxa"/>
            <w:tcBorders>
              <w:top w:val="single" w:sz="2" w:space="0" w:color="auto"/>
              <w:left w:val="single" w:sz="2" w:space="0" w:color="auto"/>
              <w:bottom w:val="single" w:sz="2" w:space="0" w:color="auto"/>
              <w:right w:val="single" w:sz="2" w:space="0" w:color="auto"/>
            </w:tcBorders>
            <w:vAlign w:val="center"/>
          </w:tcPr>
          <w:p w14:paraId="4C65B802" w14:textId="77777777" w:rsidR="007B3DB2" w:rsidRPr="0063248C" w:rsidRDefault="00000000">
            <w:pPr>
              <w:spacing w:line="240" w:lineRule="exact"/>
              <w:rPr>
                <w:rFonts w:cs="宋体"/>
                <w:sz w:val="18"/>
                <w:szCs w:val="18"/>
              </w:rPr>
            </w:pPr>
            <w:r w:rsidRPr="0063248C">
              <w:rPr>
                <w:rFonts w:cs="宋体"/>
                <w:sz w:val="18"/>
                <w:szCs w:val="18"/>
              </w:rPr>
              <w:t>1</w:t>
            </w:r>
          </w:p>
        </w:tc>
        <w:tc>
          <w:tcPr>
            <w:tcW w:w="741" w:type="dxa"/>
            <w:tcBorders>
              <w:top w:val="single" w:sz="2" w:space="0" w:color="auto"/>
              <w:left w:val="single" w:sz="2" w:space="0" w:color="auto"/>
              <w:bottom w:val="single" w:sz="2" w:space="0" w:color="auto"/>
              <w:right w:val="single" w:sz="2" w:space="0" w:color="auto"/>
            </w:tcBorders>
            <w:vAlign w:val="center"/>
          </w:tcPr>
          <w:p w14:paraId="75510EF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B8560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C90FD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71F8B5"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617AA943"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3E9FA9F5" w14:textId="77777777" w:rsidR="007B3DB2" w:rsidRPr="0063248C" w:rsidRDefault="00000000">
            <w:pPr>
              <w:spacing w:line="240" w:lineRule="exact"/>
              <w:rPr>
                <w:rFonts w:cs="宋体"/>
                <w:sz w:val="18"/>
                <w:szCs w:val="18"/>
              </w:rPr>
            </w:pPr>
            <w:r w:rsidRPr="0063248C">
              <w:rPr>
                <w:rFonts w:cs="宋体"/>
                <w:sz w:val="18"/>
                <w:szCs w:val="18"/>
              </w:rPr>
              <w:t>巴中龙大熟食深加工项目</w:t>
            </w:r>
          </w:p>
        </w:tc>
        <w:tc>
          <w:tcPr>
            <w:tcW w:w="741" w:type="dxa"/>
            <w:tcBorders>
              <w:top w:val="single" w:sz="2" w:space="0" w:color="auto"/>
              <w:left w:val="single" w:sz="2" w:space="0" w:color="auto"/>
              <w:bottom w:val="single" w:sz="2" w:space="0" w:color="auto"/>
              <w:right w:val="single" w:sz="2" w:space="0" w:color="auto"/>
            </w:tcBorders>
            <w:vAlign w:val="center"/>
          </w:tcPr>
          <w:p w14:paraId="0E47ED9B" w14:textId="77777777" w:rsidR="007B3DB2" w:rsidRPr="0063248C" w:rsidRDefault="00000000">
            <w:pPr>
              <w:spacing w:line="240" w:lineRule="exact"/>
              <w:jc w:val="right"/>
              <w:rPr>
                <w:rFonts w:cs="宋体"/>
                <w:sz w:val="18"/>
                <w:szCs w:val="18"/>
              </w:rPr>
            </w:pPr>
            <w:r w:rsidRPr="0063248C">
              <w:rPr>
                <w:rFonts w:cs="宋体"/>
                <w:sz w:val="18"/>
                <w:szCs w:val="18"/>
              </w:rPr>
              <w:t>67,710,000.00</w:t>
            </w:r>
          </w:p>
        </w:tc>
        <w:tc>
          <w:tcPr>
            <w:tcW w:w="741" w:type="dxa"/>
            <w:tcBorders>
              <w:top w:val="single" w:sz="2" w:space="0" w:color="auto"/>
              <w:left w:val="single" w:sz="2" w:space="0" w:color="auto"/>
              <w:bottom w:val="single" w:sz="2" w:space="0" w:color="auto"/>
              <w:right w:val="single" w:sz="2" w:space="0" w:color="auto"/>
            </w:tcBorders>
            <w:vAlign w:val="center"/>
          </w:tcPr>
          <w:p w14:paraId="7872FF5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EBB8B7E" w14:textId="77777777" w:rsidR="007B3DB2" w:rsidRPr="0063248C" w:rsidRDefault="00000000">
            <w:pPr>
              <w:spacing w:line="240" w:lineRule="exact"/>
              <w:jc w:val="right"/>
              <w:rPr>
                <w:rFonts w:cs="宋体"/>
                <w:sz w:val="18"/>
                <w:szCs w:val="18"/>
              </w:rPr>
            </w:pPr>
            <w:r w:rsidRPr="0063248C">
              <w:rPr>
                <w:rFonts w:cs="宋体"/>
                <w:sz w:val="18"/>
                <w:szCs w:val="18"/>
              </w:rPr>
              <w:t>873,295.09</w:t>
            </w:r>
          </w:p>
        </w:tc>
        <w:tc>
          <w:tcPr>
            <w:tcW w:w="741" w:type="dxa"/>
            <w:tcBorders>
              <w:top w:val="single" w:sz="2" w:space="0" w:color="auto"/>
              <w:left w:val="single" w:sz="2" w:space="0" w:color="auto"/>
              <w:bottom w:val="single" w:sz="2" w:space="0" w:color="auto"/>
              <w:right w:val="single" w:sz="2" w:space="0" w:color="auto"/>
            </w:tcBorders>
            <w:vAlign w:val="center"/>
          </w:tcPr>
          <w:p w14:paraId="2BE3529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AE4416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ADB807" w14:textId="77777777" w:rsidR="007B3DB2" w:rsidRPr="0063248C" w:rsidRDefault="00000000">
            <w:pPr>
              <w:spacing w:line="240" w:lineRule="exact"/>
              <w:jc w:val="right"/>
              <w:rPr>
                <w:rFonts w:cs="宋体"/>
                <w:sz w:val="18"/>
                <w:szCs w:val="18"/>
              </w:rPr>
            </w:pPr>
            <w:r w:rsidRPr="0063248C">
              <w:rPr>
                <w:rFonts w:cs="宋体"/>
                <w:sz w:val="18"/>
                <w:szCs w:val="18"/>
              </w:rPr>
              <w:t>873,295.09</w:t>
            </w:r>
          </w:p>
        </w:tc>
        <w:tc>
          <w:tcPr>
            <w:tcW w:w="741" w:type="dxa"/>
            <w:tcBorders>
              <w:top w:val="single" w:sz="2" w:space="0" w:color="auto"/>
              <w:left w:val="single" w:sz="2" w:space="0" w:color="auto"/>
              <w:bottom w:val="single" w:sz="2" w:space="0" w:color="auto"/>
              <w:right w:val="single" w:sz="2" w:space="0" w:color="auto"/>
            </w:tcBorders>
            <w:vAlign w:val="center"/>
          </w:tcPr>
          <w:p w14:paraId="7079B371" w14:textId="77777777" w:rsidR="007B3DB2" w:rsidRPr="0063248C" w:rsidRDefault="00000000">
            <w:pPr>
              <w:spacing w:line="240" w:lineRule="exact"/>
              <w:jc w:val="right"/>
              <w:rPr>
                <w:rFonts w:cs="宋体"/>
                <w:sz w:val="18"/>
                <w:szCs w:val="18"/>
              </w:rPr>
            </w:pPr>
            <w:r w:rsidRPr="0063248C">
              <w:rPr>
                <w:rFonts w:cs="宋体"/>
                <w:sz w:val="18"/>
                <w:szCs w:val="18"/>
              </w:rPr>
              <w:t>1.29%</w:t>
            </w:r>
          </w:p>
        </w:tc>
        <w:tc>
          <w:tcPr>
            <w:tcW w:w="741" w:type="dxa"/>
            <w:tcBorders>
              <w:top w:val="single" w:sz="2" w:space="0" w:color="auto"/>
              <w:left w:val="single" w:sz="2" w:space="0" w:color="auto"/>
              <w:bottom w:val="single" w:sz="2" w:space="0" w:color="auto"/>
              <w:right w:val="single" w:sz="2" w:space="0" w:color="auto"/>
            </w:tcBorders>
            <w:vAlign w:val="center"/>
          </w:tcPr>
          <w:p w14:paraId="07E5DA29" w14:textId="77777777" w:rsidR="007B3DB2" w:rsidRPr="0063248C" w:rsidRDefault="00000000">
            <w:pPr>
              <w:spacing w:line="240" w:lineRule="exact"/>
              <w:rPr>
                <w:rFonts w:cs="宋体"/>
                <w:sz w:val="18"/>
                <w:szCs w:val="18"/>
              </w:rPr>
            </w:pPr>
            <w:r w:rsidRPr="0063248C">
              <w:rPr>
                <w:rFonts w:cs="宋体"/>
                <w:sz w:val="18"/>
                <w:szCs w:val="18"/>
              </w:rPr>
              <w:t>0.05</w:t>
            </w:r>
          </w:p>
        </w:tc>
        <w:tc>
          <w:tcPr>
            <w:tcW w:w="741" w:type="dxa"/>
            <w:tcBorders>
              <w:top w:val="single" w:sz="2" w:space="0" w:color="auto"/>
              <w:left w:val="single" w:sz="2" w:space="0" w:color="auto"/>
              <w:bottom w:val="single" w:sz="2" w:space="0" w:color="auto"/>
              <w:right w:val="single" w:sz="2" w:space="0" w:color="auto"/>
            </w:tcBorders>
            <w:vAlign w:val="center"/>
          </w:tcPr>
          <w:p w14:paraId="17EEFDC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68AC5E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4D756D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42B0564"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66BF288D"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39BC6AAC" w14:textId="77777777" w:rsidR="007B3DB2" w:rsidRPr="0063248C" w:rsidRDefault="00000000">
            <w:pPr>
              <w:spacing w:line="240" w:lineRule="exact"/>
              <w:rPr>
                <w:rFonts w:cs="宋体"/>
                <w:sz w:val="18"/>
                <w:szCs w:val="18"/>
              </w:rPr>
            </w:pPr>
            <w:r w:rsidRPr="0063248C">
              <w:rPr>
                <w:rFonts w:cs="宋体"/>
                <w:sz w:val="18"/>
                <w:szCs w:val="18"/>
              </w:rPr>
              <w:t>巴中龙大熟食深加工制冷项目</w:t>
            </w:r>
          </w:p>
        </w:tc>
        <w:tc>
          <w:tcPr>
            <w:tcW w:w="741" w:type="dxa"/>
            <w:tcBorders>
              <w:top w:val="single" w:sz="2" w:space="0" w:color="auto"/>
              <w:left w:val="single" w:sz="2" w:space="0" w:color="auto"/>
              <w:bottom w:val="single" w:sz="2" w:space="0" w:color="auto"/>
              <w:right w:val="single" w:sz="2" w:space="0" w:color="auto"/>
            </w:tcBorders>
            <w:vAlign w:val="center"/>
          </w:tcPr>
          <w:p w14:paraId="0C552194" w14:textId="77777777" w:rsidR="007B3DB2" w:rsidRPr="0063248C" w:rsidRDefault="00000000">
            <w:pPr>
              <w:spacing w:line="240" w:lineRule="exact"/>
              <w:jc w:val="right"/>
              <w:rPr>
                <w:rFonts w:cs="宋体"/>
                <w:sz w:val="18"/>
                <w:szCs w:val="18"/>
              </w:rPr>
            </w:pPr>
            <w:r w:rsidRPr="0063248C">
              <w:rPr>
                <w:rFonts w:cs="宋体"/>
                <w:sz w:val="18"/>
                <w:szCs w:val="18"/>
              </w:rPr>
              <w:t>25,998,590.00</w:t>
            </w:r>
          </w:p>
        </w:tc>
        <w:tc>
          <w:tcPr>
            <w:tcW w:w="741" w:type="dxa"/>
            <w:tcBorders>
              <w:top w:val="single" w:sz="2" w:space="0" w:color="auto"/>
              <w:left w:val="single" w:sz="2" w:space="0" w:color="auto"/>
              <w:bottom w:val="single" w:sz="2" w:space="0" w:color="auto"/>
              <w:right w:val="single" w:sz="2" w:space="0" w:color="auto"/>
            </w:tcBorders>
            <w:vAlign w:val="center"/>
          </w:tcPr>
          <w:p w14:paraId="38F5DD1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B30A423" w14:textId="77777777" w:rsidR="007B3DB2" w:rsidRPr="0063248C" w:rsidRDefault="00000000">
            <w:pPr>
              <w:spacing w:line="240" w:lineRule="exact"/>
              <w:jc w:val="right"/>
              <w:rPr>
                <w:rFonts w:cs="宋体"/>
                <w:sz w:val="18"/>
                <w:szCs w:val="18"/>
              </w:rPr>
            </w:pPr>
            <w:r w:rsidRPr="0063248C">
              <w:rPr>
                <w:rFonts w:cs="宋体"/>
                <w:sz w:val="18"/>
                <w:szCs w:val="18"/>
              </w:rPr>
              <w:t>3,840,707.96</w:t>
            </w:r>
          </w:p>
        </w:tc>
        <w:tc>
          <w:tcPr>
            <w:tcW w:w="741" w:type="dxa"/>
            <w:tcBorders>
              <w:top w:val="single" w:sz="2" w:space="0" w:color="auto"/>
              <w:left w:val="single" w:sz="2" w:space="0" w:color="auto"/>
              <w:bottom w:val="single" w:sz="2" w:space="0" w:color="auto"/>
              <w:right w:val="single" w:sz="2" w:space="0" w:color="auto"/>
            </w:tcBorders>
            <w:vAlign w:val="center"/>
          </w:tcPr>
          <w:p w14:paraId="24159D3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C3C4FC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CD12C7" w14:textId="77777777" w:rsidR="007B3DB2" w:rsidRPr="0063248C" w:rsidRDefault="00000000">
            <w:pPr>
              <w:spacing w:line="240" w:lineRule="exact"/>
              <w:jc w:val="right"/>
              <w:rPr>
                <w:rFonts w:cs="宋体"/>
                <w:sz w:val="18"/>
                <w:szCs w:val="18"/>
              </w:rPr>
            </w:pPr>
            <w:r w:rsidRPr="0063248C">
              <w:rPr>
                <w:rFonts w:cs="宋体"/>
                <w:sz w:val="18"/>
                <w:szCs w:val="18"/>
              </w:rPr>
              <w:t>3,840,707.96</w:t>
            </w:r>
          </w:p>
        </w:tc>
        <w:tc>
          <w:tcPr>
            <w:tcW w:w="741" w:type="dxa"/>
            <w:tcBorders>
              <w:top w:val="single" w:sz="2" w:space="0" w:color="auto"/>
              <w:left w:val="single" w:sz="2" w:space="0" w:color="auto"/>
              <w:bottom w:val="single" w:sz="2" w:space="0" w:color="auto"/>
              <w:right w:val="single" w:sz="2" w:space="0" w:color="auto"/>
            </w:tcBorders>
            <w:vAlign w:val="center"/>
          </w:tcPr>
          <w:p w14:paraId="365650CF" w14:textId="77777777" w:rsidR="007B3DB2" w:rsidRPr="0063248C" w:rsidRDefault="00000000">
            <w:pPr>
              <w:spacing w:line="240" w:lineRule="exact"/>
              <w:jc w:val="right"/>
              <w:rPr>
                <w:rFonts w:cs="宋体"/>
                <w:sz w:val="18"/>
                <w:szCs w:val="18"/>
              </w:rPr>
            </w:pPr>
            <w:r w:rsidRPr="0063248C">
              <w:rPr>
                <w:rFonts w:cs="宋体"/>
                <w:sz w:val="18"/>
                <w:szCs w:val="18"/>
              </w:rPr>
              <w:t>14.77%</w:t>
            </w:r>
          </w:p>
        </w:tc>
        <w:tc>
          <w:tcPr>
            <w:tcW w:w="741" w:type="dxa"/>
            <w:tcBorders>
              <w:top w:val="single" w:sz="2" w:space="0" w:color="auto"/>
              <w:left w:val="single" w:sz="2" w:space="0" w:color="auto"/>
              <w:bottom w:val="single" w:sz="2" w:space="0" w:color="auto"/>
              <w:right w:val="single" w:sz="2" w:space="0" w:color="auto"/>
            </w:tcBorders>
            <w:vAlign w:val="center"/>
          </w:tcPr>
          <w:p w14:paraId="2866D9FC" w14:textId="77777777" w:rsidR="007B3DB2" w:rsidRPr="0063248C" w:rsidRDefault="00000000">
            <w:pPr>
              <w:spacing w:line="240" w:lineRule="exact"/>
              <w:rPr>
                <w:rFonts w:cs="宋体"/>
                <w:sz w:val="18"/>
                <w:szCs w:val="18"/>
              </w:rPr>
            </w:pPr>
            <w:r w:rsidRPr="0063248C">
              <w:rPr>
                <w:rFonts w:cs="宋体"/>
                <w:sz w:val="18"/>
                <w:szCs w:val="18"/>
              </w:rPr>
              <w:t>0.15</w:t>
            </w:r>
          </w:p>
        </w:tc>
        <w:tc>
          <w:tcPr>
            <w:tcW w:w="741" w:type="dxa"/>
            <w:tcBorders>
              <w:top w:val="single" w:sz="2" w:space="0" w:color="auto"/>
              <w:left w:val="single" w:sz="2" w:space="0" w:color="auto"/>
              <w:bottom w:val="single" w:sz="2" w:space="0" w:color="auto"/>
              <w:right w:val="single" w:sz="2" w:space="0" w:color="auto"/>
            </w:tcBorders>
            <w:vAlign w:val="center"/>
          </w:tcPr>
          <w:p w14:paraId="0CC568A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C4C627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969ADD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63E152D"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1DAC8AB4"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E8394D2" w14:textId="77777777" w:rsidR="007B3DB2" w:rsidRPr="0063248C" w:rsidRDefault="00000000">
            <w:pPr>
              <w:spacing w:line="240" w:lineRule="exact"/>
              <w:rPr>
                <w:rFonts w:cs="宋体"/>
                <w:sz w:val="18"/>
                <w:szCs w:val="18"/>
              </w:rPr>
            </w:pPr>
            <w:r w:rsidRPr="0063248C">
              <w:rPr>
                <w:rFonts w:cs="宋体"/>
                <w:sz w:val="18"/>
                <w:szCs w:val="18"/>
              </w:rPr>
              <w:t>生食投资规划</w:t>
            </w:r>
          </w:p>
        </w:tc>
        <w:tc>
          <w:tcPr>
            <w:tcW w:w="741" w:type="dxa"/>
            <w:tcBorders>
              <w:top w:val="single" w:sz="2" w:space="0" w:color="auto"/>
              <w:left w:val="single" w:sz="2" w:space="0" w:color="auto"/>
              <w:bottom w:val="single" w:sz="2" w:space="0" w:color="auto"/>
              <w:right w:val="single" w:sz="2" w:space="0" w:color="auto"/>
            </w:tcBorders>
            <w:vAlign w:val="center"/>
          </w:tcPr>
          <w:p w14:paraId="28F10FD6" w14:textId="77777777" w:rsidR="007B3DB2" w:rsidRPr="0063248C" w:rsidRDefault="00000000">
            <w:pPr>
              <w:spacing w:line="240" w:lineRule="exact"/>
              <w:jc w:val="right"/>
              <w:rPr>
                <w:rFonts w:cs="宋体"/>
                <w:sz w:val="18"/>
                <w:szCs w:val="18"/>
              </w:rPr>
            </w:pPr>
            <w:r w:rsidRPr="0063248C">
              <w:rPr>
                <w:rFonts w:cs="宋体"/>
                <w:sz w:val="18"/>
                <w:szCs w:val="18"/>
              </w:rPr>
              <w:t>258,102,400.00</w:t>
            </w:r>
          </w:p>
        </w:tc>
        <w:tc>
          <w:tcPr>
            <w:tcW w:w="741" w:type="dxa"/>
            <w:tcBorders>
              <w:top w:val="single" w:sz="2" w:space="0" w:color="auto"/>
              <w:left w:val="single" w:sz="2" w:space="0" w:color="auto"/>
              <w:bottom w:val="single" w:sz="2" w:space="0" w:color="auto"/>
              <w:right w:val="single" w:sz="2" w:space="0" w:color="auto"/>
            </w:tcBorders>
            <w:vAlign w:val="center"/>
          </w:tcPr>
          <w:p w14:paraId="42F94C86" w14:textId="77777777" w:rsidR="007B3DB2" w:rsidRPr="0063248C" w:rsidRDefault="00000000">
            <w:pPr>
              <w:spacing w:line="240" w:lineRule="exact"/>
              <w:jc w:val="right"/>
              <w:rPr>
                <w:rFonts w:cs="宋体"/>
                <w:sz w:val="18"/>
                <w:szCs w:val="18"/>
              </w:rPr>
            </w:pPr>
            <w:r w:rsidRPr="0063248C">
              <w:rPr>
                <w:rFonts w:cs="宋体"/>
                <w:sz w:val="18"/>
                <w:szCs w:val="18"/>
              </w:rPr>
              <w:t>211,228,724.29</w:t>
            </w:r>
          </w:p>
        </w:tc>
        <w:tc>
          <w:tcPr>
            <w:tcW w:w="741" w:type="dxa"/>
            <w:tcBorders>
              <w:top w:val="single" w:sz="2" w:space="0" w:color="auto"/>
              <w:left w:val="single" w:sz="2" w:space="0" w:color="auto"/>
              <w:bottom w:val="single" w:sz="2" w:space="0" w:color="auto"/>
              <w:right w:val="single" w:sz="2" w:space="0" w:color="auto"/>
            </w:tcBorders>
            <w:vAlign w:val="center"/>
          </w:tcPr>
          <w:p w14:paraId="70F98AF7" w14:textId="77777777" w:rsidR="007B3DB2" w:rsidRPr="0063248C" w:rsidRDefault="00000000">
            <w:pPr>
              <w:spacing w:line="240" w:lineRule="exact"/>
              <w:jc w:val="right"/>
              <w:rPr>
                <w:rFonts w:cs="宋体"/>
                <w:sz w:val="18"/>
                <w:szCs w:val="18"/>
              </w:rPr>
            </w:pPr>
            <w:r w:rsidRPr="0063248C">
              <w:rPr>
                <w:rFonts w:cs="宋体"/>
                <w:sz w:val="18"/>
                <w:szCs w:val="18"/>
              </w:rPr>
              <w:t>1,209,580.69</w:t>
            </w:r>
          </w:p>
        </w:tc>
        <w:tc>
          <w:tcPr>
            <w:tcW w:w="741" w:type="dxa"/>
            <w:tcBorders>
              <w:top w:val="single" w:sz="2" w:space="0" w:color="auto"/>
              <w:left w:val="single" w:sz="2" w:space="0" w:color="auto"/>
              <w:bottom w:val="single" w:sz="2" w:space="0" w:color="auto"/>
              <w:right w:val="single" w:sz="2" w:space="0" w:color="auto"/>
            </w:tcBorders>
            <w:vAlign w:val="center"/>
          </w:tcPr>
          <w:p w14:paraId="3055213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CE7FBA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AADB969" w14:textId="77777777" w:rsidR="007B3DB2" w:rsidRPr="0063248C" w:rsidRDefault="00000000">
            <w:pPr>
              <w:spacing w:line="240" w:lineRule="exact"/>
              <w:jc w:val="right"/>
              <w:rPr>
                <w:rFonts w:cs="宋体"/>
                <w:sz w:val="18"/>
                <w:szCs w:val="18"/>
              </w:rPr>
            </w:pPr>
            <w:r w:rsidRPr="0063248C">
              <w:rPr>
                <w:rFonts w:cs="宋体"/>
                <w:sz w:val="18"/>
                <w:szCs w:val="18"/>
              </w:rPr>
              <w:t>212,438,304.98</w:t>
            </w:r>
          </w:p>
        </w:tc>
        <w:tc>
          <w:tcPr>
            <w:tcW w:w="741" w:type="dxa"/>
            <w:tcBorders>
              <w:top w:val="single" w:sz="2" w:space="0" w:color="auto"/>
              <w:left w:val="single" w:sz="2" w:space="0" w:color="auto"/>
              <w:bottom w:val="single" w:sz="2" w:space="0" w:color="auto"/>
              <w:right w:val="single" w:sz="2" w:space="0" w:color="auto"/>
            </w:tcBorders>
            <w:vAlign w:val="center"/>
          </w:tcPr>
          <w:p w14:paraId="75AEF47E" w14:textId="77777777" w:rsidR="007B3DB2" w:rsidRPr="0063248C" w:rsidRDefault="00000000">
            <w:pPr>
              <w:spacing w:line="240" w:lineRule="exact"/>
              <w:jc w:val="right"/>
              <w:rPr>
                <w:rFonts w:cs="宋体"/>
                <w:sz w:val="18"/>
                <w:szCs w:val="18"/>
              </w:rPr>
            </w:pPr>
            <w:r w:rsidRPr="0063248C">
              <w:rPr>
                <w:rFonts w:cs="宋体"/>
                <w:sz w:val="18"/>
                <w:szCs w:val="18"/>
              </w:rPr>
              <w:t>82.31%</w:t>
            </w:r>
          </w:p>
        </w:tc>
        <w:tc>
          <w:tcPr>
            <w:tcW w:w="741" w:type="dxa"/>
            <w:tcBorders>
              <w:top w:val="single" w:sz="2" w:space="0" w:color="auto"/>
              <w:left w:val="single" w:sz="2" w:space="0" w:color="auto"/>
              <w:bottom w:val="single" w:sz="2" w:space="0" w:color="auto"/>
              <w:right w:val="single" w:sz="2" w:space="0" w:color="auto"/>
            </w:tcBorders>
            <w:vAlign w:val="center"/>
          </w:tcPr>
          <w:p w14:paraId="53E66FA5" w14:textId="77777777" w:rsidR="007B3DB2" w:rsidRPr="0063248C" w:rsidRDefault="00000000">
            <w:pPr>
              <w:spacing w:line="240" w:lineRule="exact"/>
              <w:rPr>
                <w:rFonts w:cs="宋体"/>
                <w:sz w:val="18"/>
                <w:szCs w:val="18"/>
              </w:rPr>
            </w:pPr>
            <w:r w:rsidRPr="0063248C">
              <w:rPr>
                <w:rFonts w:cs="宋体"/>
                <w:sz w:val="18"/>
                <w:szCs w:val="18"/>
              </w:rPr>
              <w:t>0.9</w:t>
            </w:r>
          </w:p>
        </w:tc>
        <w:tc>
          <w:tcPr>
            <w:tcW w:w="741" w:type="dxa"/>
            <w:tcBorders>
              <w:top w:val="single" w:sz="2" w:space="0" w:color="auto"/>
              <w:left w:val="single" w:sz="2" w:space="0" w:color="auto"/>
              <w:bottom w:val="single" w:sz="2" w:space="0" w:color="auto"/>
              <w:right w:val="single" w:sz="2" w:space="0" w:color="auto"/>
            </w:tcBorders>
            <w:vAlign w:val="center"/>
          </w:tcPr>
          <w:p w14:paraId="4A56001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4EEC9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ED836F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C0E20A"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1CC6D9DD"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7F51D289" w14:textId="77777777" w:rsidR="007B3DB2" w:rsidRPr="0063248C" w:rsidRDefault="00000000">
            <w:pPr>
              <w:spacing w:line="240" w:lineRule="exact"/>
              <w:rPr>
                <w:rFonts w:cs="宋体"/>
                <w:sz w:val="18"/>
                <w:szCs w:val="18"/>
              </w:rPr>
            </w:pPr>
            <w:r w:rsidRPr="0063248C">
              <w:rPr>
                <w:rFonts w:cs="宋体"/>
                <w:sz w:val="18"/>
                <w:szCs w:val="18"/>
              </w:rPr>
              <w:t>熟食投资规划</w:t>
            </w:r>
          </w:p>
        </w:tc>
        <w:tc>
          <w:tcPr>
            <w:tcW w:w="741" w:type="dxa"/>
            <w:tcBorders>
              <w:top w:val="single" w:sz="2" w:space="0" w:color="auto"/>
              <w:left w:val="single" w:sz="2" w:space="0" w:color="auto"/>
              <w:bottom w:val="single" w:sz="2" w:space="0" w:color="auto"/>
              <w:right w:val="single" w:sz="2" w:space="0" w:color="auto"/>
            </w:tcBorders>
            <w:vAlign w:val="center"/>
          </w:tcPr>
          <w:p w14:paraId="0106C5FD" w14:textId="77777777" w:rsidR="007B3DB2" w:rsidRPr="0063248C" w:rsidRDefault="00000000">
            <w:pPr>
              <w:spacing w:line="240" w:lineRule="exact"/>
              <w:jc w:val="right"/>
              <w:rPr>
                <w:rFonts w:cs="宋体"/>
                <w:sz w:val="18"/>
                <w:szCs w:val="18"/>
              </w:rPr>
            </w:pPr>
            <w:r w:rsidRPr="0063248C">
              <w:rPr>
                <w:rFonts w:cs="宋体"/>
                <w:sz w:val="18"/>
                <w:szCs w:val="18"/>
              </w:rPr>
              <w:t>75,016,000.00</w:t>
            </w:r>
          </w:p>
        </w:tc>
        <w:tc>
          <w:tcPr>
            <w:tcW w:w="741" w:type="dxa"/>
            <w:tcBorders>
              <w:top w:val="single" w:sz="2" w:space="0" w:color="auto"/>
              <w:left w:val="single" w:sz="2" w:space="0" w:color="auto"/>
              <w:bottom w:val="single" w:sz="2" w:space="0" w:color="auto"/>
              <w:right w:val="single" w:sz="2" w:space="0" w:color="auto"/>
            </w:tcBorders>
            <w:vAlign w:val="center"/>
          </w:tcPr>
          <w:p w14:paraId="7BE623E5" w14:textId="77777777" w:rsidR="007B3DB2" w:rsidRPr="0063248C" w:rsidRDefault="00000000">
            <w:pPr>
              <w:spacing w:line="240" w:lineRule="exact"/>
              <w:jc w:val="right"/>
              <w:rPr>
                <w:rFonts w:cs="宋体"/>
                <w:sz w:val="18"/>
                <w:szCs w:val="18"/>
              </w:rPr>
            </w:pPr>
            <w:r w:rsidRPr="0063248C">
              <w:rPr>
                <w:rFonts w:cs="宋体"/>
                <w:sz w:val="18"/>
                <w:szCs w:val="18"/>
              </w:rPr>
              <w:t>1,819,746.66</w:t>
            </w:r>
          </w:p>
        </w:tc>
        <w:tc>
          <w:tcPr>
            <w:tcW w:w="741" w:type="dxa"/>
            <w:tcBorders>
              <w:top w:val="single" w:sz="2" w:space="0" w:color="auto"/>
              <w:left w:val="single" w:sz="2" w:space="0" w:color="auto"/>
              <w:bottom w:val="single" w:sz="2" w:space="0" w:color="auto"/>
              <w:right w:val="single" w:sz="2" w:space="0" w:color="auto"/>
            </w:tcBorders>
            <w:vAlign w:val="center"/>
          </w:tcPr>
          <w:p w14:paraId="46FBEFBE" w14:textId="77777777" w:rsidR="007B3DB2" w:rsidRPr="0063248C" w:rsidRDefault="00000000">
            <w:pPr>
              <w:spacing w:line="240" w:lineRule="exact"/>
              <w:jc w:val="right"/>
              <w:rPr>
                <w:rFonts w:cs="宋体"/>
                <w:sz w:val="18"/>
                <w:szCs w:val="18"/>
              </w:rPr>
            </w:pPr>
            <w:r w:rsidRPr="0063248C">
              <w:rPr>
                <w:rFonts w:cs="宋体"/>
                <w:sz w:val="18"/>
                <w:szCs w:val="18"/>
              </w:rPr>
              <w:t>20,202.75</w:t>
            </w:r>
          </w:p>
        </w:tc>
        <w:tc>
          <w:tcPr>
            <w:tcW w:w="741" w:type="dxa"/>
            <w:tcBorders>
              <w:top w:val="single" w:sz="2" w:space="0" w:color="auto"/>
              <w:left w:val="single" w:sz="2" w:space="0" w:color="auto"/>
              <w:bottom w:val="single" w:sz="2" w:space="0" w:color="auto"/>
              <w:right w:val="single" w:sz="2" w:space="0" w:color="auto"/>
            </w:tcBorders>
            <w:vAlign w:val="center"/>
          </w:tcPr>
          <w:p w14:paraId="4A29327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9814B3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2FEE06" w14:textId="77777777" w:rsidR="007B3DB2" w:rsidRPr="0063248C" w:rsidRDefault="00000000">
            <w:pPr>
              <w:spacing w:line="240" w:lineRule="exact"/>
              <w:jc w:val="right"/>
              <w:rPr>
                <w:rFonts w:cs="宋体"/>
                <w:sz w:val="18"/>
                <w:szCs w:val="18"/>
              </w:rPr>
            </w:pPr>
            <w:r w:rsidRPr="0063248C">
              <w:rPr>
                <w:rFonts w:cs="宋体"/>
                <w:sz w:val="18"/>
                <w:szCs w:val="18"/>
              </w:rPr>
              <w:t>1,839,949.41</w:t>
            </w:r>
          </w:p>
        </w:tc>
        <w:tc>
          <w:tcPr>
            <w:tcW w:w="741" w:type="dxa"/>
            <w:tcBorders>
              <w:top w:val="single" w:sz="2" w:space="0" w:color="auto"/>
              <w:left w:val="single" w:sz="2" w:space="0" w:color="auto"/>
              <w:bottom w:val="single" w:sz="2" w:space="0" w:color="auto"/>
              <w:right w:val="single" w:sz="2" w:space="0" w:color="auto"/>
            </w:tcBorders>
            <w:vAlign w:val="center"/>
          </w:tcPr>
          <w:p w14:paraId="29CB42FC" w14:textId="77777777" w:rsidR="007B3DB2" w:rsidRPr="0063248C" w:rsidRDefault="00000000">
            <w:pPr>
              <w:spacing w:line="240" w:lineRule="exact"/>
              <w:jc w:val="right"/>
              <w:rPr>
                <w:rFonts w:cs="宋体"/>
                <w:sz w:val="18"/>
                <w:szCs w:val="18"/>
              </w:rPr>
            </w:pPr>
            <w:r w:rsidRPr="0063248C">
              <w:rPr>
                <w:rFonts w:cs="宋体"/>
                <w:sz w:val="18"/>
                <w:szCs w:val="18"/>
              </w:rPr>
              <w:t>2.45%</w:t>
            </w:r>
          </w:p>
        </w:tc>
        <w:tc>
          <w:tcPr>
            <w:tcW w:w="741" w:type="dxa"/>
            <w:tcBorders>
              <w:top w:val="single" w:sz="2" w:space="0" w:color="auto"/>
              <w:left w:val="single" w:sz="2" w:space="0" w:color="auto"/>
              <w:bottom w:val="single" w:sz="2" w:space="0" w:color="auto"/>
              <w:right w:val="single" w:sz="2" w:space="0" w:color="auto"/>
            </w:tcBorders>
            <w:vAlign w:val="center"/>
          </w:tcPr>
          <w:p w14:paraId="75D5791D" w14:textId="77777777" w:rsidR="007B3DB2" w:rsidRPr="0063248C" w:rsidRDefault="00000000">
            <w:pPr>
              <w:spacing w:line="240" w:lineRule="exact"/>
              <w:rPr>
                <w:rFonts w:cs="宋体"/>
                <w:sz w:val="18"/>
                <w:szCs w:val="18"/>
              </w:rPr>
            </w:pPr>
            <w:r w:rsidRPr="0063248C">
              <w:rPr>
                <w:rFonts w:cs="宋体"/>
                <w:sz w:val="18"/>
                <w:szCs w:val="18"/>
              </w:rPr>
              <w:t>0.1</w:t>
            </w:r>
          </w:p>
        </w:tc>
        <w:tc>
          <w:tcPr>
            <w:tcW w:w="741" w:type="dxa"/>
            <w:tcBorders>
              <w:top w:val="single" w:sz="2" w:space="0" w:color="auto"/>
              <w:left w:val="single" w:sz="2" w:space="0" w:color="auto"/>
              <w:bottom w:val="single" w:sz="2" w:space="0" w:color="auto"/>
              <w:right w:val="single" w:sz="2" w:space="0" w:color="auto"/>
            </w:tcBorders>
            <w:vAlign w:val="center"/>
          </w:tcPr>
          <w:p w14:paraId="199436E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60A64E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7CEB65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036AE3B"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6C2CD2FD"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3A0B141" w14:textId="77777777" w:rsidR="007B3DB2" w:rsidRPr="0063248C" w:rsidRDefault="00000000">
            <w:pPr>
              <w:spacing w:line="240" w:lineRule="exact"/>
              <w:rPr>
                <w:rFonts w:cs="宋体"/>
                <w:sz w:val="18"/>
                <w:szCs w:val="18"/>
              </w:rPr>
            </w:pPr>
            <w:r w:rsidRPr="0063248C">
              <w:rPr>
                <w:rFonts w:cs="宋体"/>
                <w:sz w:val="18"/>
                <w:szCs w:val="18"/>
              </w:rPr>
              <w:t>安丘</w:t>
            </w:r>
            <w:proofErr w:type="gramStart"/>
            <w:r w:rsidRPr="0063248C">
              <w:rPr>
                <w:rFonts w:cs="宋体"/>
                <w:sz w:val="18"/>
                <w:szCs w:val="18"/>
              </w:rPr>
              <w:t>晏</w:t>
            </w:r>
            <w:proofErr w:type="gramEnd"/>
            <w:r w:rsidRPr="0063248C">
              <w:rPr>
                <w:rFonts w:cs="宋体"/>
                <w:sz w:val="18"/>
                <w:szCs w:val="18"/>
              </w:rPr>
              <w:t>峪养殖项目污水处理工程</w:t>
            </w:r>
          </w:p>
        </w:tc>
        <w:tc>
          <w:tcPr>
            <w:tcW w:w="741" w:type="dxa"/>
            <w:tcBorders>
              <w:top w:val="single" w:sz="2" w:space="0" w:color="auto"/>
              <w:left w:val="single" w:sz="2" w:space="0" w:color="auto"/>
              <w:bottom w:val="single" w:sz="2" w:space="0" w:color="auto"/>
              <w:right w:val="single" w:sz="2" w:space="0" w:color="auto"/>
            </w:tcBorders>
            <w:vAlign w:val="center"/>
          </w:tcPr>
          <w:p w14:paraId="16BCC669" w14:textId="77777777" w:rsidR="007B3DB2" w:rsidRPr="0063248C" w:rsidRDefault="00000000">
            <w:pPr>
              <w:spacing w:line="240" w:lineRule="exact"/>
              <w:jc w:val="right"/>
              <w:rPr>
                <w:rFonts w:cs="宋体"/>
                <w:sz w:val="18"/>
                <w:szCs w:val="18"/>
              </w:rPr>
            </w:pPr>
            <w:r w:rsidRPr="0063248C">
              <w:rPr>
                <w:rFonts w:cs="宋体"/>
                <w:sz w:val="18"/>
                <w:szCs w:val="18"/>
              </w:rPr>
              <w:t>6,300,000.00</w:t>
            </w:r>
          </w:p>
        </w:tc>
        <w:tc>
          <w:tcPr>
            <w:tcW w:w="741" w:type="dxa"/>
            <w:tcBorders>
              <w:top w:val="single" w:sz="2" w:space="0" w:color="auto"/>
              <w:left w:val="single" w:sz="2" w:space="0" w:color="auto"/>
              <w:bottom w:val="single" w:sz="2" w:space="0" w:color="auto"/>
              <w:right w:val="single" w:sz="2" w:space="0" w:color="auto"/>
            </w:tcBorders>
            <w:vAlign w:val="center"/>
          </w:tcPr>
          <w:p w14:paraId="63145BAC" w14:textId="77777777" w:rsidR="007B3DB2" w:rsidRPr="0063248C" w:rsidRDefault="00000000">
            <w:pPr>
              <w:spacing w:line="240" w:lineRule="exact"/>
              <w:jc w:val="right"/>
              <w:rPr>
                <w:rFonts w:cs="宋体"/>
                <w:sz w:val="18"/>
                <w:szCs w:val="18"/>
              </w:rPr>
            </w:pPr>
            <w:r w:rsidRPr="0063248C">
              <w:rPr>
                <w:rFonts w:cs="宋体"/>
                <w:sz w:val="18"/>
                <w:szCs w:val="18"/>
              </w:rPr>
              <w:t>350,768.62</w:t>
            </w:r>
          </w:p>
        </w:tc>
        <w:tc>
          <w:tcPr>
            <w:tcW w:w="741" w:type="dxa"/>
            <w:tcBorders>
              <w:top w:val="single" w:sz="2" w:space="0" w:color="auto"/>
              <w:left w:val="single" w:sz="2" w:space="0" w:color="auto"/>
              <w:bottom w:val="single" w:sz="2" w:space="0" w:color="auto"/>
              <w:right w:val="single" w:sz="2" w:space="0" w:color="auto"/>
            </w:tcBorders>
            <w:vAlign w:val="center"/>
          </w:tcPr>
          <w:p w14:paraId="1F0DB1C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B6AB08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704226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4A9D70F" w14:textId="77777777" w:rsidR="007B3DB2" w:rsidRPr="0063248C" w:rsidRDefault="00000000">
            <w:pPr>
              <w:spacing w:line="240" w:lineRule="exact"/>
              <w:jc w:val="right"/>
              <w:rPr>
                <w:rFonts w:cs="宋体"/>
                <w:sz w:val="18"/>
                <w:szCs w:val="18"/>
              </w:rPr>
            </w:pPr>
            <w:r w:rsidRPr="0063248C">
              <w:rPr>
                <w:rFonts w:cs="宋体"/>
                <w:sz w:val="18"/>
                <w:szCs w:val="18"/>
              </w:rPr>
              <w:t>350,768.62</w:t>
            </w:r>
          </w:p>
        </w:tc>
        <w:tc>
          <w:tcPr>
            <w:tcW w:w="741" w:type="dxa"/>
            <w:tcBorders>
              <w:top w:val="single" w:sz="2" w:space="0" w:color="auto"/>
              <w:left w:val="single" w:sz="2" w:space="0" w:color="auto"/>
              <w:bottom w:val="single" w:sz="2" w:space="0" w:color="auto"/>
              <w:right w:val="single" w:sz="2" w:space="0" w:color="auto"/>
            </w:tcBorders>
            <w:vAlign w:val="center"/>
          </w:tcPr>
          <w:p w14:paraId="32AC5974" w14:textId="77777777" w:rsidR="007B3DB2" w:rsidRPr="0063248C" w:rsidRDefault="00000000">
            <w:pPr>
              <w:spacing w:line="240" w:lineRule="exact"/>
              <w:jc w:val="right"/>
              <w:rPr>
                <w:rFonts w:cs="宋体"/>
                <w:sz w:val="18"/>
                <w:szCs w:val="18"/>
              </w:rPr>
            </w:pPr>
            <w:r w:rsidRPr="0063248C">
              <w:rPr>
                <w:rFonts w:cs="宋体"/>
                <w:sz w:val="18"/>
                <w:szCs w:val="18"/>
              </w:rPr>
              <w:t>27.91%</w:t>
            </w:r>
          </w:p>
        </w:tc>
        <w:tc>
          <w:tcPr>
            <w:tcW w:w="741" w:type="dxa"/>
            <w:tcBorders>
              <w:top w:val="single" w:sz="2" w:space="0" w:color="auto"/>
              <w:left w:val="single" w:sz="2" w:space="0" w:color="auto"/>
              <w:bottom w:val="single" w:sz="2" w:space="0" w:color="auto"/>
              <w:right w:val="single" w:sz="2" w:space="0" w:color="auto"/>
            </w:tcBorders>
            <w:vAlign w:val="center"/>
          </w:tcPr>
          <w:p w14:paraId="18F08C7D" w14:textId="77777777" w:rsidR="007B3DB2" w:rsidRPr="0063248C" w:rsidRDefault="00000000">
            <w:pPr>
              <w:spacing w:line="240" w:lineRule="exact"/>
              <w:rPr>
                <w:rFonts w:cs="宋体"/>
                <w:sz w:val="18"/>
                <w:szCs w:val="18"/>
              </w:rPr>
            </w:pPr>
            <w:r w:rsidRPr="0063248C">
              <w:rPr>
                <w:rFonts w:cs="宋体"/>
                <w:sz w:val="18"/>
                <w:szCs w:val="18"/>
              </w:rPr>
              <w:t>0.3</w:t>
            </w:r>
          </w:p>
        </w:tc>
        <w:tc>
          <w:tcPr>
            <w:tcW w:w="741" w:type="dxa"/>
            <w:tcBorders>
              <w:top w:val="single" w:sz="2" w:space="0" w:color="auto"/>
              <w:left w:val="single" w:sz="2" w:space="0" w:color="auto"/>
              <w:bottom w:val="single" w:sz="2" w:space="0" w:color="auto"/>
              <w:right w:val="single" w:sz="2" w:space="0" w:color="auto"/>
            </w:tcBorders>
            <w:vAlign w:val="center"/>
          </w:tcPr>
          <w:p w14:paraId="5F4A469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F83DF8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1225C5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E3D2E79"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513A0922"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0EA7177E" w14:textId="77777777" w:rsidR="007B3DB2" w:rsidRPr="0063248C" w:rsidRDefault="00000000">
            <w:pPr>
              <w:spacing w:line="240" w:lineRule="exact"/>
              <w:rPr>
                <w:rFonts w:cs="宋体"/>
                <w:sz w:val="18"/>
                <w:szCs w:val="18"/>
              </w:rPr>
            </w:pPr>
            <w:r w:rsidRPr="0063248C">
              <w:rPr>
                <w:rFonts w:cs="宋体"/>
                <w:sz w:val="18"/>
                <w:szCs w:val="18"/>
              </w:rPr>
              <w:t>西刘庄猪场</w:t>
            </w:r>
          </w:p>
        </w:tc>
        <w:tc>
          <w:tcPr>
            <w:tcW w:w="741" w:type="dxa"/>
            <w:tcBorders>
              <w:top w:val="single" w:sz="2" w:space="0" w:color="auto"/>
              <w:left w:val="single" w:sz="2" w:space="0" w:color="auto"/>
              <w:bottom w:val="single" w:sz="2" w:space="0" w:color="auto"/>
              <w:right w:val="single" w:sz="2" w:space="0" w:color="auto"/>
            </w:tcBorders>
            <w:vAlign w:val="center"/>
          </w:tcPr>
          <w:p w14:paraId="3B3CFFAF" w14:textId="77777777" w:rsidR="007B3DB2" w:rsidRPr="0063248C" w:rsidRDefault="00000000">
            <w:pPr>
              <w:spacing w:line="240" w:lineRule="exact"/>
              <w:jc w:val="right"/>
              <w:rPr>
                <w:rFonts w:cs="宋体"/>
                <w:sz w:val="18"/>
                <w:szCs w:val="18"/>
              </w:rPr>
            </w:pPr>
            <w:r w:rsidRPr="0063248C">
              <w:rPr>
                <w:rFonts w:cs="宋体"/>
                <w:sz w:val="18"/>
                <w:szCs w:val="18"/>
              </w:rPr>
              <w:t>150,000,000.00</w:t>
            </w:r>
          </w:p>
        </w:tc>
        <w:tc>
          <w:tcPr>
            <w:tcW w:w="741" w:type="dxa"/>
            <w:tcBorders>
              <w:top w:val="single" w:sz="2" w:space="0" w:color="auto"/>
              <w:left w:val="single" w:sz="2" w:space="0" w:color="auto"/>
              <w:bottom w:val="single" w:sz="2" w:space="0" w:color="auto"/>
              <w:right w:val="single" w:sz="2" w:space="0" w:color="auto"/>
            </w:tcBorders>
            <w:vAlign w:val="center"/>
          </w:tcPr>
          <w:p w14:paraId="2E29BE48" w14:textId="77777777" w:rsidR="007B3DB2" w:rsidRPr="0063248C" w:rsidRDefault="00000000">
            <w:pPr>
              <w:spacing w:line="240" w:lineRule="exact"/>
              <w:jc w:val="right"/>
              <w:rPr>
                <w:rFonts w:cs="宋体"/>
                <w:sz w:val="18"/>
                <w:szCs w:val="18"/>
              </w:rPr>
            </w:pPr>
            <w:r w:rsidRPr="0063248C">
              <w:rPr>
                <w:rFonts w:cs="宋体"/>
                <w:sz w:val="18"/>
                <w:szCs w:val="18"/>
              </w:rPr>
              <w:t>233,973,631.10</w:t>
            </w:r>
          </w:p>
        </w:tc>
        <w:tc>
          <w:tcPr>
            <w:tcW w:w="741" w:type="dxa"/>
            <w:tcBorders>
              <w:top w:val="single" w:sz="2" w:space="0" w:color="auto"/>
              <w:left w:val="single" w:sz="2" w:space="0" w:color="auto"/>
              <w:bottom w:val="single" w:sz="2" w:space="0" w:color="auto"/>
              <w:right w:val="single" w:sz="2" w:space="0" w:color="auto"/>
            </w:tcBorders>
            <w:vAlign w:val="center"/>
          </w:tcPr>
          <w:p w14:paraId="1275A49B" w14:textId="77777777" w:rsidR="007B3DB2" w:rsidRPr="0063248C" w:rsidRDefault="00000000">
            <w:pPr>
              <w:spacing w:line="240" w:lineRule="exact"/>
              <w:jc w:val="right"/>
              <w:rPr>
                <w:rFonts w:cs="宋体"/>
                <w:sz w:val="18"/>
                <w:szCs w:val="18"/>
              </w:rPr>
            </w:pPr>
            <w:r w:rsidRPr="0063248C">
              <w:rPr>
                <w:rFonts w:cs="宋体"/>
                <w:sz w:val="18"/>
                <w:szCs w:val="18"/>
              </w:rPr>
              <w:t>22,314,454.67</w:t>
            </w:r>
          </w:p>
        </w:tc>
        <w:tc>
          <w:tcPr>
            <w:tcW w:w="741" w:type="dxa"/>
            <w:tcBorders>
              <w:top w:val="single" w:sz="2" w:space="0" w:color="auto"/>
              <w:left w:val="single" w:sz="2" w:space="0" w:color="auto"/>
              <w:bottom w:val="single" w:sz="2" w:space="0" w:color="auto"/>
              <w:right w:val="single" w:sz="2" w:space="0" w:color="auto"/>
            </w:tcBorders>
            <w:vAlign w:val="center"/>
          </w:tcPr>
          <w:p w14:paraId="4638769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2B80F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2FF36FB" w14:textId="77777777" w:rsidR="007B3DB2" w:rsidRPr="0063248C" w:rsidRDefault="00000000">
            <w:pPr>
              <w:spacing w:line="240" w:lineRule="exact"/>
              <w:jc w:val="right"/>
              <w:rPr>
                <w:rFonts w:cs="宋体"/>
                <w:sz w:val="18"/>
                <w:szCs w:val="18"/>
              </w:rPr>
            </w:pPr>
            <w:r w:rsidRPr="0063248C">
              <w:rPr>
                <w:rFonts w:cs="宋体"/>
                <w:sz w:val="18"/>
                <w:szCs w:val="18"/>
              </w:rPr>
              <w:t>256,288,085.77</w:t>
            </w:r>
          </w:p>
        </w:tc>
        <w:tc>
          <w:tcPr>
            <w:tcW w:w="741" w:type="dxa"/>
            <w:tcBorders>
              <w:top w:val="single" w:sz="2" w:space="0" w:color="auto"/>
              <w:left w:val="single" w:sz="2" w:space="0" w:color="auto"/>
              <w:bottom w:val="single" w:sz="2" w:space="0" w:color="auto"/>
              <w:right w:val="single" w:sz="2" w:space="0" w:color="auto"/>
            </w:tcBorders>
            <w:vAlign w:val="center"/>
          </w:tcPr>
          <w:p w14:paraId="53ED1E50" w14:textId="77777777" w:rsidR="007B3DB2" w:rsidRPr="0063248C" w:rsidRDefault="00000000">
            <w:pPr>
              <w:spacing w:line="240" w:lineRule="exact"/>
              <w:jc w:val="right"/>
              <w:rPr>
                <w:rFonts w:cs="宋体"/>
                <w:sz w:val="18"/>
                <w:szCs w:val="18"/>
              </w:rPr>
            </w:pPr>
            <w:r w:rsidRPr="0063248C">
              <w:rPr>
                <w:rFonts w:cs="宋体"/>
                <w:sz w:val="18"/>
                <w:szCs w:val="18"/>
              </w:rPr>
              <w:t>173.32%</w:t>
            </w:r>
          </w:p>
        </w:tc>
        <w:tc>
          <w:tcPr>
            <w:tcW w:w="741" w:type="dxa"/>
            <w:tcBorders>
              <w:top w:val="single" w:sz="2" w:space="0" w:color="auto"/>
              <w:left w:val="single" w:sz="2" w:space="0" w:color="auto"/>
              <w:bottom w:val="single" w:sz="2" w:space="0" w:color="auto"/>
              <w:right w:val="single" w:sz="2" w:space="0" w:color="auto"/>
            </w:tcBorders>
            <w:vAlign w:val="center"/>
          </w:tcPr>
          <w:p w14:paraId="4AB0C8D1" w14:textId="77777777" w:rsidR="007B3DB2" w:rsidRPr="0063248C" w:rsidRDefault="00000000">
            <w:pPr>
              <w:spacing w:line="240" w:lineRule="exact"/>
              <w:rPr>
                <w:rFonts w:cs="宋体"/>
                <w:sz w:val="18"/>
                <w:szCs w:val="18"/>
              </w:rPr>
            </w:pPr>
            <w:r w:rsidRPr="0063248C">
              <w:rPr>
                <w:rFonts w:cs="宋体"/>
                <w:sz w:val="18"/>
                <w:szCs w:val="18"/>
              </w:rPr>
              <w:t>0.99</w:t>
            </w:r>
          </w:p>
        </w:tc>
        <w:tc>
          <w:tcPr>
            <w:tcW w:w="741" w:type="dxa"/>
            <w:tcBorders>
              <w:top w:val="single" w:sz="2" w:space="0" w:color="auto"/>
              <w:left w:val="single" w:sz="2" w:space="0" w:color="auto"/>
              <w:bottom w:val="single" w:sz="2" w:space="0" w:color="auto"/>
              <w:right w:val="single" w:sz="2" w:space="0" w:color="auto"/>
            </w:tcBorders>
            <w:vAlign w:val="center"/>
          </w:tcPr>
          <w:p w14:paraId="7B14C70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7242DD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200345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CE53BF6"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31606B49"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3A7D431B" w14:textId="77777777" w:rsidR="007B3DB2" w:rsidRPr="0063248C" w:rsidRDefault="00000000">
            <w:pPr>
              <w:spacing w:line="240" w:lineRule="exact"/>
              <w:rPr>
                <w:rFonts w:cs="宋体"/>
                <w:sz w:val="18"/>
                <w:szCs w:val="18"/>
              </w:rPr>
            </w:pPr>
            <w:r w:rsidRPr="0063248C">
              <w:rPr>
                <w:rFonts w:cs="宋体"/>
                <w:sz w:val="18"/>
                <w:szCs w:val="18"/>
              </w:rPr>
              <w:t>西刘庄猪场水井</w:t>
            </w:r>
          </w:p>
        </w:tc>
        <w:tc>
          <w:tcPr>
            <w:tcW w:w="741" w:type="dxa"/>
            <w:tcBorders>
              <w:top w:val="single" w:sz="2" w:space="0" w:color="auto"/>
              <w:left w:val="single" w:sz="2" w:space="0" w:color="auto"/>
              <w:bottom w:val="single" w:sz="2" w:space="0" w:color="auto"/>
              <w:right w:val="single" w:sz="2" w:space="0" w:color="auto"/>
            </w:tcBorders>
            <w:vAlign w:val="center"/>
          </w:tcPr>
          <w:p w14:paraId="72842FE8" w14:textId="77777777" w:rsidR="007B3DB2" w:rsidRPr="0063248C" w:rsidRDefault="00000000">
            <w:pPr>
              <w:spacing w:line="240" w:lineRule="exact"/>
              <w:jc w:val="right"/>
              <w:rPr>
                <w:rFonts w:cs="宋体"/>
                <w:sz w:val="18"/>
                <w:szCs w:val="18"/>
              </w:rPr>
            </w:pPr>
            <w:r w:rsidRPr="0063248C">
              <w:rPr>
                <w:rFonts w:cs="宋体"/>
                <w:sz w:val="18"/>
                <w:szCs w:val="18"/>
              </w:rPr>
              <w:t>1,300,000.00</w:t>
            </w:r>
          </w:p>
        </w:tc>
        <w:tc>
          <w:tcPr>
            <w:tcW w:w="741" w:type="dxa"/>
            <w:tcBorders>
              <w:top w:val="single" w:sz="2" w:space="0" w:color="auto"/>
              <w:left w:val="single" w:sz="2" w:space="0" w:color="auto"/>
              <w:bottom w:val="single" w:sz="2" w:space="0" w:color="auto"/>
              <w:right w:val="single" w:sz="2" w:space="0" w:color="auto"/>
            </w:tcBorders>
            <w:vAlign w:val="center"/>
          </w:tcPr>
          <w:p w14:paraId="542ED3F6" w14:textId="77777777" w:rsidR="007B3DB2" w:rsidRPr="0063248C" w:rsidRDefault="00000000">
            <w:pPr>
              <w:spacing w:line="240" w:lineRule="exact"/>
              <w:jc w:val="right"/>
              <w:rPr>
                <w:rFonts w:cs="宋体"/>
                <w:sz w:val="18"/>
                <w:szCs w:val="18"/>
              </w:rPr>
            </w:pPr>
            <w:r w:rsidRPr="0063248C">
              <w:rPr>
                <w:rFonts w:cs="宋体"/>
                <w:sz w:val="18"/>
                <w:szCs w:val="18"/>
              </w:rPr>
              <w:t>1,287,256.00</w:t>
            </w:r>
          </w:p>
        </w:tc>
        <w:tc>
          <w:tcPr>
            <w:tcW w:w="741" w:type="dxa"/>
            <w:tcBorders>
              <w:top w:val="single" w:sz="2" w:space="0" w:color="auto"/>
              <w:left w:val="single" w:sz="2" w:space="0" w:color="auto"/>
              <w:bottom w:val="single" w:sz="2" w:space="0" w:color="auto"/>
              <w:right w:val="single" w:sz="2" w:space="0" w:color="auto"/>
            </w:tcBorders>
            <w:vAlign w:val="center"/>
          </w:tcPr>
          <w:p w14:paraId="238667C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648D85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3A1977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93D94AA" w14:textId="77777777" w:rsidR="007B3DB2" w:rsidRPr="0063248C" w:rsidRDefault="00000000">
            <w:pPr>
              <w:spacing w:line="240" w:lineRule="exact"/>
              <w:jc w:val="right"/>
              <w:rPr>
                <w:rFonts w:cs="宋体"/>
                <w:sz w:val="18"/>
                <w:szCs w:val="18"/>
              </w:rPr>
            </w:pPr>
            <w:r w:rsidRPr="0063248C">
              <w:rPr>
                <w:rFonts w:cs="宋体"/>
                <w:sz w:val="18"/>
                <w:szCs w:val="18"/>
              </w:rPr>
              <w:t>1,287,256.00</w:t>
            </w:r>
          </w:p>
        </w:tc>
        <w:tc>
          <w:tcPr>
            <w:tcW w:w="741" w:type="dxa"/>
            <w:tcBorders>
              <w:top w:val="single" w:sz="2" w:space="0" w:color="auto"/>
              <w:left w:val="single" w:sz="2" w:space="0" w:color="auto"/>
              <w:bottom w:val="single" w:sz="2" w:space="0" w:color="auto"/>
              <w:right w:val="single" w:sz="2" w:space="0" w:color="auto"/>
            </w:tcBorders>
            <w:vAlign w:val="center"/>
          </w:tcPr>
          <w:p w14:paraId="5A7D1A11" w14:textId="77777777" w:rsidR="007B3DB2" w:rsidRPr="0063248C" w:rsidRDefault="00000000">
            <w:pPr>
              <w:spacing w:line="240" w:lineRule="exact"/>
              <w:jc w:val="right"/>
              <w:rPr>
                <w:rFonts w:cs="宋体"/>
                <w:sz w:val="18"/>
                <w:szCs w:val="18"/>
              </w:rPr>
            </w:pPr>
            <w:r w:rsidRPr="0063248C">
              <w:rPr>
                <w:rFonts w:cs="宋体"/>
                <w:sz w:val="18"/>
                <w:szCs w:val="18"/>
              </w:rPr>
              <w:t>99.02%</w:t>
            </w:r>
          </w:p>
        </w:tc>
        <w:tc>
          <w:tcPr>
            <w:tcW w:w="741" w:type="dxa"/>
            <w:tcBorders>
              <w:top w:val="single" w:sz="2" w:space="0" w:color="auto"/>
              <w:left w:val="single" w:sz="2" w:space="0" w:color="auto"/>
              <w:bottom w:val="single" w:sz="2" w:space="0" w:color="auto"/>
              <w:right w:val="single" w:sz="2" w:space="0" w:color="auto"/>
            </w:tcBorders>
            <w:vAlign w:val="center"/>
          </w:tcPr>
          <w:p w14:paraId="0C5DF5FD" w14:textId="77777777" w:rsidR="007B3DB2" w:rsidRPr="0063248C" w:rsidRDefault="00000000">
            <w:pPr>
              <w:spacing w:line="240" w:lineRule="exact"/>
              <w:rPr>
                <w:rFonts w:cs="宋体"/>
                <w:sz w:val="18"/>
                <w:szCs w:val="18"/>
              </w:rPr>
            </w:pPr>
            <w:r w:rsidRPr="0063248C">
              <w:rPr>
                <w:rFonts w:cs="宋体"/>
                <w:sz w:val="18"/>
                <w:szCs w:val="18"/>
              </w:rPr>
              <w:t>0.99</w:t>
            </w:r>
          </w:p>
        </w:tc>
        <w:tc>
          <w:tcPr>
            <w:tcW w:w="741" w:type="dxa"/>
            <w:tcBorders>
              <w:top w:val="single" w:sz="2" w:space="0" w:color="auto"/>
              <w:left w:val="single" w:sz="2" w:space="0" w:color="auto"/>
              <w:bottom w:val="single" w:sz="2" w:space="0" w:color="auto"/>
              <w:right w:val="single" w:sz="2" w:space="0" w:color="auto"/>
            </w:tcBorders>
            <w:vAlign w:val="center"/>
          </w:tcPr>
          <w:p w14:paraId="0BB2AF6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FF904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74EE4C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8ABC990"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74FF4B79"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5B009E6B" w14:textId="77777777" w:rsidR="007B3DB2" w:rsidRPr="0063248C" w:rsidRDefault="00000000">
            <w:pPr>
              <w:spacing w:line="240" w:lineRule="exact"/>
              <w:rPr>
                <w:rFonts w:cs="宋体"/>
                <w:sz w:val="18"/>
                <w:szCs w:val="18"/>
              </w:rPr>
            </w:pPr>
            <w:r w:rsidRPr="0063248C">
              <w:rPr>
                <w:rFonts w:cs="宋体"/>
                <w:sz w:val="18"/>
                <w:szCs w:val="18"/>
              </w:rPr>
              <w:t>西刘庄猪场污水站</w:t>
            </w:r>
          </w:p>
        </w:tc>
        <w:tc>
          <w:tcPr>
            <w:tcW w:w="741" w:type="dxa"/>
            <w:tcBorders>
              <w:top w:val="single" w:sz="2" w:space="0" w:color="auto"/>
              <w:left w:val="single" w:sz="2" w:space="0" w:color="auto"/>
              <w:bottom w:val="single" w:sz="2" w:space="0" w:color="auto"/>
              <w:right w:val="single" w:sz="2" w:space="0" w:color="auto"/>
            </w:tcBorders>
            <w:vAlign w:val="center"/>
          </w:tcPr>
          <w:p w14:paraId="41CA52FA" w14:textId="77777777" w:rsidR="007B3DB2" w:rsidRPr="0063248C" w:rsidRDefault="00000000">
            <w:pPr>
              <w:spacing w:line="240" w:lineRule="exact"/>
              <w:jc w:val="right"/>
              <w:rPr>
                <w:rFonts w:cs="宋体"/>
                <w:sz w:val="18"/>
                <w:szCs w:val="18"/>
              </w:rPr>
            </w:pPr>
            <w:r w:rsidRPr="0063248C">
              <w:rPr>
                <w:rFonts w:cs="宋体"/>
                <w:sz w:val="18"/>
                <w:szCs w:val="18"/>
              </w:rPr>
              <w:t>6,900,000.00</w:t>
            </w:r>
          </w:p>
        </w:tc>
        <w:tc>
          <w:tcPr>
            <w:tcW w:w="741" w:type="dxa"/>
            <w:tcBorders>
              <w:top w:val="single" w:sz="2" w:space="0" w:color="auto"/>
              <w:left w:val="single" w:sz="2" w:space="0" w:color="auto"/>
              <w:bottom w:val="single" w:sz="2" w:space="0" w:color="auto"/>
              <w:right w:val="single" w:sz="2" w:space="0" w:color="auto"/>
            </w:tcBorders>
            <w:vAlign w:val="center"/>
          </w:tcPr>
          <w:p w14:paraId="09DE0E13" w14:textId="77777777" w:rsidR="007B3DB2" w:rsidRPr="0063248C" w:rsidRDefault="00000000">
            <w:pPr>
              <w:spacing w:line="240" w:lineRule="exact"/>
              <w:jc w:val="right"/>
              <w:rPr>
                <w:rFonts w:cs="宋体"/>
                <w:sz w:val="18"/>
                <w:szCs w:val="18"/>
              </w:rPr>
            </w:pPr>
            <w:r w:rsidRPr="0063248C">
              <w:rPr>
                <w:rFonts w:cs="宋体"/>
                <w:sz w:val="18"/>
                <w:szCs w:val="18"/>
              </w:rPr>
              <w:t>6,870,000.00</w:t>
            </w:r>
          </w:p>
        </w:tc>
        <w:tc>
          <w:tcPr>
            <w:tcW w:w="741" w:type="dxa"/>
            <w:tcBorders>
              <w:top w:val="single" w:sz="2" w:space="0" w:color="auto"/>
              <w:left w:val="single" w:sz="2" w:space="0" w:color="auto"/>
              <w:bottom w:val="single" w:sz="2" w:space="0" w:color="auto"/>
              <w:right w:val="single" w:sz="2" w:space="0" w:color="auto"/>
            </w:tcBorders>
            <w:vAlign w:val="center"/>
          </w:tcPr>
          <w:p w14:paraId="26CEACC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1C7C2E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78E26D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374BBAE" w14:textId="77777777" w:rsidR="007B3DB2" w:rsidRPr="0063248C" w:rsidRDefault="00000000">
            <w:pPr>
              <w:spacing w:line="240" w:lineRule="exact"/>
              <w:jc w:val="right"/>
              <w:rPr>
                <w:rFonts w:cs="宋体"/>
                <w:sz w:val="18"/>
                <w:szCs w:val="18"/>
              </w:rPr>
            </w:pPr>
            <w:r w:rsidRPr="0063248C">
              <w:rPr>
                <w:rFonts w:cs="宋体"/>
                <w:sz w:val="18"/>
                <w:szCs w:val="18"/>
              </w:rPr>
              <w:t>6,870,000.00</w:t>
            </w:r>
          </w:p>
        </w:tc>
        <w:tc>
          <w:tcPr>
            <w:tcW w:w="741" w:type="dxa"/>
            <w:tcBorders>
              <w:top w:val="single" w:sz="2" w:space="0" w:color="auto"/>
              <w:left w:val="single" w:sz="2" w:space="0" w:color="auto"/>
              <w:bottom w:val="single" w:sz="2" w:space="0" w:color="auto"/>
              <w:right w:val="single" w:sz="2" w:space="0" w:color="auto"/>
            </w:tcBorders>
            <w:vAlign w:val="center"/>
          </w:tcPr>
          <w:p w14:paraId="2050D72F" w14:textId="77777777" w:rsidR="007B3DB2" w:rsidRPr="0063248C" w:rsidRDefault="00000000">
            <w:pPr>
              <w:spacing w:line="240" w:lineRule="exact"/>
              <w:jc w:val="right"/>
              <w:rPr>
                <w:rFonts w:cs="宋体"/>
                <w:sz w:val="18"/>
                <w:szCs w:val="18"/>
              </w:rPr>
            </w:pPr>
            <w:r w:rsidRPr="0063248C">
              <w:rPr>
                <w:rFonts w:cs="宋体"/>
                <w:sz w:val="18"/>
                <w:szCs w:val="18"/>
              </w:rPr>
              <w:t>99.57%</w:t>
            </w:r>
          </w:p>
        </w:tc>
        <w:tc>
          <w:tcPr>
            <w:tcW w:w="741" w:type="dxa"/>
            <w:tcBorders>
              <w:top w:val="single" w:sz="2" w:space="0" w:color="auto"/>
              <w:left w:val="single" w:sz="2" w:space="0" w:color="auto"/>
              <w:bottom w:val="single" w:sz="2" w:space="0" w:color="auto"/>
              <w:right w:val="single" w:sz="2" w:space="0" w:color="auto"/>
            </w:tcBorders>
            <w:vAlign w:val="center"/>
          </w:tcPr>
          <w:p w14:paraId="585BD8CD" w14:textId="77777777" w:rsidR="007B3DB2" w:rsidRPr="0063248C" w:rsidRDefault="00000000">
            <w:pPr>
              <w:spacing w:line="240" w:lineRule="exact"/>
              <w:rPr>
                <w:rFonts w:cs="宋体"/>
                <w:sz w:val="18"/>
                <w:szCs w:val="18"/>
              </w:rPr>
            </w:pPr>
            <w:r w:rsidRPr="0063248C">
              <w:rPr>
                <w:rFonts w:cs="宋体"/>
                <w:sz w:val="18"/>
                <w:szCs w:val="18"/>
              </w:rPr>
              <w:t>0.99</w:t>
            </w:r>
          </w:p>
        </w:tc>
        <w:tc>
          <w:tcPr>
            <w:tcW w:w="741" w:type="dxa"/>
            <w:tcBorders>
              <w:top w:val="single" w:sz="2" w:space="0" w:color="auto"/>
              <w:left w:val="single" w:sz="2" w:space="0" w:color="auto"/>
              <w:bottom w:val="single" w:sz="2" w:space="0" w:color="auto"/>
              <w:right w:val="single" w:sz="2" w:space="0" w:color="auto"/>
            </w:tcBorders>
            <w:vAlign w:val="center"/>
          </w:tcPr>
          <w:p w14:paraId="5699093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80252A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C2A815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5B03C20"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57367AE1"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00FF557A" w14:textId="77777777" w:rsidR="007B3DB2" w:rsidRPr="0063248C" w:rsidRDefault="00000000">
            <w:pPr>
              <w:spacing w:line="240" w:lineRule="exact"/>
              <w:rPr>
                <w:rFonts w:cs="宋体"/>
                <w:sz w:val="18"/>
                <w:szCs w:val="18"/>
              </w:rPr>
            </w:pPr>
            <w:r w:rsidRPr="0063248C">
              <w:rPr>
                <w:rFonts w:cs="宋体"/>
                <w:sz w:val="18"/>
                <w:szCs w:val="18"/>
              </w:rPr>
              <w:t>西刘庄猪场燃气管道工程</w:t>
            </w:r>
          </w:p>
        </w:tc>
        <w:tc>
          <w:tcPr>
            <w:tcW w:w="741" w:type="dxa"/>
            <w:tcBorders>
              <w:top w:val="single" w:sz="2" w:space="0" w:color="auto"/>
              <w:left w:val="single" w:sz="2" w:space="0" w:color="auto"/>
              <w:bottom w:val="single" w:sz="2" w:space="0" w:color="auto"/>
              <w:right w:val="single" w:sz="2" w:space="0" w:color="auto"/>
            </w:tcBorders>
            <w:vAlign w:val="center"/>
          </w:tcPr>
          <w:p w14:paraId="5E7EC7D1" w14:textId="77777777" w:rsidR="007B3DB2" w:rsidRPr="0063248C" w:rsidRDefault="00000000">
            <w:pPr>
              <w:spacing w:line="240" w:lineRule="exact"/>
              <w:jc w:val="right"/>
              <w:rPr>
                <w:rFonts w:cs="宋体"/>
                <w:sz w:val="18"/>
                <w:szCs w:val="18"/>
              </w:rPr>
            </w:pPr>
            <w:r w:rsidRPr="0063248C">
              <w:rPr>
                <w:rFonts w:cs="宋体"/>
                <w:sz w:val="18"/>
                <w:szCs w:val="18"/>
              </w:rPr>
              <w:t>540,000.00</w:t>
            </w:r>
          </w:p>
        </w:tc>
        <w:tc>
          <w:tcPr>
            <w:tcW w:w="741" w:type="dxa"/>
            <w:tcBorders>
              <w:top w:val="single" w:sz="2" w:space="0" w:color="auto"/>
              <w:left w:val="single" w:sz="2" w:space="0" w:color="auto"/>
              <w:bottom w:val="single" w:sz="2" w:space="0" w:color="auto"/>
              <w:right w:val="single" w:sz="2" w:space="0" w:color="auto"/>
            </w:tcBorders>
            <w:vAlign w:val="center"/>
          </w:tcPr>
          <w:p w14:paraId="40C473FE" w14:textId="77777777" w:rsidR="007B3DB2" w:rsidRPr="0063248C" w:rsidRDefault="00000000">
            <w:pPr>
              <w:spacing w:line="240" w:lineRule="exact"/>
              <w:jc w:val="right"/>
              <w:rPr>
                <w:rFonts w:cs="宋体"/>
                <w:sz w:val="18"/>
                <w:szCs w:val="18"/>
              </w:rPr>
            </w:pPr>
            <w:r w:rsidRPr="0063248C">
              <w:rPr>
                <w:rFonts w:cs="宋体"/>
                <w:sz w:val="18"/>
                <w:szCs w:val="18"/>
              </w:rPr>
              <w:t>351,000.00</w:t>
            </w:r>
          </w:p>
        </w:tc>
        <w:tc>
          <w:tcPr>
            <w:tcW w:w="741" w:type="dxa"/>
            <w:tcBorders>
              <w:top w:val="single" w:sz="2" w:space="0" w:color="auto"/>
              <w:left w:val="single" w:sz="2" w:space="0" w:color="auto"/>
              <w:bottom w:val="single" w:sz="2" w:space="0" w:color="auto"/>
              <w:right w:val="single" w:sz="2" w:space="0" w:color="auto"/>
            </w:tcBorders>
            <w:vAlign w:val="center"/>
          </w:tcPr>
          <w:p w14:paraId="4BA2BF2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D8AFF0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8665F3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A5EEF16" w14:textId="77777777" w:rsidR="007B3DB2" w:rsidRPr="0063248C" w:rsidRDefault="00000000">
            <w:pPr>
              <w:spacing w:line="240" w:lineRule="exact"/>
              <w:jc w:val="right"/>
              <w:rPr>
                <w:rFonts w:cs="宋体"/>
                <w:sz w:val="18"/>
                <w:szCs w:val="18"/>
              </w:rPr>
            </w:pPr>
            <w:r w:rsidRPr="0063248C">
              <w:rPr>
                <w:rFonts w:cs="宋体"/>
                <w:sz w:val="18"/>
                <w:szCs w:val="18"/>
              </w:rPr>
              <w:t>351,000.00</w:t>
            </w:r>
          </w:p>
        </w:tc>
        <w:tc>
          <w:tcPr>
            <w:tcW w:w="741" w:type="dxa"/>
            <w:tcBorders>
              <w:top w:val="single" w:sz="2" w:space="0" w:color="auto"/>
              <w:left w:val="single" w:sz="2" w:space="0" w:color="auto"/>
              <w:bottom w:val="single" w:sz="2" w:space="0" w:color="auto"/>
              <w:right w:val="single" w:sz="2" w:space="0" w:color="auto"/>
            </w:tcBorders>
            <w:vAlign w:val="center"/>
          </w:tcPr>
          <w:p w14:paraId="1706E461" w14:textId="77777777" w:rsidR="007B3DB2" w:rsidRPr="0063248C" w:rsidRDefault="00000000">
            <w:pPr>
              <w:spacing w:line="240" w:lineRule="exact"/>
              <w:jc w:val="right"/>
              <w:rPr>
                <w:rFonts w:cs="宋体"/>
                <w:sz w:val="18"/>
                <w:szCs w:val="18"/>
              </w:rPr>
            </w:pPr>
            <w:r w:rsidRPr="0063248C">
              <w:rPr>
                <w:rFonts w:cs="宋体"/>
                <w:sz w:val="18"/>
                <w:szCs w:val="18"/>
              </w:rPr>
              <w:t>65.00%</w:t>
            </w:r>
          </w:p>
        </w:tc>
        <w:tc>
          <w:tcPr>
            <w:tcW w:w="741" w:type="dxa"/>
            <w:tcBorders>
              <w:top w:val="single" w:sz="2" w:space="0" w:color="auto"/>
              <w:left w:val="single" w:sz="2" w:space="0" w:color="auto"/>
              <w:bottom w:val="single" w:sz="2" w:space="0" w:color="auto"/>
              <w:right w:val="single" w:sz="2" w:space="0" w:color="auto"/>
            </w:tcBorders>
            <w:vAlign w:val="center"/>
          </w:tcPr>
          <w:p w14:paraId="7E74185A" w14:textId="77777777" w:rsidR="007B3DB2" w:rsidRPr="0063248C" w:rsidRDefault="00000000">
            <w:pPr>
              <w:spacing w:line="240" w:lineRule="exact"/>
              <w:rPr>
                <w:rFonts w:cs="宋体"/>
                <w:sz w:val="18"/>
                <w:szCs w:val="18"/>
              </w:rPr>
            </w:pPr>
            <w:r w:rsidRPr="0063248C">
              <w:rPr>
                <w:rFonts w:cs="宋体"/>
                <w:sz w:val="18"/>
                <w:szCs w:val="18"/>
              </w:rPr>
              <w:t>0.98</w:t>
            </w:r>
          </w:p>
        </w:tc>
        <w:tc>
          <w:tcPr>
            <w:tcW w:w="741" w:type="dxa"/>
            <w:tcBorders>
              <w:top w:val="single" w:sz="2" w:space="0" w:color="auto"/>
              <w:left w:val="single" w:sz="2" w:space="0" w:color="auto"/>
              <w:bottom w:val="single" w:sz="2" w:space="0" w:color="auto"/>
              <w:right w:val="single" w:sz="2" w:space="0" w:color="auto"/>
            </w:tcBorders>
            <w:vAlign w:val="center"/>
          </w:tcPr>
          <w:p w14:paraId="46D740F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AE3F86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6BD7BD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E4564BD"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166A9E9B"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6014E9DF" w14:textId="77777777" w:rsidR="007B3DB2" w:rsidRPr="0063248C" w:rsidRDefault="00000000">
            <w:pPr>
              <w:spacing w:line="240" w:lineRule="exact"/>
              <w:rPr>
                <w:rFonts w:cs="宋体"/>
                <w:sz w:val="18"/>
                <w:szCs w:val="18"/>
              </w:rPr>
            </w:pPr>
            <w:r w:rsidRPr="0063248C">
              <w:rPr>
                <w:rFonts w:cs="宋体"/>
                <w:sz w:val="18"/>
                <w:szCs w:val="18"/>
              </w:rPr>
              <w:t>小河北猪场</w:t>
            </w:r>
          </w:p>
        </w:tc>
        <w:tc>
          <w:tcPr>
            <w:tcW w:w="741" w:type="dxa"/>
            <w:tcBorders>
              <w:top w:val="single" w:sz="2" w:space="0" w:color="auto"/>
              <w:left w:val="single" w:sz="2" w:space="0" w:color="auto"/>
              <w:bottom w:val="single" w:sz="2" w:space="0" w:color="auto"/>
              <w:right w:val="single" w:sz="2" w:space="0" w:color="auto"/>
            </w:tcBorders>
            <w:vAlign w:val="center"/>
          </w:tcPr>
          <w:p w14:paraId="1D5CEB94" w14:textId="77777777" w:rsidR="007B3DB2" w:rsidRPr="0063248C" w:rsidRDefault="00000000">
            <w:pPr>
              <w:spacing w:line="240" w:lineRule="exact"/>
              <w:jc w:val="right"/>
              <w:rPr>
                <w:rFonts w:cs="宋体"/>
                <w:sz w:val="18"/>
                <w:szCs w:val="18"/>
              </w:rPr>
            </w:pPr>
            <w:r w:rsidRPr="0063248C">
              <w:rPr>
                <w:rFonts w:cs="宋体"/>
                <w:sz w:val="18"/>
                <w:szCs w:val="18"/>
              </w:rPr>
              <w:t>142,000.00</w:t>
            </w:r>
          </w:p>
        </w:tc>
        <w:tc>
          <w:tcPr>
            <w:tcW w:w="741" w:type="dxa"/>
            <w:tcBorders>
              <w:top w:val="single" w:sz="2" w:space="0" w:color="auto"/>
              <w:left w:val="single" w:sz="2" w:space="0" w:color="auto"/>
              <w:bottom w:val="single" w:sz="2" w:space="0" w:color="auto"/>
              <w:right w:val="single" w:sz="2" w:space="0" w:color="auto"/>
            </w:tcBorders>
            <w:vAlign w:val="center"/>
          </w:tcPr>
          <w:p w14:paraId="10C63EE5"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20679E87" w14:textId="77777777" w:rsidR="007B3DB2" w:rsidRPr="0063248C" w:rsidRDefault="00000000">
            <w:pPr>
              <w:spacing w:line="240" w:lineRule="exact"/>
              <w:jc w:val="right"/>
              <w:rPr>
                <w:rFonts w:cs="宋体"/>
                <w:sz w:val="18"/>
                <w:szCs w:val="18"/>
              </w:rPr>
            </w:pPr>
            <w:r w:rsidRPr="0063248C">
              <w:rPr>
                <w:rFonts w:cs="宋体"/>
                <w:sz w:val="18"/>
                <w:szCs w:val="18"/>
              </w:rPr>
              <w:t>113,600.00</w:t>
            </w:r>
          </w:p>
        </w:tc>
        <w:tc>
          <w:tcPr>
            <w:tcW w:w="741" w:type="dxa"/>
            <w:tcBorders>
              <w:top w:val="single" w:sz="2" w:space="0" w:color="auto"/>
              <w:left w:val="single" w:sz="2" w:space="0" w:color="auto"/>
              <w:bottom w:val="single" w:sz="2" w:space="0" w:color="auto"/>
              <w:right w:val="single" w:sz="2" w:space="0" w:color="auto"/>
            </w:tcBorders>
            <w:vAlign w:val="center"/>
          </w:tcPr>
          <w:p w14:paraId="4239518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BF9492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5788EAD" w14:textId="77777777" w:rsidR="007B3DB2" w:rsidRPr="0063248C" w:rsidRDefault="00000000">
            <w:pPr>
              <w:spacing w:line="240" w:lineRule="exact"/>
              <w:jc w:val="right"/>
              <w:rPr>
                <w:rFonts w:cs="宋体"/>
                <w:sz w:val="18"/>
                <w:szCs w:val="18"/>
              </w:rPr>
            </w:pPr>
            <w:r w:rsidRPr="0063248C">
              <w:rPr>
                <w:rFonts w:cs="宋体"/>
                <w:sz w:val="18"/>
                <w:szCs w:val="18"/>
              </w:rPr>
              <w:t>113,600.00</w:t>
            </w:r>
          </w:p>
        </w:tc>
        <w:tc>
          <w:tcPr>
            <w:tcW w:w="741" w:type="dxa"/>
            <w:tcBorders>
              <w:top w:val="single" w:sz="2" w:space="0" w:color="auto"/>
              <w:left w:val="single" w:sz="2" w:space="0" w:color="auto"/>
              <w:bottom w:val="single" w:sz="2" w:space="0" w:color="auto"/>
              <w:right w:val="single" w:sz="2" w:space="0" w:color="auto"/>
            </w:tcBorders>
            <w:vAlign w:val="center"/>
          </w:tcPr>
          <w:p w14:paraId="4D064216" w14:textId="77777777" w:rsidR="007B3DB2" w:rsidRPr="0063248C" w:rsidRDefault="00000000">
            <w:pPr>
              <w:spacing w:line="240" w:lineRule="exact"/>
              <w:jc w:val="right"/>
              <w:rPr>
                <w:rFonts w:cs="宋体"/>
                <w:sz w:val="18"/>
                <w:szCs w:val="18"/>
              </w:rPr>
            </w:pPr>
            <w:r w:rsidRPr="0063248C">
              <w:rPr>
                <w:rFonts w:cs="宋体"/>
                <w:sz w:val="18"/>
                <w:szCs w:val="18"/>
              </w:rPr>
              <w:t>80.00%</w:t>
            </w:r>
          </w:p>
        </w:tc>
        <w:tc>
          <w:tcPr>
            <w:tcW w:w="741" w:type="dxa"/>
            <w:tcBorders>
              <w:top w:val="single" w:sz="2" w:space="0" w:color="auto"/>
              <w:left w:val="single" w:sz="2" w:space="0" w:color="auto"/>
              <w:bottom w:val="single" w:sz="2" w:space="0" w:color="auto"/>
              <w:right w:val="single" w:sz="2" w:space="0" w:color="auto"/>
            </w:tcBorders>
            <w:vAlign w:val="center"/>
          </w:tcPr>
          <w:p w14:paraId="04222B86" w14:textId="77777777" w:rsidR="007B3DB2" w:rsidRPr="0063248C" w:rsidRDefault="00000000">
            <w:pPr>
              <w:spacing w:line="240" w:lineRule="exact"/>
              <w:rPr>
                <w:rFonts w:cs="宋体"/>
                <w:sz w:val="18"/>
                <w:szCs w:val="18"/>
              </w:rPr>
            </w:pPr>
            <w:r w:rsidRPr="0063248C">
              <w:rPr>
                <w:rFonts w:cs="宋体"/>
                <w:sz w:val="18"/>
                <w:szCs w:val="18"/>
              </w:rPr>
              <w:t>0.95</w:t>
            </w:r>
          </w:p>
        </w:tc>
        <w:tc>
          <w:tcPr>
            <w:tcW w:w="741" w:type="dxa"/>
            <w:tcBorders>
              <w:top w:val="single" w:sz="2" w:space="0" w:color="auto"/>
              <w:left w:val="single" w:sz="2" w:space="0" w:color="auto"/>
              <w:bottom w:val="single" w:sz="2" w:space="0" w:color="auto"/>
              <w:right w:val="single" w:sz="2" w:space="0" w:color="auto"/>
            </w:tcBorders>
            <w:vAlign w:val="center"/>
          </w:tcPr>
          <w:p w14:paraId="2DEC6BE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1F3530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EC6226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2223C28"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730B52B6"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3534C25" w14:textId="77777777" w:rsidR="007B3DB2" w:rsidRPr="0063248C" w:rsidRDefault="00000000">
            <w:pPr>
              <w:spacing w:line="240" w:lineRule="exact"/>
              <w:rPr>
                <w:rFonts w:cs="宋体"/>
                <w:sz w:val="18"/>
                <w:szCs w:val="18"/>
              </w:rPr>
            </w:pPr>
            <w:r w:rsidRPr="0063248C">
              <w:rPr>
                <w:rFonts w:cs="宋体"/>
                <w:sz w:val="18"/>
                <w:szCs w:val="18"/>
              </w:rPr>
              <w:t>聊城</w:t>
            </w:r>
            <w:r w:rsidRPr="0063248C">
              <w:rPr>
                <w:rFonts w:cs="宋体"/>
                <w:sz w:val="18"/>
                <w:szCs w:val="18"/>
              </w:rPr>
              <w:t>3000T</w:t>
            </w:r>
            <w:r w:rsidRPr="0063248C">
              <w:rPr>
                <w:rFonts w:cs="宋体"/>
                <w:sz w:val="18"/>
                <w:szCs w:val="18"/>
              </w:rPr>
              <w:t>冷藏库及附属设施建设项目</w:t>
            </w:r>
          </w:p>
        </w:tc>
        <w:tc>
          <w:tcPr>
            <w:tcW w:w="741" w:type="dxa"/>
            <w:tcBorders>
              <w:top w:val="single" w:sz="2" w:space="0" w:color="auto"/>
              <w:left w:val="single" w:sz="2" w:space="0" w:color="auto"/>
              <w:bottom w:val="single" w:sz="2" w:space="0" w:color="auto"/>
              <w:right w:val="single" w:sz="2" w:space="0" w:color="auto"/>
            </w:tcBorders>
            <w:vAlign w:val="center"/>
          </w:tcPr>
          <w:p w14:paraId="7D9CE4E1" w14:textId="77777777" w:rsidR="007B3DB2" w:rsidRPr="0063248C" w:rsidRDefault="00000000">
            <w:pPr>
              <w:spacing w:line="240" w:lineRule="exact"/>
              <w:jc w:val="right"/>
              <w:rPr>
                <w:rFonts w:cs="宋体"/>
                <w:sz w:val="18"/>
                <w:szCs w:val="18"/>
              </w:rPr>
            </w:pPr>
            <w:r w:rsidRPr="0063248C">
              <w:rPr>
                <w:rFonts w:cs="宋体"/>
                <w:sz w:val="18"/>
                <w:szCs w:val="18"/>
              </w:rPr>
              <w:t>26,153,410.00</w:t>
            </w:r>
          </w:p>
        </w:tc>
        <w:tc>
          <w:tcPr>
            <w:tcW w:w="741" w:type="dxa"/>
            <w:tcBorders>
              <w:top w:val="single" w:sz="2" w:space="0" w:color="auto"/>
              <w:left w:val="single" w:sz="2" w:space="0" w:color="auto"/>
              <w:bottom w:val="single" w:sz="2" w:space="0" w:color="auto"/>
              <w:right w:val="single" w:sz="2" w:space="0" w:color="auto"/>
            </w:tcBorders>
            <w:vAlign w:val="center"/>
          </w:tcPr>
          <w:p w14:paraId="070589D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A85F1EA" w14:textId="77777777" w:rsidR="007B3DB2" w:rsidRPr="0063248C" w:rsidRDefault="00000000">
            <w:pPr>
              <w:spacing w:line="240" w:lineRule="exact"/>
              <w:jc w:val="right"/>
              <w:rPr>
                <w:rFonts w:cs="宋体"/>
                <w:sz w:val="18"/>
                <w:szCs w:val="18"/>
              </w:rPr>
            </w:pPr>
            <w:r w:rsidRPr="0063248C">
              <w:rPr>
                <w:rFonts w:cs="宋体"/>
                <w:sz w:val="18"/>
                <w:szCs w:val="18"/>
              </w:rPr>
              <w:t>1,939,954.72</w:t>
            </w:r>
          </w:p>
        </w:tc>
        <w:tc>
          <w:tcPr>
            <w:tcW w:w="741" w:type="dxa"/>
            <w:tcBorders>
              <w:top w:val="single" w:sz="2" w:space="0" w:color="auto"/>
              <w:left w:val="single" w:sz="2" w:space="0" w:color="auto"/>
              <w:bottom w:val="single" w:sz="2" w:space="0" w:color="auto"/>
              <w:right w:val="single" w:sz="2" w:space="0" w:color="auto"/>
            </w:tcBorders>
            <w:vAlign w:val="center"/>
          </w:tcPr>
          <w:p w14:paraId="7F9EA506" w14:textId="77777777" w:rsidR="007B3DB2" w:rsidRPr="0063248C" w:rsidRDefault="00000000">
            <w:pPr>
              <w:spacing w:line="240" w:lineRule="exact"/>
              <w:jc w:val="right"/>
              <w:rPr>
                <w:rFonts w:cs="宋体"/>
                <w:sz w:val="18"/>
                <w:szCs w:val="18"/>
              </w:rPr>
            </w:pPr>
            <w:r w:rsidRPr="0063248C">
              <w:rPr>
                <w:rFonts w:cs="宋体"/>
                <w:sz w:val="18"/>
                <w:szCs w:val="18"/>
              </w:rPr>
              <w:t>1,939,954.72</w:t>
            </w:r>
          </w:p>
        </w:tc>
        <w:tc>
          <w:tcPr>
            <w:tcW w:w="741" w:type="dxa"/>
            <w:tcBorders>
              <w:top w:val="single" w:sz="2" w:space="0" w:color="auto"/>
              <w:left w:val="single" w:sz="2" w:space="0" w:color="auto"/>
              <w:bottom w:val="single" w:sz="2" w:space="0" w:color="auto"/>
              <w:right w:val="single" w:sz="2" w:space="0" w:color="auto"/>
            </w:tcBorders>
            <w:vAlign w:val="center"/>
          </w:tcPr>
          <w:p w14:paraId="042DE3AD"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6F84072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3712B8C2" w14:textId="77777777" w:rsidR="007B3DB2" w:rsidRPr="0063248C" w:rsidRDefault="00000000">
            <w:pPr>
              <w:spacing w:line="240" w:lineRule="exact"/>
              <w:jc w:val="right"/>
              <w:rPr>
                <w:rFonts w:cs="宋体"/>
                <w:sz w:val="18"/>
                <w:szCs w:val="18"/>
              </w:rPr>
            </w:pPr>
            <w:r w:rsidRPr="0063248C">
              <w:rPr>
                <w:rFonts w:cs="宋体"/>
                <w:sz w:val="18"/>
                <w:szCs w:val="18"/>
              </w:rPr>
              <w:t>111.05%</w:t>
            </w:r>
          </w:p>
        </w:tc>
        <w:tc>
          <w:tcPr>
            <w:tcW w:w="741" w:type="dxa"/>
            <w:tcBorders>
              <w:top w:val="single" w:sz="2" w:space="0" w:color="auto"/>
              <w:left w:val="single" w:sz="2" w:space="0" w:color="auto"/>
              <w:bottom w:val="single" w:sz="2" w:space="0" w:color="auto"/>
              <w:right w:val="single" w:sz="2" w:space="0" w:color="auto"/>
            </w:tcBorders>
            <w:vAlign w:val="center"/>
          </w:tcPr>
          <w:p w14:paraId="6446CBCE" w14:textId="77777777" w:rsidR="007B3DB2" w:rsidRPr="0063248C" w:rsidRDefault="00000000">
            <w:pPr>
              <w:spacing w:line="240" w:lineRule="exact"/>
              <w:rPr>
                <w:rFonts w:cs="宋体"/>
                <w:sz w:val="18"/>
                <w:szCs w:val="18"/>
              </w:rPr>
            </w:pPr>
            <w:r w:rsidRPr="0063248C">
              <w:rPr>
                <w:rFonts w:cs="宋体"/>
                <w:sz w:val="18"/>
                <w:szCs w:val="18"/>
              </w:rPr>
              <w:t>1</w:t>
            </w:r>
          </w:p>
        </w:tc>
        <w:tc>
          <w:tcPr>
            <w:tcW w:w="741" w:type="dxa"/>
            <w:tcBorders>
              <w:top w:val="single" w:sz="2" w:space="0" w:color="auto"/>
              <w:left w:val="single" w:sz="2" w:space="0" w:color="auto"/>
              <w:bottom w:val="single" w:sz="2" w:space="0" w:color="auto"/>
              <w:right w:val="single" w:sz="2" w:space="0" w:color="auto"/>
            </w:tcBorders>
            <w:vAlign w:val="center"/>
          </w:tcPr>
          <w:p w14:paraId="0B059C2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144DA8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980AD7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88B4CBA"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6639889D"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470F37A" w14:textId="77777777" w:rsidR="007B3DB2" w:rsidRPr="0063248C" w:rsidRDefault="00000000">
            <w:pPr>
              <w:spacing w:line="240" w:lineRule="exact"/>
              <w:rPr>
                <w:rFonts w:cs="宋体"/>
                <w:sz w:val="18"/>
                <w:szCs w:val="18"/>
              </w:rPr>
            </w:pPr>
            <w:r w:rsidRPr="0063248C">
              <w:rPr>
                <w:rFonts w:cs="宋体"/>
                <w:sz w:val="18"/>
                <w:szCs w:val="18"/>
              </w:rPr>
              <w:t>分割间顶棚更换吊顶项目</w:t>
            </w:r>
          </w:p>
        </w:tc>
        <w:tc>
          <w:tcPr>
            <w:tcW w:w="741" w:type="dxa"/>
            <w:tcBorders>
              <w:top w:val="single" w:sz="2" w:space="0" w:color="auto"/>
              <w:left w:val="single" w:sz="2" w:space="0" w:color="auto"/>
              <w:bottom w:val="single" w:sz="2" w:space="0" w:color="auto"/>
              <w:right w:val="single" w:sz="2" w:space="0" w:color="auto"/>
            </w:tcBorders>
            <w:vAlign w:val="center"/>
          </w:tcPr>
          <w:p w14:paraId="4C393D67" w14:textId="77777777" w:rsidR="007B3DB2" w:rsidRPr="0063248C" w:rsidRDefault="00000000">
            <w:pPr>
              <w:spacing w:line="240" w:lineRule="exact"/>
              <w:jc w:val="right"/>
              <w:rPr>
                <w:rFonts w:cs="宋体"/>
                <w:sz w:val="18"/>
                <w:szCs w:val="18"/>
              </w:rPr>
            </w:pPr>
            <w:r w:rsidRPr="0063248C">
              <w:rPr>
                <w:rFonts w:cs="宋体"/>
                <w:sz w:val="18"/>
                <w:szCs w:val="18"/>
              </w:rPr>
              <w:t>237,000.00</w:t>
            </w:r>
          </w:p>
        </w:tc>
        <w:tc>
          <w:tcPr>
            <w:tcW w:w="741" w:type="dxa"/>
            <w:tcBorders>
              <w:top w:val="single" w:sz="2" w:space="0" w:color="auto"/>
              <w:left w:val="single" w:sz="2" w:space="0" w:color="auto"/>
              <w:bottom w:val="single" w:sz="2" w:space="0" w:color="auto"/>
              <w:right w:val="single" w:sz="2" w:space="0" w:color="auto"/>
            </w:tcBorders>
            <w:vAlign w:val="center"/>
          </w:tcPr>
          <w:p w14:paraId="4AF5671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380D2EB" w14:textId="77777777" w:rsidR="007B3DB2" w:rsidRPr="0063248C" w:rsidRDefault="00000000">
            <w:pPr>
              <w:spacing w:line="240" w:lineRule="exact"/>
              <w:jc w:val="right"/>
              <w:rPr>
                <w:rFonts w:cs="宋体"/>
                <w:sz w:val="18"/>
                <w:szCs w:val="18"/>
              </w:rPr>
            </w:pPr>
            <w:r w:rsidRPr="0063248C">
              <w:rPr>
                <w:rFonts w:cs="宋体"/>
                <w:sz w:val="18"/>
                <w:szCs w:val="18"/>
              </w:rPr>
              <w:t>209,734.51</w:t>
            </w:r>
          </w:p>
        </w:tc>
        <w:tc>
          <w:tcPr>
            <w:tcW w:w="741" w:type="dxa"/>
            <w:tcBorders>
              <w:top w:val="single" w:sz="2" w:space="0" w:color="auto"/>
              <w:left w:val="single" w:sz="2" w:space="0" w:color="auto"/>
              <w:bottom w:val="single" w:sz="2" w:space="0" w:color="auto"/>
              <w:right w:val="single" w:sz="2" w:space="0" w:color="auto"/>
            </w:tcBorders>
            <w:vAlign w:val="center"/>
          </w:tcPr>
          <w:p w14:paraId="40285AFC" w14:textId="77777777" w:rsidR="007B3DB2" w:rsidRPr="0063248C" w:rsidRDefault="00000000">
            <w:pPr>
              <w:spacing w:line="240" w:lineRule="exact"/>
              <w:jc w:val="right"/>
              <w:rPr>
                <w:rFonts w:cs="宋体"/>
                <w:sz w:val="18"/>
                <w:szCs w:val="18"/>
              </w:rPr>
            </w:pPr>
            <w:r w:rsidRPr="0063248C">
              <w:rPr>
                <w:rFonts w:cs="宋体"/>
                <w:sz w:val="18"/>
                <w:szCs w:val="18"/>
              </w:rPr>
              <w:t>209,734.51</w:t>
            </w:r>
          </w:p>
        </w:tc>
        <w:tc>
          <w:tcPr>
            <w:tcW w:w="741" w:type="dxa"/>
            <w:tcBorders>
              <w:top w:val="single" w:sz="2" w:space="0" w:color="auto"/>
              <w:left w:val="single" w:sz="2" w:space="0" w:color="auto"/>
              <w:bottom w:val="single" w:sz="2" w:space="0" w:color="auto"/>
              <w:right w:val="single" w:sz="2" w:space="0" w:color="auto"/>
            </w:tcBorders>
            <w:vAlign w:val="center"/>
          </w:tcPr>
          <w:p w14:paraId="673758A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151CA99"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49D6430C" w14:textId="77777777" w:rsidR="007B3DB2" w:rsidRPr="0063248C" w:rsidRDefault="00000000">
            <w:pPr>
              <w:spacing w:line="240" w:lineRule="exact"/>
              <w:jc w:val="right"/>
              <w:rPr>
                <w:rFonts w:cs="宋体"/>
                <w:sz w:val="18"/>
                <w:szCs w:val="18"/>
              </w:rPr>
            </w:pPr>
            <w:r w:rsidRPr="0063248C">
              <w:rPr>
                <w:rFonts w:cs="宋体"/>
                <w:sz w:val="18"/>
                <w:szCs w:val="18"/>
              </w:rPr>
              <w:t>88.50%</w:t>
            </w:r>
          </w:p>
        </w:tc>
        <w:tc>
          <w:tcPr>
            <w:tcW w:w="741" w:type="dxa"/>
            <w:tcBorders>
              <w:top w:val="single" w:sz="2" w:space="0" w:color="auto"/>
              <w:left w:val="single" w:sz="2" w:space="0" w:color="auto"/>
              <w:bottom w:val="single" w:sz="2" w:space="0" w:color="auto"/>
              <w:right w:val="single" w:sz="2" w:space="0" w:color="auto"/>
            </w:tcBorders>
            <w:vAlign w:val="center"/>
          </w:tcPr>
          <w:p w14:paraId="3BD6F9AD" w14:textId="77777777" w:rsidR="007B3DB2" w:rsidRPr="0063248C" w:rsidRDefault="00000000">
            <w:pPr>
              <w:spacing w:line="240" w:lineRule="exact"/>
              <w:rPr>
                <w:rFonts w:cs="宋体"/>
                <w:sz w:val="18"/>
                <w:szCs w:val="18"/>
              </w:rPr>
            </w:pPr>
            <w:r w:rsidRPr="0063248C">
              <w:rPr>
                <w:rFonts w:cs="宋体"/>
                <w:sz w:val="18"/>
                <w:szCs w:val="18"/>
              </w:rPr>
              <w:t>1</w:t>
            </w:r>
          </w:p>
        </w:tc>
        <w:tc>
          <w:tcPr>
            <w:tcW w:w="741" w:type="dxa"/>
            <w:tcBorders>
              <w:top w:val="single" w:sz="2" w:space="0" w:color="auto"/>
              <w:left w:val="single" w:sz="2" w:space="0" w:color="auto"/>
              <w:bottom w:val="single" w:sz="2" w:space="0" w:color="auto"/>
              <w:right w:val="single" w:sz="2" w:space="0" w:color="auto"/>
            </w:tcBorders>
            <w:vAlign w:val="center"/>
          </w:tcPr>
          <w:p w14:paraId="4135454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3AF900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1364C1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B10FFFE"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4D1E1E76"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83AEAF7" w14:textId="77777777" w:rsidR="007B3DB2" w:rsidRPr="0063248C" w:rsidRDefault="00000000">
            <w:pPr>
              <w:spacing w:line="240" w:lineRule="exact"/>
              <w:rPr>
                <w:rFonts w:cs="宋体"/>
                <w:sz w:val="18"/>
                <w:szCs w:val="18"/>
              </w:rPr>
            </w:pPr>
            <w:r w:rsidRPr="0063248C">
              <w:rPr>
                <w:rFonts w:cs="宋体"/>
                <w:sz w:val="18"/>
                <w:szCs w:val="18"/>
              </w:rPr>
              <w:t>乔家泊饲料厂技改土建工程</w:t>
            </w:r>
          </w:p>
        </w:tc>
        <w:tc>
          <w:tcPr>
            <w:tcW w:w="741" w:type="dxa"/>
            <w:tcBorders>
              <w:top w:val="single" w:sz="2" w:space="0" w:color="auto"/>
              <w:left w:val="single" w:sz="2" w:space="0" w:color="auto"/>
              <w:bottom w:val="single" w:sz="2" w:space="0" w:color="auto"/>
              <w:right w:val="single" w:sz="2" w:space="0" w:color="auto"/>
            </w:tcBorders>
            <w:vAlign w:val="center"/>
          </w:tcPr>
          <w:p w14:paraId="1754F035" w14:textId="77777777" w:rsidR="007B3DB2" w:rsidRPr="0063248C" w:rsidRDefault="00000000">
            <w:pPr>
              <w:spacing w:line="240" w:lineRule="exact"/>
              <w:jc w:val="right"/>
              <w:rPr>
                <w:rFonts w:cs="宋体"/>
                <w:sz w:val="18"/>
                <w:szCs w:val="18"/>
              </w:rPr>
            </w:pPr>
            <w:r w:rsidRPr="0063248C">
              <w:rPr>
                <w:rFonts w:cs="宋体"/>
                <w:sz w:val="18"/>
                <w:szCs w:val="18"/>
              </w:rPr>
              <w:t>520,000.00</w:t>
            </w:r>
          </w:p>
        </w:tc>
        <w:tc>
          <w:tcPr>
            <w:tcW w:w="741" w:type="dxa"/>
            <w:tcBorders>
              <w:top w:val="single" w:sz="2" w:space="0" w:color="auto"/>
              <w:left w:val="single" w:sz="2" w:space="0" w:color="auto"/>
              <w:bottom w:val="single" w:sz="2" w:space="0" w:color="auto"/>
              <w:right w:val="single" w:sz="2" w:space="0" w:color="auto"/>
            </w:tcBorders>
            <w:vAlign w:val="center"/>
          </w:tcPr>
          <w:p w14:paraId="308FD900" w14:textId="77777777" w:rsidR="007B3DB2" w:rsidRPr="0063248C" w:rsidRDefault="00000000">
            <w:pPr>
              <w:spacing w:line="240" w:lineRule="exact"/>
              <w:jc w:val="right"/>
              <w:rPr>
                <w:rFonts w:cs="宋体"/>
                <w:sz w:val="18"/>
                <w:szCs w:val="18"/>
              </w:rPr>
            </w:pPr>
            <w:r w:rsidRPr="0063248C">
              <w:rPr>
                <w:rFonts w:cs="宋体"/>
                <w:sz w:val="18"/>
                <w:szCs w:val="18"/>
              </w:rPr>
              <w:t>420,800.00</w:t>
            </w:r>
          </w:p>
        </w:tc>
        <w:tc>
          <w:tcPr>
            <w:tcW w:w="741" w:type="dxa"/>
            <w:tcBorders>
              <w:top w:val="single" w:sz="2" w:space="0" w:color="auto"/>
              <w:left w:val="single" w:sz="2" w:space="0" w:color="auto"/>
              <w:bottom w:val="single" w:sz="2" w:space="0" w:color="auto"/>
              <w:right w:val="single" w:sz="2" w:space="0" w:color="auto"/>
            </w:tcBorders>
            <w:vAlign w:val="center"/>
          </w:tcPr>
          <w:p w14:paraId="1984B43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3033678"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7D4D56CF"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1B082C67" w14:textId="77777777" w:rsidR="007B3DB2" w:rsidRPr="0063248C" w:rsidRDefault="00000000">
            <w:pPr>
              <w:spacing w:line="240" w:lineRule="exact"/>
              <w:jc w:val="right"/>
              <w:rPr>
                <w:rFonts w:cs="宋体"/>
                <w:sz w:val="18"/>
                <w:szCs w:val="18"/>
              </w:rPr>
            </w:pPr>
            <w:r w:rsidRPr="0063248C">
              <w:rPr>
                <w:rFonts w:cs="宋体"/>
                <w:sz w:val="18"/>
                <w:szCs w:val="18"/>
              </w:rPr>
              <w:t>420,800.00</w:t>
            </w:r>
          </w:p>
        </w:tc>
        <w:tc>
          <w:tcPr>
            <w:tcW w:w="741" w:type="dxa"/>
            <w:tcBorders>
              <w:top w:val="single" w:sz="2" w:space="0" w:color="auto"/>
              <w:left w:val="single" w:sz="2" w:space="0" w:color="auto"/>
              <w:bottom w:val="single" w:sz="2" w:space="0" w:color="auto"/>
              <w:right w:val="single" w:sz="2" w:space="0" w:color="auto"/>
            </w:tcBorders>
            <w:vAlign w:val="center"/>
          </w:tcPr>
          <w:p w14:paraId="239C1FCB" w14:textId="77777777" w:rsidR="007B3DB2" w:rsidRPr="0063248C" w:rsidRDefault="00000000">
            <w:pPr>
              <w:spacing w:line="240" w:lineRule="exact"/>
              <w:jc w:val="right"/>
              <w:rPr>
                <w:rFonts w:cs="宋体"/>
                <w:sz w:val="18"/>
                <w:szCs w:val="18"/>
              </w:rPr>
            </w:pPr>
            <w:r w:rsidRPr="0063248C">
              <w:rPr>
                <w:rFonts w:cs="宋体"/>
                <w:sz w:val="18"/>
                <w:szCs w:val="18"/>
              </w:rPr>
              <w:t>80.92%</w:t>
            </w:r>
          </w:p>
        </w:tc>
        <w:tc>
          <w:tcPr>
            <w:tcW w:w="741" w:type="dxa"/>
            <w:tcBorders>
              <w:top w:val="single" w:sz="2" w:space="0" w:color="auto"/>
              <w:left w:val="single" w:sz="2" w:space="0" w:color="auto"/>
              <w:bottom w:val="single" w:sz="2" w:space="0" w:color="auto"/>
              <w:right w:val="single" w:sz="2" w:space="0" w:color="auto"/>
            </w:tcBorders>
            <w:vAlign w:val="center"/>
          </w:tcPr>
          <w:p w14:paraId="377C8750" w14:textId="77777777" w:rsidR="007B3DB2" w:rsidRPr="0063248C" w:rsidRDefault="00000000">
            <w:pPr>
              <w:spacing w:line="240" w:lineRule="exact"/>
              <w:rPr>
                <w:rFonts w:cs="宋体"/>
                <w:sz w:val="18"/>
                <w:szCs w:val="18"/>
              </w:rPr>
            </w:pPr>
            <w:r w:rsidRPr="0063248C">
              <w:rPr>
                <w:rFonts w:cs="宋体"/>
                <w:sz w:val="18"/>
                <w:szCs w:val="18"/>
              </w:rPr>
              <w:t>0.8</w:t>
            </w:r>
          </w:p>
        </w:tc>
        <w:tc>
          <w:tcPr>
            <w:tcW w:w="741" w:type="dxa"/>
            <w:tcBorders>
              <w:top w:val="single" w:sz="2" w:space="0" w:color="auto"/>
              <w:left w:val="single" w:sz="2" w:space="0" w:color="auto"/>
              <w:bottom w:val="single" w:sz="2" w:space="0" w:color="auto"/>
              <w:right w:val="single" w:sz="2" w:space="0" w:color="auto"/>
            </w:tcBorders>
            <w:vAlign w:val="center"/>
          </w:tcPr>
          <w:p w14:paraId="3F5FD65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AAF808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9E1C31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505DDE4"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015F89C4"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7837C45" w14:textId="77777777" w:rsidR="007B3DB2" w:rsidRPr="0063248C" w:rsidRDefault="00000000">
            <w:pPr>
              <w:spacing w:line="240" w:lineRule="exact"/>
              <w:rPr>
                <w:rFonts w:cs="宋体"/>
                <w:sz w:val="18"/>
                <w:szCs w:val="18"/>
              </w:rPr>
            </w:pPr>
            <w:r w:rsidRPr="0063248C">
              <w:rPr>
                <w:rFonts w:cs="宋体"/>
                <w:sz w:val="18"/>
                <w:szCs w:val="18"/>
              </w:rPr>
              <w:t>乔家泊饲料厂办公室改造工程</w:t>
            </w:r>
          </w:p>
        </w:tc>
        <w:tc>
          <w:tcPr>
            <w:tcW w:w="741" w:type="dxa"/>
            <w:tcBorders>
              <w:top w:val="single" w:sz="2" w:space="0" w:color="auto"/>
              <w:left w:val="single" w:sz="2" w:space="0" w:color="auto"/>
              <w:bottom w:val="single" w:sz="2" w:space="0" w:color="auto"/>
              <w:right w:val="single" w:sz="2" w:space="0" w:color="auto"/>
            </w:tcBorders>
            <w:vAlign w:val="center"/>
          </w:tcPr>
          <w:p w14:paraId="2A433005" w14:textId="77777777" w:rsidR="007B3DB2" w:rsidRPr="0063248C" w:rsidRDefault="00000000">
            <w:pPr>
              <w:spacing w:line="240" w:lineRule="exact"/>
              <w:jc w:val="right"/>
              <w:rPr>
                <w:rFonts w:cs="宋体"/>
                <w:sz w:val="18"/>
                <w:szCs w:val="18"/>
              </w:rPr>
            </w:pPr>
            <w:r w:rsidRPr="0063248C">
              <w:rPr>
                <w:rFonts w:cs="宋体"/>
                <w:sz w:val="18"/>
                <w:szCs w:val="18"/>
              </w:rPr>
              <w:t>800,000.00</w:t>
            </w:r>
          </w:p>
        </w:tc>
        <w:tc>
          <w:tcPr>
            <w:tcW w:w="741" w:type="dxa"/>
            <w:tcBorders>
              <w:top w:val="single" w:sz="2" w:space="0" w:color="auto"/>
              <w:left w:val="single" w:sz="2" w:space="0" w:color="auto"/>
              <w:bottom w:val="single" w:sz="2" w:space="0" w:color="auto"/>
              <w:right w:val="single" w:sz="2" w:space="0" w:color="auto"/>
            </w:tcBorders>
            <w:vAlign w:val="center"/>
          </w:tcPr>
          <w:p w14:paraId="6E95F832"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0A5F81D7" w14:textId="77777777" w:rsidR="007B3DB2" w:rsidRPr="0063248C" w:rsidRDefault="00000000">
            <w:pPr>
              <w:spacing w:line="240" w:lineRule="exact"/>
              <w:jc w:val="right"/>
              <w:rPr>
                <w:rFonts w:cs="宋体"/>
                <w:sz w:val="18"/>
                <w:szCs w:val="18"/>
              </w:rPr>
            </w:pPr>
            <w:r w:rsidRPr="0063248C">
              <w:rPr>
                <w:rFonts w:cs="宋体"/>
                <w:sz w:val="18"/>
                <w:szCs w:val="18"/>
              </w:rPr>
              <w:t>633,600.00</w:t>
            </w:r>
          </w:p>
        </w:tc>
        <w:tc>
          <w:tcPr>
            <w:tcW w:w="741" w:type="dxa"/>
            <w:tcBorders>
              <w:top w:val="single" w:sz="2" w:space="0" w:color="auto"/>
              <w:left w:val="single" w:sz="2" w:space="0" w:color="auto"/>
              <w:bottom w:val="single" w:sz="2" w:space="0" w:color="auto"/>
              <w:right w:val="single" w:sz="2" w:space="0" w:color="auto"/>
            </w:tcBorders>
            <w:vAlign w:val="center"/>
          </w:tcPr>
          <w:p w14:paraId="0D04C95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BAC8C8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5972DC4" w14:textId="77777777" w:rsidR="007B3DB2" w:rsidRPr="0063248C" w:rsidRDefault="00000000">
            <w:pPr>
              <w:spacing w:line="240" w:lineRule="exact"/>
              <w:jc w:val="right"/>
              <w:rPr>
                <w:rFonts w:cs="宋体"/>
                <w:sz w:val="18"/>
                <w:szCs w:val="18"/>
              </w:rPr>
            </w:pPr>
            <w:r w:rsidRPr="0063248C">
              <w:rPr>
                <w:rFonts w:cs="宋体"/>
                <w:sz w:val="18"/>
                <w:szCs w:val="18"/>
              </w:rPr>
              <w:t>633,600.00</w:t>
            </w:r>
          </w:p>
        </w:tc>
        <w:tc>
          <w:tcPr>
            <w:tcW w:w="741" w:type="dxa"/>
            <w:tcBorders>
              <w:top w:val="single" w:sz="2" w:space="0" w:color="auto"/>
              <w:left w:val="single" w:sz="2" w:space="0" w:color="auto"/>
              <w:bottom w:val="single" w:sz="2" w:space="0" w:color="auto"/>
              <w:right w:val="single" w:sz="2" w:space="0" w:color="auto"/>
            </w:tcBorders>
            <w:vAlign w:val="center"/>
          </w:tcPr>
          <w:p w14:paraId="43C3B08A" w14:textId="77777777" w:rsidR="007B3DB2" w:rsidRPr="0063248C" w:rsidRDefault="00000000">
            <w:pPr>
              <w:spacing w:line="240" w:lineRule="exact"/>
              <w:jc w:val="right"/>
              <w:rPr>
                <w:rFonts w:cs="宋体"/>
                <w:sz w:val="18"/>
                <w:szCs w:val="18"/>
              </w:rPr>
            </w:pPr>
            <w:r w:rsidRPr="0063248C">
              <w:rPr>
                <w:rFonts w:cs="宋体"/>
                <w:sz w:val="18"/>
                <w:szCs w:val="18"/>
              </w:rPr>
              <w:t>79.20%</w:t>
            </w:r>
          </w:p>
        </w:tc>
        <w:tc>
          <w:tcPr>
            <w:tcW w:w="741" w:type="dxa"/>
            <w:tcBorders>
              <w:top w:val="single" w:sz="2" w:space="0" w:color="auto"/>
              <w:left w:val="single" w:sz="2" w:space="0" w:color="auto"/>
              <w:bottom w:val="single" w:sz="2" w:space="0" w:color="auto"/>
              <w:right w:val="single" w:sz="2" w:space="0" w:color="auto"/>
            </w:tcBorders>
            <w:vAlign w:val="center"/>
          </w:tcPr>
          <w:p w14:paraId="45586D2F" w14:textId="77777777" w:rsidR="007B3DB2" w:rsidRPr="0063248C" w:rsidRDefault="00000000">
            <w:pPr>
              <w:spacing w:line="240" w:lineRule="exact"/>
              <w:rPr>
                <w:rFonts w:cs="宋体"/>
                <w:sz w:val="18"/>
                <w:szCs w:val="18"/>
              </w:rPr>
            </w:pPr>
            <w:r w:rsidRPr="0063248C">
              <w:rPr>
                <w:rFonts w:cs="宋体"/>
                <w:sz w:val="18"/>
                <w:szCs w:val="18"/>
              </w:rPr>
              <w:t>0.8</w:t>
            </w:r>
          </w:p>
        </w:tc>
        <w:tc>
          <w:tcPr>
            <w:tcW w:w="741" w:type="dxa"/>
            <w:tcBorders>
              <w:top w:val="single" w:sz="2" w:space="0" w:color="auto"/>
              <w:left w:val="single" w:sz="2" w:space="0" w:color="auto"/>
              <w:bottom w:val="single" w:sz="2" w:space="0" w:color="auto"/>
              <w:right w:val="single" w:sz="2" w:space="0" w:color="auto"/>
            </w:tcBorders>
            <w:vAlign w:val="center"/>
          </w:tcPr>
          <w:p w14:paraId="6C616FC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109041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1EFFE5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EFD2ACA"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7FDEBFDE"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934CA7E" w14:textId="77777777" w:rsidR="007B3DB2" w:rsidRPr="0063248C" w:rsidRDefault="00000000">
            <w:pPr>
              <w:spacing w:line="240" w:lineRule="exact"/>
              <w:rPr>
                <w:rFonts w:cs="宋体"/>
                <w:sz w:val="18"/>
                <w:szCs w:val="18"/>
              </w:rPr>
            </w:pPr>
            <w:r w:rsidRPr="0063248C">
              <w:rPr>
                <w:rFonts w:cs="宋体"/>
                <w:sz w:val="18"/>
                <w:szCs w:val="18"/>
              </w:rPr>
              <w:t>东饲料</w:t>
            </w:r>
            <w:r w:rsidRPr="0063248C">
              <w:rPr>
                <w:rFonts w:cs="宋体"/>
                <w:sz w:val="18"/>
                <w:szCs w:val="18"/>
              </w:rPr>
              <w:lastRenderedPageBreak/>
              <w:t>厂粉尘防爆改造</w:t>
            </w:r>
          </w:p>
        </w:tc>
        <w:tc>
          <w:tcPr>
            <w:tcW w:w="741" w:type="dxa"/>
            <w:tcBorders>
              <w:top w:val="single" w:sz="2" w:space="0" w:color="auto"/>
              <w:left w:val="single" w:sz="2" w:space="0" w:color="auto"/>
              <w:bottom w:val="single" w:sz="2" w:space="0" w:color="auto"/>
              <w:right w:val="single" w:sz="2" w:space="0" w:color="auto"/>
            </w:tcBorders>
            <w:vAlign w:val="center"/>
          </w:tcPr>
          <w:p w14:paraId="094916A6" w14:textId="77777777" w:rsidR="007B3DB2" w:rsidRPr="0063248C" w:rsidRDefault="00000000">
            <w:pPr>
              <w:spacing w:line="240" w:lineRule="exact"/>
              <w:jc w:val="right"/>
              <w:rPr>
                <w:rFonts w:cs="宋体"/>
                <w:sz w:val="18"/>
                <w:szCs w:val="18"/>
              </w:rPr>
            </w:pPr>
            <w:r w:rsidRPr="0063248C">
              <w:rPr>
                <w:rFonts w:cs="宋体"/>
                <w:sz w:val="18"/>
                <w:szCs w:val="18"/>
              </w:rPr>
              <w:lastRenderedPageBreak/>
              <w:t>220,000</w:t>
            </w:r>
            <w:r w:rsidRPr="0063248C">
              <w:rPr>
                <w:rFonts w:cs="宋体"/>
                <w:sz w:val="18"/>
                <w:szCs w:val="18"/>
              </w:rPr>
              <w:lastRenderedPageBreak/>
              <w:t>.00</w:t>
            </w:r>
          </w:p>
        </w:tc>
        <w:tc>
          <w:tcPr>
            <w:tcW w:w="741" w:type="dxa"/>
            <w:tcBorders>
              <w:top w:val="single" w:sz="2" w:space="0" w:color="auto"/>
              <w:left w:val="single" w:sz="2" w:space="0" w:color="auto"/>
              <w:bottom w:val="single" w:sz="2" w:space="0" w:color="auto"/>
              <w:right w:val="single" w:sz="2" w:space="0" w:color="auto"/>
            </w:tcBorders>
            <w:vAlign w:val="center"/>
          </w:tcPr>
          <w:p w14:paraId="53F69933" w14:textId="77777777" w:rsidR="007B3DB2" w:rsidRPr="0063248C" w:rsidRDefault="00000000">
            <w:pPr>
              <w:spacing w:line="240" w:lineRule="exact"/>
              <w:jc w:val="right"/>
              <w:rPr>
                <w:rFonts w:cs="宋体"/>
                <w:sz w:val="18"/>
                <w:szCs w:val="18"/>
              </w:rPr>
            </w:pPr>
            <w:r w:rsidRPr="0063248C">
              <w:rPr>
                <w:rFonts w:cs="宋体"/>
                <w:sz w:val="18"/>
                <w:szCs w:val="18"/>
              </w:rPr>
              <w:lastRenderedPageBreak/>
              <w:t>196,540</w:t>
            </w:r>
            <w:r w:rsidRPr="0063248C">
              <w:rPr>
                <w:rFonts w:cs="宋体"/>
                <w:sz w:val="18"/>
                <w:szCs w:val="18"/>
              </w:rPr>
              <w:lastRenderedPageBreak/>
              <w:t>.00</w:t>
            </w:r>
          </w:p>
        </w:tc>
        <w:tc>
          <w:tcPr>
            <w:tcW w:w="741" w:type="dxa"/>
            <w:tcBorders>
              <w:top w:val="single" w:sz="2" w:space="0" w:color="auto"/>
              <w:left w:val="single" w:sz="2" w:space="0" w:color="auto"/>
              <w:bottom w:val="single" w:sz="2" w:space="0" w:color="auto"/>
              <w:right w:val="single" w:sz="2" w:space="0" w:color="auto"/>
            </w:tcBorders>
            <w:vAlign w:val="center"/>
          </w:tcPr>
          <w:p w14:paraId="36600A8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809E15" w14:textId="77777777" w:rsidR="007B3DB2" w:rsidRPr="0063248C" w:rsidRDefault="00000000">
            <w:pPr>
              <w:spacing w:line="240" w:lineRule="exact"/>
              <w:jc w:val="right"/>
              <w:rPr>
                <w:rFonts w:cs="宋体"/>
                <w:sz w:val="18"/>
                <w:szCs w:val="18"/>
              </w:rPr>
            </w:pPr>
            <w:r w:rsidRPr="0063248C">
              <w:rPr>
                <w:rFonts w:cs="宋体"/>
                <w:sz w:val="18"/>
                <w:szCs w:val="18"/>
              </w:rPr>
              <w:t>196,540</w:t>
            </w:r>
            <w:r w:rsidRPr="0063248C">
              <w:rPr>
                <w:rFonts w:cs="宋体"/>
                <w:sz w:val="18"/>
                <w:szCs w:val="18"/>
              </w:rPr>
              <w:lastRenderedPageBreak/>
              <w:t>.00</w:t>
            </w:r>
          </w:p>
        </w:tc>
        <w:tc>
          <w:tcPr>
            <w:tcW w:w="741" w:type="dxa"/>
            <w:tcBorders>
              <w:top w:val="single" w:sz="2" w:space="0" w:color="auto"/>
              <w:left w:val="single" w:sz="2" w:space="0" w:color="auto"/>
              <w:bottom w:val="single" w:sz="2" w:space="0" w:color="auto"/>
              <w:right w:val="single" w:sz="2" w:space="0" w:color="auto"/>
            </w:tcBorders>
            <w:vAlign w:val="center"/>
          </w:tcPr>
          <w:p w14:paraId="6A3D589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E7C1482"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092BAAE7" w14:textId="77777777" w:rsidR="007B3DB2" w:rsidRPr="0063248C" w:rsidRDefault="00000000">
            <w:pPr>
              <w:spacing w:line="240" w:lineRule="exact"/>
              <w:jc w:val="right"/>
              <w:rPr>
                <w:rFonts w:cs="宋体"/>
                <w:sz w:val="18"/>
                <w:szCs w:val="18"/>
              </w:rPr>
            </w:pPr>
            <w:r w:rsidRPr="0063248C">
              <w:rPr>
                <w:rFonts w:cs="宋体"/>
                <w:sz w:val="18"/>
                <w:szCs w:val="18"/>
              </w:rPr>
              <w:t>89.34%</w:t>
            </w:r>
          </w:p>
        </w:tc>
        <w:tc>
          <w:tcPr>
            <w:tcW w:w="741" w:type="dxa"/>
            <w:tcBorders>
              <w:top w:val="single" w:sz="2" w:space="0" w:color="auto"/>
              <w:left w:val="single" w:sz="2" w:space="0" w:color="auto"/>
              <w:bottom w:val="single" w:sz="2" w:space="0" w:color="auto"/>
              <w:right w:val="single" w:sz="2" w:space="0" w:color="auto"/>
            </w:tcBorders>
            <w:vAlign w:val="center"/>
          </w:tcPr>
          <w:p w14:paraId="6B481411" w14:textId="77777777" w:rsidR="007B3DB2" w:rsidRPr="0063248C" w:rsidRDefault="00000000">
            <w:pPr>
              <w:spacing w:line="240" w:lineRule="exact"/>
              <w:rPr>
                <w:rFonts w:cs="宋体"/>
                <w:sz w:val="18"/>
                <w:szCs w:val="18"/>
              </w:rPr>
            </w:pPr>
            <w:r w:rsidRPr="0063248C">
              <w:rPr>
                <w:rFonts w:cs="宋体"/>
                <w:sz w:val="18"/>
                <w:szCs w:val="18"/>
              </w:rPr>
              <w:t>1</w:t>
            </w:r>
          </w:p>
        </w:tc>
        <w:tc>
          <w:tcPr>
            <w:tcW w:w="741" w:type="dxa"/>
            <w:tcBorders>
              <w:top w:val="single" w:sz="2" w:space="0" w:color="auto"/>
              <w:left w:val="single" w:sz="2" w:space="0" w:color="auto"/>
              <w:bottom w:val="single" w:sz="2" w:space="0" w:color="auto"/>
              <w:right w:val="single" w:sz="2" w:space="0" w:color="auto"/>
            </w:tcBorders>
            <w:vAlign w:val="center"/>
          </w:tcPr>
          <w:p w14:paraId="4736BA3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992114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3AD364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707C35D"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0A5EC174"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F7395DF" w14:textId="77777777" w:rsidR="007B3DB2" w:rsidRPr="0063248C" w:rsidRDefault="00000000">
            <w:pPr>
              <w:spacing w:line="240" w:lineRule="exact"/>
              <w:rPr>
                <w:rFonts w:cs="宋体"/>
                <w:sz w:val="18"/>
                <w:szCs w:val="18"/>
              </w:rPr>
            </w:pPr>
            <w:proofErr w:type="gramStart"/>
            <w:r w:rsidRPr="0063248C">
              <w:rPr>
                <w:rFonts w:cs="宋体"/>
                <w:sz w:val="18"/>
                <w:szCs w:val="18"/>
              </w:rPr>
              <w:t>团旺饲料</w:t>
            </w:r>
            <w:proofErr w:type="gramEnd"/>
            <w:r w:rsidRPr="0063248C">
              <w:rPr>
                <w:rFonts w:cs="宋体"/>
                <w:sz w:val="18"/>
                <w:szCs w:val="18"/>
              </w:rPr>
              <w:t>厂散装钢板仓</w:t>
            </w:r>
          </w:p>
        </w:tc>
        <w:tc>
          <w:tcPr>
            <w:tcW w:w="741" w:type="dxa"/>
            <w:tcBorders>
              <w:top w:val="single" w:sz="2" w:space="0" w:color="auto"/>
              <w:left w:val="single" w:sz="2" w:space="0" w:color="auto"/>
              <w:bottom w:val="single" w:sz="2" w:space="0" w:color="auto"/>
              <w:right w:val="single" w:sz="2" w:space="0" w:color="auto"/>
            </w:tcBorders>
            <w:vAlign w:val="center"/>
          </w:tcPr>
          <w:p w14:paraId="304946FB" w14:textId="77777777" w:rsidR="007B3DB2" w:rsidRPr="0063248C" w:rsidRDefault="00000000">
            <w:pPr>
              <w:spacing w:line="240" w:lineRule="exact"/>
              <w:jc w:val="right"/>
              <w:rPr>
                <w:rFonts w:cs="宋体"/>
                <w:sz w:val="18"/>
                <w:szCs w:val="18"/>
              </w:rPr>
            </w:pPr>
            <w:r w:rsidRPr="0063248C">
              <w:rPr>
                <w:rFonts w:cs="宋体"/>
                <w:sz w:val="18"/>
                <w:szCs w:val="18"/>
              </w:rPr>
              <w:t>1,470,000.00</w:t>
            </w:r>
          </w:p>
        </w:tc>
        <w:tc>
          <w:tcPr>
            <w:tcW w:w="741" w:type="dxa"/>
            <w:tcBorders>
              <w:top w:val="single" w:sz="2" w:space="0" w:color="auto"/>
              <w:left w:val="single" w:sz="2" w:space="0" w:color="auto"/>
              <w:bottom w:val="single" w:sz="2" w:space="0" w:color="auto"/>
              <w:right w:val="single" w:sz="2" w:space="0" w:color="auto"/>
            </w:tcBorders>
            <w:vAlign w:val="center"/>
          </w:tcPr>
          <w:p w14:paraId="0634E327" w14:textId="77777777" w:rsidR="007B3DB2" w:rsidRPr="0063248C" w:rsidRDefault="00000000">
            <w:pPr>
              <w:spacing w:line="240" w:lineRule="exact"/>
              <w:jc w:val="right"/>
              <w:rPr>
                <w:rFonts w:cs="宋体"/>
                <w:sz w:val="18"/>
                <w:szCs w:val="18"/>
              </w:rPr>
            </w:pPr>
            <w:r w:rsidRPr="0063248C">
              <w:rPr>
                <w:rFonts w:cs="宋体"/>
                <w:sz w:val="18"/>
                <w:szCs w:val="18"/>
              </w:rPr>
              <w:t>735,000.00</w:t>
            </w:r>
          </w:p>
        </w:tc>
        <w:tc>
          <w:tcPr>
            <w:tcW w:w="741" w:type="dxa"/>
            <w:tcBorders>
              <w:top w:val="single" w:sz="2" w:space="0" w:color="auto"/>
              <w:left w:val="single" w:sz="2" w:space="0" w:color="auto"/>
              <w:bottom w:val="single" w:sz="2" w:space="0" w:color="auto"/>
              <w:right w:val="single" w:sz="2" w:space="0" w:color="auto"/>
            </w:tcBorders>
            <w:vAlign w:val="center"/>
          </w:tcPr>
          <w:p w14:paraId="35FB0C16" w14:textId="77777777" w:rsidR="007B3DB2" w:rsidRPr="0063248C" w:rsidRDefault="00000000">
            <w:pPr>
              <w:spacing w:line="240" w:lineRule="exact"/>
              <w:jc w:val="right"/>
              <w:rPr>
                <w:rFonts w:cs="宋体"/>
                <w:sz w:val="18"/>
                <w:szCs w:val="18"/>
              </w:rPr>
            </w:pPr>
            <w:r w:rsidRPr="0063248C">
              <w:rPr>
                <w:rFonts w:cs="宋体"/>
                <w:sz w:val="18"/>
                <w:szCs w:val="18"/>
              </w:rPr>
              <w:t>514,500.00</w:t>
            </w:r>
          </w:p>
        </w:tc>
        <w:tc>
          <w:tcPr>
            <w:tcW w:w="741" w:type="dxa"/>
            <w:tcBorders>
              <w:top w:val="single" w:sz="2" w:space="0" w:color="auto"/>
              <w:left w:val="single" w:sz="2" w:space="0" w:color="auto"/>
              <w:bottom w:val="single" w:sz="2" w:space="0" w:color="auto"/>
              <w:right w:val="single" w:sz="2" w:space="0" w:color="auto"/>
            </w:tcBorders>
            <w:vAlign w:val="center"/>
          </w:tcPr>
          <w:p w14:paraId="7B0B7551" w14:textId="77777777" w:rsidR="007B3DB2" w:rsidRPr="0063248C" w:rsidRDefault="00000000">
            <w:pPr>
              <w:spacing w:line="240" w:lineRule="exact"/>
              <w:jc w:val="right"/>
              <w:rPr>
                <w:rFonts w:cs="宋体"/>
                <w:sz w:val="18"/>
                <w:szCs w:val="18"/>
              </w:rPr>
            </w:pPr>
            <w:r w:rsidRPr="0063248C">
              <w:rPr>
                <w:rFonts w:cs="宋体"/>
                <w:sz w:val="18"/>
                <w:szCs w:val="18"/>
              </w:rPr>
              <w:t>1,249,500.00</w:t>
            </w:r>
          </w:p>
        </w:tc>
        <w:tc>
          <w:tcPr>
            <w:tcW w:w="741" w:type="dxa"/>
            <w:tcBorders>
              <w:top w:val="single" w:sz="2" w:space="0" w:color="auto"/>
              <w:left w:val="single" w:sz="2" w:space="0" w:color="auto"/>
              <w:bottom w:val="single" w:sz="2" w:space="0" w:color="auto"/>
              <w:right w:val="single" w:sz="2" w:space="0" w:color="auto"/>
            </w:tcBorders>
            <w:vAlign w:val="center"/>
          </w:tcPr>
          <w:p w14:paraId="01A08FA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7B3AA7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129EBAC6" w14:textId="77777777" w:rsidR="007B3DB2" w:rsidRPr="0063248C" w:rsidRDefault="00000000">
            <w:pPr>
              <w:spacing w:line="240" w:lineRule="exact"/>
              <w:jc w:val="right"/>
              <w:rPr>
                <w:rFonts w:cs="宋体"/>
                <w:sz w:val="18"/>
                <w:szCs w:val="18"/>
              </w:rPr>
            </w:pPr>
            <w:r w:rsidRPr="0063248C">
              <w:rPr>
                <w:rFonts w:cs="宋体"/>
                <w:sz w:val="18"/>
                <w:szCs w:val="18"/>
              </w:rPr>
              <w:t>85.00%</w:t>
            </w:r>
          </w:p>
        </w:tc>
        <w:tc>
          <w:tcPr>
            <w:tcW w:w="741" w:type="dxa"/>
            <w:tcBorders>
              <w:top w:val="single" w:sz="2" w:space="0" w:color="auto"/>
              <w:left w:val="single" w:sz="2" w:space="0" w:color="auto"/>
              <w:bottom w:val="single" w:sz="2" w:space="0" w:color="auto"/>
              <w:right w:val="single" w:sz="2" w:space="0" w:color="auto"/>
            </w:tcBorders>
            <w:vAlign w:val="center"/>
          </w:tcPr>
          <w:p w14:paraId="6E6FF75C" w14:textId="77777777" w:rsidR="007B3DB2" w:rsidRPr="0063248C" w:rsidRDefault="00000000">
            <w:pPr>
              <w:spacing w:line="240" w:lineRule="exact"/>
              <w:rPr>
                <w:rFonts w:cs="宋体"/>
                <w:sz w:val="18"/>
                <w:szCs w:val="18"/>
              </w:rPr>
            </w:pPr>
            <w:r w:rsidRPr="0063248C">
              <w:rPr>
                <w:rFonts w:cs="宋体"/>
                <w:sz w:val="18"/>
                <w:szCs w:val="18"/>
              </w:rPr>
              <w:t>1</w:t>
            </w:r>
          </w:p>
        </w:tc>
        <w:tc>
          <w:tcPr>
            <w:tcW w:w="741" w:type="dxa"/>
            <w:tcBorders>
              <w:top w:val="single" w:sz="2" w:space="0" w:color="auto"/>
              <w:left w:val="single" w:sz="2" w:space="0" w:color="auto"/>
              <w:bottom w:val="single" w:sz="2" w:space="0" w:color="auto"/>
              <w:right w:val="single" w:sz="2" w:space="0" w:color="auto"/>
            </w:tcBorders>
            <w:vAlign w:val="center"/>
          </w:tcPr>
          <w:p w14:paraId="58717A2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68C1E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1E28AB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AEF5363"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50B35CF9"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7030335D" w14:textId="77777777" w:rsidR="007B3DB2" w:rsidRPr="0063248C" w:rsidRDefault="00000000">
            <w:pPr>
              <w:spacing w:line="240" w:lineRule="exact"/>
              <w:rPr>
                <w:rFonts w:cs="宋体"/>
                <w:sz w:val="18"/>
                <w:szCs w:val="18"/>
              </w:rPr>
            </w:pPr>
            <w:r w:rsidRPr="0063248C">
              <w:rPr>
                <w:rFonts w:cs="宋体"/>
                <w:sz w:val="18"/>
                <w:szCs w:val="18"/>
              </w:rPr>
              <w:t>西饲料厂粉尘防爆改造</w:t>
            </w:r>
          </w:p>
        </w:tc>
        <w:tc>
          <w:tcPr>
            <w:tcW w:w="741" w:type="dxa"/>
            <w:tcBorders>
              <w:top w:val="single" w:sz="2" w:space="0" w:color="auto"/>
              <w:left w:val="single" w:sz="2" w:space="0" w:color="auto"/>
              <w:bottom w:val="single" w:sz="2" w:space="0" w:color="auto"/>
              <w:right w:val="single" w:sz="2" w:space="0" w:color="auto"/>
            </w:tcBorders>
            <w:vAlign w:val="center"/>
          </w:tcPr>
          <w:p w14:paraId="042F67C8" w14:textId="77777777" w:rsidR="007B3DB2" w:rsidRPr="0063248C" w:rsidRDefault="00000000">
            <w:pPr>
              <w:spacing w:line="240" w:lineRule="exact"/>
              <w:jc w:val="right"/>
              <w:rPr>
                <w:rFonts w:cs="宋体"/>
                <w:sz w:val="18"/>
                <w:szCs w:val="18"/>
              </w:rPr>
            </w:pPr>
            <w:r w:rsidRPr="0063248C">
              <w:rPr>
                <w:rFonts w:cs="宋体"/>
                <w:sz w:val="18"/>
                <w:szCs w:val="18"/>
              </w:rPr>
              <w:t>300,000.00</w:t>
            </w:r>
          </w:p>
        </w:tc>
        <w:tc>
          <w:tcPr>
            <w:tcW w:w="741" w:type="dxa"/>
            <w:tcBorders>
              <w:top w:val="single" w:sz="2" w:space="0" w:color="auto"/>
              <w:left w:val="single" w:sz="2" w:space="0" w:color="auto"/>
              <w:bottom w:val="single" w:sz="2" w:space="0" w:color="auto"/>
              <w:right w:val="single" w:sz="2" w:space="0" w:color="auto"/>
            </w:tcBorders>
            <w:vAlign w:val="center"/>
          </w:tcPr>
          <w:p w14:paraId="29AD13D6" w14:textId="77777777" w:rsidR="007B3DB2" w:rsidRPr="0063248C" w:rsidRDefault="00000000">
            <w:pPr>
              <w:spacing w:line="240" w:lineRule="exact"/>
              <w:jc w:val="right"/>
              <w:rPr>
                <w:rFonts w:cs="宋体"/>
                <w:sz w:val="18"/>
                <w:szCs w:val="18"/>
              </w:rPr>
            </w:pPr>
            <w:r w:rsidRPr="0063248C">
              <w:rPr>
                <w:rFonts w:cs="宋体"/>
                <w:sz w:val="18"/>
                <w:szCs w:val="18"/>
              </w:rPr>
              <w:t>293,460.00</w:t>
            </w:r>
          </w:p>
        </w:tc>
        <w:tc>
          <w:tcPr>
            <w:tcW w:w="741" w:type="dxa"/>
            <w:tcBorders>
              <w:top w:val="single" w:sz="2" w:space="0" w:color="auto"/>
              <w:left w:val="single" w:sz="2" w:space="0" w:color="auto"/>
              <w:bottom w:val="single" w:sz="2" w:space="0" w:color="auto"/>
              <w:right w:val="single" w:sz="2" w:space="0" w:color="auto"/>
            </w:tcBorders>
            <w:vAlign w:val="center"/>
          </w:tcPr>
          <w:p w14:paraId="6FDECAB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1139D61" w14:textId="77777777" w:rsidR="007B3DB2" w:rsidRPr="0063248C" w:rsidRDefault="00000000">
            <w:pPr>
              <w:spacing w:line="240" w:lineRule="exact"/>
              <w:jc w:val="right"/>
              <w:rPr>
                <w:rFonts w:cs="宋体"/>
                <w:sz w:val="18"/>
                <w:szCs w:val="18"/>
              </w:rPr>
            </w:pPr>
            <w:r w:rsidRPr="0063248C">
              <w:rPr>
                <w:rFonts w:cs="宋体"/>
                <w:sz w:val="18"/>
                <w:szCs w:val="18"/>
              </w:rPr>
              <w:t>293,460.00</w:t>
            </w:r>
          </w:p>
        </w:tc>
        <w:tc>
          <w:tcPr>
            <w:tcW w:w="741" w:type="dxa"/>
            <w:tcBorders>
              <w:top w:val="single" w:sz="2" w:space="0" w:color="auto"/>
              <w:left w:val="single" w:sz="2" w:space="0" w:color="auto"/>
              <w:bottom w:val="single" w:sz="2" w:space="0" w:color="auto"/>
              <w:right w:val="single" w:sz="2" w:space="0" w:color="auto"/>
            </w:tcBorders>
            <w:vAlign w:val="center"/>
          </w:tcPr>
          <w:p w14:paraId="7889766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C90BB17"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6766417D" w14:textId="77777777" w:rsidR="007B3DB2" w:rsidRPr="0063248C" w:rsidRDefault="00000000">
            <w:pPr>
              <w:spacing w:line="240" w:lineRule="exact"/>
              <w:jc w:val="right"/>
              <w:rPr>
                <w:rFonts w:cs="宋体"/>
                <w:sz w:val="18"/>
                <w:szCs w:val="18"/>
              </w:rPr>
            </w:pPr>
            <w:r w:rsidRPr="0063248C">
              <w:rPr>
                <w:rFonts w:cs="宋体"/>
                <w:sz w:val="18"/>
                <w:szCs w:val="18"/>
              </w:rPr>
              <w:t>97.82%</w:t>
            </w:r>
          </w:p>
        </w:tc>
        <w:tc>
          <w:tcPr>
            <w:tcW w:w="741" w:type="dxa"/>
            <w:tcBorders>
              <w:top w:val="single" w:sz="2" w:space="0" w:color="auto"/>
              <w:left w:val="single" w:sz="2" w:space="0" w:color="auto"/>
              <w:bottom w:val="single" w:sz="2" w:space="0" w:color="auto"/>
              <w:right w:val="single" w:sz="2" w:space="0" w:color="auto"/>
            </w:tcBorders>
            <w:vAlign w:val="center"/>
          </w:tcPr>
          <w:p w14:paraId="58EB33F9" w14:textId="77777777" w:rsidR="007B3DB2" w:rsidRPr="0063248C" w:rsidRDefault="00000000">
            <w:pPr>
              <w:spacing w:line="240" w:lineRule="exact"/>
              <w:rPr>
                <w:rFonts w:cs="宋体"/>
                <w:sz w:val="18"/>
                <w:szCs w:val="18"/>
              </w:rPr>
            </w:pPr>
            <w:r w:rsidRPr="0063248C">
              <w:rPr>
                <w:rFonts w:cs="宋体"/>
                <w:sz w:val="18"/>
                <w:szCs w:val="18"/>
              </w:rPr>
              <w:t>1</w:t>
            </w:r>
          </w:p>
        </w:tc>
        <w:tc>
          <w:tcPr>
            <w:tcW w:w="741" w:type="dxa"/>
            <w:tcBorders>
              <w:top w:val="single" w:sz="2" w:space="0" w:color="auto"/>
              <w:left w:val="single" w:sz="2" w:space="0" w:color="auto"/>
              <w:bottom w:val="single" w:sz="2" w:space="0" w:color="auto"/>
              <w:right w:val="single" w:sz="2" w:space="0" w:color="auto"/>
            </w:tcBorders>
            <w:vAlign w:val="center"/>
          </w:tcPr>
          <w:p w14:paraId="5235AFF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0ABC49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8A26B8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A036E82"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3973516A"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0C029DF1" w14:textId="77777777" w:rsidR="007B3DB2" w:rsidRPr="0063248C" w:rsidRDefault="00000000">
            <w:pPr>
              <w:spacing w:line="240" w:lineRule="exact"/>
              <w:rPr>
                <w:rFonts w:cs="宋体"/>
                <w:sz w:val="18"/>
                <w:szCs w:val="18"/>
              </w:rPr>
            </w:pPr>
            <w:r w:rsidRPr="0063248C">
              <w:rPr>
                <w:rFonts w:cs="宋体"/>
                <w:sz w:val="18"/>
                <w:szCs w:val="18"/>
              </w:rPr>
              <w:t>杨格庄预处理中心</w:t>
            </w:r>
          </w:p>
        </w:tc>
        <w:tc>
          <w:tcPr>
            <w:tcW w:w="741" w:type="dxa"/>
            <w:tcBorders>
              <w:top w:val="single" w:sz="2" w:space="0" w:color="auto"/>
              <w:left w:val="single" w:sz="2" w:space="0" w:color="auto"/>
              <w:bottom w:val="single" w:sz="2" w:space="0" w:color="auto"/>
              <w:right w:val="single" w:sz="2" w:space="0" w:color="auto"/>
            </w:tcBorders>
            <w:vAlign w:val="center"/>
          </w:tcPr>
          <w:p w14:paraId="5B71E617" w14:textId="77777777" w:rsidR="007B3DB2" w:rsidRPr="0063248C" w:rsidRDefault="00000000">
            <w:pPr>
              <w:spacing w:line="240" w:lineRule="exact"/>
              <w:jc w:val="right"/>
              <w:rPr>
                <w:rFonts w:cs="宋体"/>
                <w:sz w:val="18"/>
                <w:szCs w:val="18"/>
              </w:rPr>
            </w:pPr>
            <w:r w:rsidRPr="0063248C">
              <w:rPr>
                <w:rFonts w:cs="宋体"/>
                <w:sz w:val="18"/>
                <w:szCs w:val="18"/>
              </w:rPr>
              <w:t>300,000.00</w:t>
            </w:r>
          </w:p>
        </w:tc>
        <w:tc>
          <w:tcPr>
            <w:tcW w:w="741" w:type="dxa"/>
            <w:tcBorders>
              <w:top w:val="single" w:sz="2" w:space="0" w:color="auto"/>
              <w:left w:val="single" w:sz="2" w:space="0" w:color="auto"/>
              <w:bottom w:val="single" w:sz="2" w:space="0" w:color="auto"/>
              <w:right w:val="single" w:sz="2" w:space="0" w:color="auto"/>
            </w:tcBorders>
            <w:vAlign w:val="center"/>
          </w:tcPr>
          <w:p w14:paraId="3B94DB65" w14:textId="77777777" w:rsidR="007B3DB2" w:rsidRPr="0063248C" w:rsidRDefault="00000000">
            <w:pPr>
              <w:spacing w:line="240" w:lineRule="exact"/>
              <w:jc w:val="right"/>
              <w:rPr>
                <w:rFonts w:cs="宋体"/>
                <w:sz w:val="18"/>
                <w:szCs w:val="18"/>
              </w:rPr>
            </w:pPr>
            <w:r w:rsidRPr="0063248C">
              <w:rPr>
                <w:rFonts w:cs="宋体"/>
                <w:sz w:val="18"/>
                <w:szCs w:val="18"/>
              </w:rPr>
              <w:t>255,662.80</w:t>
            </w:r>
          </w:p>
        </w:tc>
        <w:tc>
          <w:tcPr>
            <w:tcW w:w="741" w:type="dxa"/>
            <w:tcBorders>
              <w:top w:val="single" w:sz="2" w:space="0" w:color="auto"/>
              <w:left w:val="single" w:sz="2" w:space="0" w:color="auto"/>
              <w:bottom w:val="single" w:sz="2" w:space="0" w:color="auto"/>
              <w:right w:val="single" w:sz="2" w:space="0" w:color="auto"/>
            </w:tcBorders>
            <w:vAlign w:val="center"/>
          </w:tcPr>
          <w:p w14:paraId="58B17FC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C7F666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8791D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F2056D" w14:textId="77777777" w:rsidR="007B3DB2" w:rsidRPr="0063248C" w:rsidRDefault="00000000">
            <w:pPr>
              <w:spacing w:line="240" w:lineRule="exact"/>
              <w:jc w:val="right"/>
              <w:rPr>
                <w:rFonts w:cs="宋体"/>
                <w:sz w:val="18"/>
                <w:szCs w:val="18"/>
              </w:rPr>
            </w:pPr>
            <w:r w:rsidRPr="0063248C">
              <w:rPr>
                <w:rFonts w:cs="宋体"/>
                <w:sz w:val="18"/>
                <w:szCs w:val="18"/>
              </w:rPr>
              <w:t>255,662.80</w:t>
            </w:r>
          </w:p>
        </w:tc>
        <w:tc>
          <w:tcPr>
            <w:tcW w:w="741" w:type="dxa"/>
            <w:tcBorders>
              <w:top w:val="single" w:sz="2" w:space="0" w:color="auto"/>
              <w:left w:val="single" w:sz="2" w:space="0" w:color="auto"/>
              <w:bottom w:val="single" w:sz="2" w:space="0" w:color="auto"/>
              <w:right w:val="single" w:sz="2" w:space="0" w:color="auto"/>
            </w:tcBorders>
            <w:vAlign w:val="center"/>
          </w:tcPr>
          <w:p w14:paraId="5CC6DBCC" w14:textId="77777777" w:rsidR="007B3DB2" w:rsidRPr="0063248C" w:rsidRDefault="00000000">
            <w:pPr>
              <w:spacing w:line="240" w:lineRule="exact"/>
              <w:jc w:val="right"/>
              <w:rPr>
                <w:rFonts w:cs="宋体"/>
                <w:sz w:val="18"/>
                <w:szCs w:val="18"/>
              </w:rPr>
            </w:pPr>
            <w:r w:rsidRPr="0063248C">
              <w:rPr>
                <w:rFonts w:cs="宋体"/>
                <w:sz w:val="18"/>
                <w:szCs w:val="18"/>
              </w:rPr>
              <w:t>85.22%</w:t>
            </w:r>
          </w:p>
        </w:tc>
        <w:tc>
          <w:tcPr>
            <w:tcW w:w="741" w:type="dxa"/>
            <w:tcBorders>
              <w:top w:val="single" w:sz="2" w:space="0" w:color="auto"/>
              <w:left w:val="single" w:sz="2" w:space="0" w:color="auto"/>
              <w:bottom w:val="single" w:sz="2" w:space="0" w:color="auto"/>
              <w:right w:val="single" w:sz="2" w:space="0" w:color="auto"/>
            </w:tcBorders>
            <w:vAlign w:val="center"/>
          </w:tcPr>
          <w:p w14:paraId="53EAF999" w14:textId="77777777" w:rsidR="007B3DB2" w:rsidRPr="0063248C" w:rsidRDefault="00000000">
            <w:pPr>
              <w:spacing w:line="240" w:lineRule="exact"/>
              <w:rPr>
                <w:rFonts w:cs="宋体"/>
                <w:sz w:val="18"/>
                <w:szCs w:val="18"/>
              </w:rPr>
            </w:pPr>
            <w:r w:rsidRPr="0063248C">
              <w:rPr>
                <w:rFonts w:cs="宋体"/>
                <w:sz w:val="18"/>
                <w:szCs w:val="18"/>
              </w:rPr>
              <w:t>0.9</w:t>
            </w:r>
          </w:p>
        </w:tc>
        <w:tc>
          <w:tcPr>
            <w:tcW w:w="741" w:type="dxa"/>
            <w:tcBorders>
              <w:top w:val="single" w:sz="2" w:space="0" w:color="auto"/>
              <w:left w:val="single" w:sz="2" w:space="0" w:color="auto"/>
              <w:bottom w:val="single" w:sz="2" w:space="0" w:color="auto"/>
              <w:right w:val="single" w:sz="2" w:space="0" w:color="auto"/>
            </w:tcBorders>
            <w:vAlign w:val="center"/>
          </w:tcPr>
          <w:p w14:paraId="7876504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DF28AA2"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CBD56C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6B6AF63"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3DAC4FFE"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807314B" w14:textId="77777777" w:rsidR="007B3DB2" w:rsidRPr="0063248C" w:rsidRDefault="00000000">
            <w:pPr>
              <w:spacing w:line="240" w:lineRule="exact"/>
              <w:rPr>
                <w:rFonts w:cs="宋体"/>
                <w:sz w:val="18"/>
                <w:szCs w:val="18"/>
              </w:rPr>
            </w:pPr>
            <w:r w:rsidRPr="0063248C">
              <w:rPr>
                <w:rFonts w:cs="宋体"/>
                <w:sz w:val="18"/>
                <w:szCs w:val="18"/>
              </w:rPr>
              <w:t>王宋预处理中心</w:t>
            </w:r>
          </w:p>
        </w:tc>
        <w:tc>
          <w:tcPr>
            <w:tcW w:w="741" w:type="dxa"/>
            <w:tcBorders>
              <w:top w:val="single" w:sz="2" w:space="0" w:color="auto"/>
              <w:left w:val="single" w:sz="2" w:space="0" w:color="auto"/>
              <w:bottom w:val="single" w:sz="2" w:space="0" w:color="auto"/>
              <w:right w:val="single" w:sz="2" w:space="0" w:color="auto"/>
            </w:tcBorders>
            <w:vAlign w:val="center"/>
          </w:tcPr>
          <w:p w14:paraId="66FABF4B" w14:textId="77777777" w:rsidR="007B3DB2" w:rsidRPr="0063248C" w:rsidRDefault="00000000">
            <w:pPr>
              <w:spacing w:line="240" w:lineRule="exact"/>
              <w:jc w:val="right"/>
              <w:rPr>
                <w:rFonts w:cs="宋体"/>
                <w:sz w:val="18"/>
                <w:szCs w:val="18"/>
              </w:rPr>
            </w:pPr>
            <w:r w:rsidRPr="0063248C">
              <w:rPr>
                <w:rFonts w:cs="宋体"/>
                <w:sz w:val="18"/>
                <w:szCs w:val="18"/>
              </w:rPr>
              <w:t>300,000.00</w:t>
            </w:r>
          </w:p>
        </w:tc>
        <w:tc>
          <w:tcPr>
            <w:tcW w:w="741" w:type="dxa"/>
            <w:tcBorders>
              <w:top w:val="single" w:sz="2" w:space="0" w:color="auto"/>
              <w:left w:val="single" w:sz="2" w:space="0" w:color="auto"/>
              <w:bottom w:val="single" w:sz="2" w:space="0" w:color="auto"/>
              <w:right w:val="single" w:sz="2" w:space="0" w:color="auto"/>
            </w:tcBorders>
            <w:vAlign w:val="center"/>
          </w:tcPr>
          <w:p w14:paraId="3C89912A" w14:textId="77777777" w:rsidR="007B3DB2" w:rsidRPr="0063248C" w:rsidRDefault="00000000">
            <w:pPr>
              <w:spacing w:line="240" w:lineRule="exact"/>
              <w:jc w:val="right"/>
              <w:rPr>
                <w:rFonts w:cs="宋体"/>
                <w:sz w:val="18"/>
                <w:szCs w:val="18"/>
              </w:rPr>
            </w:pPr>
            <w:r w:rsidRPr="0063248C">
              <w:rPr>
                <w:rFonts w:cs="宋体"/>
                <w:sz w:val="18"/>
                <w:szCs w:val="18"/>
              </w:rPr>
              <w:t>156,000.00</w:t>
            </w:r>
          </w:p>
        </w:tc>
        <w:tc>
          <w:tcPr>
            <w:tcW w:w="741" w:type="dxa"/>
            <w:tcBorders>
              <w:top w:val="single" w:sz="2" w:space="0" w:color="auto"/>
              <w:left w:val="single" w:sz="2" w:space="0" w:color="auto"/>
              <w:bottom w:val="single" w:sz="2" w:space="0" w:color="auto"/>
              <w:right w:val="single" w:sz="2" w:space="0" w:color="auto"/>
            </w:tcBorders>
            <w:vAlign w:val="center"/>
          </w:tcPr>
          <w:p w14:paraId="0492C7D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E090C7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C304C7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3F2F24F" w14:textId="77777777" w:rsidR="007B3DB2" w:rsidRPr="0063248C" w:rsidRDefault="00000000">
            <w:pPr>
              <w:spacing w:line="240" w:lineRule="exact"/>
              <w:jc w:val="right"/>
              <w:rPr>
                <w:rFonts w:cs="宋体"/>
                <w:sz w:val="18"/>
                <w:szCs w:val="18"/>
              </w:rPr>
            </w:pPr>
            <w:r w:rsidRPr="0063248C">
              <w:rPr>
                <w:rFonts w:cs="宋体"/>
                <w:sz w:val="18"/>
                <w:szCs w:val="18"/>
              </w:rPr>
              <w:t>156,000.00</w:t>
            </w:r>
          </w:p>
        </w:tc>
        <w:tc>
          <w:tcPr>
            <w:tcW w:w="741" w:type="dxa"/>
            <w:tcBorders>
              <w:top w:val="single" w:sz="2" w:space="0" w:color="auto"/>
              <w:left w:val="single" w:sz="2" w:space="0" w:color="auto"/>
              <w:bottom w:val="single" w:sz="2" w:space="0" w:color="auto"/>
              <w:right w:val="single" w:sz="2" w:space="0" w:color="auto"/>
            </w:tcBorders>
            <w:vAlign w:val="center"/>
          </w:tcPr>
          <w:p w14:paraId="0A46A28F" w14:textId="77777777" w:rsidR="007B3DB2" w:rsidRPr="0063248C" w:rsidRDefault="00000000">
            <w:pPr>
              <w:spacing w:line="240" w:lineRule="exact"/>
              <w:jc w:val="right"/>
              <w:rPr>
                <w:rFonts w:cs="宋体"/>
                <w:sz w:val="18"/>
                <w:szCs w:val="18"/>
              </w:rPr>
            </w:pPr>
            <w:r w:rsidRPr="0063248C">
              <w:rPr>
                <w:rFonts w:cs="宋体"/>
                <w:sz w:val="18"/>
                <w:szCs w:val="18"/>
              </w:rPr>
              <w:t>52.00%</w:t>
            </w:r>
          </w:p>
        </w:tc>
        <w:tc>
          <w:tcPr>
            <w:tcW w:w="741" w:type="dxa"/>
            <w:tcBorders>
              <w:top w:val="single" w:sz="2" w:space="0" w:color="auto"/>
              <w:left w:val="single" w:sz="2" w:space="0" w:color="auto"/>
              <w:bottom w:val="single" w:sz="2" w:space="0" w:color="auto"/>
              <w:right w:val="single" w:sz="2" w:space="0" w:color="auto"/>
            </w:tcBorders>
            <w:vAlign w:val="center"/>
          </w:tcPr>
          <w:p w14:paraId="52D703F7" w14:textId="77777777" w:rsidR="007B3DB2" w:rsidRPr="0063248C" w:rsidRDefault="00000000">
            <w:pPr>
              <w:spacing w:line="240" w:lineRule="exact"/>
              <w:rPr>
                <w:rFonts w:cs="宋体"/>
                <w:sz w:val="18"/>
                <w:szCs w:val="18"/>
              </w:rPr>
            </w:pPr>
            <w:r w:rsidRPr="0063248C">
              <w:rPr>
                <w:rFonts w:cs="宋体"/>
                <w:sz w:val="18"/>
                <w:szCs w:val="18"/>
              </w:rPr>
              <w:t>0.83</w:t>
            </w:r>
          </w:p>
        </w:tc>
        <w:tc>
          <w:tcPr>
            <w:tcW w:w="741" w:type="dxa"/>
            <w:tcBorders>
              <w:top w:val="single" w:sz="2" w:space="0" w:color="auto"/>
              <w:left w:val="single" w:sz="2" w:space="0" w:color="auto"/>
              <w:bottom w:val="single" w:sz="2" w:space="0" w:color="auto"/>
              <w:right w:val="single" w:sz="2" w:space="0" w:color="auto"/>
            </w:tcBorders>
            <w:vAlign w:val="center"/>
          </w:tcPr>
          <w:p w14:paraId="1DC0078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AED95F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7A003D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0C055E8"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2A11F184"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6858B48" w14:textId="77777777" w:rsidR="007B3DB2" w:rsidRPr="0063248C" w:rsidRDefault="00000000">
            <w:pPr>
              <w:spacing w:line="240" w:lineRule="exact"/>
              <w:rPr>
                <w:rFonts w:cs="宋体"/>
                <w:sz w:val="18"/>
                <w:szCs w:val="18"/>
              </w:rPr>
            </w:pPr>
            <w:proofErr w:type="gramStart"/>
            <w:r w:rsidRPr="0063248C">
              <w:rPr>
                <w:rFonts w:cs="宋体"/>
                <w:sz w:val="18"/>
                <w:szCs w:val="18"/>
              </w:rPr>
              <w:t>团旺饲料</w:t>
            </w:r>
            <w:proofErr w:type="gramEnd"/>
            <w:r w:rsidRPr="0063248C">
              <w:rPr>
                <w:rFonts w:cs="宋体"/>
                <w:sz w:val="18"/>
                <w:szCs w:val="18"/>
              </w:rPr>
              <w:t>厂土建技改工程</w:t>
            </w:r>
          </w:p>
        </w:tc>
        <w:tc>
          <w:tcPr>
            <w:tcW w:w="741" w:type="dxa"/>
            <w:tcBorders>
              <w:top w:val="single" w:sz="2" w:space="0" w:color="auto"/>
              <w:left w:val="single" w:sz="2" w:space="0" w:color="auto"/>
              <w:bottom w:val="single" w:sz="2" w:space="0" w:color="auto"/>
              <w:right w:val="single" w:sz="2" w:space="0" w:color="auto"/>
            </w:tcBorders>
            <w:vAlign w:val="center"/>
          </w:tcPr>
          <w:p w14:paraId="1C3D11FD" w14:textId="77777777" w:rsidR="007B3DB2" w:rsidRPr="0063248C" w:rsidRDefault="00000000">
            <w:pPr>
              <w:spacing w:line="240" w:lineRule="exact"/>
              <w:jc w:val="right"/>
              <w:rPr>
                <w:rFonts w:cs="宋体"/>
                <w:sz w:val="18"/>
                <w:szCs w:val="18"/>
              </w:rPr>
            </w:pPr>
            <w:r w:rsidRPr="0063248C">
              <w:rPr>
                <w:rFonts w:cs="宋体"/>
                <w:sz w:val="18"/>
                <w:szCs w:val="18"/>
              </w:rPr>
              <w:t>600,000.00</w:t>
            </w:r>
          </w:p>
        </w:tc>
        <w:tc>
          <w:tcPr>
            <w:tcW w:w="741" w:type="dxa"/>
            <w:tcBorders>
              <w:top w:val="single" w:sz="2" w:space="0" w:color="auto"/>
              <w:left w:val="single" w:sz="2" w:space="0" w:color="auto"/>
              <w:bottom w:val="single" w:sz="2" w:space="0" w:color="auto"/>
              <w:right w:val="single" w:sz="2" w:space="0" w:color="auto"/>
            </w:tcBorders>
            <w:vAlign w:val="center"/>
          </w:tcPr>
          <w:p w14:paraId="6DE7DFAA" w14:textId="77777777" w:rsidR="007B3DB2" w:rsidRPr="0063248C" w:rsidRDefault="00000000">
            <w:pPr>
              <w:spacing w:line="240" w:lineRule="exact"/>
              <w:jc w:val="right"/>
              <w:rPr>
                <w:rFonts w:cs="宋体"/>
                <w:sz w:val="18"/>
                <w:szCs w:val="18"/>
              </w:rPr>
            </w:pPr>
            <w:r w:rsidRPr="0063248C">
              <w:rPr>
                <w:rFonts w:cs="宋体"/>
                <w:sz w:val="18"/>
                <w:szCs w:val="18"/>
              </w:rPr>
              <w:t>342,000.00</w:t>
            </w:r>
          </w:p>
        </w:tc>
        <w:tc>
          <w:tcPr>
            <w:tcW w:w="741" w:type="dxa"/>
            <w:tcBorders>
              <w:top w:val="single" w:sz="2" w:space="0" w:color="auto"/>
              <w:left w:val="single" w:sz="2" w:space="0" w:color="auto"/>
              <w:bottom w:val="single" w:sz="2" w:space="0" w:color="auto"/>
              <w:right w:val="single" w:sz="2" w:space="0" w:color="auto"/>
            </w:tcBorders>
            <w:vAlign w:val="center"/>
          </w:tcPr>
          <w:p w14:paraId="737C64E8" w14:textId="77777777" w:rsidR="007B3DB2" w:rsidRPr="0063248C" w:rsidRDefault="00000000">
            <w:pPr>
              <w:spacing w:line="240" w:lineRule="exact"/>
              <w:jc w:val="right"/>
              <w:rPr>
                <w:rFonts w:cs="宋体"/>
                <w:sz w:val="18"/>
                <w:szCs w:val="18"/>
              </w:rPr>
            </w:pPr>
            <w:r w:rsidRPr="0063248C">
              <w:rPr>
                <w:rFonts w:cs="宋体"/>
                <w:sz w:val="18"/>
                <w:szCs w:val="18"/>
              </w:rPr>
              <w:t>241,200.00</w:t>
            </w:r>
          </w:p>
        </w:tc>
        <w:tc>
          <w:tcPr>
            <w:tcW w:w="741" w:type="dxa"/>
            <w:tcBorders>
              <w:top w:val="single" w:sz="2" w:space="0" w:color="auto"/>
              <w:left w:val="single" w:sz="2" w:space="0" w:color="auto"/>
              <w:bottom w:val="single" w:sz="2" w:space="0" w:color="auto"/>
              <w:right w:val="single" w:sz="2" w:space="0" w:color="auto"/>
            </w:tcBorders>
            <w:vAlign w:val="center"/>
          </w:tcPr>
          <w:p w14:paraId="063804B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1940F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9DCFEF9" w14:textId="77777777" w:rsidR="007B3DB2" w:rsidRPr="0063248C" w:rsidRDefault="00000000">
            <w:pPr>
              <w:spacing w:line="240" w:lineRule="exact"/>
              <w:jc w:val="right"/>
              <w:rPr>
                <w:rFonts w:cs="宋体"/>
                <w:sz w:val="18"/>
                <w:szCs w:val="18"/>
              </w:rPr>
            </w:pPr>
            <w:r w:rsidRPr="0063248C">
              <w:rPr>
                <w:rFonts w:cs="宋体"/>
                <w:sz w:val="18"/>
                <w:szCs w:val="18"/>
              </w:rPr>
              <w:t>583,200.00</w:t>
            </w:r>
          </w:p>
        </w:tc>
        <w:tc>
          <w:tcPr>
            <w:tcW w:w="741" w:type="dxa"/>
            <w:tcBorders>
              <w:top w:val="single" w:sz="2" w:space="0" w:color="auto"/>
              <w:left w:val="single" w:sz="2" w:space="0" w:color="auto"/>
              <w:bottom w:val="single" w:sz="2" w:space="0" w:color="auto"/>
              <w:right w:val="single" w:sz="2" w:space="0" w:color="auto"/>
            </w:tcBorders>
            <w:vAlign w:val="center"/>
          </w:tcPr>
          <w:p w14:paraId="4E2E4A62" w14:textId="77777777" w:rsidR="007B3DB2" w:rsidRPr="0063248C" w:rsidRDefault="00000000">
            <w:pPr>
              <w:spacing w:line="240" w:lineRule="exact"/>
              <w:jc w:val="right"/>
              <w:rPr>
                <w:rFonts w:cs="宋体"/>
                <w:sz w:val="18"/>
                <w:szCs w:val="18"/>
              </w:rPr>
            </w:pPr>
            <w:r w:rsidRPr="0063248C">
              <w:rPr>
                <w:rFonts w:cs="宋体"/>
                <w:sz w:val="18"/>
                <w:szCs w:val="18"/>
              </w:rPr>
              <w:t>97.20%</w:t>
            </w:r>
          </w:p>
        </w:tc>
        <w:tc>
          <w:tcPr>
            <w:tcW w:w="741" w:type="dxa"/>
            <w:tcBorders>
              <w:top w:val="single" w:sz="2" w:space="0" w:color="auto"/>
              <w:left w:val="single" w:sz="2" w:space="0" w:color="auto"/>
              <w:bottom w:val="single" w:sz="2" w:space="0" w:color="auto"/>
              <w:right w:val="single" w:sz="2" w:space="0" w:color="auto"/>
            </w:tcBorders>
            <w:vAlign w:val="center"/>
          </w:tcPr>
          <w:p w14:paraId="60E866B8" w14:textId="77777777" w:rsidR="007B3DB2" w:rsidRPr="0063248C" w:rsidRDefault="00000000">
            <w:pPr>
              <w:spacing w:line="240" w:lineRule="exact"/>
              <w:rPr>
                <w:rFonts w:cs="宋体"/>
                <w:sz w:val="18"/>
                <w:szCs w:val="18"/>
              </w:rPr>
            </w:pPr>
            <w:r w:rsidRPr="0063248C">
              <w:rPr>
                <w:rFonts w:cs="宋体"/>
                <w:sz w:val="18"/>
                <w:szCs w:val="18"/>
              </w:rPr>
              <w:t>0.85</w:t>
            </w:r>
          </w:p>
        </w:tc>
        <w:tc>
          <w:tcPr>
            <w:tcW w:w="741" w:type="dxa"/>
            <w:tcBorders>
              <w:top w:val="single" w:sz="2" w:space="0" w:color="auto"/>
              <w:left w:val="single" w:sz="2" w:space="0" w:color="auto"/>
              <w:bottom w:val="single" w:sz="2" w:space="0" w:color="auto"/>
              <w:right w:val="single" w:sz="2" w:space="0" w:color="auto"/>
            </w:tcBorders>
            <w:vAlign w:val="center"/>
          </w:tcPr>
          <w:p w14:paraId="4EB987D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E9E467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902E00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E597CB4"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37E1E749"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0D6B0C8E" w14:textId="77777777" w:rsidR="007B3DB2" w:rsidRPr="0063248C" w:rsidRDefault="00000000">
            <w:pPr>
              <w:spacing w:line="240" w:lineRule="exact"/>
              <w:rPr>
                <w:rFonts w:cs="宋体"/>
                <w:sz w:val="18"/>
                <w:szCs w:val="18"/>
              </w:rPr>
            </w:pPr>
            <w:r w:rsidRPr="0063248C">
              <w:rPr>
                <w:rFonts w:cs="宋体"/>
                <w:sz w:val="18"/>
                <w:szCs w:val="18"/>
              </w:rPr>
              <w:t>崔格庄土建技改工程</w:t>
            </w:r>
          </w:p>
        </w:tc>
        <w:tc>
          <w:tcPr>
            <w:tcW w:w="741" w:type="dxa"/>
            <w:tcBorders>
              <w:top w:val="single" w:sz="2" w:space="0" w:color="auto"/>
              <w:left w:val="single" w:sz="2" w:space="0" w:color="auto"/>
              <w:bottom w:val="single" w:sz="2" w:space="0" w:color="auto"/>
              <w:right w:val="single" w:sz="2" w:space="0" w:color="auto"/>
            </w:tcBorders>
            <w:vAlign w:val="center"/>
          </w:tcPr>
          <w:p w14:paraId="5ECD4E85" w14:textId="77777777" w:rsidR="007B3DB2" w:rsidRPr="0063248C" w:rsidRDefault="00000000">
            <w:pPr>
              <w:spacing w:line="240" w:lineRule="exact"/>
              <w:jc w:val="right"/>
              <w:rPr>
                <w:rFonts w:cs="宋体"/>
                <w:sz w:val="18"/>
                <w:szCs w:val="18"/>
              </w:rPr>
            </w:pPr>
            <w:r w:rsidRPr="0063248C">
              <w:rPr>
                <w:rFonts w:cs="宋体"/>
                <w:sz w:val="18"/>
                <w:szCs w:val="18"/>
              </w:rPr>
              <w:t>600,000.00</w:t>
            </w:r>
          </w:p>
        </w:tc>
        <w:tc>
          <w:tcPr>
            <w:tcW w:w="741" w:type="dxa"/>
            <w:tcBorders>
              <w:top w:val="single" w:sz="2" w:space="0" w:color="auto"/>
              <w:left w:val="single" w:sz="2" w:space="0" w:color="auto"/>
              <w:bottom w:val="single" w:sz="2" w:space="0" w:color="auto"/>
              <w:right w:val="single" w:sz="2" w:space="0" w:color="auto"/>
            </w:tcBorders>
            <w:vAlign w:val="center"/>
          </w:tcPr>
          <w:p w14:paraId="054A213B" w14:textId="77777777" w:rsidR="007B3DB2" w:rsidRPr="0063248C" w:rsidRDefault="00000000">
            <w:pPr>
              <w:spacing w:line="240" w:lineRule="exact"/>
              <w:jc w:val="right"/>
              <w:rPr>
                <w:rFonts w:cs="宋体"/>
                <w:sz w:val="18"/>
                <w:szCs w:val="18"/>
              </w:rPr>
            </w:pPr>
            <w:r w:rsidRPr="0063248C">
              <w:rPr>
                <w:rFonts w:cs="宋体"/>
                <w:sz w:val="18"/>
                <w:szCs w:val="18"/>
              </w:rPr>
              <w:t>360,000.00</w:t>
            </w:r>
          </w:p>
        </w:tc>
        <w:tc>
          <w:tcPr>
            <w:tcW w:w="741" w:type="dxa"/>
            <w:tcBorders>
              <w:top w:val="single" w:sz="2" w:space="0" w:color="auto"/>
              <w:left w:val="single" w:sz="2" w:space="0" w:color="auto"/>
              <w:bottom w:val="single" w:sz="2" w:space="0" w:color="auto"/>
              <w:right w:val="single" w:sz="2" w:space="0" w:color="auto"/>
            </w:tcBorders>
            <w:vAlign w:val="center"/>
          </w:tcPr>
          <w:p w14:paraId="07E990E8" w14:textId="77777777" w:rsidR="007B3DB2" w:rsidRPr="0063248C" w:rsidRDefault="00000000">
            <w:pPr>
              <w:spacing w:line="240" w:lineRule="exact"/>
              <w:jc w:val="right"/>
              <w:rPr>
                <w:rFonts w:cs="宋体"/>
                <w:sz w:val="18"/>
                <w:szCs w:val="18"/>
              </w:rPr>
            </w:pPr>
            <w:r w:rsidRPr="0063248C">
              <w:rPr>
                <w:rFonts w:cs="宋体"/>
                <w:sz w:val="18"/>
                <w:szCs w:val="18"/>
              </w:rPr>
              <w:t>217,950.05</w:t>
            </w:r>
          </w:p>
        </w:tc>
        <w:tc>
          <w:tcPr>
            <w:tcW w:w="741" w:type="dxa"/>
            <w:tcBorders>
              <w:top w:val="single" w:sz="2" w:space="0" w:color="auto"/>
              <w:left w:val="single" w:sz="2" w:space="0" w:color="auto"/>
              <w:bottom w:val="single" w:sz="2" w:space="0" w:color="auto"/>
              <w:right w:val="single" w:sz="2" w:space="0" w:color="auto"/>
            </w:tcBorders>
            <w:vAlign w:val="center"/>
          </w:tcPr>
          <w:p w14:paraId="2668B7CD" w14:textId="77777777" w:rsidR="007B3DB2" w:rsidRPr="0063248C" w:rsidRDefault="00000000">
            <w:pPr>
              <w:spacing w:line="240" w:lineRule="exact"/>
              <w:jc w:val="right"/>
              <w:rPr>
                <w:rFonts w:cs="宋体"/>
                <w:sz w:val="18"/>
                <w:szCs w:val="18"/>
              </w:rPr>
            </w:pPr>
            <w:r w:rsidRPr="0063248C">
              <w:rPr>
                <w:rFonts w:cs="宋体"/>
                <w:sz w:val="18"/>
                <w:szCs w:val="18"/>
              </w:rPr>
              <w:t>577,950.05</w:t>
            </w:r>
          </w:p>
        </w:tc>
        <w:tc>
          <w:tcPr>
            <w:tcW w:w="741" w:type="dxa"/>
            <w:tcBorders>
              <w:top w:val="single" w:sz="2" w:space="0" w:color="auto"/>
              <w:left w:val="single" w:sz="2" w:space="0" w:color="auto"/>
              <w:bottom w:val="single" w:sz="2" w:space="0" w:color="auto"/>
              <w:right w:val="single" w:sz="2" w:space="0" w:color="auto"/>
            </w:tcBorders>
            <w:vAlign w:val="center"/>
          </w:tcPr>
          <w:p w14:paraId="1A5FEAB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CBB837B"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70AFF733" w14:textId="77777777" w:rsidR="007B3DB2" w:rsidRPr="0063248C" w:rsidRDefault="00000000">
            <w:pPr>
              <w:spacing w:line="240" w:lineRule="exact"/>
              <w:jc w:val="right"/>
              <w:rPr>
                <w:rFonts w:cs="宋体"/>
                <w:sz w:val="18"/>
                <w:szCs w:val="18"/>
              </w:rPr>
            </w:pPr>
            <w:r w:rsidRPr="0063248C">
              <w:rPr>
                <w:rFonts w:cs="宋体"/>
                <w:sz w:val="18"/>
                <w:szCs w:val="18"/>
              </w:rPr>
              <w:t>96.33%</w:t>
            </w:r>
          </w:p>
        </w:tc>
        <w:tc>
          <w:tcPr>
            <w:tcW w:w="741" w:type="dxa"/>
            <w:tcBorders>
              <w:top w:val="single" w:sz="2" w:space="0" w:color="auto"/>
              <w:left w:val="single" w:sz="2" w:space="0" w:color="auto"/>
              <w:bottom w:val="single" w:sz="2" w:space="0" w:color="auto"/>
              <w:right w:val="single" w:sz="2" w:space="0" w:color="auto"/>
            </w:tcBorders>
            <w:vAlign w:val="center"/>
          </w:tcPr>
          <w:p w14:paraId="29AB4090" w14:textId="77777777" w:rsidR="007B3DB2" w:rsidRPr="0063248C" w:rsidRDefault="00000000">
            <w:pPr>
              <w:spacing w:line="240" w:lineRule="exact"/>
              <w:rPr>
                <w:rFonts w:cs="宋体"/>
                <w:sz w:val="18"/>
                <w:szCs w:val="18"/>
              </w:rPr>
            </w:pPr>
            <w:r w:rsidRPr="0063248C">
              <w:rPr>
                <w:rFonts w:cs="宋体"/>
                <w:sz w:val="18"/>
                <w:szCs w:val="18"/>
              </w:rPr>
              <w:t>1</w:t>
            </w:r>
          </w:p>
        </w:tc>
        <w:tc>
          <w:tcPr>
            <w:tcW w:w="741" w:type="dxa"/>
            <w:tcBorders>
              <w:top w:val="single" w:sz="2" w:space="0" w:color="auto"/>
              <w:left w:val="single" w:sz="2" w:space="0" w:color="auto"/>
              <w:bottom w:val="single" w:sz="2" w:space="0" w:color="auto"/>
              <w:right w:val="single" w:sz="2" w:space="0" w:color="auto"/>
            </w:tcBorders>
            <w:vAlign w:val="center"/>
          </w:tcPr>
          <w:p w14:paraId="29D8907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42B930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6B547C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3900A24"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335B2166"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7072BE0C" w14:textId="77777777" w:rsidR="007B3DB2" w:rsidRPr="0063248C" w:rsidRDefault="00000000">
            <w:pPr>
              <w:spacing w:line="240" w:lineRule="exact"/>
              <w:rPr>
                <w:rFonts w:cs="宋体"/>
                <w:sz w:val="18"/>
                <w:szCs w:val="18"/>
              </w:rPr>
            </w:pPr>
            <w:r w:rsidRPr="0063248C">
              <w:rPr>
                <w:rFonts w:cs="宋体"/>
                <w:sz w:val="18"/>
                <w:szCs w:val="18"/>
              </w:rPr>
              <w:t>龙口服务部技改工程</w:t>
            </w:r>
          </w:p>
        </w:tc>
        <w:tc>
          <w:tcPr>
            <w:tcW w:w="741" w:type="dxa"/>
            <w:tcBorders>
              <w:top w:val="single" w:sz="2" w:space="0" w:color="auto"/>
              <w:left w:val="single" w:sz="2" w:space="0" w:color="auto"/>
              <w:bottom w:val="single" w:sz="2" w:space="0" w:color="auto"/>
              <w:right w:val="single" w:sz="2" w:space="0" w:color="auto"/>
            </w:tcBorders>
            <w:vAlign w:val="center"/>
          </w:tcPr>
          <w:p w14:paraId="7CF1CD17" w14:textId="77777777" w:rsidR="007B3DB2" w:rsidRPr="0063248C" w:rsidRDefault="00000000">
            <w:pPr>
              <w:spacing w:line="240" w:lineRule="exact"/>
              <w:jc w:val="right"/>
              <w:rPr>
                <w:rFonts w:cs="宋体"/>
                <w:sz w:val="18"/>
                <w:szCs w:val="18"/>
              </w:rPr>
            </w:pPr>
            <w:r w:rsidRPr="0063248C">
              <w:rPr>
                <w:rFonts w:cs="宋体"/>
                <w:sz w:val="18"/>
                <w:szCs w:val="18"/>
              </w:rPr>
              <w:t>200,000.00</w:t>
            </w:r>
          </w:p>
        </w:tc>
        <w:tc>
          <w:tcPr>
            <w:tcW w:w="741" w:type="dxa"/>
            <w:tcBorders>
              <w:top w:val="single" w:sz="2" w:space="0" w:color="auto"/>
              <w:left w:val="single" w:sz="2" w:space="0" w:color="auto"/>
              <w:bottom w:val="single" w:sz="2" w:space="0" w:color="auto"/>
              <w:right w:val="single" w:sz="2" w:space="0" w:color="auto"/>
            </w:tcBorders>
            <w:vAlign w:val="center"/>
          </w:tcPr>
          <w:p w14:paraId="6355D993" w14:textId="77777777" w:rsidR="007B3DB2" w:rsidRPr="0063248C" w:rsidRDefault="00000000">
            <w:pPr>
              <w:spacing w:line="240" w:lineRule="exact"/>
              <w:jc w:val="right"/>
              <w:rPr>
                <w:rFonts w:cs="宋体"/>
                <w:sz w:val="18"/>
                <w:szCs w:val="18"/>
              </w:rPr>
            </w:pPr>
            <w:r w:rsidRPr="0063248C">
              <w:rPr>
                <w:rFonts w:cs="宋体"/>
                <w:sz w:val="18"/>
                <w:szCs w:val="18"/>
              </w:rPr>
              <w:t>87,087.28</w:t>
            </w:r>
          </w:p>
        </w:tc>
        <w:tc>
          <w:tcPr>
            <w:tcW w:w="741" w:type="dxa"/>
            <w:tcBorders>
              <w:top w:val="single" w:sz="2" w:space="0" w:color="auto"/>
              <w:left w:val="single" w:sz="2" w:space="0" w:color="auto"/>
              <w:bottom w:val="single" w:sz="2" w:space="0" w:color="auto"/>
              <w:right w:val="single" w:sz="2" w:space="0" w:color="auto"/>
            </w:tcBorders>
            <w:vAlign w:val="center"/>
          </w:tcPr>
          <w:p w14:paraId="6F88BDBB" w14:textId="77777777" w:rsidR="007B3DB2" w:rsidRPr="0063248C" w:rsidRDefault="00000000">
            <w:pPr>
              <w:spacing w:line="240" w:lineRule="exact"/>
              <w:jc w:val="right"/>
              <w:rPr>
                <w:rFonts w:cs="宋体"/>
                <w:sz w:val="18"/>
                <w:szCs w:val="18"/>
              </w:rPr>
            </w:pPr>
            <w:r w:rsidRPr="0063248C">
              <w:rPr>
                <w:rFonts w:cs="宋体"/>
                <w:sz w:val="18"/>
                <w:szCs w:val="18"/>
              </w:rPr>
              <w:t>60,545.33</w:t>
            </w:r>
          </w:p>
        </w:tc>
        <w:tc>
          <w:tcPr>
            <w:tcW w:w="741" w:type="dxa"/>
            <w:tcBorders>
              <w:top w:val="single" w:sz="2" w:space="0" w:color="auto"/>
              <w:left w:val="single" w:sz="2" w:space="0" w:color="auto"/>
              <w:bottom w:val="single" w:sz="2" w:space="0" w:color="auto"/>
              <w:right w:val="single" w:sz="2" w:space="0" w:color="auto"/>
            </w:tcBorders>
            <w:vAlign w:val="center"/>
          </w:tcPr>
          <w:p w14:paraId="6BE3AD4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87AC6C6" w14:textId="77777777" w:rsidR="007B3DB2" w:rsidRPr="0063248C" w:rsidRDefault="00000000">
            <w:pPr>
              <w:spacing w:line="240" w:lineRule="exact"/>
              <w:jc w:val="right"/>
              <w:rPr>
                <w:rFonts w:cs="宋体"/>
                <w:sz w:val="18"/>
                <w:szCs w:val="18"/>
              </w:rPr>
            </w:pPr>
            <w:r w:rsidRPr="0063248C">
              <w:rPr>
                <w:rFonts w:cs="宋体"/>
                <w:sz w:val="18"/>
                <w:szCs w:val="18"/>
              </w:rPr>
              <w:t>147,632.61</w:t>
            </w:r>
          </w:p>
        </w:tc>
        <w:tc>
          <w:tcPr>
            <w:tcW w:w="741" w:type="dxa"/>
            <w:tcBorders>
              <w:top w:val="single" w:sz="2" w:space="0" w:color="auto"/>
              <w:left w:val="single" w:sz="2" w:space="0" w:color="auto"/>
              <w:bottom w:val="single" w:sz="2" w:space="0" w:color="auto"/>
              <w:right w:val="single" w:sz="2" w:space="0" w:color="auto"/>
            </w:tcBorders>
            <w:vAlign w:val="center"/>
          </w:tcPr>
          <w:p w14:paraId="39284EE8"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5A67DDDE" w14:textId="77777777" w:rsidR="007B3DB2" w:rsidRPr="0063248C" w:rsidRDefault="00000000">
            <w:pPr>
              <w:spacing w:line="240" w:lineRule="exact"/>
              <w:jc w:val="right"/>
              <w:rPr>
                <w:rFonts w:cs="宋体"/>
                <w:sz w:val="18"/>
                <w:szCs w:val="18"/>
              </w:rPr>
            </w:pPr>
            <w:r w:rsidRPr="0063248C">
              <w:rPr>
                <w:rFonts w:cs="宋体"/>
                <w:sz w:val="18"/>
                <w:szCs w:val="18"/>
              </w:rPr>
              <w:t>73.82%</w:t>
            </w:r>
          </w:p>
        </w:tc>
        <w:tc>
          <w:tcPr>
            <w:tcW w:w="741" w:type="dxa"/>
            <w:tcBorders>
              <w:top w:val="single" w:sz="2" w:space="0" w:color="auto"/>
              <w:left w:val="single" w:sz="2" w:space="0" w:color="auto"/>
              <w:bottom w:val="single" w:sz="2" w:space="0" w:color="auto"/>
              <w:right w:val="single" w:sz="2" w:space="0" w:color="auto"/>
            </w:tcBorders>
            <w:vAlign w:val="center"/>
          </w:tcPr>
          <w:p w14:paraId="5DB76158" w14:textId="77777777" w:rsidR="007B3DB2" w:rsidRPr="0063248C" w:rsidRDefault="00000000">
            <w:pPr>
              <w:spacing w:line="240" w:lineRule="exact"/>
              <w:rPr>
                <w:rFonts w:cs="宋体"/>
                <w:sz w:val="18"/>
                <w:szCs w:val="18"/>
              </w:rPr>
            </w:pPr>
            <w:r w:rsidRPr="0063248C">
              <w:rPr>
                <w:rFonts w:cs="宋体"/>
                <w:sz w:val="18"/>
                <w:szCs w:val="18"/>
              </w:rPr>
              <w:t>1</w:t>
            </w:r>
          </w:p>
        </w:tc>
        <w:tc>
          <w:tcPr>
            <w:tcW w:w="741" w:type="dxa"/>
            <w:tcBorders>
              <w:top w:val="single" w:sz="2" w:space="0" w:color="auto"/>
              <w:left w:val="single" w:sz="2" w:space="0" w:color="auto"/>
              <w:bottom w:val="single" w:sz="2" w:space="0" w:color="auto"/>
              <w:right w:val="single" w:sz="2" w:space="0" w:color="auto"/>
            </w:tcBorders>
            <w:vAlign w:val="center"/>
          </w:tcPr>
          <w:p w14:paraId="5F1E42A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6F12BF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D31386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44E1A7E"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72CFFF95"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A1D26C9" w14:textId="77777777" w:rsidR="007B3DB2" w:rsidRPr="0063248C" w:rsidRDefault="00000000">
            <w:pPr>
              <w:spacing w:line="240" w:lineRule="exact"/>
              <w:rPr>
                <w:rFonts w:cs="宋体"/>
                <w:sz w:val="18"/>
                <w:szCs w:val="18"/>
              </w:rPr>
            </w:pPr>
            <w:r w:rsidRPr="0063248C">
              <w:rPr>
                <w:rFonts w:cs="宋体"/>
                <w:sz w:val="18"/>
                <w:szCs w:val="18"/>
              </w:rPr>
              <w:t>王宋</w:t>
            </w:r>
            <w:proofErr w:type="gramStart"/>
            <w:r w:rsidRPr="0063248C">
              <w:rPr>
                <w:rFonts w:cs="宋体"/>
                <w:sz w:val="18"/>
                <w:szCs w:val="18"/>
              </w:rPr>
              <w:t>一</w:t>
            </w:r>
            <w:proofErr w:type="gramEnd"/>
            <w:r w:rsidRPr="0063248C">
              <w:rPr>
                <w:rFonts w:cs="宋体"/>
                <w:sz w:val="18"/>
                <w:szCs w:val="18"/>
              </w:rPr>
              <w:t>技改工程</w:t>
            </w:r>
          </w:p>
        </w:tc>
        <w:tc>
          <w:tcPr>
            <w:tcW w:w="741" w:type="dxa"/>
            <w:tcBorders>
              <w:top w:val="single" w:sz="2" w:space="0" w:color="auto"/>
              <w:left w:val="single" w:sz="2" w:space="0" w:color="auto"/>
              <w:bottom w:val="single" w:sz="2" w:space="0" w:color="auto"/>
              <w:right w:val="single" w:sz="2" w:space="0" w:color="auto"/>
            </w:tcBorders>
            <w:vAlign w:val="center"/>
          </w:tcPr>
          <w:p w14:paraId="5B65D9F7" w14:textId="77777777" w:rsidR="007B3DB2" w:rsidRPr="0063248C" w:rsidRDefault="00000000">
            <w:pPr>
              <w:spacing w:line="240" w:lineRule="exact"/>
              <w:jc w:val="right"/>
              <w:rPr>
                <w:rFonts w:cs="宋体"/>
                <w:sz w:val="18"/>
                <w:szCs w:val="18"/>
              </w:rPr>
            </w:pPr>
            <w:r w:rsidRPr="0063248C">
              <w:rPr>
                <w:rFonts w:cs="宋体"/>
                <w:sz w:val="18"/>
                <w:szCs w:val="18"/>
              </w:rPr>
              <w:t>300,000.00</w:t>
            </w:r>
          </w:p>
        </w:tc>
        <w:tc>
          <w:tcPr>
            <w:tcW w:w="741" w:type="dxa"/>
            <w:tcBorders>
              <w:top w:val="single" w:sz="2" w:space="0" w:color="auto"/>
              <w:left w:val="single" w:sz="2" w:space="0" w:color="auto"/>
              <w:bottom w:val="single" w:sz="2" w:space="0" w:color="auto"/>
              <w:right w:val="single" w:sz="2" w:space="0" w:color="auto"/>
            </w:tcBorders>
            <w:vAlign w:val="center"/>
          </w:tcPr>
          <w:p w14:paraId="6D67B69D" w14:textId="77777777" w:rsidR="007B3DB2" w:rsidRPr="0063248C" w:rsidRDefault="00000000">
            <w:pPr>
              <w:spacing w:line="240" w:lineRule="exact"/>
              <w:jc w:val="right"/>
              <w:rPr>
                <w:rFonts w:cs="宋体"/>
                <w:sz w:val="18"/>
                <w:szCs w:val="18"/>
              </w:rPr>
            </w:pPr>
            <w:r w:rsidRPr="0063248C">
              <w:rPr>
                <w:rFonts w:cs="宋体"/>
                <w:sz w:val="18"/>
                <w:szCs w:val="18"/>
              </w:rPr>
              <w:t>104,056.61</w:t>
            </w:r>
          </w:p>
        </w:tc>
        <w:tc>
          <w:tcPr>
            <w:tcW w:w="741" w:type="dxa"/>
            <w:tcBorders>
              <w:top w:val="single" w:sz="2" w:space="0" w:color="auto"/>
              <w:left w:val="single" w:sz="2" w:space="0" w:color="auto"/>
              <w:bottom w:val="single" w:sz="2" w:space="0" w:color="auto"/>
              <w:right w:val="single" w:sz="2" w:space="0" w:color="auto"/>
            </w:tcBorders>
            <w:vAlign w:val="center"/>
          </w:tcPr>
          <w:p w14:paraId="3ED595B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2DDE19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524B36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C0343D1" w14:textId="77777777" w:rsidR="007B3DB2" w:rsidRPr="0063248C" w:rsidRDefault="00000000">
            <w:pPr>
              <w:spacing w:line="240" w:lineRule="exact"/>
              <w:jc w:val="right"/>
              <w:rPr>
                <w:rFonts w:cs="宋体"/>
                <w:sz w:val="18"/>
                <w:szCs w:val="18"/>
              </w:rPr>
            </w:pPr>
            <w:r w:rsidRPr="0063248C">
              <w:rPr>
                <w:rFonts w:cs="宋体"/>
                <w:sz w:val="18"/>
                <w:szCs w:val="18"/>
              </w:rPr>
              <w:t>104,056.61</w:t>
            </w:r>
          </w:p>
        </w:tc>
        <w:tc>
          <w:tcPr>
            <w:tcW w:w="741" w:type="dxa"/>
            <w:tcBorders>
              <w:top w:val="single" w:sz="2" w:space="0" w:color="auto"/>
              <w:left w:val="single" w:sz="2" w:space="0" w:color="auto"/>
              <w:bottom w:val="single" w:sz="2" w:space="0" w:color="auto"/>
              <w:right w:val="single" w:sz="2" w:space="0" w:color="auto"/>
            </w:tcBorders>
            <w:vAlign w:val="center"/>
          </w:tcPr>
          <w:p w14:paraId="044D9B1F" w14:textId="77777777" w:rsidR="007B3DB2" w:rsidRPr="0063248C" w:rsidRDefault="00000000">
            <w:pPr>
              <w:spacing w:line="240" w:lineRule="exact"/>
              <w:jc w:val="right"/>
              <w:rPr>
                <w:rFonts w:cs="宋体"/>
                <w:sz w:val="18"/>
                <w:szCs w:val="18"/>
              </w:rPr>
            </w:pPr>
            <w:r w:rsidRPr="0063248C">
              <w:rPr>
                <w:rFonts w:cs="宋体"/>
                <w:sz w:val="18"/>
                <w:szCs w:val="18"/>
              </w:rPr>
              <w:t>34.69%</w:t>
            </w:r>
          </w:p>
        </w:tc>
        <w:tc>
          <w:tcPr>
            <w:tcW w:w="741" w:type="dxa"/>
            <w:tcBorders>
              <w:top w:val="single" w:sz="2" w:space="0" w:color="auto"/>
              <w:left w:val="single" w:sz="2" w:space="0" w:color="auto"/>
              <w:bottom w:val="single" w:sz="2" w:space="0" w:color="auto"/>
              <w:right w:val="single" w:sz="2" w:space="0" w:color="auto"/>
            </w:tcBorders>
            <w:vAlign w:val="center"/>
          </w:tcPr>
          <w:p w14:paraId="3044A0D8" w14:textId="77777777" w:rsidR="007B3DB2" w:rsidRPr="0063248C" w:rsidRDefault="00000000">
            <w:pPr>
              <w:spacing w:line="240" w:lineRule="exact"/>
              <w:rPr>
                <w:rFonts w:cs="宋体"/>
                <w:sz w:val="18"/>
                <w:szCs w:val="18"/>
              </w:rPr>
            </w:pPr>
            <w:r w:rsidRPr="0063248C">
              <w:rPr>
                <w:rFonts w:cs="宋体"/>
                <w:sz w:val="18"/>
                <w:szCs w:val="18"/>
              </w:rPr>
              <w:t>0.8</w:t>
            </w:r>
          </w:p>
        </w:tc>
        <w:tc>
          <w:tcPr>
            <w:tcW w:w="741" w:type="dxa"/>
            <w:tcBorders>
              <w:top w:val="single" w:sz="2" w:space="0" w:color="auto"/>
              <w:left w:val="single" w:sz="2" w:space="0" w:color="auto"/>
              <w:bottom w:val="single" w:sz="2" w:space="0" w:color="auto"/>
              <w:right w:val="single" w:sz="2" w:space="0" w:color="auto"/>
            </w:tcBorders>
            <w:vAlign w:val="center"/>
          </w:tcPr>
          <w:p w14:paraId="53DB5B3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47BB5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EA57A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430E50D"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7233B421"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308CEB7E" w14:textId="77777777" w:rsidR="007B3DB2" w:rsidRPr="0063248C" w:rsidRDefault="00000000">
            <w:pPr>
              <w:spacing w:line="240" w:lineRule="exact"/>
              <w:rPr>
                <w:rFonts w:cs="宋体"/>
                <w:sz w:val="18"/>
                <w:szCs w:val="18"/>
              </w:rPr>
            </w:pPr>
            <w:r w:rsidRPr="0063248C">
              <w:rPr>
                <w:rFonts w:cs="宋体"/>
                <w:sz w:val="18"/>
                <w:szCs w:val="18"/>
              </w:rPr>
              <w:t>王宋预处理技改</w:t>
            </w:r>
          </w:p>
        </w:tc>
        <w:tc>
          <w:tcPr>
            <w:tcW w:w="741" w:type="dxa"/>
            <w:tcBorders>
              <w:top w:val="single" w:sz="2" w:space="0" w:color="auto"/>
              <w:left w:val="single" w:sz="2" w:space="0" w:color="auto"/>
              <w:bottom w:val="single" w:sz="2" w:space="0" w:color="auto"/>
              <w:right w:val="single" w:sz="2" w:space="0" w:color="auto"/>
            </w:tcBorders>
            <w:vAlign w:val="center"/>
          </w:tcPr>
          <w:p w14:paraId="29331E10" w14:textId="77777777" w:rsidR="007B3DB2" w:rsidRPr="0063248C" w:rsidRDefault="00000000">
            <w:pPr>
              <w:spacing w:line="240" w:lineRule="exact"/>
              <w:jc w:val="right"/>
              <w:rPr>
                <w:rFonts w:cs="宋体"/>
                <w:sz w:val="18"/>
                <w:szCs w:val="18"/>
              </w:rPr>
            </w:pPr>
            <w:r w:rsidRPr="0063248C">
              <w:rPr>
                <w:rFonts w:cs="宋体"/>
                <w:sz w:val="18"/>
                <w:szCs w:val="18"/>
              </w:rPr>
              <w:t>300,000.00</w:t>
            </w:r>
          </w:p>
        </w:tc>
        <w:tc>
          <w:tcPr>
            <w:tcW w:w="741" w:type="dxa"/>
            <w:tcBorders>
              <w:top w:val="single" w:sz="2" w:space="0" w:color="auto"/>
              <w:left w:val="single" w:sz="2" w:space="0" w:color="auto"/>
              <w:bottom w:val="single" w:sz="2" w:space="0" w:color="auto"/>
              <w:right w:val="single" w:sz="2" w:space="0" w:color="auto"/>
            </w:tcBorders>
            <w:vAlign w:val="center"/>
          </w:tcPr>
          <w:p w14:paraId="291504C2" w14:textId="77777777" w:rsidR="007B3DB2" w:rsidRPr="0063248C" w:rsidRDefault="00000000">
            <w:pPr>
              <w:spacing w:line="240" w:lineRule="exact"/>
              <w:jc w:val="right"/>
              <w:rPr>
                <w:rFonts w:cs="宋体"/>
                <w:sz w:val="18"/>
                <w:szCs w:val="18"/>
              </w:rPr>
            </w:pPr>
            <w:r w:rsidRPr="0063248C">
              <w:rPr>
                <w:rFonts w:cs="宋体"/>
                <w:sz w:val="18"/>
                <w:szCs w:val="18"/>
              </w:rPr>
              <w:t>117,543.39</w:t>
            </w:r>
          </w:p>
        </w:tc>
        <w:tc>
          <w:tcPr>
            <w:tcW w:w="741" w:type="dxa"/>
            <w:tcBorders>
              <w:top w:val="single" w:sz="2" w:space="0" w:color="auto"/>
              <w:left w:val="single" w:sz="2" w:space="0" w:color="auto"/>
              <w:bottom w:val="single" w:sz="2" w:space="0" w:color="auto"/>
              <w:right w:val="single" w:sz="2" w:space="0" w:color="auto"/>
            </w:tcBorders>
            <w:vAlign w:val="center"/>
          </w:tcPr>
          <w:p w14:paraId="2664621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414D1F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DC8E6D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4CEA1F" w14:textId="77777777" w:rsidR="007B3DB2" w:rsidRPr="0063248C" w:rsidRDefault="00000000">
            <w:pPr>
              <w:spacing w:line="240" w:lineRule="exact"/>
              <w:jc w:val="right"/>
              <w:rPr>
                <w:rFonts w:cs="宋体"/>
                <w:sz w:val="18"/>
                <w:szCs w:val="18"/>
              </w:rPr>
            </w:pPr>
            <w:r w:rsidRPr="0063248C">
              <w:rPr>
                <w:rFonts w:cs="宋体"/>
                <w:sz w:val="18"/>
                <w:szCs w:val="18"/>
              </w:rPr>
              <w:t>117,543.39</w:t>
            </w:r>
          </w:p>
        </w:tc>
        <w:tc>
          <w:tcPr>
            <w:tcW w:w="741" w:type="dxa"/>
            <w:tcBorders>
              <w:top w:val="single" w:sz="2" w:space="0" w:color="auto"/>
              <w:left w:val="single" w:sz="2" w:space="0" w:color="auto"/>
              <w:bottom w:val="single" w:sz="2" w:space="0" w:color="auto"/>
              <w:right w:val="single" w:sz="2" w:space="0" w:color="auto"/>
            </w:tcBorders>
            <w:vAlign w:val="center"/>
          </w:tcPr>
          <w:p w14:paraId="44BE988E" w14:textId="77777777" w:rsidR="007B3DB2" w:rsidRPr="0063248C" w:rsidRDefault="00000000">
            <w:pPr>
              <w:spacing w:line="240" w:lineRule="exact"/>
              <w:jc w:val="right"/>
              <w:rPr>
                <w:rFonts w:cs="宋体"/>
                <w:sz w:val="18"/>
                <w:szCs w:val="18"/>
              </w:rPr>
            </w:pPr>
            <w:r w:rsidRPr="0063248C">
              <w:rPr>
                <w:rFonts w:cs="宋体"/>
                <w:sz w:val="18"/>
                <w:szCs w:val="18"/>
              </w:rPr>
              <w:t>39.18%</w:t>
            </w:r>
          </w:p>
        </w:tc>
        <w:tc>
          <w:tcPr>
            <w:tcW w:w="741" w:type="dxa"/>
            <w:tcBorders>
              <w:top w:val="single" w:sz="2" w:space="0" w:color="auto"/>
              <w:left w:val="single" w:sz="2" w:space="0" w:color="auto"/>
              <w:bottom w:val="single" w:sz="2" w:space="0" w:color="auto"/>
              <w:right w:val="single" w:sz="2" w:space="0" w:color="auto"/>
            </w:tcBorders>
            <w:vAlign w:val="center"/>
          </w:tcPr>
          <w:p w14:paraId="5EEF4BA3" w14:textId="77777777" w:rsidR="007B3DB2" w:rsidRPr="0063248C" w:rsidRDefault="00000000">
            <w:pPr>
              <w:spacing w:line="240" w:lineRule="exact"/>
              <w:rPr>
                <w:rFonts w:cs="宋体"/>
                <w:sz w:val="18"/>
                <w:szCs w:val="18"/>
              </w:rPr>
            </w:pPr>
            <w:r w:rsidRPr="0063248C">
              <w:rPr>
                <w:rFonts w:cs="宋体"/>
                <w:sz w:val="18"/>
                <w:szCs w:val="18"/>
              </w:rPr>
              <w:t>0.8</w:t>
            </w:r>
          </w:p>
        </w:tc>
        <w:tc>
          <w:tcPr>
            <w:tcW w:w="741" w:type="dxa"/>
            <w:tcBorders>
              <w:top w:val="single" w:sz="2" w:space="0" w:color="auto"/>
              <w:left w:val="single" w:sz="2" w:space="0" w:color="auto"/>
              <w:bottom w:val="single" w:sz="2" w:space="0" w:color="auto"/>
              <w:right w:val="single" w:sz="2" w:space="0" w:color="auto"/>
            </w:tcBorders>
            <w:vAlign w:val="center"/>
          </w:tcPr>
          <w:p w14:paraId="1D35941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B7E209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0B47D6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73C5FCA"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59D2400C"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4923778" w14:textId="77777777" w:rsidR="007B3DB2" w:rsidRPr="0063248C" w:rsidRDefault="00000000">
            <w:pPr>
              <w:spacing w:line="240" w:lineRule="exact"/>
              <w:rPr>
                <w:rFonts w:cs="宋体"/>
                <w:sz w:val="18"/>
                <w:szCs w:val="18"/>
              </w:rPr>
            </w:pPr>
            <w:r w:rsidRPr="0063248C">
              <w:rPr>
                <w:rFonts w:cs="宋体"/>
                <w:sz w:val="18"/>
                <w:szCs w:val="18"/>
              </w:rPr>
              <w:t>饲料厂钢结构大棚</w:t>
            </w:r>
          </w:p>
        </w:tc>
        <w:tc>
          <w:tcPr>
            <w:tcW w:w="741" w:type="dxa"/>
            <w:tcBorders>
              <w:top w:val="single" w:sz="2" w:space="0" w:color="auto"/>
              <w:left w:val="single" w:sz="2" w:space="0" w:color="auto"/>
              <w:bottom w:val="single" w:sz="2" w:space="0" w:color="auto"/>
              <w:right w:val="single" w:sz="2" w:space="0" w:color="auto"/>
            </w:tcBorders>
            <w:vAlign w:val="center"/>
          </w:tcPr>
          <w:p w14:paraId="3866DC92" w14:textId="77777777" w:rsidR="007B3DB2" w:rsidRPr="0063248C" w:rsidRDefault="00000000">
            <w:pPr>
              <w:spacing w:line="240" w:lineRule="exact"/>
              <w:jc w:val="right"/>
              <w:rPr>
                <w:rFonts w:cs="宋体"/>
                <w:sz w:val="18"/>
                <w:szCs w:val="18"/>
              </w:rPr>
            </w:pPr>
            <w:r w:rsidRPr="0063248C">
              <w:rPr>
                <w:rFonts w:cs="宋体"/>
                <w:sz w:val="18"/>
                <w:szCs w:val="18"/>
              </w:rPr>
              <w:t>170,600.00</w:t>
            </w:r>
          </w:p>
        </w:tc>
        <w:tc>
          <w:tcPr>
            <w:tcW w:w="741" w:type="dxa"/>
            <w:tcBorders>
              <w:top w:val="single" w:sz="2" w:space="0" w:color="auto"/>
              <w:left w:val="single" w:sz="2" w:space="0" w:color="auto"/>
              <w:bottom w:val="single" w:sz="2" w:space="0" w:color="auto"/>
              <w:right w:val="single" w:sz="2" w:space="0" w:color="auto"/>
            </w:tcBorders>
            <w:vAlign w:val="center"/>
          </w:tcPr>
          <w:p w14:paraId="5D28AF0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CD0294F" w14:textId="77777777" w:rsidR="007B3DB2" w:rsidRPr="0063248C" w:rsidRDefault="00000000">
            <w:pPr>
              <w:spacing w:line="240" w:lineRule="exact"/>
              <w:jc w:val="right"/>
              <w:rPr>
                <w:rFonts w:cs="宋体"/>
                <w:sz w:val="18"/>
                <w:szCs w:val="18"/>
              </w:rPr>
            </w:pPr>
            <w:r w:rsidRPr="0063248C">
              <w:rPr>
                <w:rFonts w:cs="宋体"/>
                <w:sz w:val="18"/>
                <w:szCs w:val="18"/>
              </w:rPr>
              <w:t>170,516.00</w:t>
            </w:r>
          </w:p>
        </w:tc>
        <w:tc>
          <w:tcPr>
            <w:tcW w:w="741" w:type="dxa"/>
            <w:tcBorders>
              <w:top w:val="single" w:sz="2" w:space="0" w:color="auto"/>
              <w:left w:val="single" w:sz="2" w:space="0" w:color="auto"/>
              <w:bottom w:val="single" w:sz="2" w:space="0" w:color="auto"/>
              <w:right w:val="single" w:sz="2" w:space="0" w:color="auto"/>
            </w:tcBorders>
            <w:vAlign w:val="center"/>
          </w:tcPr>
          <w:p w14:paraId="58CDC69D" w14:textId="77777777" w:rsidR="007B3DB2" w:rsidRPr="0063248C" w:rsidRDefault="00000000">
            <w:pPr>
              <w:spacing w:line="240" w:lineRule="exact"/>
              <w:jc w:val="right"/>
              <w:rPr>
                <w:rFonts w:cs="宋体"/>
                <w:sz w:val="18"/>
                <w:szCs w:val="18"/>
              </w:rPr>
            </w:pPr>
            <w:r w:rsidRPr="0063248C">
              <w:rPr>
                <w:rFonts w:cs="宋体"/>
                <w:sz w:val="18"/>
                <w:szCs w:val="18"/>
              </w:rPr>
              <w:t>170,516.00</w:t>
            </w:r>
          </w:p>
        </w:tc>
        <w:tc>
          <w:tcPr>
            <w:tcW w:w="741" w:type="dxa"/>
            <w:tcBorders>
              <w:top w:val="single" w:sz="2" w:space="0" w:color="auto"/>
              <w:left w:val="single" w:sz="2" w:space="0" w:color="auto"/>
              <w:bottom w:val="single" w:sz="2" w:space="0" w:color="auto"/>
              <w:right w:val="single" w:sz="2" w:space="0" w:color="auto"/>
            </w:tcBorders>
            <w:vAlign w:val="center"/>
          </w:tcPr>
          <w:p w14:paraId="69496C3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0CA865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3490FFE4" w14:textId="77777777" w:rsidR="007B3DB2" w:rsidRPr="0063248C" w:rsidRDefault="00000000">
            <w:pPr>
              <w:spacing w:line="240" w:lineRule="exact"/>
              <w:jc w:val="right"/>
              <w:rPr>
                <w:rFonts w:cs="宋体"/>
                <w:sz w:val="18"/>
                <w:szCs w:val="18"/>
              </w:rPr>
            </w:pPr>
            <w:r w:rsidRPr="0063248C">
              <w:rPr>
                <w:rFonts w:cs="宋体"/>
                <w:sz w:val="18"/>
                <w:szCs w:val="18"/>
              </w:rPr>
              <w:t>99.95%</w:t>
            </w:r>
          </w:p>
        </w:tc>
        <w:tc>
          <w:tcPr>
            <w:tcW w:w="741" w:type="dxa"/>
            <w:tcBorders>
              <w:top w:val="single" w:sz="2" w:space="0" w:color="auto"/>
              <w:left w:val="single" w:sz="2" w:space="0" w:color="auto"/>
              <w:bottom w:val="single" w:sz="2" w:space="0" w:color="auto"/>
              <w:right w:val="single" w:sz="2" w:space="0" w:color="auto"/>
            </w:tcBorders>
            <w:vAlign w:val="center"/>
          </w:tcPr>
          <w:p w14:paraId="39B59576" w14:textId="77777777" w:rsidR="007B3DB2" w:rsidRPr="0063248C" w:rsidRDefault="00000000">
            <w:pPr>
              <w:spacing w:line="240" w:lineRule="exact"/>
              <w:rPr>
                <w:rFonts w:cs="宋体"/>
                <w:sz w:val="18"/>
                <w:szCs w:val="18"/>
              </w:rPr>
            </w:pPr>
            <w:r w:rsidRPr="0063248C">
              <w:rPr>
                <w:rFonts w:cs="宋体"/>
                <w:sz w:val="18"/>
                <w:szCs w:val="18"/>
              </w:rPr>
              <w:t>1</w:t>
            </w:r>
          </w:p>
        </w:tc>
        <w:tc>
          <w:tcPr>
            <w:tcW w:w="741" w:type="dxa"/>
            <w:tcBorders>
              <w:top w:val="single" w:sz="2" w:space="0" w:color="auto"/>
              <w:left w:val="single" w:sz="2" w:space="0" w:color="auto"/>
              <w:bottom w:val="single" w:sz="2" w:space="0" w:color="auto"/>
              <w:right w:val="single" w:sz="2" w:space="0" w:color="auto"/>
            </w:tcBorders>
            <w:vAlign w:val="center"/>
          </w:tcPr>
          <w:p w14:paraId="06339C3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4FCEDB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637F8A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C4B8FA3"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73B9FAA2"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71EFF269" w14:textId="77777777" w:rsidR="007B3DB2" w:rsidRPr="0063248C" w:rsidRDefault="00000000">
            <w:pPr>
              <w:spacing w:line="240" w:lineRule="exact"/>
              <w:rPr>
                <w:rFonts w:cs="宋体"/>
                <w:sz w:val="18"/>
                <w:szCs w:val="18"/>
              </w:rPr>
            </w:pPr>
            <w:r w:rsidRPr="0063248C">
              <w:rPr>
                <w:rFonts w:cs="宋体"/>
                <w:sz w:val="18"/>
                <w:szCs w:val="18"/>
              </w:rPr>
              <w:t>苟格庄猪场</w:t>
            </w:r>
          </w:p>
        </w:tc>
        <w:tc>
          <w:tcPr>
            <w:tcW w:w="741" w:type="dxa"/>
            <w:tcBorders>
              <w:top w:val="single" w:sz="2" w:space="0" w:color="auto"/>
              <w:left w:val="single" w:sz="2" w:space="0" w:color="auto"/>
              <w:bottom w:val="single" w:sz="2" w:space="0" w:color="auto"/>
              <w:right w:val="single" w:sz="2" w:space="0" w:color="auto"/>
            </w:tcBorders>
            <w:vAlign w:val="center"/>
          </w:tcPr>
          <w:p w14:paraId="1D338F1F" w14:textId="77777777" w:rsidR="007B3DB2" w:rsidRPr="0063248C" w:rsidRDefault="00000000">
            <w:pPr>
              <w:spacing w:line="240" w:lineRule="exact"/>
              <w:jc w:val="right"/>
              <w:rPr>
                <w:rFonts w:cs="宋体"/>
                <w:sz w:val="18"/>
                <w:szCs w:val="18"/>
              </w:rPr>
            </w:pPr>
            <w:r w:rsidRPr="0063248C">
              <w:rPr>
                <w:rFonts w:cs="宋体"/>
                <w:sz w:val="18"/>
                <w:szCs w:val="18"/>
              </w:rPr>
              <w:t>185,831,700.00</w:t>
            </w:r>
          </w:p>
        </w:tc>
        <w:tc>
          <w:tcPr>
            <w:tcW w:w="741" w:type="dxa"/>
            <w:tcBorders>
              <w:top w:val="single" w:sz="2" w:space="0" w:color="auto"/>
              <w:left w:val="single" w:sz="2" w:space="0" w:color="auto"/>
              <w:bottom w:val="single" w:sz="2" w:space="0" w:color="auto"/>
              <w:right w:val="single" w:sz="2" w:space="0" w:color="auto"/>
            </w:tcBorders>
            <w:vAlign w:val="center"/>
          </w:tcPr>
          <w:p w14:paraId="5E065E2B" w14:textId="77777777" w:rsidR="007B3DB2" w:rsidRPr="0063248C" w:rsidRDefault="00000000">
            <w:pPr>
              <w:spacing w:line="240" w:lineRule="exact"/>
              <w:jc w:val="right"/>
              <w:rPr>
                <w:rFonts w:cs="宋体"/>
                <w:sz w:val="18"/>
                <w:szCs w:val="18"/>
              </w:rPr>
            </w:pPr>
            <w:r w:rsidRPr="0063248C">
              <w:rPr>
                <w:rFonts w:cs="宋体"/>
                <w:sz w:val="18"/>
                <w:szCs w:val="18"/>
              </w:rPr>
              <w:t>147,166,064.08</w:t>
            </w:r>
          </w:p>
        </w:tc>
        <w:tc>
          <w:tcPr>
            <w:tcW w:w="741" w:type="dxa"/>
            <w:tcBorders>
              <w:top w:val="single" w:sz="2" w:space="0" w:color="auto"/>
              <w:left w:val="single" w:sz="2" w:space="0" w:color="auto"/>
              <w:bottom w:val="single" w:sz="2" w:space="0" w:color="auto"/>
              <w:right w:val="single" w:sz="2" w:space="0" w:color="auto"/>
            </w:tcBorders>
            <w:vAlign w:val="center"/>
          </w:tcPr>
          <w:p w14:paraId="35578385" w14:textId="77777777" w:rsidR="007B3DB2" w:rsidRPr="0063248C" w:rsidRDefault="00000000">
            <w:pPr>
              <w:spacing w:line="240" w:lineRule="exact"/>
              <w:jc w:val="right"/>
              <w:rPr>
                <w:rFonts w:cs="宋体"/>
                <w:sz w:val="18"/>
                <w:szCs w:val="18"/>
              </w:rPr>
            </w:pPr>
            <w:r w:rsidRPr="0063248C">
              <w:rPr>
                <w:rFonts w:cs="宋体"/>
                <w:sz w:val="18"/>
                <w:szCs w:val="18"/>
              </w:rPr>
              <w:t>583,524.00</w:t>
            </w:r>
          </w:p>
        </w:tc>
        <w:tc>
          <w:tcPr>
            <w:tcW w:w="741" w:type="dxa"/>
            <w:tcBorders>
              <w:top w:val="single" w:sz="2" w:space="0" w:color="auto"/>
              <w:left w:val="single" w:sz="2" w:space="0" w:color="auto"/>
              <w:bottom w:val="single" w:sz="2" w:space="0" w:color="auto"/>
              <w:right w:val="single" w:sz="2" w:space="0" w:color="auto"/>
            </w:tcBorders>
            <w:vAlign w:val="center"/>
          </w:tcPr>
          <w:p w14:paraId="795D4E5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B94702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8A023EC" w14:textId="77777777" w:rsidR="007B3DB2" w:rsidRPr="0063248C" w:rsidRDefault="00000000">
            <w:pPr>
              <w:spacing w:line="240" w:lineRule="exact"/>
              <w:jc w:val="right"/>
              <w:rPr>
                <w:rFonts w:cs="宋体"/>
                <w:sz w:val="18"/>
                <w:szCs w:val="18"/>
              </w:rPr>
            </w:pPr>
            <w:r w:rsidRPr="0063248C">
              <w:rPr>
                <w:rFonts w:cs="宋体"/>
                <w:sz w:val="18"/>
                <w:szCs w:val="18"/>
              </w:rPr>
              <w:t>147,749,588.08</w:t>
            </w:r>
          </w:p>
        </w:tc>
        <w:tc>
          <w:tcPr>
            <w:tcW w:w="741" w:type="dxa"/>
            <w:tcBorders>
              <w:top w:val="single" w:sz="2" w:space="0" w:color="auto"/>
              <w:left w:val="single" w:sz="2" w:space="0" w:color="auto"/>
              <w:bottom w:val="single" w:sz="2" w:space="0" w:color="auto"/>
              <w:right w:val="single" w:sz="2" w:space="0" w:color="auto"/>
            </w:tcBorders>
            <w:vAlign w:val="center"/>
          </w:tcPr>
          <w:p w14:paraId="128EE9B5" w14:textId="77777777" w:rsidR="007B3DB2" w:rsidRPr="0063248C" w:rsidRDefault="00000000">
            <w:pPr>
              <w:spacing w:line="240" w:lineRule="exact"/>
              <w:jc w:val="right"/>
              <w:rPr>
                <w:rFonts w:cs="宋体"/>
                <w:sz w:val="18"/>
                <w:szCs w:val="18"/>
              </w:rPr>
            </w:pPr>
            <w:r w:rsidRPr="0063248C">
              <w:rPr>
                <w:rFonts w:cs="宋体"/>
                <w:sz w:val="18"/>
                <w:szCs w:val="18"/>
              </w:rPr>
              <w:t>79.51%</w:t>
            </w:r>
          </w:p>
        </w:tc>
        <w:tc>
          <w:tcPr>
            <w:tcW w:w="741" w:type="dxa"/>
            <w:tcBorders>
              <w:top w:val="single" w:sz="2" w:space="0" w:color="auto"/>
              <w:left w:val="single" w:sz="2" w:space="0" w:color="auto"/>
              <w:bottom w:val="single" w:sz="2" w:space="0" w:color="auto"/>
              <w:right w:val="single" w:sz="2" w:space="0" w:color="auto"/>
            </w:tcBorders>
            <w:vAlign w:val="center"/>
          </w:tcPr>
          <w:p w14:paraId="0FA8777C" w14:textId="77777777" w:rsidR="007B3DB2" w:rsidRPr="0063248C" w:rsidRDefault="00000000">
            <w:pPr>
              <w:spacing w:line="240" w:lineRule="exact"/>
              <w:rPr>
                <w:rFonts w:cs="宋体"/>
                <w:sz w:val="18"/>
                <w:szCs w:val="18"/>
              </w:rPr>
            </w:pPr>
            <w:r w:rsidRPr="0063248C">
              <w:rPr>
                <w:rFonts w:cs="宋体"/>
                <w:sz w:val="18"/>
                <w:szCs w:val="18"/>
              </w:rPr>
              <w:t>0.95</w:t>
            </w:r>
          </w:p>
        </w:tc>
        <w:tc>
          <w:tcPr>
            <w:tcW w:w="741" w:type="dxa"/>
            <w:tcBorders>
              <w:top w:val="single" w:sz="2" w:space="0" w:color="auto"/>
              <w:left w:val="single" w:sz="2" w:space="0" w:color="auto"/>
              <w:bottom w:val="single" w:sz="2" w:space="0" w:color="auto"/>
              <w:right w:val="single" w:sz="2" w:space="0" w:color="auto"/>
            </w:tcBorders>
            <w:vAlign w:val="center"/>
          </w:tcPr>
          <w:p w14:paraId="4CFC826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E235F4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E0B8AB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BD5CA2E"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691A063B"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0D11455" w14:textId="77777777" w:rsidR="007B3DB2" w:rsidRPr="0063248C" w:rsidRDefault="00000000">
            <w:pPr>
              <w:spacing w:line="240" w:lineRule="exact"/>
              <w:rPr>
                <w:rFonts w:cs="宋体"/>
                <w:sz w:val="18"/>
                <w:szCs w:val="18"/>
              </w:rPr>
            </w:pPr>
            <w:r w:rsidRPr="0063248C">
              <w:rPr>
                <w:rFonts w:cs="宋体"/>
                <w:sz w:val="18"/>
                <w:szCs w:val="18"/>
              </w:rPr>
              <w:t>苟格庄猪场水井</w:t>
            </w:r>
          </w:p>
        </w:tc>
        <w:tc>
          <w:tcPr>
            <w:tcW w:w="741" w:type="dxa"/>
            <w:tcBorders>
              <w:top w:val="single" w:sz="2" w:space="0" w:color="auto"/>
              <w:left w:val="single" w:sz="2" w:space="0" w:color="auto"/>
              <w:bottom w:val="single" w:sz="2" w:space="0" w:color="auto"/>
              <w:right w:val="single" w:sz="2" w:space="0" w:color="auto"/>
            </w:tcBorders>
            <w:vAlign w:val="center"/>
          </w:tcPr>
          <w:p w14:paraId="3005E7E8" w14:textId="77777777" w:rsidR="007B3DB2" w:rsidRPr="0063248C" w:rsidRDefault="00000000">
            <w:pPr>
              <w:spacing w:line="240" w:lineRule="exact"/>
              <w:jc w:val="right"/>
              <w:rPr>
                <w:rFonts w:cs="宋体"/>
                <w:sz w:val="18"/>
                <w:szCs w:val="18"/>
              </w:rPr>
            </w:pPr>
            <w:r w:rsidRPr="0063248C">
              <w:rPr>
                <w:rFonts w:cs="宋体"/>
                <w:sz w:val="18"/>
                <w:szCs w:val="18"/>
              </w:rPr>
              <w:t>1,060,936.00</w:t>
            </w:r>
          </w:p>
        </w:tc>
        <w:tc>
          <w:tcPr>
            <w:tcW w:w="741" w:type="dxa"/>
            <w:tcBorders>
              <w:top w:val="single" w:sz="2" w:space="0" w:color="auto"/>
              <w:left w:val="single" w:sz="2" w:space="0" w:color="auto"/>
              <w:bottom w:val="single" w:sz="2" w:space="0" w:color="auto"/>
              <w:right w:val="single" w:sz="2" w:space="0" w:color="auto"/>
            </w:tcBorders>
            <w:vAlign w:val="center"/>
          </w:tcPr>
          <w:p w14:paraId="6D9E7FC0" w14:textId="77777777" w:rsidR="007B3DB2" w:rsidRPr="0063248C" w:rsidRDefault="00000000">
            <w:pPr>
              <w:spacing w:line="240" w:lineRule="exact"/>
              <w:jc w:val="right"/>
              <w:rPr>
                <w:rFonts w:cs="宋体"/>
                <w:sz w:val="18"/>
                <w:szCs w:val="18"/>
              </w:rPr>
            </w:pPr>
            <w:r w:rsidRPr="0063248C">
              <w:rPr>
                <w:rFonts w:cs="宋体"/>
                <w:sz w:val="18"/>
                <w:szCs w:val="18"/>
              </w:rPr>
              <w:t>960,936.00</w:t>
            </w:r>
          </w:p>
        </w:tc>
        <w:tc>
          <w:tcPr>
            <w:tcW w:w="741" w:type="dxa"/>
            <w:tcBorders>
              <w:top w:val="single" w:sz="2" w:space="0" w:color="auto"/>
              <w:left w:val="single" w:sz="2" w:space="0" w:color="auto"/>
              <w:bottom w:val="single" w:sz="2" w:space="0" w:color="auto"/>
              <w:right w:val="single" w:sz="2" w:space="0" w:color="auto"/>
            </w:tcBorders>
            <w:vAlign w:val="center"/>
          </w:tcPr>
          <w:p w14:paraId="7497EC1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34964F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B2D7C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50DDAA6" w14:textId="77777777" w:rsidR="007B3DB2" w:rsidRPr="0063248C" w:rsidRDefault="00000000">
            <w:pPr>
              <w:spacing w:line="240" w:lineRule="exact"/>
              <w:jc w:val="right"/>
              <w:rPr>
                <w:rFonts w:cs="宋体"/>
                <w:sz w:val="18"/>
                <w:szCs w:val="18"/>
              </w:rPr>
            </w:pPr>
            <w:r w:rsidRPr="0063248C">
              <w:rPr>
                <w:rFonts w:cs="宋体"/>
                <w:sz w:val="18"/>
                <w:szCs w:val="18"/>
              </w:rPr>
              <w:t>960,936.00</w:t>
            </w:r>
          </w:p>
        </w:tc>
        <w:tc>
          <w:tcPr>
            <w:tcW w:w="741" w:type="dxa"/>
            <w:tcBorders>
              <w:top w:val="single" w:sz="2" w:space="0" w:color="auto"/>
              <w:left w:val="single" w:sz="2" w:space="0" w:color="auto"/>
              <w:bottom w:val="single" w:sz="2" w:space="0" w:color="auto"/>
              <w:right w:val="single" w:sz="2" w:space="0" w:color="auto"/>
            </w:tcBorders>
            <w:vAlign w:val="center"/>
          </w:tcPr>
          <w:p w14:paraId="6F89D07E" w14:textId="77777777" w:rsidR="007B3DB2" w:rsidRPr="0063248C" w:rsidRDefault="00000000">
            <w:pPr>
              <w:spacing w:line="240" w:lineRule="exact"/>
              <w:jc w:val="right"/>
              <w:rPr>
                <w:rFonts w:cs="宋体"/>
                <w:sz w:val="18"/>
                <w:szCs w:val="18"/>
              </w:rPr>
            </w:pPr>
            <w:r w:rsidRPr="0063248C">
              <w:rPr>
                <w:rFonts w:cs="宋体"/>
                <w:sz w:val="18"/>
                <w:szCs w:val="18"/>
              </w:rPr>
              <w:t>90.57%</w:t>
            </w:r>
          </w:p>
        </w:tc>
        <w:tc>
          <w:tcPr>
            <w:tcW w:w="741" w:type="dxa"/>
            <w:tcBorders>
              <w:top w:val="single" w:sz="2" w:space="0" w:color="auto"/>
              <w:left w:val="single" w:sz="2" w:space="0" w:color="auto"/>
              <w:bottom w:val="single" w:sz="2" w:space="0" w:color="auto"/>
              <w:right w:val="single" w:sz="2" w:space="0" w:color="auto"/>
            </w:tcBorders>
            <w:vAlign w:val="center"/>
          </w:tcPr>
          <w:p w14:paraId="151068D6" w14:textId="77777777" w:rsidR="007B3DB2" w:rsidRPr="0063248C" w:rsidRDefault="00000000">
            <w:pPr>
              <w:spacing w:line="240" w:lineRule="exact"/>
              <w:rPr>
                <w:rFonts w:cs="宋体"/>
                <w:sz w:val="18"/>
                <w:szCs w:val="18"/>
              </w:rPr>
            </w:pPr>
            <w:r w:rsidRPr="0063248C">
              <w:rPr>
                <w:rFonts w:cs="宋体"/>
                <w:sz w:val="18"/>
                <w:szCs w:val="18"/>
              </w:rPr>
              <w:t>0.95</w:t>
            </w:r>
          </w:p>
        </w:tc>
        <w:tc>
          <w:tcPr>
            <w:tcW w:w="741" w:type="dxa"/>
            <w:tcBorders>
              <w:top w:val="single" w:sz="2" w:space="0" w:color="auto"/>
              <w:left w:val="single" w:sz="2" w:space="0" w:color="auto"/>
              <w:bottom w:val="single" w:sz="2" w:space="0" w:color="auto"/>
              <w:right w:val="single" w:sz="2" w:space="0" w:color="auto"/>
            </w:tcBorders>
            <w:vAlign w:val="center"/>
          </w:tcPr>
          <w:p w14:paraId="3192A55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1DE055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D80F6A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7829EFB"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0DAB2647"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266DF9CD" w14:textId="77777777" w:rsidR="007B3DB2" w:rsidRPr="0063248C" w:rsidRDefault="00000000">
            <w:pPr>
              <w:spacing w:line="240" w:lineRule="exact"/>
              <w:rPr>
                <w:rFonts w:cs="宋体"/>
                <w:sz w:val="18"/>
                <w:szCs w:val="18"/>
              </w:rPr>
            </w:pPr>
            <w:r w:rsidRPr="0063248C">
              <w:rPr>
                <w:rFonts w:cs="宋体"/>
                <w:sz w:val="18"/>
                <w:szCs w:val="18"/>
              </w:rPr>
              <w:t>苟格庄猪场道路</w:t>
            </w:r>
          </w:p>
        </w:tc>
        <w:tc>
          <w:tcPr>
            <w:tcW w:w="741" w:type="dxa"/>
            <w:tcBorders>
              <w:top w:val="single" w:sz="2" w:space="0" w:color="auto"/>
              <w:left w:val="single" w:sz="2" w:space="0" w:color="auto"/>
              <w:bottom w:val="single" w:sz="2" w:space="0" w:color="auto"/>
              <w:right w:val="single" w:sz="2" w:space="0" w:color="auto"/>
            </w:tcBorders>
            <w:vAlign w:val="center"/>
          </w:tcPr>
          <w:p w14:paraId="6414E451" w14:textId="77777777" w:rsidR="007B3DB2" w:rsidRPr="0063248C" w:rsidRDefault="00000000">
            <w:pPr>
              <w:spacing w:line="240" w:lineRule="exact"/>
              <w:jc w:val="right"/>
              <w:rPr>
                <w:rFonts w:cs="宋体"/>
                <w:sz w:val="18"/>
                <w:szCs w:val="18"/>
              </w:rPr>
            </w:pPr>
            <w:r w:rsidRPr="0063248C">
              <w:rPr>
                <w:rFonts w:cs="宋体"/>
                <w:sz w:val="18"/>
                <w:szCs w:val="18"/>
              </w:rPr>
              <w:t>1,038,088.42</w:t>
            </w:r>
          </w:p>
        </w:tc>
        <w:tc>
          <w:tcPr>
            <w:tcW w:w="741" w:type="dxa"/>
            <w:tcBorders>
              <w:top w:val="single" w:sz="2" w:space="0" w:color="auto"/>
              <w:left w:val="single" w:sz="2" w:space="0" w:color="auto"/>
              <w:bottom w:val="single" w:sz="2" w:space="0" w:color="auto"/>
              <w:right w:val="single" w:sz="2" w:space="0" w:color="auto"/>
            </w:tcBorders>
            <w:vAlign w:val="center"/>
          </w:tcPr>
          <w:p w14:paraId="1087F622" w14:textId="77777777" w:rsidR="007B3DB2" w:rsidRPr="0063248C" w:rsidRDefault="00000000">
            <w:pPr>
              <w:spacing w:line="240" w:lineRule="exact"/>
              <w:jc w:val="right"/>
              <w:rPr>
                <w:rFonts w:cs="宋体"/>
                <w:sz w:val="18"/>
                <w:szCs w:val="18"/>
              </w:rPr>
            </w:pPr>
            <w:r w:rsidRPr="0063248C">
              <w:rPr>
                <w:rFonts w:cs="宋体"/>
                <w:sz w:val="18"/>
                <w:szCs w:val="18"/>
              </w:rPr>
              <w:t>1,824,088.42</w:t>
            </w:r>
          </w:p>
        </w:tc>
        <w:tc>
          <w:tcPr>
            <w:tcW w:w="741" w:type="dxa"/>
            <w:tcBorders>
              <w:top w:val="single" w:sz="2" w:space="0" w:color="auto"/>
              <w:left w:val="single" w:sz="2" w:space="0" w:color="auto"/>
              <w:bottom w:val="single" w:sz="2" w:space="0" w:color="auto"/>
              <w:right w:val="single" w:sz="2" w:space="0" w:color="auto"/>
            </w:tcBorders>
            <w:vAlign w:val="center"/>
          </w:tcPr>
          <w:p w14:paraId="4AFA2FB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B06917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60795B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C066CC3" w14:textId="77777777" w:rsidR="007B3DB2" w:rsidRPr="0063248C" w:rsidRDefault="00000000">
            <w:pPr>
              <w:spacing w:line="240" w:lineRule="exact"/>
              <w:jc w:val="right"/>
              <w:rPr>
                <w:rFonts w:cs="宋体"/>
                <w:sz w:val="18"/>
                <w:szCs w:val="18"/>
              </w:rPr>
            </w:pPr>
            <w:r w:rsidRPr="0063248C">
              <w:rPr>
                <w:rFonts w:cs="宋体"/>
                <w:sz w:val="18"/>
                <w:szCs w:val="18"/>
              </w:rPr>
              <w:t>1,824,088.42</w:t>
            </w:r>
          </w:p>
        </w:tc>
        <w:tc>
          <w:tcPr>
            <w:tcW w:w="741" w:type="dxa"/>
            <w:tcBorders>
              <w:top w:val="single" w:sz="2" w:space="0" w:color="auto"/>
              <w:left w:val="single" w:sz="2" w:space="0" w:color="auto"/>
              <w:bottom w:val="single" w:sz="2" w:space="0" w:color="auto"/>
              <w:right w:val="single" w:sz="2" w:space="0" w:color="auto"/>
            </w:tcBorders>
            <w:vAlign w:val="center"/>
          </w:tcPr>
          <w:p w14:paraId="0D8736EE" w14:textId="77777777" w:rsidR="007B3DB2" w:rsidRPr="0063248C" w:rsidRDefault="00000000">
            <w:pPr>
              <w:spacing w:line="240" w:lineRule="exact"/>
              <w:jc w:val="right"/>
              <w:rPr>
                <w:rFonts w:cs="宋体"/>
                <w:sz w:val="18"/>
                <w:szCs w:val="18"/>
              </w:rPr>
            </w:pPr>
            <w:r w:rsidRPr="0063248C">
              <w:rPr>
                <w:rFonts w:cs="宋体"/>
                <w:sz w:val="18"/>
                <w:szCs w:val="18"/>
              </w:rPr>
              <w:t>175.72%</w:t>
            </w:r>
          </w:p>
        </w:tc>
        <w:tc>
          <w:tcPr>
            <w:tcW w:w="741" w:type="dxa"/>
            <w:tcBorders>
              <w:top w:val="single" w:sz="2" w:space="0" w:color="auto"/>
              <w:left w:val="single" w:sz="2" w:space="0" w:color="auto"/>
              <w:bottom w:val="single" w:sz="2" w:space="0" w:color="auto"/>
              <w:right w:val="single" w:sz="2" w:space="0" w:color="auto"/>
            </w:tcBorders>
            <w:vAlign w:val="center"/>
          </w:tcPr>
          <w:p w14:paraId="175303E2" w14:textId="77777777" w:rsidR="007B3DB2" w:rsidRPr="0063248C" w:rsidRDefault="00000000">
            <w:pPr>
              <w:spacing w:line="240" w:lineRule="exact"/>
              <w:rPr>
                <w:rFonts w:cs="宋体"/>
                <w:sz w:val="18"/>
                <w:szCs w:val="18"/>
              </w:rPr>
            </w:pPr>
            <w:r w:rsidRPr="0063248C">
              <w:rPr>
                <w:rFonts w:cs="宋体"/>
                <w:sz w:val="18"/>
                <w:szCs w:val="18"/>
              </w:rPr>
              <w:t>0.98</w:t>
            </w:r>
          </w:p>
        </w:tc>
        <w:tc>
          <w:tcPr>
            <w:tcW w:w="741" w:type="dxa"/>
            <w:tcBorders>
              <w:top w:val="single" w:sz="2" w:space="0" w:color="auto"/>
              <w:left w:val="single" w:sz="2" w:space="0" w:color="auto"/>
              <w:bottom w:val="single" w:sz="2" w:space="0" w:color="auto"/>
              <w:right w:val="single" w:sz="2" w:space="0" w:color="auto"/>
            </w:tcBorders>
            <w:vAlign w:val="center"/>
          </w:tcPr>
          <w:p w14:paraId="66C8AA2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B3464B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408DCC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30ABAC0"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54088A9B"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79E8330D" w14:textId="77777777" w:rsidR="007B3DB2" w:rsidRPr="0063248C" w:rsidRDefault="00000000">
            <w:pPr>
              <w:spacing w:line="240" w:lineRule="exact"/>
              <w:rPr>
                <w:rFonts w:cs="宋体"/>
                <w:sz w:val="18"/>
                <w:szCs w:val="18"/>
              </w:rPr>
            </w:pPr>
            <w:r w:rsidRPr="0063248C">
              <w:rPr>
                <w:rFonts w:cs="宋体"/>
                <w:sz w:val="18"/>
                <w:szCs w:val="18"/>
              </w:rPr>
              <w:t>苟格庄</w:t>
            </w:r>
            <w:r w:rsidRPr="0063248C">
              <w:rPr>
                <w:rFonts w:cs="宋体"/>
                <w:sz w:val="18"/>
                <w:szCs w:val="18"/>
              </w:rPr>
              <w:t>10KV</w:t>
            </w:r>
            <w:r w:rsidRPr="0063248C">
              <w:rPr>
                <w:rFonts w:cs="宋体"/>
                <w:sz w:val="18"/>
                <w:szCs w:val="18"/>
              </w:rPr>
              <w:t>线路工程</w:t>
            </w:r>
          </w:p>
        </w:tc>
        <w:tc>
          <w:tcPr>
            <w:tcW w:w="741" w:type="dxa"/>
            <w:tcBorders>
              <w:top w:val="single" w:sz="2" w:space="0" w:color="auto"/>
              <w:left w:val="single" w:sz="2" w:space="0" w:color="auto"/>
              <w:bottom w:val="single" w:sz="2" w:space="0" w:color="auto"/>
              <w:right w:val="single" w:sz="2" w:space="0" w:color="auto"/>
            </w:tcBorders>
            <w:vAlign w:val="center"/>
          </w:tcPr>
          <w:p w14:paraId="5BFB81F1" w14:textId="77777777" w:rsidR="007B3DB2" w:rsidRPr="0063248C" w:rsidRDefault="00000000">
            <w:pPr>
              <w:spacing w:line="240" w:lineRule="exact"/>
              <w:jc w:val="right"/>
              <w:rPr>
                <w:rFonts w:cs="宋体"/>
                <w:sz w:val="18"/>
                <w:szCs w:val="18"/>
              </w:rPr>
            </w:pPr>
            <w:r w:rsidRPr="0063248C">
              <w:rPr>
                <w:rFonts w:cs="宋体"/>
                <w:sz w:val="18"/>
                <w:szCs w:val="18"/>
              </w:rPr>
              <w:t>502,000.00</w:t>
            </w:r>
          </w:p>
        </w:tc>
        <w:tc>
          <w:tcPr>
            <w:tcW w:w="741" w:type="dxa"/>
            <w:tcBorders>
              <w:top w:val="single" w:sz="2" w:space="0" w:color="auto"/>
              <w:left w:val="single" w:sz="2" w:space="0" w:color="auto"/>
              <w:bottom w:val="single" w:sz="2" w:space="0" w:color="auto"/>
              <w:right w:val="single" w:sz="2" w:space="0" w:color="auto"/>
            </w:tcBorders>
            <w:vAlign w:val="center"/>
          </w:tcPr>
          <w:p w14:paraId="5AB4DD15" w14:textId="77777777" w:rsidR="007B3DB2" w:rsidRPr="0063248C" w:rsidRDefault="00000000">
            <w:pPr>
              <w:spacing w:line="240" w:lineRule="exact"/>
              <w:jc w:val="right"/>
              <w:rPr>
                <w:rFonts w:cs="宋体"/>
                <w:sz w:val="18"/>
                <w:szCs w:val="18"/>
              </w:rPr>
            </w:pPr>
            <w:r w:rsidRPr="0063248C">
              <w:rPr>
                <w:rFonts w:cs="宋体"/>
                <w:sz w:val="18"/>
                <w:szCs w:val="18"/>
              </w:rPr>
              <w:t>502,000.00</w:t>
            </w:r>
          </w:p>
        </w:tc>
        <w:tc>
          <w:tcPr>
            <w:tcW w:w="741" w:type="dxa"/>
            <w:tcBorders>
              <w:top w:val="single" w:sz="2" w:space="0" w:color="auto"/>
              <w:left w:val="single" w:sz="2" w:space="0" w:color="auto"/>
              <w:bottom w:val="single" w:sz="2" w:space="0" w:color="auto"/>
              <w:right w:val="single" w:sz="2" w:space="0" w:color="auto"/>
            </w:tcBorders>
            <w:vAlign w:val="center"/>
          </w:tcPr>
          <w:p w14:paraId="679242F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1211EB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EA3D91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ECB8725" w14:textId="77777777" w:rsidR="007B3DB2" w:rsidRPr="0063248C" w:rsidRDefault="00000000">
            <w:pPr>
              <w:spacing w:line="240" w:lineRule="exact"/>
              <w:jc w:val="right"/>
              <w:rPr>
                <w:rFonts w:cs="宋体"/>
                <w:sz w:val="18"/>
                <w:szCs w:val="18"/>
              </w:rPr>
            </w:pPr>
            <w:r w:rsidRPr="0063248C">
              <w:rPr>
                <w:rFonts w:cs="宋体"/>
                <w:sz w:val="18"/>
                <w:szCs w:val="18"/>
              </w:rPr>
              <w:t>502,000.00</w:t>
            </w:r>
          </w:p>
        </w:tc>
        <w:tc>
          <w:tcPr>
            <w:tcW w:w="741" w:type="dxa"/>
            <w:tcBorders>
              <w:top w:val="single" w:sz="2" w:space="0" w:color="auto"/>
              <w:left w:val="single" w:sz="2" w:space="0" w:color="auto"/>
              <w:bottom w:val="single" w:sz="2" w:space="0" w:color="auto"/>
              <w:right w:val="single" w:sz="2" w:space="0" w:color="auto"/>
            </w:tcBorders>
            <w:vAlign w:val="center"/>
          </w:tcPr>
          <w:p w14:paraId="310C56BB"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14:paraId="416817EE" w14:textId="77777777" w:rsidR="007B3DB2" w:rsidRPr="0063248C" w:rsidRDefault="00000000">
            <w:pPr>
              <w:spacing w:line="240" w:lineRule="exact"/>
              <w:rPr>
                <w:rFonts w:cs="宋体"/>
                <w:sz w:val="18"/>
                <w:szCs w:val="18"/>
              </w:rPr>
            </w:pPr>
            <w:r w:rsidRPr="0063248C">
              <w:rPr>
                <w:rFonts w:cs="宋体"/>
                <w:sz w:val="18"/>
                <w:szCs w:val="18"/>
              </w:rPr>
              <w:t>0.99</w:t>
            </w:r>
          </w:p>
        </w:tc>
        <w:tc>
          <w:tcPr>
            <w:tcW w:w="741" w:type="dxa"/>
            <w:tcBorders>
              <w:top w:val="single" w:sz="2" w:space="0" w:color="auto"/>
              <w:left w:val="single" w:sz="2" w:space="0" w:color="auto"/>
              <w:bottom w:val="single" w:sz="2" w:space="0" w:color="auto"/>
              <w:right w:val="single" w:sz="2" w:space="0" w:color="auto"/>
            </w:tcBorders>
            <w:vAlign w:val="center"/>
          </w:tcPr>
          <w:p w14:paraId="516AD0B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9D4D7D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56A10A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10DA891"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757F445E"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66BA4488" w14:textId="77777777" w:rsidR="007B3DB2" w:rsidRPr="0063248C" w:rsidRDefault="00000000">
            <w:pPr>
              <w:spacing w:line="240" w:lineRule="exact"/>
              <w:rPr>
                <w:rFonts w:cs="宋体"/>
                <w:sz w:val="18"/>
                <w:szCs w:val="18"/>
              </w:rPr>
            </w:pPr>
            <w:r w:rsidRPr="0063248C">
              <w:rPr>
                <w:rFonts w:cs="宋体"/>
                <w:sz w:val="18"/>
                <w:szCs w:val="18"/>
              </w:rPr>
              <w:t>苟格庄</w:t>
            </w:r>
            <w:r w:rsidRPr="0063248C">
              <w:rPr>
                <w:rFonts w:cs="宋体"/>
                <w:sz w:val="18"/>
                <w:szCs w:val="18"/>
              </w:rPr>
              <w:t>10KV</w:t>
            </w:r>
            <w:r w:rsidRPr="0063248C">
              <w:rPr>
                <w:rFonts w:cs="宋体"/>
                <w:sz w:val="18"/>
                <w:szCs w:val="18"/>
              </w:rPr>
              <w:t>配电室</w:t>
            </w:r>
          </w:p>
        </w:tc>
        <w:tc>
          <w:tcPr>
            <w:tcW w:w="741" w:type="dxa"/>
            <w:tcBorders>
              <w:top w:val="single" w:sz="2" w:space="0" w:color="auto"/>
              <w:left w:val="single" w:sz="2" w:space="0" w:color="auto"/>
              <w:bottom w:val="single" w:sz="2" w:space="0" w:color="auto"/>
              <w:right w:val="single" w:sz="2" w:space="0" w:color="auto"/>
            </w:tcBorders>
            <w:vAlign w:val="center"/>
          </w:tcPr>
          <w:p w14:paraId="12E408A6" w14:textId="77777777" w:rsidR="007B3DB2" w:rsidRPr="0063248C" w:rsidRDefault="00000000">
            <w:pPr>
              <w:spacing w:line="240" w:lineRule="exact"/>
              <w:jc w:val="right"/>
              <w:rPr>
                <w:rFonts w:cs="宋体"/>
                <w:sz w:val="18"/>
                <w:szCs w:val="18"/>
              </w:rPr>
            </w:pPr>
            <w:r w:rsidRPr="0063248C">
              <w:rPr>
                <w:rFonts w:cs="宋体"/>
                <w:sz w:val="18"/>
                <w:szCs w:val="18"/>
              </w:rPr>
              <w:t>1,726,250.29</w:t>
            </w:r>
          </w:p>
        </w:tc>
        <w:tc>
          <w:tcPr>
            <w:tcW w:w="741" w:type="dxa"/>
            <w:tcBorders>
              <w:top w:val="single" w:sz="2" w:space="0" w:color="auto"/>
              <w:left w:val="single" w:sz="2" w:space="0" w:color="auto"/>
              <w:bottom w:val="single" w:sz="2" w:space="0" w:color="auto"/>
              <w:right w:val="single" w:sz="2" w:space="0" w:color="auto"/>
            </w:tcBorders>
            <w:vAlign w:val="center"/>
          </w:tcPr>
          <w:p w14:paraId="512C89B7" w14:textId="77777777" w:rsidR="007B3DB2" w:rsidRPr="0063248C" w:rsidRDefault="00000000">
            <w:pPr>
              <w:spacing w:line="240" w:lineRule="exact"/>
              <w:jc w:val="right"/>
              <w:rPr>
                <w:rFonts w:cs="宋体"/>
                <w:sz w:val="18"/>
                <w:szCs w:val="18"/>
              </w:rPr>
            </w:pPr>
            <w:r w:rsidRPr="0063248C">
              <w:rPr>
                <w:rFonts w:cs="宋体"/>
                <w:sz w:val="18"/>
                <w:szCs w:val="18"/>
              </w:rPr>
              <w:t>1,726,250.29</w:t>
            </w:r>
          </w:p>
        </w:tc>
        <w:tc>
          <w:tcPr>
            <w:tcW w:w="741" w:type="dxa"/>
            <w:tcBorders>
              <w:top w:val="single" w:sz="2" w:space="0" w:color="auto"/>
              <w:left w:val="single" w:sz="2" w:space="0" w:color="auto"/>
              <w:bottom w:val="single" w:sz="2" w:space="0" w:color="auto"/>
              <w:right w:val="single" w:sz="2" w:space="0" w:color="auto"/>
            </w:tcBorders>
            <w:vAlign w:val="center"/>
          </w:tcPr>
          <w:p w14:paraId="34AC214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A85549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80A2C3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94F4F9D" w14:textId="77777777" w:rsidR="007B3DB2" w:rsidRPr="0063248C" w:rsidRDefault="00000000">
            <w:pPr>
              <w:spacing w:line="240" w:lineRule="exact"/>
              <w:jc w:val="right"/>
              <w:rPr>
                <w:rFonts w:cs="宋体"/>
                <w:sz w:val="18"/>
                <w:szCs w:val="18"/>
              </w:rPr>
            </w:pPr>
            <w:r w:rsidRPr="0063248C">
              <w:rPr>
                <w:rFonts w:cs="宋体"/>
                <w:sz w:val="18"/>
                <w:szCs w:val="18"/>
              </w:rPr>
              <w:t>1,726,250.29</w:t>
            </w:r>
          </w:p>
        </w:tc>
        <w:tc>
          <w:tcPr>
            <w:tcW w:w="741" w:type="dxa"/>
            <w:tcBorders>
              <w:top w:val="single" w:sz="2" w:space="0" w:color="auto"/>
              <w:left w:val="single" w:sz="2" w:space="0" w:color="auto"/>
              <w:bottom w:val="single" w:sz="2" w:space="0" w:color="auto"/>
              <w:right w:val="single" w:sz="2" w:space="0" w:color="auto"/>
            </w:tcBorders>
            <w:vAlign w:val="center"/>
          </w:tcPr>
          <w:p w14:paraId="32AE09D6"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14:paraId="59BC1B60" w14:textId="77777777" w:rsidR="007B3DB2" w:rsidRPr="0063248C" w:rsidRDefault="00000000">
            <w:pPr>
              <w:spacing w:line="240" w:lineRule="exact"/>
              <w:rPr>
                <w:rFonts w:cs="宋体"/>
                <w:sz w:val="18"/>
                <w:szCs w:val="18"/>
              </w:rPr>
            </w:pPr>
            <w:r w:rsidRPr="0063248C">
              <w:rPr>
                <w:rFonts w:cs="宋体"/>
                <w:sz w:val="18"/>
                <w:szCs w:val="18"/>
              </w:rPr>
              <w:t>0.98</w:t>
            </w:r>
          </w:p>
        </w:tc>
        <w:tc>
          <w:tcPr>
            <w:tcW w:w="741" w:type="dxa"/>
            <w:tcBorders>
              <w:top w:val="single" w:sz="2" w:space="0" w:color="auto"/>
              <w:left w:val="single" w:sz="2" w:space="0" w:color="auto"/>
              <w:bottom w:val="single" w:sz="2" w:space="0" w:color="auto"/>
              <w:right w:val="single" w:sz="2" w:space="0" w:color="auto"/>
            </w:tcBorders>
            <w:vAlign w:val="center"/>
          </w:tcPr>
          <w:p w14:paraId="20731A6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AC8A3C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E40ED2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BD5D5FE"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380A1DF7"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2E6EB4D9" w14:textId="77777777" w:rsidR="007B3DB2" w:rsidRPr="0063248C" w:rsidRDefault="00000000">
            <w:pPr>
              <w:spacing w:line="240" w:lineRule="exact"/>
              <w:rPr>
                <w:rFonts w:cs="宋体"/>
                <w:sz w:val="18"/>
                <w:szCs w:val="18"/>
              </w:rPr>
            </w:pPr>
            <w:r w:rsidRPr="0063248C">
              <w:rPr>
                <w:rFonts w:cs="宋体"/>
                <w:sz w:val="18"/>
                <w:szCs w:val="18"/>
              </w:rPr>
              <w:t>苟格庄猪场污水站</w:t>
            </w:r>
          </w:p>
        </w:tc>
        <w:tc>
          <w:tcPr>
            <w:tcW w:w="741" w:type="dxa"/>
            <w:tcBorders>
              <w:top w:val="single" w:sz="2" w:space="0" w:color="auto"/>
              <w:left w:val="single" w:sz="2" w:space="0" w:color="auto"/>
              <w:bottom w:val="single" w:sz="2" w:space="0" w:color="auto"/>
              <w:right w:val="single" w:sz="2" w:space="0" w:color="auto"/>
            </w:tcBorders>
            <w:vAlign w:val="center"/>
          </w:tcPr>
          <w:p w14:paraId="681CB57B" w14:textId="77777777" w:rsidR="007B3DB2" w:rsidRPr="0063248C" w:rsidRDefault="00000000">
            <w:pPr>
              <w:spacing w:line="240" w:lineRule="exact"/>
              <w:jc w:val="right"/>
              <w:rPr>
                <w:rFonts w:cs="宋体"/>
                <w:sz w:val="18"/>
                <w:szCs w:val="18"/>
              </w:rPr>
            </w:pPr>
            <w:r w:rsidRPr="0063248C">
              <w:rPr>
                <w:rFonts w:cs="宋体"/>
                <w:sz w:val="18"/>
                <w:szCs w:val="18"/>
              </w:rPr>
              <w:t>11,230,000.00</w:t>
            </w:r>
          </w:p>
        </w:tc>
        <w:tc>
          <w:tcPr>
            <w:tcW w:w="741" w:type="dxa"/>
            <w:tcBorders>
              <w:top w:val="single" w:sz="2" w:space="0" w:color="auto"/>
              <w:left w:val="single" w:sz="2" w:space="0" w:color="auto"/>
              <w:bottom w:val="single" w:sz="2" w:space="0" w:color="auto"/>
              <w:right w:val="single" w:sz="2" w:space="0" w:color="auto"/>
            </w:tcBorders>
            <w:vAlign w:val="center"/>
          </w:tcPr>
          <w:p w14:paraId="306B28EB" w14:textId="77777777" w:rsidR="007B3DB2" w:rsidRPr="0063248C" w:rsidRDefault="00000000">
            <w:pPr>
              <w:spacing w:line="240" w:lineRule="exact"/>
              <w:jc w:val="right"/>
              <w:rPr>
                <w:rFonts w:cs="宋体"/>
                <w:sz w:val="18"/>
                <w:szCs w:val="18"/>
              </w:rPr>
            </w:pPr>
            <w:r w:rsidRPr="0063248C">
              <w:rPr>
                <w:rFonts w:cs="宋体"/>
                <w:sz w:val="18"/>
                <w:szCs w:val="18"/>
              </w:rPr>
              <w:t>10,204,000.00</w:t>
            </w:r>
          </w:p>
        </w:tc>
        <w:tc>
          <w:tcPr>
            <w:tcW w:w="741" w:type="dxa"/>
            <w:tcBorders>
              <w:top w:val="single" w:sz="2" w:space="0" w:color="auto"/>
              <w:left w:val="single" w:sz="2" w:space="0" w:color="auto"/>
              <w:bottom w:val="single" w:sz="2" w:space="0" w:color="auto"/>
              <w:right w:val="single" w:sz="2" w:space="0" w:color="auto"/>
            </w:tcBorders>
            <w:vAlign w:val="center"/>
          </w:tcPr>
          <w:p w14:paraId="1A0D952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620454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F0E602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58C7EB5" w14:textId="77777777" w:rsidR="007B3DB2" w:rsidRPr="0063248C" w:rsidRDefault="00000000">
            <w:pPr>
              <w:spacing w:line="240" w:lineRule="exact"/>
              <w:jc w:val="right"/>
              <w:rPr>
                <w:rFonts w:cs="宋体"/>
                <w:sz w:val="18"/>
                <w:szCs w:val="18"/>
              </w:rPr>
            </w:pPr>
            <w:r w:rsidRPr="0063248C">
              <w:rPr>
                <w:rFonts w:cs="宋体"/>
                <w:sz w:val="18"/>
                <w:szCs w:val="18"/>
              </w:rPr>
              <w:t>10,204,000.00</w:t>
            </w:r>
          </w:p>
        </w:tc>
        <w:tc>
          <w:tcPr>
            <w:tcW w:w="741" w:type="dxa"/>
            <w:tcBorders>
              <w:top w:val="single" w:sz="2" w:space="0" w:color="auto"/>
              <w:left w:val="single" w:sz="2" w:space="0" w:color="auto"/>
              <w:bottom w:val="single" w:sz="2" w:space="0" w:color="auto"/>
              <w:right w:val="single" w:sz="2" w:space="0" w:color="auto"/>
            </w:tcBorders>
            <w:vAlign w:val="center"/>
          </w:tcPr>
          <w:p w14:paraId="49E5B002" w14:textId="77777777" w:rsidR="007B3DB2" w:rsidRPr="0063248C" w:rsidRDefault="00000000">
            <w:pPr>
              <w:spacing w:line="240" w:lineRule="exact"/>
              <w:jc w:val="right"/>
              <w:rPr>
                <w:rFonts w:cs="宋体"/>
                <w:sz w:val="18"/>
                <w:szCs w:val="18"/>
              </w:rPr>
            </w:pPr>
            <w:r w:rsidRPr="0063248C">
              <w:rPr>
                <w:rFonts w:cs="宋体"/>
                <w:sz w:val="18"/>
                <w:szCs w:val="18"/>
              </w:rPr>
              <w:t>90.86%</w:t>
            </w:r>
          </w:p>
        </w:tc>
        <w:tc>
          <w:tcPr>
            <w:tcW w:w="741" w:type="dxa"/>
            <w:tcBorders>
              <w:top w:val="single" w:sz="2" w:space="0" w:color="auto"/>
              <w:left w:val="single" w:sz="2" w:space="0" w:color="auto"/>
              <w:bottom w:val="single" w:sz="2" w:space="0" w:color="auto"/>
              <w:right w:val="single" w:sz="2" w:space="0" w:color="auto"/>
            </w:tcBorders>
            <w:vAlign w:val="center"/>
          </w:tcPr>
          <w:p w14:paraId="0B9E16CB" w14:textId="77777777" w:rsidR="007B3DB2" w:rsidRPr="0063248C" w:rsidRDefault="00000000">
            <w:pPr>
              <w:spacing w:line="240" w:lineRule="exact"/>
              <w:rPr>
                <w:rFonts w:cs="宋体"/>
                <w:sz w:val="18"/>
                <w:szCs w:val="18"/>
              </w:rPr>
            </w:pPr>
            <w:r w:rsidRPr="0063248C">
              <w:rPr>
                <w:rFonts w:cs="宋体"/>
                <w:sz w:val="18"/>
                <w:szCs w:val="18"/>
              </w:rPr>
              <w:t>0.85</w:t>
            </w:r>
          </w:p>
        </w:tc>
        <w:tc>
          <w:tcPr>
            <w:tcW w:w="741" w:type="dxa"/>
            <w:tcBorders>
              <w:top w:val="single" w:sz="2" w:space="0" w:color="auto"/>
              <w:left w:val="single" w:sz="2" w:space="0" w:color="auto"/>
              <w:bottom w:val="single" w:sz="2" w:space="0" w:color="auto"/>
              <w:right w:val="single" w:sz="2" w:space="0" w:color="auto"/>
            </w:tcBorders>
            <w:vAlign w:val="center"/>
          </w:tcPr>
          <w:p w14:paraId="4ADD29F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19F8F6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14CE50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DFB982E"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07517247"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772C587B" w14:textId="77777777" w:rsidR="007B3DB2" w:rsidRPr="0063248C" w:rsidRDefault="00000000">
            <w:pPr>
              <w:spacing w:line="240" w:lineRule="exact"/>
              <w:rPr>
                <w:rFonts w:cs="宋体"/>
                <w:sz w:val="18"/>
                <w:szCs w:val="18"/>
              </w:rPr>
            </w:pPr>
            <w:r w:rsidRPr="0063248C">
              <w:rPr>
                <w:rFonts w:cs="宋体"/>
                <w:sz w:val="18"/>
                <w:szCs w:val="18"/>
              </w:rPr>
              <w:t>苟格庄猪场土石方</w:t>
            </w:r>
          </w:p>
        </w:tc>
        <w:tc>
          <w:tcPr>
            <w:tcW w:w="741" w:type="dxa"/>
            <w:tcBorders>
              <w:top w:val="single" w:sz="2" w:space="0" w:color="auto"/>
              <w:left w:val="single" w:sz="2" w:space="0" w:color="auto"/>
              <w:bottom w:val="single" w:sz="2" w:space="0" w:color="auto"/>
              <w:right w:val="single" w:sz="2" w:space="0" w:color="auto"/>
            </w:tcBorders>
            <w:vAlign w:val="center"/>
          </w:tcPr>
          <w:p w14:paraId="7B4B5905" w14:textId="77777777" w:rsidR="007B3DB2" w:rsidRPr="0063248C" w:rsidRDefault="00000000">
            <w:pPr>
              <w:spacing w:line="240" w:lineRule="exact"/>
              <w:jc w:val="right"/>
              <w:rPr>
                <w:rFonts w:cs="宋体"/>
                <w:sz w:val="18"/>
                <w:szCs w:val="18"/>
              </w:rPr>
            </w:pPr>
            <w:r w:rsidRPr="0063248C">
              <w:rPr>
                <w:rFonts w:cs="宋体"/>
                <w:sz w:val="18"/>
                <w:szCs w:val="18"/>
              </w:rPr>
              <w:t>5,200,000.00</w:t>
            </w:r>
          </w:p>
        </w:tc>
        <w:tc>
          <w:tcPr>
            <w:tcW w:w="741" w:type="dxa"/>
            <w:tcBorders>
              <w:top w:val="single" w:sz="2" w:space="0" w:color="auto"/>
              <w:left w:val="single" w:sz="2" w:space="0" w:color="auto"/>
              <w:bottom w:val="single" w:sz="2" w:space="0" w:color="auto"/>
              <w:right w:val="single" w:sz="2" w:space="0" w:color="auto"/>
            </w:tcBorders>
            <w:vAlign w:val="center"/>
          </w:tcPr>
          <w:p w14:paraId="14A31C37" w14:textId="77777777" w:rsidR="007B3DB2" w:rsidRPr="0063248C" w:rsidRDefault="00000000">
            <w:pPr>
              <w:spacing w:line="240" w:lineRule="exact"/>
              <w:jc w:val="right"/>
              <w:rPr>
                <w:rFonts w:cs="宋体"/>
                <w:sz w:val="18"/>
                <w:szCs w:val="18"/>
              </w:rPr>
            </w:pPr>
            <w:r w:rsidRPr="0063248C">
              <w:rPr>
                <w:rFonts w:cs="宋体"/>
                <w:sz w:val="18"/>
                <w:szCs w:val="18"/>
              </w:rPr>
              <w:t>5,200,000.00</w:t>
            </w:r>
          </w:p>
        </w:tc>
        <w:tc>
          <w:tcPr>
            <w:tcW w:w="741" w:type="dxa"/>
            <w:tcBorders>
              <w:top w:val="single" w:sz="2" w:space="0" w:color="auto"/>
              <w:left w:val="single" w:sz="2" w:space="0" w:color="auto"/>
              <w:bottom w:val="single" w:sz="2" w:space="0" w:color="auto"/>
              <w:right w:val="single" w:sz="2" w:space="0" w:color="auto"/>
            </w:tcBorders>
            <w:vAlign w:val="center"/>
          </w:tcPr>
          <w:p w14:paraId="507E262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28A542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FCC0A0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1AA8E68" w14:textId="77777777" w:rsidR="007B3DB2" w:rsidRPr="0063248C" w:rsidRDefault="00000000">
            <w:pPr>
              <w:spacing w:line="240" w:lineRule="exact"/>
              <w:jc w:val="right"/>
              <w:rPr>
                <w:rFonts w:cs="宋体"/>
                <w:sz w:val="18"/>
                <w:szCs w:val="18"/>
              </w:rPr>
            </w:pPr>
            <w:r w:rsidRPr="0063248C">
              <w:rPr>
                <w:rFonts w:cs="宋体"/>
                <w:sz w:val="18"/>
                <w:szCs w:val="18"/>
              </w:rPr>
              <w:t>5,200,000.00</w:t>
            </w:r>
          </w:p>
        </w:tc>
        <w:tc>
          <w:tcPr>
            <w:tcW w:w="741" w:type="dxa"/>
            <w:tcBorders>
              <w:top w:val="single" w:sz="2" w:space="0" w:color="auto"/>
              <w:left w:val="single" w:sz="2" w:space="0" w:color="auto"/>
              <w:bottom w:val="single" w:sz="2" w:space="0" w:color="auto"/>
              <w:right w:val="single" w:sz="2" w:space="0" w:color="auto"/>
            </w:tcBorders>
            <w:vAlign w:val="center"/>
          </w:tcPr>
          <w:p w14:paraId="77260505"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14:paraId="089B7779" w14:textId="77777777" w:rsidR="007B3DB2" w:rsidRPr="0063248C" w:rsidRDefault="00000000">
            <w:pPr>
              <w:spacing w:line="240" w:lineRule="exact"/>
              <w:rPr>
                <w:rFonts w:cs="宋体"/>
                <w:sz w:val="18"/>
                <w:szCs w:val="18"/>
              </w:rPr>
            </w:pPr>
            <w:r w:rsidRPr="0063248C">
              <w:rPr>
                <w:rFonts w:cs="宋体"/>
                <w:sz w:val="18"/>
                <w:szCs w:val="18"/>
              </w:rPr>
              <w:t>0.99</w:t>
            </w:r>
          </w:p>
        </w:tc>
        <w:tc>
          <w:tcPr>
            <w:tcW w:w="741" w:type="dxa"/>
            <w:tcBorders>
              <w:top w:val="single" w:sz="2" w:space="0" w:color="auto"/>
              <w:left w:val="single" w:sz="2" w:space="0" w:color="auto"/>
              <w:bottom w:val="single" w:sz="2" w:space="0" w:color="auto"/>
              <w:right w:val="single" w:sz="2" w:space="0" w:color="auto"/>
            </w:tcBorders>
            <w:vAlign w:val="center"/>
          </w:tcPr>
          <w:p w14:paraId="4F430AB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9FFCDD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587F75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C28765D"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505BC826"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5A99D2E0" w14:textId="77777777" w:rsidR="007B3DB2" w:rsidRPr="0063248C" w:rsidRDefault="00000000">
            <w:pPr>
              <w:spacing w:line="240" w:lineRule="exact"/>
              <w:rPr>
                <w:rFonts w:cs="宋体"/>
                <w:sz w:val="18"/>
                <w:szCs w:val="18"/>
              </w:rPr>
            </w:pPr>
            <w:r w:rsidRPr="0063248C">
              <w:rPr>
                <w:rFonts w:cs="宋体"/>
                <w:sz w:val="18"/>
                <w:szCs w:val="18"/>
              </w:rPr>
              <w:lastRenderedPageBreak/>
              <w:t>苟格庄猪场烘干设备采购</w:t>
            </w:r>
          </w:p>
        </w:tc>
        <w:tc>
          <w:tcPr>
            <w:tcW w:w="741" w:type="dxa"/>
            <w:tcBorders>
              <w:top w:val="single" w:sz="2" w:space="0" w:color="auto"/>
              <w:left w:val="single" w:sz="2" w:space="0" w:color="auto"/>
              <w:bottom w:val="single" w:sz="2" w:space="0" w:color="auto"/>
              <w:right w:val="single" w:sz="2" w:space="0" w:color="auto"/>
            </w:tcBorders>
            <w:vAlign w:val="center"/>
          </w:tcPr>
          <w:p w14:paraId="5A3BC758" w14:textId="77777777" w:rsidR="007B3DB2" w:rsidRPr="0063248C" w:rsidRDefault="00000000">
            <w:pPr>
              <w:spacing w:line="240" w:lineRule="exact"/>
              <w:jc w:val="right"/>
              <w:rPr>
                <w:rFonts w:cs="宋体"/>
                <w:sz w:val="18"/>
                <w:szCs w:val="18"/>
              </w:rPr>
            </w:pPr>
            <w:r w:rsidRPr="0063248C">
              <w:rPr>
                <w:rFonts w:cs="宋体"/>
                <w:sz w:val="18"/>
                <w:szCs w:val="18"/>
              </w:rPr>
              <w:t>193,500.00</w:t>
            </w:r>
          </w:p>
        </w:tc>
        <w:tc>
          <w:tcPr>
            <w:tcW w:w="741" w:type="dxa"/>
            <w:tcBorders>
              <w:top w:val="single" w:sz="2" w:space="0" w:color="auto"/>
              <w:left w:val="single" w:sz="2" w:space="0" w:color="auto"/>
              <w:bottom w:val="single" w:sz="2" w:space="0" w:color="auto"/>
              <w:right w:val="single" w:sz="2" w:space="0" w:color="auto"/>
            </w:tcBorders>
            <w:vAlign w:val="center"/>
          </w:tcPr>
          <w:p w14:paraId="425B715B"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49188999" w14:textId="77777777" w:rsidR="007B3DB2" w:rsidRPr="0063248C" w:rsidRDefault="00000000">
            <w:pPr>
              <w:spacing w:line="240" w:lineRule="exact"/>
              <w:jc w:val="right"/>
              <w:rPr>
                <w:rFonts w:cs="宋体"/>
                <w:sz w:val="18"/>
                <w:szCs w:val="18"/>
              </w:rPr>
            </w:pPr>
            <w:r w:rsidRPr="0063248C">
              <w:rPr>
                <w:rFonts w:cs="宋体"/>
                <w:sz w:val="18"/>
                <w:szCs w:val="18"/>
              </w:rPr>
              <w:t>193,500.00</w:t>
            </w:r>
          </w:p>
        </w:tc>
        <w:tc>
          <w:tcPr>
            <w:tcW w:w="741" w:type="dxa"/>
            <w:tcBorders>
              <w:top w:val="single" w:sz="2" w:space="0" w:color="auto"/>
              <w:left w:val="single" w:sz="2" w:space="0" w:color="auto"/>
              <w:bottom w:val="single" w:sz="2" w:space="0" w:color="auto"/>
              <w:right w:val="single" w:sz="2" w:space="0" w:color="auto"/>
            </w:tcBorders>
            <w:vAlign w:val="center"/>
          </w:tcPr>
          <w:p w14:paraId="4D638EB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F67F8E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2C45C48" w14:textId="77777777" w:rsidR="007B3DB2" w:rsidRPr="0063248C" w:rsidRDefault="00000000">
            <w:pPr>
              <w:spacing w:line="240" w:lineRule="exact"/>
              <w:jc w:val="right"/>
              <w:rPr>
                <w:rFonts w:cs="宋体"/>
                <w:sz w:val="18"/>
                <w:szCs w:val="18"/>
              </w:rPr>
            </w:pPr>
            <w:r w:rsidRPr="0063248C">
              <w:rPr>
                <w:rFonts w:cs="宋体"/>
                <w:sz w:val="18"/>
                <w:szCs w:val="18"/>
              </w:rPr>
              <w:t>193,500.00</w:t>
            </w:r>
          </w:p>
        </w:tc>
        <w:tc>
          <w:tcPr>
            <w:tcW w:w="741" w:type="dxa"/>
            <w:tcBorders>
              <w:top w:val="single" w:sz="2" w:space="0" w:color="auto"/>
              <w:left w:val="single" w:sz="2" w:space="0" w:color="auto"/>
              <w:bottom w:val="single" w:sz="2" w:space="0" w:color="auto"/>
              <w:right w:val="single" w:sz="2" w:space="0" w:color="auto"/>
            </w:tcBorders>
            <w:vAlign w:val="center"/>
          </w:tcPr>
          <w:p w14:paraId="52150FFF"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14:paraId="0D137B50" w14:textId="77777777" w:rsidR="007B3DB2" w:rsidRPr="0063248C" w:rsidRDefault="00000000">
            <w:pPr>
              <w:spacing w:line="240" w:lineRule="exact"/>
              <w:rPr>
                <w:rFonts w:cs="宋体"/>
                <w:sz w:val="18"/>
                <w:szCs w:val="18"/>
              </w:rPr>
            </w:pPr>
            <w:r w:rsidRPr="0063248C">
              <w:rPr>
                <w:rFonts w:cs="宋体"/>
                <w:sz w:val="18"/>
                <w:szCs w:val="18"/>
              </w:rPr>
              <w:t>0.7</w:t>
            </w:r>
          </w:p>
        </w:tc>
        <w:tc>
          <w:tcPr>
            <w:tcW w:w="741" w:type="dxa"/>
            <w:tcBorders>
              <w:top w:val="single" w:sz="2" w:space="0" w:color="auto"/>
              <w:left w:val="single" w:sz="2" w:space="0" w:color="auto"/>
              <w:bottom w:val="single" w:sz="2" w:space="0" w:color="auto"/>
              <w:right w:val="single" w:sz="2" w:space="0" w:color="auto"/>
            </w:tcBorders>
            <w:vAlign w:val="center"/>
          </w:tcPr>
          <w:p w14:paraId="3F6E5F1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842C39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455F6E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0ED0814"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50B7B4B2"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6C1A2E65" w14:textId="77777777" w:rsidR="007B3DB2" w:rsidRPr="0063248C" w:rsidRDefault="00000000">
            <w:pPr>
              <w:spacing w:line="240" w:lineRule="exact"/>
              <w:rPr>
                <w:rFonts w:cs="宋体"/>
                <w:sz w:val="18"/>
                <w:szCs w:val="18"/>
              </w:rPr>
            </w:pPr>
            <w:r w:rsidRPr="0063248C">
              <w:rPr>
                <w:rFonts w:cs="宋体"/>
                <w:sz w:val="18"/>
                <w:szCs w:val="18"/>
              </w:rPr>
              <w:t>苟格庄空气过滤设备安装</w:t>
            </w:r>
          </w:p>
        </w:tc>
        <w:tc>
          <w:tcPr>
            <w:tcW w:w="741" w:type="dxa"/>
            <w:tcBorders>
              <w:top w:val="single" w:sz="2" w:space="0" w:color="auto"/>
              <w:left w:val="single" w:sz="2" w:space="0" w:color="auto"/>
              <w:bottom w:val="single" w:sz="2" w:space="0" w:color="auto"/>
              <w:right w:val="single" w:sz="2" w:space="0" w:color="auto"/>
            </w:tcBorders>
            <w:vAlign w:val="center"/>
          </w:tcPr>
          <w:p w14:paraId="4372DBAB" w14:textId="77777777" w:rsidR="007B3DB2" w:rsidRPr="0063248C" w:rsidRDefault="00000000">
            <w:pPr>
              <w:spacing w:line="240" w:lineRule="exact"/>
              <w:jc w:val="right"/>
              <w:rPr>
                <w:rFonts w:cs="宋体"/>
                <w:sz w:val="18"/>
                <w:szCs w:val="18"/>
              </w:rPr>
            </w:pPr>
            <w:r w:rsidRPr="0063248C">
              <w:rPr>
                <w:rFonts w:cs="宋体"/>
                <w:sz w:val="18"/>
                <w:szCs w:val="18"/>
              </w:rPr>
              <w:t>2,190,000.00</w:t>
            </w:r>
          </w:p>
        </w:tc>
        <w:tc>
          <w:tcPr>
            <w:tcW w:w="741" w:type="dxa"/>
            <w:tcBorders>
              <w:top w:val="single" w:sz="2" w:space="0" w:color="auto"/>
              <w:left w:val="single" w:sz="2" w:space="0" w:color="auto"/>
              <w:bottom w:val="single" w:sz="2" w:space="0" w:color="auto"/>
              <w:right w:val="single" w:sz="2" w:space="0" w:color="auto"/>
            </w:tcBorders>
            <w:vAlign w:val="center"/>
          </w:tcPr>
          <w:p w14:paraId="2861F614"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512A37A1" w14:textId="77777777" w:rsidR="007B3DB2" w:rsidRPr="0063248C" w:rsidRDefault="00000000">
            <w:pPr>
              <w:spacing w:line="240" w:lineRule="exact"/>
              <w:jc w:val="right"/>
              <w:rPr>
                <w:rFonts w:cs="宋体"/>
                <w:sz w:val="18"/>
                <w:szCs w:val="18"/>
              </w:rPr>
            </w:pPr>
            <w:r w:rsidRPr="0063248C">
              <w:rPr>
                <w:rFonts w:cs="宋体"/>
                <w:sz w:val="18"/>
                <w:szCs w:val="18"/>
              </w:rPr>
              <w:t>657,000.00</w:t>
            </w:r>
          </w:p>
        </w:tc>
        <w:tc>
          <w:tcPr>
            <w:tcW w:w="741" w:type="dxa"/>
            <w:tcBorders>
              <w:top w:val="single" w:sz="2" w:space="0" w:color="auto"/>
              <w:left w:val="single" w:sz="2" w:space="0" w:color="auto"/>
              <w:bottom w:val="single" w:sz="2" w:space="0" w:color="auto"/>
              <w:right w:val="single" w:sz="2" w:space="0" w:color="auto"/>
            </w:tcBorders>
            <w:vAlign w:val="center"/>
          </w:tcPr>
          <w:p w14:paraId="5BA4F79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2BAA54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D64988C" w14:textId="77777777" w:rsidR="007B3DB2" w:rsidRPr="0063248C" w:rsidRDefault="00000000">
            <w:pPr>
              <w:spacing w:line="240" w:lineRule="exact"/>
              <w:jc w:val="right"/>
              <w:rPr>
                <w:rFonts w:cs="宋体"/>
                <w:sz w:val="18"/>
                <w:szCs w:val="18"/>
              </w:rPr>
            </w:pPr>
            <w:r w:rsidRPr="0063248C">
              <w:rPr>
                <w:rFonts w:cs="宋体"/>
                <w:sz w:val="18"/>
                <w:szCs w:val="18"/>
              </w:rPr>
              <w:t>657,000.00</w:t>
            </w:r>
          </w:p>
        </w:tc>
        <w:tc>
          <w:tcPr>
            <w:tcW w:w="741" w:type="dxa"/>
            <w:tcBorders>
              <w:top w:val="single" w:sz="2" w:space="0" w:color="auto"/>
              <w:left w:val="single" w:sz="2" w:space="0" w:color="auto"/>
              <w:bottom w:val="single" w:sz="2" w:space="0" w:color="auto"/>
              <w:right w:val="single" w:sz="2" w:space="0" w:color="auto"/>
            </w:tcBorders>
            <w:vAlign w:val="center"/>
          </w:tcPr>
          <w:p w14:paraId="073D0C54" w14:textId="77777777" w:rsidR="007B3DB2" w:rsidRPr="0063248C" w:rsidRDefault="00000000">
            <w:pPr>
              <w:spacing w:line="240" w:lineRule="exact"/>
              <w:jc w:val="right"/>
              <w:rPr>
                <w:rFonts w:cs="宋体"/>
                <w:sz w:val="18"/>
                <w:szCs w:val="18"/>
              </w:rPr>
            </w:pPr>
            <w:r w:rsidRPr="0063248C">
              <w:rPr>
                <w:rFonts w:cs="宋体"/>
                <w:sz w:val="18"/>
                <w:szCs w:val="18"/>
              </w:rPr>
              <w:t>30.00%</w:t>
            </w:r>
          </w:p>
        </w:tc>
        <w:tc>
          <w:tcPr>
            <w:tcW w:w="741" w:type="dxa"/>
            <w:tcBorders>
              <w:top w:val="single" w:sz="2" w:space="0" w:color="auto"/>
              <w:left w:val="single" w:sz="2" w:space="0" w:color="auto"/>
              <w:bottom w:val="single" w:sz="2" w:space="0" w:color="auto"/>
              <w:right w:val="single" w:sz="2" w:space="0" w:color="auto"/>
            </w:tcBorders>
            <w:vAlign w:val="center"/>
          </w:tcPr>
          <w:p w14:paraId="4C0EA158" w14:textId="77777777" w:rsidR="007B3DB2" w:rsidRPr="0063248C" w:rsidRDefault="00000000">
            <w:pPr>
              <w:spacing w:line="240" w:lineRule="exact"/>
              <w:rPr>
                <w:rFonts w:cs="宋体"/>
                <w:sz w:val="18"/>
                <w:szCs w:val="18"/>
              </w:rPr>
            </w:pPr>
            <w:r w:rsidRPr="0063248C">
              <w:rPr>
                <w:rFonts w:cs="宋体"/>
                <w:sz w:val="18"/>
                <w:szCs w:val="18"/>
              </w:rPr>
              <w:t>0.7</w:t>
            </w:r>
          </w:p>
        </w:tc>
        <w:tc>
          <w:tcPr>
            <w:tcW w:w="741" w:type="dxa"/>
            <w:tcBorders>
              <w:top w:val="single" w:sz="2" w:space="0" w:color="auto"/>
              <w:left w:val="single" w:sz="2" w:space="0" w:color="auto"/>
              <w:bottom w:val="single" w:sz="2" w:space="0" w:color="auto"/>
              <w:right w:val="single" w:sz="2" w:space="0" w:color="auto"/>
            </w:tcBorders>
            <w:vAlign w:val="center"/>
          </w:tcPr>
          <w:p w14:paraId="68509AF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755C21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0037CF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0DEDC57"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34F66217"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329BE842" w14:textId="77777777" w:rsidR="007B3DB2" w:rsidRPr="0063248C" w:rsidRDefault="00000000">
            <w:pPr>
              <w:spacing w:line="240" w:lineRule="exact"/>
              <w:rPr>
                <w:rFonts w:cs="宋体"/>
                <w:sz w:val="18"/>
                <w:szCs w:val="18"/>
              </w:rPr>
            </w:pPr>
            <w:r w:rsidRPr="0063248C">
              <w:rPr>
                <w:rFonts w:cs="宋体"/>
                <w:sz w:val="18"/>
                <w:szCs w:val="18"/>
              </w:rPr>
              <w:t>东院西</w:t>
            </w:r>
            <w:proofErr w:type="gramStart"/>
            <w:r w:rsidRPr="0063248C">
              <w:rPr>
                <w:rFonts w:cs="宋体"/>
                <w:sz w:val="18"/>
                <w:szCs w:val="18"/>
              </w:rPr>
              <w:t>夼</w:t>
            </w:r>
            <w:proofErr w:type="gramEnd"/>
            <w:r w:rsidRPr="0063248C">
              <w:rPr>
                <w:rFonts w:cs="宋体"/>
                <w:sz w:val="18"/>
                <w:szCs w:val="18"/>
              </w:rPr>
              <w:t>猪场</w:t>
            </w:r>
          </w:p>
        </w:tc>
        <w:tc>
          <w:tcPr>
            <w:tcW w:w="741" w:type="dxa"/>
            <w:tcBorders>
              <w:top w:val="single" w:sz="2" w:space="0" w:color="auto"/>
              <w:left w:val="single" w:sz="2" w:space="0" w:color="auto"/>
              <w:bottom w:val="single" w:sz="2" w:space="0" w:color="auto"/>
              <w:right w:val="single" w:sz="2" w:space="0" w:color="auto"/>
            </w:tcBorders>
            <w:vAlign w:val="center"/>
          </w:tcPr>
          <w:p w14:paraId="2229EC6B" w14:textId="77777777" w:rsidR="007B3DB2" w:rsidRPr="0063248C" w:rsidRDefault="00000000">
            <w:pPr>
              <w:spacing w:line="240" w:lineRule="exact"/>
              <w:jc w:val="right"/>
              <w:rPr>
                <w:rFonts w:cs="宋体"/>
                <w:sz w:val="18"/>
                <w:szCs w:val="18"/>
              </w:rPr>
            </w:pPr>
            <w:r w:rsidRPr="0063248C">
              <w:rPr>
                <w:rFonts w:cs="宋体"/>
                <w:sz w:val="18"/>
                <w:szCs w:val="18"/>
              </w:rPr>
              <w:t>40,000,000.00</w:t>
            </w:r>
          </w:p>
        </w:tc>
        <w:tc>
          <w:tcPr>
            <w:tcW w:w="741" w:type="dxa"/>
            <w:tcBorders>
              <w:top w:val="single" w:sz="2" w:space="0" w:color="auto"/>
              <w:left w:val="single" w:sz="2" w:space="0" w:color="auto"/>
              <w:bottom w:val="single" w:sz="2" w:space="0" w:color="auto"/>
              <w:right w:val="single" w:sz="2" w:space="0" w:color="auto"/>
            </w:tcBorders>
            <w:vAlign w:val="center"/>
          </w:tcPr>
          <w:p w14:paraId="3D5F8071" w14:textId="77777777" w:rsidR="007B3DB2" w:rsidRPr="0063248C" w:rsidRDefault="00000000">
            <w:pPr>
              <w:spacing w:line="240" w:lineRule="exact"/>
              <w:jc w:val="right"/>
              <w:rPr>
                <w:rFonts w:cs="宋体"/>
                <w:sz w:val="18"/>
                <w:szCs w:val="18"/>
              </w:rPr>
            </w:pPr>
            <w:r w:rsidRPr="0063248C">
              <w:rPr>
                <w:rFonts w:cs="宋体"/>
                <w:sz w:val="18"/>
                <w:szCs w:val="18"/>
              </w:rPr>
              <w:t>119,495.20</w:t>
            </w:r>
          </w:p>
        </w:tc>
        <w:tc>
          <w:tcPr>
            <w:tcW w:w="741" w:type="dxa"/>
            <w:tcBorders>
              <w:top w:val="single" w:sz="2" w:space="0" w:color="auto"/>
              <w:left w:val="single" w:sz="2" w:space="0" w:color="auto"/>
              <w:bottom w:val="single" w:sz="2" w:space="0" w:color="auto"/>
              <w:right w:val="single" w:sz="2" w:space="0" w:color="auto"/>
            </w:tcBorders>
            <w:vAlign w:val="center"/>
          </w:tcPr>
          <w:p w14:paraId="13CF320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EBF6BF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09CF33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02C3A37" w14:textId="77777777" w:rsidR="007B3DB2" w:rsidRPr="0063248C" w:rsidRDefault="00000000">
            <w:pPr>
              <w:spacing w:line="240" w:lineRule="exact"/>
              <w:jc w:val="right"/>
              <w:rPr>
                <w:rFonts w:cs="宋体"/>
                <w:sz w:val="18"/>
                <w:szCs w:val="18"/>
              </w:rPr>
            </w:pPr>
            <w:r w:rsidRPr="0063248C">
              <w:rPr>
                <w:rFonts w:cs="宋体"/>
                <w:sz w:val="18"/>
                <w:szCs w:val="18"/>
              </w:rPr>
              <w:t>119,495.20</w:t>
            </w:r>
          </w:p>
        </w:tc>
        <w:tc>
          <w:tcPr>
            <w:tcW w:w="741" w:type="dxa"/>
            <w:tcBorders>
              <w:top w:val="single" w:sz="2" w:space="0" w:color="auto"/>
              <w:left w:val="single" w:sz="2" w:space="0" w:color="auto"/>
              <w:bottom w:val="single" w:sz="2" w:space="0" w:color="auto"/>
              <w:right w:val="single" w:sz="2" w:space="0" w:color="auto"/>
            </w:tcBorders>
            <w:vAlign w:val="center"/>
          </w:tcPr>
          <w:p w14:paraId="3BC1F54C" w14:textId="77777777" w:rsidR="007B3DB2" w:rsidRPr="0063248C" w:rsidRDefault="00000000">
            <w:pPr>
              <w:spacing w:line="240" w:lineRule="exact"/>
              <w:jc w:val="right"/>
              <w:rPr>
                <w:rFonts w:cs="宋体"/>
                <w:sz w:val="18"/>
                <w:szCs w:val="18"/>
              </w:rPr>
            </w:pPr>
            <w:r w:rsidRPr="0063248C">
              <w:rPr>
                <w:rFonts w:cs="宋体"/>
                <w:sz w:val="18"/>
                <w:szCs w:val="18"/>
              </w:rPr>
              <w:t>65.35%</w:t>
            </w:r>
          </w:p>
        </w:tc>
        <w:tc>
          <w:tcPr>
            <w:tcW w:w="741" w:type="dxa"/>
            <w:tcBorders>
              <w:top w:val="single" w:sz="2" w:space="0" w:color="auto"/>
              <w:left w:val="single" w:sz="2" w:space="0" w:color="auto"/>
              <w:bottom w:val="single" w:sz="2" w:space="0" w:color="auto"/>
              <w:right w:val="single" w:sz="2" w:space="0" w:color="auto"/>
            </w:tcBorders>
            <w:vAlign w:val="center"/>
          </w:tcPr>
          <w:p w14:paraId="1AEC299F" w14:textId="77777777" w:rsidR="007B3DB2" w:rsidRPr="0063248C" w:rsidRDefault="00000000">
            <w:pPr>
              <w:spacing w:line="240" w:lineRule="exact"/>
              <w:rPr>
                <w:rFonts w:cs="宋体"/>
                <w:sz w:val="18"/>
                <w:szCs w:val="18"/>
              </w:rPr>
            </w:pPr>
            <w:r w:rsidRPr="0063248C">
              <w:rPr>
                <w:rFonts w:cs="宋体"/>
                <w:sz w:val="18"/>
                <w:szCs w:val="18"/>
              </w:rPr>
              <w:t>0.98</w:t>
            </w:r>
          </w:p>
        </w:tc>
        <w:tc>
          <w:tcPr>
            <w:tcW w:w="741" w:type="dxa"/>
            <w:tcBorders>
              <w:top w:val="single" w:sz="2" w:space="0" w:color="auto"/>
              <w:left w:val="single" w:sz="2" w:space="0" w:color="auto"/>
              <w:bottom w:val="single" w:sz="2" w:space="0" w:color="auto"/>
              <w:right w:val="single" w:sz="2" w:space="0" w:color="auto"/>
            </w:tcBorders>
            <w:vAlign w:val="center"/>
          </w:tcPr>
          <w:p w14:paraId="710585C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BEA65B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A4D9E8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EC8B5E2"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0EF54FEA"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6B1DCEAA" w14:textId="77777777" w:rsidR="007B3DB2" w:rsidRPr="0063248C" w:rsidRDefault="00000000">
            <w:pPr>
              <w:spacing w:line="240" w:lineRule="exact"/>
              <w:rPr>
                <w:rFonts w:cs="宋体"/>
                <w:sz w:val="18"/>
                <w:szCs w:val="18"/>
              </w:rPr>
            </w:pPr>
            <w:r w:rsidRPr="0063248C">
              <w:rPr>
                <w:rFonts w:cs="宋体"/>
                <w:sz w:val="18"/>
                <w:szCs w:val="18"/>
              </w:rPr>
              <w:t>莱阳猪场</w:t>
            </w:r>
          </w:p>
        </w:tc>
        <w:tc>
          <w:tcPr>
            <w:tcW w:w="741" w:type="dxa"/>
            <w:tcBorders>
              <w:top w:val="single" w:sz="2" w:space="0" w:color="auto"/>
              <w:left w:val="single" w:sz="2" w:space="0" w:color="auto"/>
              <w:bottom w:val="single" w:sz="2" w:space="0" w:color="auto"/>
              <w:right w:val="single" w:sz="2" w:space="0" w:color="auto"/>
            </w:tcBorders>
            <w:vAlign w:val="center"/>
          </w:tcPr>
          <w:p w14:paraId="718E4671" w14:textId="77777777" w:rsidR="007B3DB2" w:rsidRPr="0063248C" w:rsidRDefault="00000000">
            <w:pPr>
              <w:spacing w:line="240" w:lineRule="exact"/>
              <w:jc w:val="right"/>
              <w:rPr>
                <w:rFonts w:cs="宋体"/>
                <w:sz w:val="18"/>
                <w:szCs w:val="18"/>
              </w:rPr>
            </w:pPr>
            <w:r w:rsidRPr="0063248C">
              <w:rPr>
                <w:rFonts w:cs="宋体"/>
                <w:sz w:val="18"/>
                <w:szCs w:val="18"/>
              </w:rPr>
              <w:t>30,000,000.00</w:t>
            </w:r>
          </w:p>
        </w:tc>
        <w:tc>
          <w:tcPr>
            <w:tcW w:w="741" w:type="dxa"/>
            <w:tcBorders>
              <w:top w:val="single" w:sz="2" w:space="0" w:color="auto"/>
              <w:left w:val="single" w:sz="2" w:space="0" w:color="auto"/>
              <w:bottom w:val="single" w:sz="2" w:space="0" w:color="auto"/>
              <w:right w:val="single" w:sz="2" w:space="0" w:color="auto"/>
            </w:tcBorders>
            <w:vAlign w:val="center"/>
          </w:tcPr>
          <w:p w14:paraId="7A315276" w14:textId="77777777" w:rsidR="007B3DB2" w:rsidRPr="0063248C" w:rsidRDefault="00000000">
            <w:pPr>
              <w:spacing w:line="240" w:lineRule="exact"/>
              <w:jc w:val="right"/>
              <w:rPr>
                <w:rFonts w:cs="宋体"/>
                <w:sz w:val="18"/>
                <w:szCs w:val="18"/>
              </w:rPr>
            </w:pPr>
            <w:r w:rsidRPr="0063248C">
              <w:rPr>
                <w:rFonts w:cs="宋体"/>
                <w:sz w:val="18"/>
                <w:szCs w:val="18"/>
              </w:rPr>
              <w:t>976,047.51</w:t>
            </w:r>
          </w:p>
        </w:tc>
        <w:tc>
          <w:tcPr>
            <w:tcW w:w="741" w:type="dxa"/>
            <w:tcBorders>
              <w:top w:val="single" w:sz="2" w:space="0" w:color="auto"/>
              <w:left w:val="single" w:sz="2" w:space="0" w:color="auto"/>
              <w:bottom w:val="single" w:sz="2" w:space="0" w:color="auto"/>
              <w:right w:val="single" w:sz="2" w:space="0" w:color="auto"/>
            </w:tcBorders>
            <w:vAlign w:val="center"/>
          </w:tcPr>
          <w:p w14:paraId="51356AFB" w14:textId="77777777" w:rsidR="007B3DB2" w:rsidRPr="0063248C" w:rsidRDefault="00000000">
            <w:pPr>
              <w:spacing w:line="240" w:lineRule="exact"/>
              <w:jc w:val="right"/>
              <w:rPr>
                <w:rFonts w:cs="宋体"/>
                <w:sz w:val="18"/>
                <w:szCs w:val="18"/>
              </w:rPr>
            </w:pPr>
            <w:r w:rsidRPr="0063248C">
              <w:rPr>
                <w:rFonts w:cs="宋体"/>
                <w:sz w:val="18"/>
                <w:szCs w:val="18"/>
              </w:rPr>
              <w:t>116,544.18</w:t>
            </w:r>
          </w:p>
        </w:tc>
        <w:tc>
          <w:tcPr>
            <w:tcW w:w="741" w:type="dxa"/>
            <w:tcBorders>
              <w:top w:val="single" w:sz="2" w:space="0" w:color="auto"/>
              <w:left w:val="single" w:sz="2" w:space="0" w:color="auto"/>
              <w:bottom w:val="single" w:sz="2" w:space="0" w:color="auto"/>
              <w:right w:val="single" w:sz="2" w:space="0" w:color="auto"/>
            </w:tcBorders>
            <w:vAlign w:val="center"/>
          </w:tcPr>
          <w:p w14:paraId="0956119A"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5EE026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6E02CB9" w14:textId="77777777" w:rsidR="007B3DB2" w:rsidRPr="0063248C" w:rsidRDefault="00000000">
            <w:pPr>
              <w:spacing w:line="240" w:lineRule="exact"/>
              <w:jc w:val="right"/>
              <w:rPr>
                <w:rFonts w:cs="宋体"/>
                <w:sz w:val="18"/>
                <w:szCs w:val="18"/>
              </w:rPr>
            </w:pPr>
            <w:r w:rsidRPr="0063248C">
              <w:rPr>
                <w:rFonts w:cs="宋体"/>
                <w:sz w:val="18"/>
                <w:szCs w:val="18"/>
              </w:rPr>
              <w:t>1,092,591.69</w:t>
            </w:r>
          </w:p>
        </w:tc>
        <w:tc>
          <w:tcPr>
            <w:tcW w:w="741" w:type="dxa"/>
            <w:tcBorders>
              <w:top w:val="single" w:sz="2" w:space="0" w:color="auto"/>
              <w:left w:val="single" w:sz="2" w:space="0" w:color="auto"/>
              <w:bottom w:val="single" w:sz="2" w:space="0" w:color="auto"/>
              <w:right w:val="single" w:sz="2" w:space="0" w:color="auto"/>
            </w:tcBorders>
            <w:vAlign w:val="center"/>
          </w:tcPr>
          <w:p w14:paraId="71208B39" w14:textId="77777777" w:rsidR="007B3DB2" w:rsidRPr="0063248C" w:rsidRDefault="00000000">
            <w:pPr>
              <w:spacing w:line="240" w:lineRule="exact"/>
              <w:jc w:val="right"/>
              <w:rPr>
                <w:rFonts w:cs="宋体"/>
                <w:sz w:val="18"/>
                <w:szCs w:val="18"/>
              </w:rPr>
            </w:pPr>
            <w:r w:rsidRPr="0063248C">
              <w:rPr>
                <w:rFonts w:cs="宋体"/>
                <w:sz w:val="18"/>
                <w:szCs w:val="18"/>
              </w:rPr>
              <w:t>3.64%</w:t>
            </w:r>
          </w:p>
        </w:tc>
        <w:tc>
          <w:tcPr>
            <w:tcW w:w="741" w:type="dxa"/>
            <w:tcBorders>
              <w:top w:val="single" w:sz="2" w:space="0" w:color="auto"/>
              <w:left w:val="single" w:sz="2" w:space="0" w:color="auto"/>
              <w:bottom w:val="single" w:sz="2" w:space="0" w:color="auto"/>
              <w:right w:val="single" w:sz="2" w:space="0" w:color="auto"/>
            </w:tcBorders>
            <w:vAlign w:val="center"/>
          </w:tcPr>
          <w:p w14:paraId="0889F7A1" w14:textId="77777777" w:rsidR="007B3DB2" w:rsidRPr="0063248C" w:rsidRDefault="00000000">
            <w:pPr>
              <w:spacing w:line="240" w:lineRule="exact"/>
              <w:rPr>
                <w:rFonts w:cs="宋体"/>
                <w:sz w:val="18"/>
                <w:szCs w:val="18"/>
              </w:rPr>
            </w:pPr>
            <w:r w:rsidRPr="0063248C">
              <w:rPr>
                <w:rFonts w:cs="宋体"/>
                <w:sz w:val="18"/>
                <w:szCs w:val="18"/>
              </w:rPr>
              <w:t>0.25</w:t>
            </w:r>
          </w:p>
        </w:tc>
        <w:tc>
          <w:tcPr>
            <w:tcW w:w="741" w:type="dxa"/>
            <w:tcBorders>
              <w:top w:val="single" w:sz="2" w:space="0" w:color="auto"/>
              <w:left w:val="single" w:sz="2" w:space="0" w:color="auto"/>
              <w:bottom w:val="single" w:sz="2" w:space="0" w:color="auto"/>
              <w:right w:val="single" w:sz="2" w:space="0" w:color="auto"/>
            </w:tcBorders>
            <w:vAlign w:val="center"/>
          </w:tcPr>
          <w:p w14:paraId="2FEDA0F3"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A444C5D"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9326D9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EA22F16" w14:textId="77777777" w:rsidR="007B3DB2" w:rsidRPr="0063248C" w:rsidRDefault="00000000">
            <w:pPr>
              <w:spacing w:line="240" w:lineRule="exact"/>
              <w:rPr>
                <w:rFonts w:cs="宋体"/>
                <w:sz w:val="18"/>
                <w:szCs w:val="18"/>
              </w:rPr>
            </w:pPr>
            <w:r w:rsidRPr="0063248C">
              <w:rPr>
                <w:rFonts w:cs="宋体"/>
                <w:sz w:val="18"/>
                <w:szCs w:val="18"/>
              </w:rPr>
              <w:t>其他</w:t>
            </w:r>
          </w:p>
        </w:tc>
      </w:tr>
      <w:tr w:rsidR="007B3DB2" w:rsidRPr="0063248C" w14:paraId="12FD05F0"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74076D37" w14:textId="77777777" w:rsidR="007B3DB2" w:rsidRPr="0063248C" w:rsidRDefault="00000000">
            <w:pPr>
              <w:spacing w:line="240" w:lineRule="exact"/>
              <w:rPr>
                <w:rFonts w:cs="宋体"/>
                <w:sz w:val="18"/>
                <w:szCs w:val="18"/>
              </w:rPr>
            </w:pPr>
            <w:r w:rsidRPr="0063248C">
              <w:rPr>
                <w:rFonts w:cs="宋体"/>
                <w:sz w:val="18"/>
                <w:szCs w:val="18"/>
              </w:rPr>
              <w:t>马台石猪场</w:t>
            </w:r>
          </w:p>
        </w:tc>
        <w:tc>
          <w:tcPr>
            <w:tcW w:w="741" w:type="dxa"/>
            <w:tcBorders>
              <w:top w:val="single" w:sz="2" w:space="0" w:color="auto"/>
              <w:left w:val="single" w:sz="2" w:space="0" w:color="auto"/>
              <w:bottom w:val="single" w:sz="2" w:space="0" w:color="auto"/>
              <w:right w:val="single" w:sz="2" w:space="0" w:color="auto"/>
            </w:tcBorders>
            <w:vAlign w:val="center"/>
          </w:tcPr>
          <w:p w14:paraId="5BF5D36F" w14:textId="77777777" w:rsidR="007B3DB2" w:rsidRPr="0063248C" w:rsidRDefault="00000000">
            <w:pPr>
              <w:spacing w:line="240" w:lineRule="exact"/>
              <w:jc w:val="right"/>
              <w:rPr>
                <w:rFonts w:cs="宋体"/>
                <w:sz w:val="18"/>
                <w:szCs w:val="18"/>
              </w:rPr>
            </w:pPr>
            <w:r w:rsidRPr="0063248C">
              <w:rPr>
                <w:rFonts w:cs="宋体"/>
                <w:sz w:val="18"/>
                <w:szCs w:val="18"/>
              </w:rPr>
              <w:t>138,837,400.00</w:t>
            </w:r>
          </w:p>
        </w:tc>
        <w:tc>
          <w:tcPr>
            <w:tcW w:w="741" w:type="dxa"/>
            <w:tcBorders>
              <w:top w:val="single" w:sz="2" w:space="0" w:color="auto"/>
              <w:left w:val="single" w:sz="2" w:space="0" w:color="auto"/>
              <w:bottom w:val="single" w:sz="2" w:space="0" w:color="auto"/>
              <w:right w:val="single" w:sz="2" w:space="0" w:color="auto"/>
            </w:tcBorders>
            <w:vAlign w:val="center"/>
          </w:tcPr>
          <w:p w14:paraId="00BD3E4B" w14:textId="77777777" w:rsidR="007B3DB2" w:rsidRPr="0063248C" w:rsidRDefault="00000000">
            <w:pPr>
              <w:spacing w:line="240" w:lineRule="exact"/>
              <w:jc w:val="right"/>
              <w:rPr>
                <w:rFonts w:cs="宋体"/>
                <w:sz w:val="18"/>
                <w:szCs w:val="18"/>
              </w:rPr>
            </w:pPr>
            <w:r w:rsidRPr="0063248C">
              <w:rPr>
                <w:rFonts w:cs="宋体"/>
                <w:sz w:val="18"/>
                <w:szCs w:val="18"/>
              </w:rPr>
              <w:t>53,928,979.34</w:t>
            </w:r>
          </w:p>
        </w:tc>
        <w:tc>
          <w:tcPr>
            <w:tcW w:w="741" w:type="dxa"/>
            <w:tcBorders>
              <w:top w:val="single" w:sz="2" w:space="0" w:color="auto"/>
              <w:left w:val="single" w:sz="2" w:space="0" w:color="auto"/>
              <w:bottom w:val="single" w:sz="2" w:space="0" w:color="auto"/>
              <w:right w:val="single" w:sz="2" w:space="0" w:color="auto"/>
            </w:tcBorders>
            <w:vAlign w:val="center"/>
          </w:tcPr>
          <w:p w14:paraId="770B651C" w14:textId="77777777" w:rsidR="007B3DB2" w:rsidRPr="0063248C" w:rsidRDefault="00000000">
            <w:pPr>
              <w:spacing w:line="240" w:lineRule="exact"/>
              <w:jc w:val="right"/>
              <w:rPr>
                <w:rFonts w:cs="宋体"/>
                <w:sz w:val="18"/>
                <w:szCs w:val="18"/>
              </w:rPr>
            </w:pPr>
            <w:r w:rsidRPr="0063248C">
              <w:rPr>
                <w:rFonts w:cs="宋体"/>
                <w:sz w:val="18"/>
                <w:szCs w:val="18"/>
              </w:rPr>
              <w:t>-4,000,000.00</w:t>
            </w:r>
          </w:p>
        </w:tc>
        <w:tc>
          <w:tcPr>
            <w:tcW w:w="741" w:type="dxa"/>
            <w:tcBorders>
              <w:top w:val="single" w:sz="2" w:space="0" w:color="auto"/>
              <w:left w:val="single" w:sz="2" w:space="0" w:color="auto"/>
              <w:bottom w:val="single" w:sz="2" w:space="0" w:color="auto"/>
              <w:right w:val="single" w:sz="2" w:space="0" w:color="auto"/>
            </w:tcBorders>
            <w:vAlign w:val="center"/>
          </w:tcPr>
          <w:p w14:paraId="0B32E74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ADF3070"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F520185" w14:textId="77777777" w:rsidR="007B3DB2" w:rsidRPr="0063248C" w:rsidRDefault="00000000">
            <w:pPr>
              <w:spacing w:line="240" w:lineRule="exact"/>
              <w:jc w:val="right"/>
              <w:rPr>
                <w:rFonts w:cs="宋体"/>
                <w:sz w:val="18"/>
                <w:szCs w:val="18"/>
              </w:rPr>
            </w:pPr>
            <w:r w:rsidRPr="0063248C">
              <w:rPr>
                <w:rFonts w:cs="宋体"/>
                <w:sz w:val="18"/>
                <w:szCs w:val="18"/>
              </w:rPr>
              <w:t>49,928,979.34</w:t>
            </w:r>
          </w:p>
        </w:tc>
        <w:tc>
          <w:tcPr>
            <w:tcW w:w="741" w:type="dxa"/>
            <w:tcBorders>
              <w:top w:val="single" w:sz="2" w:space="0" w:color="auto"/>
              <w:left w:val="single" w:sz="2" w:space="0" w:color="auto"/>
              <w:bottom w:val="single" w:sz="2" w:space="0" w:color="auto"/>
              <w:right w:val="single" w:sz="2" w:space="0" w:color="auto"/>
            </w:tcBorders>
            <w:vAlign w:val="center"/>
          </w:tcPr>
          <w:p w14:paraId="28111413" w14:textId="77777777" w:rsidR="007B3DB2" w:rsidRPr="0063248C" w:rsidRDefault="00000000">
            <w:pPr>
              <w:spacing w:line="240" w:lineRule="exact"/>
              <w:jc w:val="right"/>
              <w:rPr>
                <w:rFonts w:cs="宋体"/>
                <w:sz w:val="18"/>
                <w:szCs w:val="18"/>
              </w:rPr>
            </w:pPr>
            <w:r w:rsidRPr="0063248C">
              <w:rPr>
                <w:rFonts w:cs="宋体"/>
                <w:sz w:val="18"/>
                <w:szCs w:val="18"/>
              </w:rPr>
              <w:t>108.51%</w:t>
            </w:r>
          </w:p>
        </w:tc>
        <w:tc>
          <w:tcPr>
            <w:tcW w:w="741" w:type="dxa"/>
            <w:tcBorders>
              <w:top w:val="single" w:sz="2" w:space="0" w:color="auto"/>
              <w:left w:val="single" w:sz="2" w:space="0" w:color="auto"/>
              <w:bottom w:val="single" w:sz="2" w:space="0" w:color="auto"/>
              <w:right w:val="single" w:sz="2" w:space="0" w:color="auto"/>
            </w:tcBorders>
            <w:vAlign w:val="center"/>
          </w:tcPr>
          <w:p w14:paraId="323BDEB1" w14:textId="77777777" w:rsidR="007B3DB2" w:rsidRPr="0063248C" w:rsidRDefault="00000000">
            <w:pPr>
              <w:spacing w:line="240" w:lineRule="exact"/>
              <w:rPr>
                <w:rFonts w:cs="宋体"/>
                <w:sz w:val="18"/>
                <w:szCs w:val="18"/>
              </w:rPr>
            </w:pPr>
            <w:r w:rsidRPr="0063248C">
              <w:rPr>
                <w:rFonts w:cs="宋体"/>
                <w:sz w:val="18"/>
                <w:szCs w:val="18"/>
              </w:rPr>
              <w:t>0.99</w:t>
            </w:r>
          </w:p>
        </w:tc>
        <w:tc>
          <w:tcPr>
            <w:tcW w:w="741" w:type="dxa"/>
            <w:tcBorders>
              <w:top w:val="single" w:sz="2" w:space="0" w:color="auto"/>
              <w:left w:val="single" w:sz="2" w:space="0" w:color="auto"/>
              <w:bottom w:val="single" w:sz="2" w:space="0" w:color="auto"/>
              <w:right w:val="single" w:sz="2" w:space="0" w:color="auto"/>
            </w:tcBorders>
            <w:vAlign w:val="center"/>
          </w:tcPr>
          <w:p w14:paraId="3DDAF236"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38AC727"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E06EC39"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AA1245D"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277AD8D8"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0FD98F4C" w14:textId="77777777" w:rsidR="007B3DB2" w:rsidRPr="0063248C" w:rsidRDefault="00000000">
            <w:pPr>
              <w:spacing w:line="240" w:lineRule="exact"/>
              <w:rPr>
                <w:rFonts w:cs="宋体"/>
                <w:sz w:val="18"/>
                <w:szCs w:val="18"/>
              </w:rPr>
            </w:pPr>
            <w:r w:rsidRPr="0063248C">
              <w:rPr>
                <w:rFonts w:cs="宋体"/>
                <w:sz w:val="18"/>
                <w:szCs w:val="18"/>
              </w:rPr>
              <w:t>马台石猪场污水站</w:t>
            </w:r>
          </w:p>
        </w:tc>
        <w:tc>
          <w:tcPr>
            <w:tcW w:w="741" w:type="dxa"/>
            <w:tcBorders>
              <w:top w:val="single" w:sz="2" w:space="0" w:color="auto"/>
              <w:left w:val="single" w:sz="2" w:space="0" w:color="auto"/>
              <w:bottom w:val="single" w:sz="2" w:space="0" w:color="auto"/>
              <w:right w:val="single" w:sz="2" w:space="0" w:color="auto"/>
            </w:tcBorders>
            <w:vAlign w:val="center"/>
          </w:tcPr>
          <w:p w14:paraId="285B188C" w14:textId="77777777" w:rsidR="007B3DB2" w:rsidRPr="0063248C" w:rsidRDefault="00000000">
            <w:pPr>
              <w:spacing w:line="240" w:lineRule="exact"/>
              <w:jc w:val="right"/>
              <w:rPr>
                <w:rFonts w:cs="宋体"/>
                <w:sz w:val="18"/>
                <w:szCs w:val="18"/>
              </w:rPr>
            </w:pPr>
            <w:r w:rsidRPr="0063248C">
              <w:rPr>
                <w:rFonts w:cs="宋体"/>
                <w:sz w:val="18"/>
                <w:szCs w:val="18"/>
              </w:rPr>
              <w:t>11,600,000.00</w:t>
            </w:r>
          </w:p>
        </w:tc>
        <w:tc>
          <w:tcPr>
            <w:tcW w:w="741" w:type="dxa"/>
            <w:tcBorders>
              <w:top w:val="single" w:sz="2" w:space="0" w:color="auto"/>
              <w:left w:val="single" w:sz="2" w:space="0" w:color="auto"/>
              <w:bottom w:val="single" w:sz="2" w:space="0" w:color="auto"/>
              <w:right w:val="single" w:sz="2" w:space="0" w:color="auto"/>
            </w:tcBorders>
            <w:vAlign w:val="center"/>
          </w:tcPr>
          <w:p w14:paraId="49C986B4" w14:textId="77777777" w:rsidR="007B3DB2" w:rsidRPr="0063248C" w:rsidRDefault="00000000">
            <w:pPr>
              <w:spacing w:line="240" w:lineRule="exact"/>
              <w:jc w:val="right"/>
              <w:rPr>
                <w:rFonts w:cs="宋体"/>
                <w:sz w:val="18"/>
                <w:szCs w:val="18"/>
              </w:rPr>
            </w:pPr>
            <w:r w:rsidRPr="0063248C">
              <w:rPr>
                <w:rFonts w:cs="宋体"/>
                <w:sz w:val="18"/>
                <w:szCs w:val="18"/>
              </w:rPr>
              <w:t>13,685,830.43</w:t>
            </w:r>
          </w:p>
        </w:tc>
        <w:tc>
          <w:tcPr>
            <w:tcW w:w="741" w:type="dxa"/>
            <w:tcBorders>
              <w:top w:val="single" w:sz="2" w:space="0" w:color="auto"/>
              <w:left w:val="single" w:sz="2" w:space="0" w:color="auto"/>
              <w:bottom w:val="single" w:sz="2" w:space="0" w:color="auto"/>
              <w:right w:val="single" w:sz="2" w:space="0" w:color="auto"/>
            </w:tcBorders>
            <w:vAlign w:val="center"/>
          </w:tcPr>
          <w:p w14:paraId="53418B0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80152B"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0B8C2E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B18E451" w14:textId="77777777" w:rsidR="007B3DB2" w:rsidRPr="0063248C" w:rsidRDefault="00000000">
            <w:pPr>
              <w:spacing w:line="240" w:lineRule="exact"/>
              <w:jc w:val="right"/>
              <w:rPr>
                <w:rFonts w:cs="宋体"/>
                <w:sz w:val="18"/>
                <w:szCs w:val="18"/>
              </w:rPr>
            </w:pPr>
            <w:r w:rsidRPr="0063248C">
              <w:rPr>
                <w:rFonts w:cs="宋体"/>
                <w:sz w:val="18"/>
                <w:szCs w:val="18"/>
              </w:rPr>
              <w:t>13,685,830.43</w:t>
            </w:r>
          </w:p>
        </w:tc>
        <w:tc>
          <w:tcPr>
            <w:tcW w:w="741" w:type="dxa"/>
            <w:tcBorders>
              <w:top w:val="single" w:sz="2" w:space="0" w:color="auto"/>
              <w:left w:val="single" w:sz="2" w:space="0" w:color="auto"/>
              <w:bottom w:val="single" w:sz="2" w:space="0" w:color="auto"/>
              <w:right w:val="single" w:sz="2" w:space="0" w:color="auto"/>
            </w:tcBorders>
            <w:vAlign w:val="center"/>
          </w:tcPr>
          <w:p w14:paraId="24FBC235" w14:textId="77777777" w:rsidR="007B3DB2" w:rsidRPr="0063248C" w:rsidRDefault="00000000">
            <w:pPr>
              <w:spacing w:line="240" w:lineRule="exact"/>
              <w:jc w:val="right"/>
              <w:rPr>
                <w:rFonts w:cs="宋体"/>
                <w:sz w:val="18"/>
                <w:szCs w:val="18"/>
              </w:rPr>
            </w:pPr>
            <w:r w:rsidRPr="0063248C">
              <w:rPr>
                <w:rFonts w:cs="宋体"/>
                <w:sz w:val="18"/>
                <w:szCs w:val="18"/>
              </w:rPr>
              <w:t>117.98%</w:t>
            </w:r>
          </w:p>
        </w:tc>
        <w:tc>
          <w:tcPr>
            <w:tcW w:w="741" w:type="dxa"/>
            <w:tcBorders>
              <w:top w:val="single" w:sz="2" w:space="0" w:color="auto"/>
              <w:left w:val="single" w:sz="2" w:space="0" w:color="auto"/>
              <w:bottom w:val="single" w:sz="2" w:space="0" w:color="auto"/>
              <w:right w:val="single" w:sz="2" w:space="0" w:color="auto"/>
            </w:tcBorders>
            <w:vAlign w:val="center"/>
          </w:tcPr>
          <w:p w14:paraId="6956295E" w14:textId="77777777" w:rsidR="007B3DB2" w:rsidRPr="0063248C" w:rsidRDefault="00000000">
            <w:pPr>
              <w:spacing w:line="240" w:lineRule="exact"/>
              <w:rPr>
                <w:rFonts w:cs="宋体"/>
                <w:sz w:val="18"/>
                <w:szCs w:val="18"/>
              </w:rPr>
            </w:pPr>
            <w:r w:rsidRPr="0063248C">
              <w:rPr>
                <w:rFonts w:cs="宋体"/>
                <w:sz w:val="18"/>
                <w:szCs w:val="18"/>
              </w:rPr>
              <w:t>0.99</w:t>
            </w:r>
          </w:p>
        </w:tc>
        <w:tc>
          <w:tcPr>
            <w:tcW w:w="741" w:type="dxa"/>
            <w:tcBorders>
              <w:top w:val="single" w:sz="2" w:space="0" w:color="auto"/>
              <w:left w:val="single" w:sz="2" w:space="0" w:color="auto"/>
              <w:bottom w:val="single" w:sz="2" w:space="0" w:color="auto"/>
              <w:right w:val="single" w:sz="2" w:space="0" w:color="auto"/>
            </w:tcBorders>
            <w:vAlign w:val="center"/>
          </w:tcPr>
          <w:p w14:paraId="297DEB3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EB6792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9536A0C"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01818C4"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217F289B"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2EDD8E71" w14:textId="77777777" w:rsidR="007B3DB2" w:rsidRPr="0063248C" w:rsidRDefault="00000000">
            <w:pPr>
              <w:spacing w:line="240" w:lineRule="exact"/>
              <w:rPr>
                <w:rFonts w:cs="宋体"/>
                <w:sz w:val="18"/>
                <w:szCs w:val="18"/>
              </w:rPr>
            </w:pPr>
            <w:r w:rsidRPr="0063248C">
              <w:rPr>
                <w:rFonts w:cs="宋体"/>
                <w:sz w:val="18"/>
                <w:szCs w:val="18"/>
              </w:rPr>
              <w:t>马台石猪场挡土墙工程</w:t>
            </w:r>
          </w:p>
        </w:tc>
        <w:tc>
          <w:tcPr>
            <w:tcW w:w="741" w:type="dxa"/>
            <w:tcBorders>
              <w:top w:val="single" w:sz="2" w:space="0" w:color="auto"/>
              <w:left w:val="single" w:sz="2" w:space="0" w:color="auto"/>
              <w:bottom w:val="single" w:sz="2" w:space="0" w:color="auto"/>
              <w:right w:val="single" w:sz="2" w:space="0" w:color="auto"/>
            </w:tcBorders>
            <w:vAlign w:val="center"/>
          </w:tcPr>
          <w:p w14:paraId="04AE52D5" w14:textId="77777777" w:rsidR="007B3DB2" w:rsidRPr="0063248C" w:rsidRDefault="00000000">
            <w:pPr>
              <w:spacing w:line="240" w:lineRule="exact"/>
              <w:jc w:val="right"/>
              <w:rPr>
                <w:rFonts w:cs="宋体"/>
                <w:sz w:val="18"/>
                <w:szCs w:val="18"/>
              </w:rPr>
            </w:pPr>
            <w:r w:rsidRPr="0063248C">
              <w:rPr>
                <w:rFonts w:cs="宋体"/>
                <w:sz w:val="18"/>
                <w:szCs w:val="18"/>
              </w:rPr>
              <w:t>6,260,000.00</w:t>
            </w:r>
          </w:p>
        </w:tc>
        <w:tc>
          <w:tcPr>
            <w:tcW w:w="741" w:type="dxa"/>
            <w:tcBorders>
              <w:top w:val="single" w:sz="2" w:space="0" w:color="auto"/>
              <w:left w:val="single" w:sz="2" w:space="0" w:color="auto"/>
              <w:bottom w:val="single" w:sz="2" w:space="0" w:color="auto"/>
              <w:right w:val="single" w:sz="2" w:space="0" w:color="auto"/>
            </w:tcBorders>
            <w:vAlign w:val="center"/>
          </w:tcPr>
          <w:p w14:paraId="2EAC5753" w14:textId="77777777" w:rsidR="007B3DB2" w:rsidRPr="0063248C" w:rsidRDefault="00000000">
            <w:pPr>
              <w:spacing w:line="240" w:lineRule="exact"/>
              <w:jc w:val="right"/>
              <w:rPr>
                <w:rFonts w:cs="宋体"/>
                <w:sz w:val="18"/>
                <w:szCs w:val="18"/>
              </w:rPr>
            </w:pPr>
            <w:r w:rsidRPr="0063248C">
              <w:rPr>
                <w:rFonts w:cs="宋体"/>
                <w:sz w:val="18"/>
                <w:szCs w:val="18"/>
              </w:rPr>
              <w:t>4,978,000.00</w:t>
            </w:r>
          </w:p>
        </w:tc>
        <w:tc>
          <w:tcPr>
            <w:tcW w:w="741" w:type="dxa"/>
            <w:tcBorders>
              <w:top w:val="single" w:sz="2" w:space="0" w:color="auto"/>
              <w:left w:val="single" w:sz="2" w:space="0" w:color="auto"/>
              <w:bottom w:val="single" w:sz="2" w:space="0" w:color="auto"/>
              <w:right w:val="single" w:sz="2" w:space="0" w:color="auto"/>
            </w:tcBorders>
            <w:vAlign w:val="center"/>
          </w:tcPr>
          <w:p w14:paraId="249EC97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AA4C568"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E36106F"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B212A4C" w14:textId="77777777" w:rsidR="007B3DB2" w:rsidRPr="0063248C" w:rsidRDefault="00000000">
            <w:pPr>
              <w:spacing w:line="240" w:lineRule="exact"/>
              <w:jc w:val="right"/>
              <w:rPr>
                <w:rFonts w:cs="宋体"/>
                <w:sz w:val="18"/>
                <w:szCs w:val="18"/>
              </w:rPr>
            </w:pPr>
            <w:r w:rsidRPr="0063248C">
              <w:rPr>
                <w:rFonts w:cs="宋体"/>
                <w:sz w:val="18"/>
                <w:szCs w:val="18"/>
              </w:rPr>
              <w:t>4,978,000.00</w:t>
            </w:r>
          </w:p>
        </w:tc>
        <w:tc>
          <w:tcPr>
            <w:tcW w:w="741" w:type="dxa"/>
            <w:tcBorders>
              <w:top w:val="single" w:sz="2" w:space="0" w:color="auto"/>
              <w:left w:val="single" w:sz="2" w:space="0" w:color="auto"/>
              <w:bottom w:val="single" w:sz="2" w:space="0" w:color="auto"/>
              <w:right w:val="single" w:sz="2" w:space="0" w:color="auto"/>
            </w:tcBorders>
            <w:vAlign w:val="center"/>
          </w:tcPr>
          <w:p w14:paraId="62607362" w14:textId="77777777" w:rsidR="007B3DB2" w:rsidRPr="0063248C" w:rsidRDefault="00000000">
            <w:pPr>
              <w:spacing w:line="240" w:lineRule="exact"/>
              <w:jc w:val="right"/>
              <w:rPr>
                <w:rFonts w:cs="宋体"/>
                <w:sz w:val="18"/>
                <w:szCs w:val="18"/>
              </w:rPr>
            </w:pPr>
            <w:r w:rsidRPr="0063248C">
              <w:rPr>
                <w:rFonts w:cs="宋体"/>
                <w:sz w:val="18"/>
                <w:szCs w:val="18"/>
              </w:rPr>
              <w:t>79.52%</w:t>
            </w:r>
          </w:p>
        </w:tc>
        <w:tc>
          <w:tcPr>
            <w:tcW w:w="741" w:type="dxa"/>
            <w:tcBorders>
              <w:top w:val="single" w:sz="2" w:space="0" w:color="auto"/>
              <w:left w:val="single" w:sz="2" w:space="0" w:color="auto"/>
              <w:bottom w:val="single" w:sz="2" w:space="0" w:color="auto"/>
              <w:right w:val="single" w:sz="2" w:space="0" w:color="auto"/>
            </w:tcBorders>
            <w:vAlign w:val="center"/>
          </w:tcPr>
          <w:p w14:paraId="29376546" w14:textId="77777777" w:rsidR="007B3DB2" w:rsidRPr="0063248C" w:rsidRDefault="00000000">
            <w:pPr>
              <w:spacing w:line="240" w:lineRule="exact"/>
              <w:rPr>
                <w:rFonts w:cs="宋体"/>
                <w:sz w:val="18"/>
                <w:szCs w:val="18"/>
              </w:rPr>
            </w:pPr>
            <w:r w:rsidRPr="0063248C">
              <w:rPr>
                <w:rFonts w:cs="宋体"/>
                <w:sz w:val="18"/>
                <w:szCs w:val="18"/>
              </w:rPr>
              <w:t>0.95</w:t>
            </w:r>
          </w:p>
        </w:tc>
        <w:tc>
          <w:tcPr>
            <w:tcW w:w="741" w:type="dxa"/>
            <w:tcBorders>
              <w:top w:val="single" w:sz="2" w:space="0" w:color="auto"/>
              <w:left w:val="single" w:sz="2" w:space="0" w:color="auto"/>
              <w:bottom w:val="single" w:sz="2" w:space="0" w:color="auto"/>
              <w:right w:val="single" w:sz="2" w:space="0" w:color="auto"/>
            </w:tcBorders>
            <w:vAlign w:val="center"/>
          </w:tcPr>
          <w:p w14:paraId="4D34ECC5"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26C2034"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91C2E2E"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924528A" w14:textId="77777777" w:rsidR="007B3DB2" w:rsidRPr="0063248C" w:rsidRDefault="00000000">
            <w:pPr>
              <w:spacing w:line="240" w:lineRule="exact"/>
              <w:rPr>
                <w:rFonts w:cs="宋体"/>
                <w:sz w:val="18"/>
                <w:szCs w:val="18"/>
              </w:rPr>
            </w:pPr>
            <w:r w:rsidRPr="0063248C">
              <w:rPr>
                <w:rFonts w:cs="宋体"/>
                <w:sz w:val="18"/>
                <w:szCs w:val="18"/>
              </w:rPr>
              <w:t>募集资金</w:t>
            </w:r>
          </w:p>
        </w:tc>
      </w:tr>
      <w:tr w:rsidR="007B3DB2" w:rsidRPr="0063248C" w14:paraId="4354C06C" w14:textId="77777777" w:rsidTr="00760A5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6457A8B"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14:paraId="527AF97A" w14:textId="77777777" w:rsidR="007B3DB2" w:rsidRPr="0063248C" w:rsidRDefault="00000000">
            <w:pPr>
              <w:spacing w:line="240" w:lineRule="exact"/>
              <w:jc w:val="right"/>
              <w:rPr>
                <w:rFonts w:cs="宋体"/>
                <w:sz w:val="18"/>
                <w:szCs w:val="18"/>
              </w:rPr>
            </w:pPr>
            <w:r w:rsidRPr="0063248C">
              <w:rPr>
                <w:rFonts w:cs="宋体"/>
                <w:sz w:val="18"/>
                <w:szCs w:val="18"/>
              </w:rPr>
              <w:t>1,758,165,665.65</w:t>
            </w:r>
          </w:p>
        </w:tc>
        <w:tc>
          <w:tcPr>
            <w:tcW w:w="741" w:type="dxa"/>
            <w:tcBorders>
              <w:top w:val="single" w:sz="2" w:space="0" w:color="auto"/>
              <w:left w:val="single" w:sz="2" w:space="0" w:color="auto"/>
              <w:bottom w:val="single" w:sz="2" w:space="0" w:color="auto"/>
              <w:right w:val="single" w:sz="2" w:space="0" w:color="auto"/>
            </w:tcBorders>
            <w:vAlign w:val="center"/>
          </w:tcPr>
          <w:p w14:paraId="52C1B0BF" w14:textId="77777777" w:rsidR="007B3DB2" w:rsidRPr="0063248C" w:rsidRDefault="00000000">
            <w:pPr>
              <w:spacing w:line="240" w:lineRule="exact"/>
              <w:jc w:val="right"/>
              <w:rPr>
                <w:rFonts w:cs="宋体"/>
                <w:sz w:val="18"/>
                <w:szCs w:val="18"/>
              </w:rPr>
            </w:pPr>
            <w:r w:rsidRPr="0063248C">
              <w:rPr>
                <w:rFonts w:cs="宋体"/>
                <w:sz w:val="18"/>
                <w:szCs w:val="18"/>
              </w:rPr>
              <w:t>919,386,014.19</w:t>
            </w:r>
          </w:p>
        </w:tc>
        <w:tc>
          <w:tcPr>
            <w:tcW w:w="741" w:type="dxa"/>
            <w:tcBorders>
              <w:top w:val="single" w:sz="2" w:space="0" w:color="auto"/>
              <w:left w:val="single" w:sz="2" w:space="0" w:color="auto"/>
              <w:bottom w:val="single" w:sz="2" w:space="0" w:color="auto"/>
              <w:right w:val="single" w:sz="2" w:space="0" w:color="auto"/>
            </w:tcBorders>
            <w:vAlign w:val="center"/>
          </w:tcPr>
          <w:p w14:paraId="6BA67570" w14:textId="77777777" w:rsidR="007B3DB2" w:rsidRPr="0063248C" w:rsidRDefault="00000000">
            <w:pPr>
              <w:spacing w:line="240" w:lineRule="exact"/>
              <w:jc w:val="right"/>
              <w:rPr>
                <w:rFonts w:cs="宋体"/>
                <w:sz w:val="18"/>
                <w:szCs w:val="18"/>
              </w:rPr>
            </w:pPr>
            <w:r w:rsidRPr="0063248C">
              <w:rPr>
                <w:rFonts w:cs="宋体"/>
                <w:sz w:val="18"/>
                <w:szCs w:val="18"/>
              </w:rPr>
              <w:t>68,727,933.91</w:t>
            </w:r>
          </w:p>
        </w:tc>
        <w:tc>
          <w:tcPr>
            <w:tcW w:w="741" w:type="dxa"/>
            <w:tcBorders>
              <w:top w:val="single" w:sz="2" w:space="0" w:color="auto"/>
              <w:left w:val="single" w:sz="2" w:space="0" w:color="auto"/>
              <w:bottom w:val="single" w:sz="2" w:space="0" w:color="auto"/>
              <w:right w:val="single" w:sz="2" w:space="0" w:color="auto"/>
            </w:tcBorders>
            <w:vAlign w:val="center"/>
          </w:tcPr>
          <w:p w14:paraId="6BF432A9" w14:textId="77777777" w:rsidR="007B3DB2" w:rsidRPr="0063248C" w:rsidRDefault="00000000">
            <w:pPr>
              <w:spacing w:line="240" w:lineRule="exact"/>
              <w:jc w:val="right"/>
              <w:rPr>
                <w:rFonts w:cs="宋体"/>
                <w:sz w:val="18"/>
                <w:szCs w:val="18"/>
              </w:rPr>
            </w:pPr>
            <w:r w:rsidRPr="0063248C">
              <w:rPr>
                <w:rFonts w:cs="宋体"/>
                <w:sz w:val="18"/>
                <w:szCs w:val="18"/>
              </w:rPr>
              <w:t>84,338,142.47</w:t>
            </w:r>
          </w:p>
        </w:tc>
        <w:tc>
          <w:tcPr>
            <w:tcW w:w="741" w:type="dxa"/>
            <w:tcBorders>
              <w:top w:val="single" w:sz="2" w:space="0" w:color="auto"/>
              <w:left w:val="single" w:sz="2" w:space="0" w:color="auto"/>
              <w:bottom w:val="single" w:sz="2" w:space="0" w:color="auto"/>
              <w:right w:val="single" w:sz="2" w:space="0" w:color="auto"/>
            </w:tcBorders>
            <w:vAlign w:val="center"/>
          </w:tcPr>
          <w:p w14:paraId="124869AB" w14:textId="77777777" w:rsidR="007B3DB2" w:rsidRPr="0063248C" w:rsidRDefault="00000000">
            <w:pPr>
              <w:spacing w:line="240" w:lineRule="exact"/>
              <w:jc w:val="right"/>
              <w:rPr>
                <w:rFonts w:cs="宋体"/>
                <w:sz w:val="18"/>
                <w:szCs w:val="18"/>
              </w:rPr>
            </w:pPr>
            <w:r w:rsidRPr="0063248C">
              <w:rPr>
                <w:rFonts w:cs="宋体"/>
                <w:sz w:val="18"/>
                <w:szCs w:val="18"/>
              </w:rPr>
              <w:t>147,632.61</w:t>
            </w:r>
          </w:p>
        </w:tc>
        <w:tc>
          <w:tcPr>
            <w:tcW w:w="741" w:type="dxa"/>
            <w:tcBorders>
              <w:top w:val="single" w:sz="2" w:space="0" w:color="auto"/>
              <w:left w:val="single" w:sz="2" w:space="0" w:color="auto"/>
              <w:bottom w:val="single" w:sz="2" w:space="0" w:color="auto"/>
              <w:right w:val="single" w:sz="2" w:space="0" w:color="auto"/>
            </w:tcBorders>
            <w:vAlign w:val="center"/>
          </w:tcPr>
          <w:p w14:paraId="7F0A8ABA" w14:textId="77777777" w:rsidR="007B3DB2" w:rsidRPr="0063248C" w:rsidRDefault="00000000">
            <w:pPr>
              <w:spacing w:line="240" w:lineRule="exact"/>
              <w:jc w:val="right"/>
              <w:rPr>
                <w:rFonts w:cs="宋体"/>
                <w:sz w:val="18"/>
                <w:szCs w:val="18"/>
              </w:rPr>
            </w:pPr>
            <w:r w:rsidRPr="0063248C">
              <w:rPr>
                <w:rFonts w:cs="宋体"/>
                <w:sz w:val="18"/>
                <w:szCs w:val="18"/>
              </w:rPr>
              <w:t>903,628,173.02</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278F7F5" w14:textId="77777777" w:rsidR="007B3DB2" w:rsidRPr="0063248C" w:rsidRDefault="007B3DB2"/>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5CD4B8C" w14:textId="77777777" w:rsidR="007B3DB2" w:rsidRPr="0063248C" w:rsidRDefault="007B3DB2"/>
        </w:tc>
        <w:tc>
          <w:tcPr>
            <w:tcW w:w="741" w:type="dxa"/>
            <w:tcBorders>
              <w:top w:val="single" w:sz="2" w:space="0" w:color="auto"/>
              <w:left w:val="single" w:sz="2" w:space="0" w:color="auto"/>
              <w:bottom w:val="single" w:sz="2" w:space="0" w:color="auto"/>
              <w:right w:val="single" w:sz="2" w:space="0" w:color="auto"/>
            </w:tcBorders>
            <w:vAlign w:val="center"/>
          </w:tcPr>
          <w:p w14:paraId="2FD7EFA9" w14:textId="77777777" w:rsidR="007B3DB2" w:rsidRPr="0063248C" w:rsidRDefault="00000000">
            <w:pPr>
              <w:spacing w:line="240" w:lineRule="exact"/>
              <w:jc w:val="right"/>
              <w:rPr>
                <w:rFonts w:cs="宋体"/>
                <w:sz w:val="18"/>
                <w:szCs w:val="18"/>
              </w:rPr>
            </w:pPr>
            <w:r w:rsidRPr="0063248C">
              <w:rPr>
                <w:rFonts w:cs="宋体"/>
                <w:sz w:val="18"/>
                <w:szCs w:val="18"/>
              </w:rPr>
              <w:t>4,117,281.18</w:t>
            </w:r>
          </w:p>
        </w:tc>
        <w:tc>
          <w:tcPr>
            <w:tcW w:w="741" w:type="dxa"/>
            <w:tcBorders>
              <w:top w:val="single" w:sz="2" w:space="0" w:color="auto"/>
              <w:left w:val="single" w:sz="2" w:space="0" w:color="auto"/>
              <w:bottom w:val="single" w:sz="2" w:space="0" w:color="auto"/>
              <w:right w:val="single" w:sz="2" w:space="0" w:color="auto"/>
            </w:tcBorders>
            <w:vAlign w:val="center"/>
          </w:tcPr>
          <w:p w14:paraId="0A11E9E9" w14:textId="77777777" w:rsidR="007B3DB2" w:rsidRPr="0063248C" w:rsidRDefault="00000000">
            <w:pPr>
              <w:spacing w:line="240" w:lineRule="exact"/>
              <w:jc w:val="right"/>
              <w:rPr>
                <w:rFonts w:cs="宋体"/>
                <w:sz w:val="18"/>
                <w:szCs w:val="18"/>
              </w:rPr>
            </w:pPr>
            <w:r w:rsidRPr="0063248C">
              <w:rPr>
                <w:rFonts w:cs="宋体"/>
                <w:sz w:val="18"/>
                <w:szCs w:val="18"/>
              </w:rPr>
              <w:t>2,262,361.90</w:t>
            </w:r>
          </w:p>
        </w:tc>
        <w:tc>
          <w:tcPr>
            <w:tcW w:w="741" w:type="dxa"/>
            <w:tcBorders>
              <w:top w:val="single" w:sz="2" w:space="0" w:color="auto"/>
              <w:left w:val="single" w:sz="2" w:space="0" w:color="auto"/>
              <w:bottom w:val="single" w:sz="2" w:space="0" w:color="auto"/>
              <w:right w:val="single" w:sz="2" w:space="0" w:color="auto"/>
            </w:tcBorders>
            <w:vAlign w:val="center"/>
          </w:tcPr>
          <w:p w14:paraId="6C473601" w14:textId="77777777" w:rsidR="007B3DB2" w:rsidRPr="0063248C" w:rsidRDefault="007B3DB2">
            <w:pPr>
              <w:spacing w:line="240" w:lineRule="exact"/>
              <w:jc w:val="right"/>
              <w:rPr>
                <w:rFonts w:cs="宋体"/>
                <w:sz w:val="18"/>
                <w:szCs w:val="18"/>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2EFC492" w14:textId="77777777" w:rsidR="007B3DB2" w:rsidRPr="0063248C" w:rsidRDefault="007B3DB2"/>
        </w:tc>
      </w:tr>
    </w:tbl>
    <w:p w14:paraId="2566CF99" w14:textId="77777777" w:rsidR="007B3DB2" w:rsidRPr="0063248C" w:rsidRDefault="00000000">
      <w:pPr>
        <w:keepNext/>
        <w:keepLines/>
        <w:spacing w:before="300" w:after="300" w:line="280" w:lineRule="exact"/>
        <w:outlineLvl w:val="3"/>
        <w:rPr>
          <w:rFonts w:cs="宋体"/>
          <w:b/>
          <w:bCs/>
          <w:szCs w:val="21"/>
        </w:rPr>
      </w:pPr>
      <w:bookmarkStart w:id="278" w:name="_Toc989167"/>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本期计提在建工程减值准备情况</w:t>
      </w:r>
      <w:bookmarkEnd w:id="278"/>
    </w:p>
    <w:p w14:paraId="596AFF78" w14:textId="77777777" w:rsidR="00517D34" w:rsidRPr="0063248C" w:rsidRDefault="00000000">
      <w:pPr>
        <w:pStyle w:val="a3"/>
        <w:divId w:val="1037316829"/>
        <w:rPr>
          <w:rFonts w:ascii="Times New Roman" w:hAnsi="Times New Roman"/>
          <w:sz w:val="18"/>
          <w:szCs w:val="18"/>
        </w:rPr>
      </w:pPr>
      <w:r w:rsidRPr="0063248C">
        <w:rPr>
          <w:rFonts w:ascii="Times New Roman" w:hAnsi="Times New Roman" w:hint="eastAsia"/>
          <w:sz w:val="18"/>
          <w:szCs w:val="18"/>
        </w:rPr>
        <w:t>无</w:t>
      </w:r>
    </w:p>
    <w:p w14:paraId="78D7858B" w14:textId="77777777" w:rsidR="007B3DB2" w:rsidRPr="0063248C" w:rsidRDefault="00000000">
      <w:pPr>
        <w:keepNext/>
        <w:keepLines/>
        <w:spacing w:before="300" w:after="300" w:line="280" w:lineRule="exact"/>
        <w:outlineLvl w:val="3"/>
        <w:rPr>
          <w:rFonts w:cs="宋体"/>
          <w:b/>
          <w:bCs/>
          <w:szCs w:val="21"/>
        </w:rPr>
      </w:pPr>
      <w:bookmarkStart w:id="279" w:name="_Toc989168"/>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在建工程的减值测试情况</w:t>
      </w:r>
      <w:bookmarkEnd w:id="279"/>
    </w:p>
    <w:p w14:paraId="7F2B155C"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32DF71F8" w14:textId="77777777" w:rsidR="007B3DB2" w:rsidRPr="0063248C" w:rsidRDefault="00000000">
      <w:pPr>
        <w:keepNext/>
        <w:keepLines/>
        <w:spacing w:before="300" w:after="300" w:line="280" w:lineRule="exact"/>
        <w:outlineLvl w:val="3"/>
        <w:rPr>
          <w:rFonts w:cs="宋体"/>
          <w:b/>
          <w:bCs/>
          <w:szCs w:val="21"/>
        </w:rPr>
      </w:pPr>
      <w:bookmarkStart w:id="280" w:name="_Toc989169"/>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工程物资</w:t>
      </w:r>
      <w:bookmarkEnd w:id="280"/>
    </w:p>
    <w:p w14:paraId="7C7BE80B" w14:textId="77777777" w:rsidR="00517D34" w:rsidRPr="0063248C" w:rsidRDefault="00000000">
      <w:pPr>
        <w:pStyle w:val="a3"/>
        <w:divId w:val="1653487130"/>
        <w:rPr>
          <w:rFonts w:ascii="Times New Roman" w:hAnsi="Times New Roman"/>
          <w:sz w:val="18"/>
          <w:szCs w:val="18"/>
        </w:rPr>
      </w:pPr>
      <w:r w:rsidRPr="0063248C">
        <w:rPr>
          <w:rFonts w:ascii="Times New Roman" w:hAnsi="Times New Roman" w:hint="eastAsia"/>
          <w:sz w:val="18"/>
          <w:szCs w:val="18"/>
        </w:rPr>
        <w:t>无</w:t>
      </w:r>
    </w:p>
    <w:p w14:paraId="3881E848" w14:textId="77777777" w:rsidR="007B3DB2" w:rsidRPr="0063248C" w:rsidRDefault="00000000">
      <w:pPr>
        <w:pStyle w:val="3"/>
        <w:spacing w:line="280" w:lineRule="exact"/>
        <w:jc w:val="left"/>
        <w:rPr>
          <w:rFonts w:cs="宋体"/>
          <w:b/>
          <w:bCs/>
        </w:rPr>
      </w:pPr>
      <w:bookmarkStart w:id="281" w:name="_Toc989170"/>
      <w:r w:rsidRPr="0063248C">
        <w:rPr>
          <w:rFonts w:cs="宋体"/>
          <w:b/>
          <w:bCs/>
        </w:rPr>
        <w:t>23</w:t>
      </w:r>
      <w:r w:rsidRPr="0063248C">
        <w:rPr>
          <w:rFonts w:cs="宋体"/>
          <w:b/>
          <w:bCs/>
        </w:rPr>
        <w:t>、生产性生物资产</w:t>
      </w:r>
      <w:bookmarkEnd w:id="281"/>
    </w:p>
    <w:p w14:paraId="6AB8D66A" w14:textId="77777777" w:rsidR="007B3DB2" w:rsidRPr="0063248C" w:rsidRDefault="00000000">
      <w:pPr>
        <w:keepNext/>
        <w:keepLines/>
        <w:spacing w:before="300" w:after="300" w:line="280" w:lineRule="exact"/>
        <w:outlineLvl w:val="3"/>
        <w:rPr>
          <w:rFonts w:cs="宋体"/>
          <w:b/>
          <w:bCs/>
          <w:szCs w:val="21"/>
        </w:rPr>
      </w:pPr>
      <w:bookmarkStart w:id="282" w:name="_Toc989171"/>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采用成本计量模式的生产性生物资产</w:t>
      </w:r>
      <w:bookmarkEnd w:id="282"/>
    </w:p>
    <w:p w14:paraId="50068C8E" w14:textId="77777777" w:rsidR="007B3DB2" w:rsidRPr="0063248C" w:rsidRDefault="00000000">
      <w:pPr>
        <w:spacing w:before="40" w:after="4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264AFA94"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2977EF45"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7BD530"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AAE489D" w14:textId="77777777" w:rsidR="007B3DB2" w:rsidRPr="0063248C" w:rsidRDefault="00000000">
            <w:pPr>
              <w:spacing w:before="40" w:after="40" w:line="240" w:lineRule="exact"/>
              <w:jc w:val="center"/>
              <w:rPr>
                <w:rFonts w:cs="宋体"/>
                <w:sz w:val="18"/>
                <w:szCs w:val="18"/>
              </w:rPr>
            </w:pPr>
            <w:r w:rsidRPr="0063248C">
              <w:rPr>
                <w:rFonts w:cs="宋体"/>
                <w:sz w:val="18"/>
                <w:szCs w:val="18"/>
              </w:rPr>
              <w:t>种植业</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B246F07" w14:textId="77777777" w:rsidR="007B3DB2" w:rsidRPr="0063248C" w:rsidRDefault="00000000">
            <w:pPr>
              <w:spacing w:before="40" w:after="40" w:line="240" w:lineRule="exact"/>
              <w:jc w:val="center"/>
              <w:rPr>
                <w:rFonts w:cs="宋体"/>
                <w:sz w:val="18"/>
                <w:szCs w:val="18"/>
              </w:rPr>
            </w:pPr>
            <w:r w:rsidRPr="0063248C">
              <w:rPr>
                <w:rFonts w:cs="宋体"/>
                <w:sz w:val="18"/>
                <w:szCs w:val="18"/>
              </w:rPr>
              <w:t>畜牧养殖业</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FC417AA" w14:textId="77777777" w:rsidR="007B3DB2" w:rsidRPr="0063248C" w:rsidRDefault="00000000">
            <w:pPr>
              <w:spacing w:before="40" w:after="40" w:line="240" w:lineRule="exact"/>
              <w:jc w:val="center"/>
              <w:rPr>
                <w:rFonts w:cs="宋体"/>
                <w:sz w:val="18"/>
                <w:szCs w:val="18"/>
              </w:rPr>
            </w:pPr>
            <w:r w:rsidRPr="0063248C">
              <w:rPr>
                <w:rFonts w:cs="宋体"/>
                <w:sz w:val="18"/>
                <w:szCs w:val="18"/>
              </w:rPr>
              <w:t>林业</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0CCB079" w14:textId="77777777" w:rsidR="007B3DB2" w:rsidRPr="0063248C" w:rsidRDefault="00000000">
            <w:pPr>
              <w:spacing w:before="40" w:after="40" w:line="240" w:lineRule="exact"/>
              <w:jc w:val="center"/>
              <w:rPr>
                <w:rFonts w:cs="宋体"/>
                <w:sz w:val="18"/>
                <w:szCs w:val="18"/>
              </w:rPr>
            </w:pPr>
            <w:r w:rsidRPr="0063248C">
              <w:rPr>
                <w:rFonts w:cs="宋体"/>
                <w:sz w:val="18"/>
                <w:szCs w:val="18"/>
              </w:rPr>
              <w:t>水产业</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79AD206" w14:textId="77777777" w:rsidR="007B3DB2" w:rsidRPr="0063248C" w:rsidRDefault="00000000">
            <w:pPr>
              <w:spacing w:before="40" w:after="40" w:line="240" w:lineRule="exact"/>
              <w:jc w:val="center"/>
              <w:rPr>
                <w:rFonts w:cs="宋体"/>
                <w:sz w:val="18"/>
                <w:szCs w:val="18"/>
              </w:rPr>
            </w:pPr>
            <w:r w:rsidRPr="0063248C">
              <w:rPr>
                <w:rFonts w:cs="宋体"/>
                <w:sz w:val="18"/>
                <w:szCs w:val="18"/>
              </w:rPr>
              <w:t>合计</w:t>
            </w:r>
          </w:p>
        </w:tc>
      </w:tr>
      <w:tr w:rsidR="007B3DB2" w:rsidRPr="0063248C" w14:paraId="682DD3BE"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92301A8"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vAlign w:val="center"/>
          </w:tcPr>
          <w:p w14:paraId="4F0370D5" w14:textId="77777777" w:rsidR="007B3DB2" w:rsidRPr="0063248C" w:rsidRDefault="007B3DB2">
            <w:pPr>
              <w:spacing w:line="240" w:lineRule="exact"/>
              <w:jc w:val="center"/>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0C7D4F" w14:textId="77777777" w:rsidR="007B3DB2" w:rsidRPr="0063248C" w:rsidRDefault="00000000">
            <w:pPr>
              <w:spacing w:line="240" w:lineRule="exact"/>
              <w:jc w:val="center"/>
              <w:rPr>
                <w:rFonts w:cs="宋体"/>
                <w:sz w:val="18"/>
                <w:szCs w:val="18"/>
              </w:rPr>
            </w:pPr>
            <w:r w:rsidRPr="0063248C">
              <w:rPr>
                <w:rFonts w:cs="宋体"/>
                <w:sz w:val="18"/>
                <w:szCs w:val="18"/>
              </w:rPr>
              <w:t>成熟</w:t>
            </w:r>
          </w:p>
        </w:tc>
        <w:tc>
          <w:tcPr>
            <w:tcW w:w="1377" w:type="dxa"/>
            <w:tcBorders>
              <w:top w:val="single" w:sz="2" w:space="0" w:color="auto"/>
              <w:left w:val="single" w:sz="2" w:space="0" w:color="auto"/>
              <w:bottom w:val="single" w:sz="2" w:space="0" w:color="auto"/>
              <w:right w:val="single" w:sz="2" w:space="0" w:color="auto"/>
            </w:tcBorders>
            <w:vAlign w:val="center"/>
          </w:tcPr>
          <w:p w14:paraId="4430290C" w14:textId="77777777" w:rsidR="007B3DB2" w:rsidRPr="0063248C" w:rsidRDefault="00000000">
            <w:pPr>
              <w:spacing w:line="240" w:lineRule="exact"/>
              <w:jc w:val="center"/>
              <w:rPr>
                <w:rFonts w:cs="宋体"/>
                <w:sz w:val="18"/>
                <w:szCs w:val="18"/>
              </w:rPr>
            </w:pPr>
            <w:r w:rsidRPr="0063248C">
              <w:rPr>
                <w:rFonts w:cs="宋体"/>
                <w:sz w:val="18"/>
                <w:szCs w:val="18"/>
              </w:rPr>
              <w:t>未成熟</w:t>
            </w:r>
          </w:p>
        </w:tc>
        <w:tc>
          <w:tcPr>
            <w:tcW w:w="1377" w:type="dxa"/>
            <w:tcBorders>
              <w:top w:val="single" w:sz="2" w:space="0" w:color="auto"/>
              <w:left w:val="single" w:sz="2" w:space="0" w:color="auto"/>
              <w:bottom w:val="single" w:sz="2" w:space="0" w:color="auto"/>
              <w:right w:val="single" w:sz="2" w:space="0" w:color="auto"/>
            </w:tcBorders>
            <w:vAlign w:val="center"/>
          </w:tcPr>
          <w:p w14:paraId="06A39A0A" w14:textId="77777777" w:rsidR="007B3DB2" w:rsidRPr="0063248C" w:rsidRDefault="007B3DB2">
            <w:pPr>
              <w:spacing w:line="240" w:lineRule="exact"/>
              <w:jc w:val="center"/>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591B98" w14:textId="77777777" w:rsidR="007B3DB2" w:rsidRPr="0063248C" w:rsidRDefault="007B3DB2">
            <w:pPr>
              <w:spacing w:line="240" w:lineRule="exact"/>
              <w:jc w:val="center"/>
              <w:rPr>
                <w:rFonts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E846544" w14:textId="77777777" w:rsidR="007B3DB2" w:rsidRPr="0063248C" w:rsidRDefault="007B3DB2"/>
        </w:tc>
      </w:tr>
      <w:tr w:rsidR="007B3DB2" w:rsidRPr="0063248C" w14:paraId="64B3496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1210B8C" w14:textId="77777777" w:rsidR="007B3DB2" w:rsidRPr="0063248C" w:rsidRDefault="00000000">
            <w:pPr>
              <w:spacing w:before="40" w:after="40" w:line="240" w:lineRule="exact"/>
              <w:rPr>
                <w:rFonts w:cs="宋体"/>
                <w:sz w:val="18"/>
                <w:szCs w:val="18"/>
              </w:rPr>
            </w:pPr>
            <w:r w:rsidRPr="0063248C">
              <w:rPr>
                <w:rFonts w:cs="宋体"/>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vAlign w:val="center"/>
          </w:tcPr>
          <w:p w14:paraId="2BC4C67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FD829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87B4C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2EC23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DD408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012348" w14:textId="77777777" w:rsidR="007B3DB2" w:rsidRPr="0063248C" w:rsidRDefault="007B3DB2">
            <w:pPr>
              <w:spacing w:line="240" w:lineRule="exact"/>
              <w:jc w:val="right"/>
              <w:rPr>
                <w:rFonts w:cs="宋体"/>
                <w:sz w:val="18"/>
                <w:szCs w:val="18"/>
              </w:rPr>
            </w:pPr>
          </w:p>
        </w:tc>
      </w:tr>
      <w:tr w:rsidR="007B3DB2" w:rsidRPr="0063248C" w14:paraId="44A1EB8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D1338B3"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75730DC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9E49AEE" w14:textId="77777777" w:rsidR="007B3DB2" w:rsidRPr="0063248C" w:rsidRDefault="00000000">
            <w:pPr>
              <w:spacing w:line="240" w:lineRule="exact"/>
              <w:jc w:val="right"/>
              <w:rPr>
                <w:rFonts w:cs="宋体"/>
                <w:sz w:val="18"/>
                <w:szCs w:val="18"/>
              </w:rPr>
            </w:pPr>
            <w:r w:rsidRPr="0063248C">
              <w:rPr>
                <w:rFonts w:cs="宋体"/>
                <w:sz w:val="18"/>
                <w:szCs w:val="18"/>
              </w:rPr>
              <w:t>17,443,970.32</w:t>
            </w:r>
          </w:p>
        </w:tc>
        <w:tc>
          <w:tcPr>
            <w:tcW w:w="1377" w:type="dxa"/>
            <w:tcBorders>
              <w:top w:val="single" w:sz="2" w:space="0" w:color="auto"/>
              <w:left w:val="single" w:sz="2" w:space="0" w:color="auto"/>
              <w:bottom w:val="single" w:sz="2" w:space="0" w:color="auto"/>
              <w:right w:val="single" w:sz="2" w:space="0" w:color="auto"/>
            </w:tcBorders>
            <w:vAlign w:val="center"/>
          </w:tcPr>
          <w:p w14:paraId="32187E3E" w14:textId="77777777" w:rsidR="007B3DB2" w:rsidRPr="0063248C" w:rsidRDefault="00000000">
            <w:pPr>
              <w:spacing w:line="240" w:lineRule="exact"/>
              <w:jc w:val="right"/>
              <w:rPr>
                <w:rFonts w:cs="宋体"/>
                <w:sz w:val="18"/>
                <w:szCs w:val="18"/>
              </w:rPr>
            </w:pPr>
            <w:r w:rsidRPr="0063248C">
              <w:rPr>
                <w:rFonts w:cs="宋体"/>
                <w:sz w:val="18"/>
                <w:szCs w:val="18"/>
              </w:rPr>
              <w:t>731,473.74</w:t>
            </w:r>
          </w:p>
        </w:tc>
        <w:tc>
          <w:tcPr>
            <w:tcW w:w="1377" w:type="dxa"/>
            <w:tcBorders>
              <w:top w:val="single" w:sz="2" w:space="0" w:color="auto"/>
              <w:left w:val="single" w:sz="2" w:space="0" w:color="auto"/>
              <w:bottom w:val="single" w:sz="2" w:space="0" w:color="auto"/>
              <w:right w:val="single" w:sz="2" w:space="0" w:color="auto"/>
            </w:tcBorders>
            <w:vAlign w:val="center"/>
          </w:tcPr>
          <w:p w14:paraId="70AFEBE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7FB20B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823E8AC" w14:textId="77777777" w:rsidR="007B3DB2" w:rsidRPr="0063248C" w:rsidRDefault="00000000">
            <w:pPr>
              <w:spacing w:line="240" w:lineRule="exact"/>
              <w:jc w:val="right"/>
              <w:rPr>
                <w:rFonts w:cs="宋体"/>
                <w:sz w:val="18"/>
                <w:szCs w:val="18"/>
              </w:rPr>
            </w:pPr>
            <w:r w:rsidRPr="0063248C">
              <w:rPr>
                <w:rFonts w:cs="宋体"/>
                <w:sz w:val="18"/>
                <w:szCs w:val="18"/>
              </w:rPr>
              <w:t>18,175,444.06</w:t>
            </w:r>
          </w:p>
        </w:tc>
      </w:tr>
      <w:tr w:rsidR="007B3DB2" w:rsidRPr="0063248C" w14:paraId="1D59820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2D62444"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3C3A065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1215F1" w14:textId="77777777" w:rsidR="007B3DB2" w:rsidRPr="0063248C" w:rsidRDefault="00000000">
            <w:pPr>
              <w:spacing w:line="240" w:lineRule="exact"/>
              <w:jc w:val="right"/>
              <w:rPr>
                <w:rFonts w:cs="宋体"/>
                <w:sz w:val="18"/>
                <w:szCs w:val="18"/>
              </w:rPr>
            </w:pPr>
            <w:r w:rsidRPr="0063248C">
              <w:rPr>
                <w:rFonts w:cs="宋体"/>
                <w:sz w:val="18"/>
                <w:szCs w:val="18"/>
              </w:rPr>
              <w:t>15,972,578.00</w:t>
            </w:r>
          </w:p>
        </w:tc>
        <w:tc>
          <w:tcPr>
            <w:tcW w:w="1377" w:type="dxa"/>
            <w:tcBorders>
              <w:top w:val="single" w:sz="2" w:space="0" w:color="auto"/>
              <w:left w:val="single" w:sz="2" w:space="0" w:color="auto"/>
              <w:bottom w:val="single" w:sz="2" w:space="0" w:color="auto"/>
              <w:right w:val="single" w:sz="2" w:space="0" w:color="auto"/>
            </w:tcBorders>
            <w:vAlign w:val="center"/>
          </w:tcPr>
          <w:p w14:paraId="65E08C53" w14:textId="77777777" w:rsidR="007B3DB2" w:rsidRPr="0063248C" w:rsidRDefault="00000000">
            <w:pPr>
              <w:spacing w:line="240" w:lineRule="exact"/>
              <w:jc w:val="right"/>
              <w:rPr>
                <w:rFonts w:cs="宋体"/>
                <w:sz w:val="18"/>
                <w:szCs w:val="18"/>
              </w:rPr>
            </w:pPr>
            <w:r w:rsidRPr="0063248C">
              <w:rPr>
                <w:rFonts w:cs="宋体"/>
                <w:sz w:val="18"/>
                <w:szCs w:val="18"/>
              </w:rPr>
              <w:t>21,927,932.02</w:t>
            </w:r>
          </w:p>
        </w:tc>
        <w:tc>
          <w:tcPr>
            <w:tcW w:w="1377" w:type="dxa"/>
            <w:tcBorders>
              <w:top w:val="single" w:sz="2" w:space="0" w:color="auto"/>
              <w:left w:val="single" w:sz="2" w:space="0" w:color="auto"/>
              <w:bottom w:val="single" w:sz="2" w:space="0" w:color="auto"/>
              <w:right w:val="single" w:sz="2" w:space="0" w:color="auto"/>
            </w:tcBorders>
            <w:vAlign w:val="center"/>
          </w:tcPr>
          <w:p w14:paraId="72743AD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0016EF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20BE4E9" w14:textId="77777777" w:rsidR="007B3DB2" w:rsidRPr="0063248C" w:rsidRDefault="00000000">
            <w:pPr>
              <w:spacing w:line="240" w:lineRule="exact"/>
              <w:jc w:val="right"/>
              <w:rPr>
                <w:rFonts w:cs="宋体"/>
                <w:sz w:val="18"/>
                <w:szCs w:val="18"/>
              </w:rPr>
            </w:pPr>
            <w:r w:rsidRPr="0063248C">
              <w:rPr>
                <w:rFonts w:cs="宋体"/>
                <w:sz w:val="18"/>
                <w:szCs w:val="18"/>
              </w:rPr>
              <w:t>37,900,510.02</w:t>
            </w:r>
          </w:p>
        </w:tc>
      </w:tr>
      <w:tr w:rsidR="007B3DB2" w:rsidRPr="0063248C" w14:paraId="16CE45D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DDD4586"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lastRenderedPageBreak/>
              <w:t>(1)</w:t>
            </w:r>
            <w:r w:rsidRPr="0063248C">
              <w:rPr>
                <w:rFonts w:cs="宋体"/>
                <w:sz w:val="18"/>
                <w:szCs w:val="18"/>
              </w:rPr>
              <w:t>外购</w:t>
            </w:r>
          </w:p>
        </w:tc>
        <w:tc>
          <w:tcPr>
            <w:tcW w:w="1377" w:type="dxa"/>
            <w:tcBorders>
              <w:top w:val="single" w:sz="2" w:space="0" w:color="auto"/>
              <w:left w:val="single" w:sz="2" w:space="0" w:color="auto"/>
              <w:bottom w:val="single" w:sz="2" w:space="0" w:color="auto"/>
              <w:right w:val="single" w:sz="2" w:space="0" w:color="auto"/>
            </w:tcBorders>
            <w:vAlign w:val="center"/>
          </w:tcPr>
          <w:p w14:paraId="7CC0D20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46917E"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0A4849BF" w14:textId="77777777" w:rsidR="007B3DB2" w:rsidRPr="0063248C" w:rsidRDefault="00000000">
            <w:pPr>
              <w:spacing w:line="240" w:lineRule="exact"/>
              <w:jc w:val="right"/>
              <w:rPr>
                <w:rFonts w:cs="宋体"/>
                <w:sz w:val="18"/>
                <w:szCs w:val="18"/>
              </w:rPr>
            </w:pPr>
            <w:r w:rsidRPr="0063248C">
              <w:rPr>
                <w:rFonts w:cs="宋体"/>
                <w:sz w:val="18"/>
                <w:szCs w:val="18"/>
              </w:rPr>
              <w:t>12,228,700.00</w:t>
            </w:r>
          </w:p>
        </w:tc>
        <w:tc>
          <w:tcPr>
            <w:tcW w:w="1377" w:type="dxa"/>
            <w:tcBorders>
              <w:top w:val="single" w:sz="2" w:space="0" w:color="auto"/>
              <w:left w:val="single" w:sz="2" w:space="0" w:color="auto"/>
              <w:bottom w:val="single" w:sz="2" w:space="0" w:color="auto"/>
              <w:right w:val="single" w:sz="2" w:space="0" w:color="auto"/>
            </w:tcBorders>
            <w:vAlign w:val="center"/>
          </w:tcPr>
          <w:p w14:paraId="1241D5F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2BB2E3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E7DB20" w14:textId="77777777" w:rsidR="007B3DB2" w:rsidRPr="0063248C" w:rsidRDefault="00000000">
            <w:pPr>
              <w:spacing w:line="240" w:lineRule="exact"/>
              <w:jc w:val="right"/>
              <w:rPr>
                <w:rFonts w:cs="宋体"/>
                <w:sz w:val="18"/>
                <w:szCs w:val="18"/>
              </w:rPr>
            </w:pPr>
            <w:r w:rsidRPr="0063248C">
              <w:rPr>
                <w:rFonts w:cs="宋体"/>
                <w:sz w:val="18"/>
                <w:szCs w:val="18"/>
              </w:rPr>
              <w:t>12,228,700.00</w:t>
            </w:r>
          </w:p>
        </w:tc>
      </w:tr>
      <w:tr w:rsidR="007B3DB2" w:rsidRPr="0063248C" w14:paraId="7688623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25A83E8"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(2)</w:t>
            </w:r>
            <w:r w:rsidRPr="0063248C">
              <w:rPr>
                <w:rFonts w:cs="宋体"/>
                <w:sz w:val="18"/>
                <w:szCs w:val="18"/>
              </w:rPr>
              <w:t>自行培育</w:t>
            </w:r>
          </w:p>
        </w:tc>
        <w:tc>
          <w:tcPr>
            <w:tcW w:w="1377" w:type="dxa"/>
            <w:tcBorders>
              <w:top w:val="single" w:sz="2" w:space="0" w:color="auto"/>
              <w:left w:val="single" w:sz="2" w:space="0" w:color="auto"/>
              <w:bottom w:val="single" w:sz="2" w:space="0" w:color="auto"/>
              <w:right w:val="single" w:sz="2" w:space="0" w:color="auto"/>
            </w:tcBorders>
            <w:vAlign w:val="center"/>
          </w:tcPr>
          <w:p w14:paraId="6583083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DFE566" w14:textId="77777777" w:rsidR="007B3DB2" w:rsidRPr="0063248C" w:rsidRDefault="00000000">
            <w:pPr>
              <w:spacing w:line="240" w:lineRule="exact"/>
              <w:jc w:val="right"/>
              <w:rPr>
                <w:rFonts w:cs="宋体"/>
                <w:sz w:val="18"/>
                <w:szCs w:val="18"/>
              </w:rPr>
            </w:pPr>
            <w:r w:rsidRPr="0063248C">
              <w:rPr>
                <w:rFonts w:cs="宋体"/>
                <w:sz w:val="18"/>
                <w:szCs w:val="18"/>
              </w:rPr>
              <w:t>15,972,578.00</w:t>
            </w:r>
          </w:p>
        </w:tc>
        <w:tc>
          <w:tcPr>
            <w:tcW w:w="1377" w:type="dxa"/>
            <w:tcBorders>
              <w:top w:val="single" w:sz="2" w:space="0" w:color="auto"/>
              <w:left w:val="single" w:sz="2" w:space="0" w:color="auto"/>
              <w:bottom w:val="single" w:sz="2" w:space="0" w:color="auto"/>
              <w:right w:val="single" w:sz="2" w:space="0" w:color="auto"/>
            </w:tcBorders>
            <w:vAlign w:val="center"/>
          </w:tcPr>
          <w:p w14:paraId="1E7077B6" w14:textId="77777777" w:rsidR="007B3DB2" w:rsidRPr="0063248C" w:rsidRDefault="00000000">
            <w:pPr>
              <w:spacing w:line="240" w:lineRule="exact"/>
              <w:jc w:val="right"/>
              <w:rPr>
                <w:rFonts w:cs="宋体"/>
                <w:sz w:val="18"/>
                <w:szCs w:val="18"/>
              </w:rPr>
            </w:pPr>
            <w:r w:rsidRPr="0063248C">
              <w:rPr>
                <w:rFonts w:cs="宋体"/>
                <w:sz w:val="18"/>
                <w:szCs w:val="18"/>
              </w:rPr>
              <w:t>9,699,232.02</w:t>
            </w:r>
          </w:p>
        </w:tc>
        <w:tc>
          <w:tcPr>
            <w:tcW w:w="1377" w:type="dxa"/>
            <w:tcBorders>
              <w:top w:val="single" w:sz="2" w:space="0" w:color="auto"/>
              <w:left w:val="single" w:sz="2" w:space="0" w:color="auto"/>
              <w:bottom w:val="single" w:sz="2" w:space="0" w:color="auto"/>
              <w:right w:val="single" w:sz="2" w:space="0" w:color="auto"/>
            </w:tcBorders>
            <w:vAlign w:val="center"/>
          </w:tcPr>
          <w:p w14:paraId="5BAD4C1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4E144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6CF1E3" w14:textId="77777777" w:rsidR="007B3DB2" w:rsidRPr="0063248C" w:rsidRDefault="00000000">
            <w:pPr>
              <w:spacing w:line="240" w:lineRule="exact"/>
              <w:jc w:val="right"/>
              <w:rPr>
                <w:rFonts w:cs="宋体"/>
                <w:sz w:val="18"/>
                <w:szCs w:val="18"/>
              </w:rPr>
            </w:pPr>
            <w:r w:rsidRPr="0063248C">
              <w:rPr>
                <w:rFonts w:cs="宋体"/>
                <w:sz w:val="18"/>
                <w:szCs w:val="18"/>
              </w:rPr>
              <w:t>25,671,810.02</w:t>
            </w:r>
          </w:p>
        </w:tc>
      </w:tr>
      <w:tr w:rsidR="007B3DB2" w:rsidRPr="0063248C" w14:paraId="283706E1"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92D90A7"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13566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E73B7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5E0E99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06F44B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7ACE7B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F4153C2" w14:textId="77777777" w:rsidR="007B3DB2" w:rsidRPr="0063248C" w:rsidRDefault="007B3DB2">
            <w:pPr>
              <w:spacing w:line="240" w:lineRule="exact"/>
              <w:jc w:val="right"/>
              <w:rPr>
                <w:rFonts w:cs="宋体"/>
                <w:sz w:val="18"/>
                <w:szCs w:val="18"/>
              </w:rPr>
            </w:pPr>
          </w:p>
        </w:tc>
      </w:tr>
      <w:tr w:rsidR="007B3DB2" w:rsidRPr="0063248C" w14:paraId="6AE63FE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20FB190"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0F1BDAA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9EE286" w14:textId="77777777" w:rsidR="007B3DB2" w:rsidRPr="0063248C" w:rsidRDefault="00000000">
            <w:pPr>
              <w:spacing w:line="240" w:lineRule="exact"/>
              <w:jc w:val="right"/>
              <w:rPr>
                <w:rFonts w:cs="宋体"/>
                <w:sz w:val="18"/>
                <w:szCs w:val="18"/>
              </w:rPr>
            </w:pPr>
            <w:r w:rsidRPr="0063248C">
              <w:rPr>
                <w:rFonts w:cs="宋体"/>
                <w:sz w:val="18"/>
                <w:szCs w:val="18"/>
              </w:rPr>
              <w:t>4,089,669.54</w:t>
            </w:r>
          </w:p>
        </w:tc>
        <w:tc>
          <w:tcPr>
            <w:tcW w:w="1377" w:type="dxa"/>
            <w:tcBorders>
              <w:top w:val="single" w:sz="2" w:space="0" w:color="auto"/>
              <w:left w:val="single" w:sz="2" w:space="0" w:color="auto"/>
              <w:bottom w:val="single" w:sz="2" w:space="0" w:color="auto"/>
              <w:right w:val="single" w:sz="2" w:space="0" w:color="auto"/>
            </w:tcBorders>
            <w:vAlign w:val="center"/>
          </w:tcPr>
          <w:p w14:paraId="7C650392" w14:textId="77777777" w:rsidR="007B3DB2" w:rsidRPr="0063248C" w:rsidRDefault="00000000">
            <w:pPr>
              <w:spacing w:line="240" w:lineRule="exact"/>
              <w:jc w:val="right"/>
              <w:rPr>
                <w:rFonts w:cs="宋体"/>
                <w:sz w:val="18"/>
                <w:szCs w:val="18"/>
              </w:rPr>
            </w:pPr>
            <w:r w:rsidRPr="0063248C">
              <w:rPr>
                <w:rFonts w:cs="宋体"/>
                <w:sz w:val="18"/>
                <w:szCs w:val="18"/>
              </w:rPr>
              <w:t>21,885,013.20</w:t>
            </w:r>
          </w:p>
        </w:tc>
        <w:tc>
          <w:tcPr>
            <w:tcW w:w="1377" w:type="dxa"/>
            <w:tcBorders>
              <w:top w:val="single" w:sz="2" w:space="0" w:color="auto"/>
              <w:left w:val="single" w:sz="2" w:space="0" w:color="auto"/>
              <w:bottom w:val="single" w:sz="2" w:space="0" w:color="auto"/>
              <w:right w:val="single" w:sz="2" w:space="0" w:color="auto"/>
            </w:tcBorders>
            <w:vAlign w:val="center"/>
          </w:tcPr>
          <w:p w14:paraId="4A46F08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86218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AC0A0D1" w14:textId="77777777" w:rsidR="007B3DB2" w:rsidRPr="0063248C" w:rsidRDefault="00000000">
            <w:pPr>
              <w:spacing w:line="240" w:lineRule="exact"/>
              <w:jc w:val="right"/>
              <w:rPr>
                <w:rFonts w:cs="宋体"/>
                <w:sz w:val="18"/>
                <w:szCs w:val="18"/>
              </w:rPr>
            </w:pPr>
            <w:r w:rsidRPr="0063248C">
              <w:rPr>
                <w:rFonts w:cs="宋体"/>
                <w:sz w:val="18"/>
                <w:szCs w:val="18"/>
              </w:rPr>
              <w:t>25,974,682.74</w:t>
            </w:r>
          </w:p>
        </w:tc>
      </w:tr>
      <w:tr w:rsidR="007B3DB2" w:rsidRPr="0063248C" w14:paraId="05E846D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E2F4450"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(1)</w:t>
            </w:r>
            <w:r w:rsidRPr="0063248C">
              <w:rPr>
                <w:rFonts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165C630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1505663" w14:textId="77777777" w:rsidR="007B3DB2" w:rsidRPr="0063248C" w:rsidRDefault="00000000">
            <w:pPr>
              <w:spacing w:line="240" w:lineRule="exact"/>
              <w:jc w:val="right"/>
              <w:rPr>
                <w:rFonts w:cs="宋体"/>
                <w:sz w:val="18"/>
                <w:szCs w:val="18"/>
              </w:rPr>
            </w:pPr>
            <w:r w:rsidRPr="0063248C">
              <w:rPr>
                <w:rFonts w:cs="宋体"/>
                <w:sz w:val="18"/>
                <w:szCs w:val="18"/>
              </w:rPr>
              <w:t>4,089,669.54</w:t>
            </w:r>
          </w:p>
        </w:tc>
        <w:tc>
          <w:tcPr>
            <w:tcW w:w="1377" w:type="dxa"/>
            <w:tcBorders>
              <w:top w:val="single" w:sz="2" w:space="0" w:color="auto"/>
              <w:left w:val="single" w:sz="2" w:space="0" w:color="auto"/>
              <w:bottom w:val="single" w:sz="2" w:space="0" w:color="auto"/>
              <w:right w:val="single" w:sz="2" w:space="0" w:color="auto"/>
            </w:tcBorders>
            <w:vAlign w:val="center"/>
          </w:tcPr>
          <w:p w14:paraId="320F196A" w14:textId="77777777" w:rsidR="007B3DB2" w:rsidRPr="0063248C" w:rsidRDefault="00000000">
            <w:pPr>
              <w:spacing w:line="240" w:lineRule="exact"/>
              <w:jc w:val="right"/>
              <w:rPr>
                <w:rFonts w:cs="宋体"/>
                <w:sz w:val="18"/>
                <w:szCs w:val="18"/>
              </w:rPr>
            </w:pPr>
            <w:r w:rsidRPr="0063248C">
              <w:rPr>
                <w:rFonts w:cs="宋体"/>
                <w:sz w:val="18"/>
                <w:szCs w:val="18"/>
              </w:rPr>
              <w:t>5,912,435.20</w:t>
            </w:r>
          </w:p>
        </w:tc>
        <w:tc>
          <w:tcPr>
            <w:tcW w:w="1377" w:type="dxa"/>
            <w:tcBorders>
              <w:top w:val="single" w:sz="2" w:space="0" w:color="auto"/>
              <w:left w:val="single" w:sz="2" w:space="0" w:color="auto"/>
              <w:bottom w:val="single" w:sz="2" w:space="0" w:color="auto"/>
              <w:right w:val="single" w:sz="2" w:space="0" w:color="auto"/>
            </w:tcBorders>
            <w:vAlign w:val="center"/>
          </w:tcPr>
          <w:p w14:paraId="084EBE5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FE7F5D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CF9087" w14:textId="77777777" w:rsidR="007B3DB2" w:rsidRPr="0063248C" w:rsidRDefault="00000000">
            <w:pPr>
              <w:spacing w:line="240" w:lineRule="exact"/>
              <w:jc w:val="right"/>
              <w:rPr>
                <w:rFonts w:cs="宋体"/>
                <w:sz w:val="18"/>
                <w:szCs w:val="18"/>
              </w:rPr>
            </w:pPr>
            <w:r w:rsidRPr="0063248C">
              <w:rPr>
                <w:rFonts w:cs="宋体"/>
                <w:sz w:val="18"/>
                <w:szCs w:val="18"/>
              </w:rPr>
              <w:t>10,002,104.74</w:t>
            </w:r>
          </w:p>
        </w:tc>
      </w:tr>
      <w:tr w:rsidR="007B3DB2" w:rsidRPr="0063248C" w14:paraId="07FFC90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AF257A2"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(2)</w:t>
            </w:r>
            <w:r w:rsidRPr="0063248C">
              <w:rPr>
                <w:rFonts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7E18BE2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4422B5"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4EF43E50" w14:textId="77777777" w:rsidR="007B3DB2" w:rsidRPr="0063248C" w:rsidRDefault="00000000">
            <w:pPr>
              <w:spacing w:line="240" w:lineRule="exact"/>
              <w:jc w:val="right"/>
              <w:rPr>
                <w:rFonts w:cs="宋体"/>
                <w:sz w:val="18"/>
                <w:szCs w:val="18"/>
              </w:rPr>
            </w:pPr>
            <w:r w:rsidRPr="0063248C">
              <w:rPr>
                <w:rFonts w:cs="宋体"/>
                <w:sz w:val="18"/>
                <w:szCs w:val="18"/>
              </w:rPr>
              <w:t>15,972,578.00</w:t>
            </w:r>
          </w:p>
        </w:tc>
        <w:tc>
          <w:tcPr>
            <w:tcW w:w="1377" w:type="dxa"/>
            <w:tcBorders>
              <w:top w:val="single" w:sz="2" w:space="0" w:color="auto"/>
              <w:left w:val="single" w:sz="2" w:space="0" w:color="auto"/>
              <w:bottom w:val="single" w:sz="2" w:space="0" w:color="auto"/>
              <w:right w:val="single" w:sz="2" w:space="0" w:color="auto"/>
            </w:tcBorders>
            <w:vAlign w:val="center"/>
          </w:tcPr>
          <w:p w14:paraId="0B07649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ABEE4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FE0A3FC" w14:textId="77777777" w:rsidR="007B3DB2" w:rsidRPr="0063248C" w:rsidRDefault="00000000">
            <w:pPr>
              <w:spacing w:line="240" w:lineRule="exact"/>
              <w:jc w:val="right"/>
              <w:rPr>
                <w:rFonts w:cs="宋体"/>
                <w:sz w:val="18"/>
                <w:szCs w:val="18"/>
              </w:rPr>
            </w:pPr>
            <w:r w:rsidRPr="0063248C">
              <w:rPr>
                <w:rFonts w:cs="宋体"/>
                <w:sz w:val="18"/>
                <w:szCs w:val="18"/>
              </w:rPr>
              <w:t>15,972,578.00</w:t>
            </w:r>
          </w:p>
        </w:tc>
      </w:tr>
      <w:tr w:rsidR="007B3DB2" w:rsidRPr="0063248C" w14:paraId="75CBB065"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ACEBF4A"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88D863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8631AC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07884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04F8C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AC86EA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495195" w14:textId="77777777" w:rsidR="007B3DB2" w:rsidRPr="0063248C" w:rsidRDefault="007B3DB2">
            <w:pPr>
              <w:spacing w:line="240" w:lineRule="exact"/>
              <w:jc w:val="right"/>
              <w:rPr>
                <w:rFonts w:cs="宋体"/>
                <w:sz w:val="18"/>
                <w:szCs w:val="18"/>
              </w:rPr>
            </w:pPr>
          </w:p>
        </w:tc>
      </w:tr>
      <w:tr w:rsidR="007B3DB2" w:rsidRPr="0063248C" w14:paraId="33FDA1A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3B08DB"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4DCF7E4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2BE633" w14:textId="77777777" w:rsidR="007B3DB2" w:rsidRPr="0063248C" w:rsidRDefault="00000000">
            <w:pPr>
              <w:spacing w:line="240" w:lineRule="exact"/>
              <w:jc w:val="right"/>
              <w:rPr>
                <w:rFonts w:cs="宋体"/>
                <w:sz w:val="18"/>
                <w:szCs w:val="18"/>
              </w:rPr>
            </w:pPr>
            <w:r w:rsidRPr="0063248C">
              <w:rPr>
                <w:rFonts w:cs="宋体"/>
                <w:sz w:val="18"/>
                <w:szCs w:val="18"/>
              </w:rPr>
              <w:t>29,326,878.78</w:t>
            </w:r>
          </w:p>
        </w:tc>
        <w:tc>
          <w:tcPr>
            <w:tcW w:w="1377" w:type="dxa"/>
            <w:tcBorders>
              <w:top w:val="single" w:sz="2" w:space="0" w:color="auto"/>
              <w:left w:val="single" w:sz="2" w:space="0" w:color="auto"/>
              <w:bottom w:val="single" w:sz="2" w:space="0" w:color="auto"/>
              <w:right w:val="single" w:sz="2" w:space="0" w:color="auto"/>
            </w:tcBorders>
            <w:vAlign w:val="center"/>
          </w:tcPr>
          <w:p w14:paraId="2B2AF0CB" w14:textId="77777777" w:rsidR="007B3DB2" w:rsidRPr="0063248C" w:rsidRDefault="00000000">
            <w:pPr>
              <w:spacing w:line="240" w:lineRule="exact"/>
              <w:jc w:val="right"/>
              <w:rPr>
                <w:rFonts w:cs="宋体"/>
                <w:sz w:val="18"/>
                <w:szCs w:val="18"/>
              </w:rPr>
            </w:pPr>
            <w:r w:rsidRPr="0063248C">
              <w:rPr>
                <w:rFonts w:cs="宋体"/>
                <w:sz w:val="18"/>
                <w:szCs w:val="18"/>
              </w:rPr>
              <w:t>774,392.56</w:t>
            </w:r>
          </w:p>
        </w:tc>
        <w:tc>
          <w:tcPr>
            <w:tcW w:w="1377" w:type="dxa"/>
            <w:tcBorders>
              <w:top w:val="single" w:sz="2" w:space="0" w:color="auto"/>
              <w:left w:val="single" w:sz="2" w:space="0" w:color="auto"/>
              <w:bottom w:val="single" w:sz="2" w:space="0" w:color="auto"/>
              <w:right w:val="single" w:sz="2" w:space="0" w:color="auto"/>
            </w:tcBorders>
            <w:vAlign w:val="center"/>
          </w:tcPr>
          <w:p w14:paraId="2964736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DAC70E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749ED2" w14:textId="77777777" w:rsidR="007B3DB2" w:rsidRPr="0063248C" w:rsidRDefault="00000000">
            <w:pPr>
              <w:spacing w:line="240" w:lineRule="exact"/>
              <w:jc w:val="right"/>
              <w:rPr>
                <w:rFonts w:cs="宋体"/>
                <w:sz w:val="18"/>
                <w:szCs w:val="18"/>
              </w:rPr>
            </w:pPr>
            <w:r w:rsidRPr="0063248C">
              <w:rPr>
                <w:rFonts w:cs="宋体"/>
                <w:sz w:val="18"/>
                <w:szCs w:val="18"/>
              </w:rPr>
              <w:t>30,101,271.34</w:t>
            </w:r>
          </w:p>
        </w:tc>
      </w:tr>
      <w:tr w:rsidR="007B3DB2" w:rsidRPr="0063248C" w14:paraId="299334D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42F4276" w14:textId="77777777" w:rsidR="007B3DB2" w:rsidRPr="0063248C" w:rsidRDefault="00000000">
            <w:pPr>
              <w:spacing w:before="40" w:after="40" w:line="240" w:lineRule="exact"/>
              <w:rPr>
                <w:rFonts w:cs="宋体"/>
                <w:sz w:val="18"/>
                <w:szCs w:val="18"/>
              </w:rPr>
            </w:pPr>
            <w:r w:rsidRPr="0063248C">
              <w:rPr>
                <w:rFonts w:cs="宋体"/>
                <w:sz w:val="18"/>
                <w:szCs w:val="18"/>
              </w:rPr>
              <w:t>二、累计折旧</w:t>
            </w:r>
          </w:p>
        </w:tc>
        <w:tc>
          <w:tcPr>
            <w:tcW w:w="1377" w:type="dxa"/>
            <w:tcBorders>
              <w:top w:val="single" w:sz="2" w:space="0" w:color="auto"/>
              <w:left w:val="single" w:sz="2" w:space="0" w:color="auto"/>
              <w:bottom w:val="single" w:sz="2" w:space="0" w:color="auto"/>
              <w:right w:val="single" w:sz="2" w:space="0" w:color="auto"/>
            </w:tcBorders>
            <w:vAlign w:val="center"/>
          </w:tcPr>
          <w:p w14:paraId="4415649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C09F6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B085F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20F3FA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08A52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CB3D22F" w14:textId="77777777" w:rsidR="007B3DB2" w:rsidRPr="0063248C" w:rsidRDefault="007B3DB2">
            <w:pPr>
              <w:spacing w:line="240" w:lineRule="exact"/>
              <w:jc w:val="right"/>
              <w:rPr>
                <w:rFonts w:cs="宋体"/>
                <w:sz w:val="18"/>
                <w:szCs w:val="18"/>
              </w:rPr>
            </w:pPr>
          </w:p>
        </w:tc>
      </w:tr>
      <w:tr w:rsidR="007B3DB2" w:rsidRPr="0063248C" w14:paraId="6D359F9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F5EAE77"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3E57D1F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1EB630" w14:textId="77777777" w:rsidR="007B3DB2" w:rsidRPr="0063248C" w:rsidRDefault="00000000">
            <w:pPr>
              <w:spacing w:line="240" w:lineRule="exact"/>
              <w:jc w:val="right"/>
              <w:rPr>
                <w:rFonts w:cs="宋体"/>
                <w:sz w:val="18"/>
                <w:szCs w:val="18"/>
              </w:rPr>
            </w:pPr>
            <w:r w:rsidRPr="0063248C">
              <w:rPr>
                <w:rFonts w:cs="宋体"/>
                <w:sz w:val="18"/>
                <w:szCs w:val="18"/>
              </w:rPr>
              <w:t>8,059,222.23</w:t>
            </w:r>
          </w:p>
        </w:tc>
        <w:tc>
          <w:tcPr>
            <w:tcW w:w="1377" w:type="dxa"/>
            <w:tcBorders>
              <w:top w:val="single" w:sz="2" w:space="0" w:color="auto"/>
              <w:left w:val="single" w:sz="2" w:space="0" w:color="auto"/>
              <w:bottom w:val="single" w:sz="2" w:space="0" w:color="auto"/>
              <w:right w:val="single" w:sz="2" w:space="0" w:color="auto"/>
            </w:tcBorders>
            <w:vAlign w:val="center"/>
          </w:tcPr>
          <w:p w14:paraId="174037E4"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15ACE14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4A094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7539987" w14:textId="77777777" w:rsidR="007B3DB2" w:rsidRPr="0063248C" w:rsidRDefault="00000000">
            <w:pPr>
              <w:spacing w:line="240" w:lineRule="exact"/>
              <w:jc w:val="right"/>
              <w:rPr>
                <w:rFonts w:cs="宋体"/>
                <w:sz w:val="18"/>
                <w:szCs w:val="18"/>
              </w:rPr>
            </w:pPr>
            <w:r w:rsidRPr="0063248C">
              <w:rPr>
                <w:rFonts w:cs="宋体"/>
                <w:sz w:val="18"/>
                <w:szCs w:val="18"/>
              </w:rPr>
              <w:t>8,059,222.23</w:t>
            </w:r>
          </w:p>
        </w:tc>
      </w:tr>
      <w:tr w:rsidR="007B3DB2" w:rsidRPr="0063248C" w14:paraId="4313F15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D39467E"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59521E5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64111B" w14:textId="77777777" w:rsidR="007B3DB2" w:rsidRPr="0063248C" w:rsidRDefault="00000000">
            <w:pPr>
              <w:spacing w:line="240" w:lineRule="exact"/>
              <w:jc w:val="right"/>
              <w:rPr>
                <w:rFonts w:cs="宋体"/>
                <w:sz w:val="18"/>
                <w:szCs w:val="18"/>
              </w:rPr>
            </w:pPr>
            <w:r w:rsidRPr="0063248C">
              <w:rPr>
                <w:rFonts w:cs="宋体"/>
                <w:sz w:val="18"/>
                <w:szCs w:val="18"/>
              </w:rPr>
              <w:t>2,642,683.63</w:t>
            </w:r>
          </w:p>
        </w:tc>
        <w:tc>
          <w:tcPr>
            <w:tcW w:w="1377" w:type="dxa"/>
            <w:tcBorders>
              <w:top w:val="single" w:sz="2" w:space="0" w:color="auto"/>
              <w:left w:val="single" w:sz="2" w:space="0" w:color="auto"/>
              <w:bottom w:val="single" w:sz="2" w:space="0" w:color="auto"/>
              <w:right w:val="single" w:sz="2" w:space="0" w:color="auto"/>
            </w:tcBorders>
            <w:vAlign w:val="center"/>
          </w:tcPr>
          <w:p w14:paraId="1FF1168C"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7EFAB54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308418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C69377" w14:textId="77777777" w:rsidR="007B3DB2" w:rsidRPr="0063248C" w:rsidRDefault="00000000">
            <w:pPr>
              <w:spacing w:line="240" w:lineRule="exact"/>
              <w:jc w:val="right"/>
              <w:rPr>
                <w:rFonts w:cs="宋体"/>
                <w:sz w:val="18"/>
                <w:szCs w:val="18"/>
              </w:rPr>
            </w:pPr>
            <w:r w:rsidRPr="0063248C">
              <w:rPr>
                <w:rFonts w:cs="宋体"/>
                <w:sz w:val="18"/>
                <w:szCs w:val="18"/>
              </w:rPr>
              <w:t>2,642,683.63</w:t>
            </w:r>
          </w:p>
        </w:tc>
      </w:tr>
      <w:tr w:rsidR="007B3DB2" w:rsidRPr="0063248C" w14:paraId="11243FB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F1F0194"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(1)</w:t>
            </w:r>
            <w:r w:rsidRPr="0063248C">
              <w:rPr>
                <w:rFonts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138C7C9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9436AD" w14:textId="77777777" w:rsidR="007B3DB2" w:rsidRPr="0063248C" w:rsidRDefault="00000000">
            <w:pPr>
              <w:spacing w:line="240" w:lineRule="exact"/>
              <w:jc w:val="right"/>
              <w:rPr>
                <w:rFonts w:cs="宋体"/>
                <w:sz w:val="18"/>
                <w:szCs w:val="18"/>
              </w:rPr>
            </w:pPr>
            <w:r w:rsidRPr="0063248C">
              <w:rPr>
                <w:rFonts w:cs="宋体"/>
                <w:sz w:val="18"/>
                <w:szCs w:val="18"/>
              </w:rPr>
              <w:t>2,642,683.63</w:t>
            </w:r>
          </w:p>
        </w:tc>
        <w:tc>
          <w:tcPr>
            <w:tcW w:w="1377" w:type="dxa"/>
            <w:tcBorders>
              <w:top w:val="single" w:sz="2" w:space="0" w:color="auto"/>
              <w:left w:val="single" w:sz="2" w:space="0" w:color="auto"/>
              <w:bottom w:val="single" w:sz="2" w:space="0" w:color="auto"/>
              <w:right w:val="single" w:sz="2" w:space="0" w:color="auto"/>
            </w:tcBorders>
            <w:vAlign w:val="center"/>
          </w:tcPr>
          <w:p w14:paraId="44023675"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23EFF56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7A6548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0565EE" w14:textId="77777777" w:rsidR="007B3DB2" w:rsidRPr="0063248C" w:rsidRDefault="00000000">
            <w:pPr>
              <w:spacing w:line="240" w:lineRule="exact"/>
              <w:jc w:val="right"/>
              <w:rPr>
                <w:rFonts w:cs="宋体"/>
                <w:sz w:val="18"/>
                <w:szCs w:val="18"/>
              </w:rPr>
            </w:pPr>
            <w:r w:rsidRPr="0063248C">
              <w:rPr>
                <w:rFonts w:cs="宋体"/>
                <w:sz w:val="18"/>
                <w:szCs w:val="18"/>
              </w:rPr>
              <w:t>2,642,683.63</w:t>
            </w:r>
          </w:p>
        </w:tc>
      </w:tr>
      <w:tr w:rsidR="007B3DB2" w:rsidRPr="0063248C" w14:paraId="57FF07B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6AD2AAB"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4ABE2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6CFA4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CABDD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9E22D4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F0223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5E3409" w14:textId="77777777" w:rsidR="007B3DB2" w:rsidRPr="0063248C" w:rsidRDefault="007B3DB2">
            <w:pPr>
              <w:spacing w:line="240" w:lineRule="exact"/>
              <w:jc w:val="right"/>
              <w:rPr>
                <w:rFonts w:cs="宋体"/>
                <w:sz w:val="18"/>
                <w:szCs w:val="18"/>
              </w:rPr>
            </w:pPr>
          </w:p>
        </w:tc>
      </w:tr>
      <w:tr w:rsidR="007B3DB2" w:rsidRPr="0063248C" w14:paraId="6B4FF3F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DD9195A"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3CAE924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2E5595" w14:textId="77777777" w:rsidR="007B3DB2" w:rsidRPr="0063248C" w:rsidRDefault="00000000">
            <w:pPr>
              <w:spacing w:line="240" w:lineRule="exact"/>
              <w:jc w:val="right"/>
              <w:rPr>
                <w:rFonts w:cs="宋体"/>
                <w:sz w:val="18"/>
                <w:szCs w:val="18"/>
              </w:rPr>
            </w:pPr>
            <w:r w:rsidRPr="0063248C">
              <w:rPr>
                <w:rFonts w:cs="宋体"/>
                <w:sz w:val="18"/>
                <w:szCs w:val="18"/>
              </w:rPr>
              <w:t>2,181,429.75</w:t>
            </w:r>
          </w:p>
        </w:tc>
        <w:tc>
          <w:tcPr>
            <w:tcW w:w="1377" w:type="dxa"/>
            <w:tcBorders>
              <w:top w:val="single" w:sz="2" w:space="0" w:color="auto"/>
              <w:left w:val="single" w:sz="2" w:space="0" w:color="auto"/>
              <w:bottom w:val="single" w:sz="2" w:space="0" w:color="auto"/>
              <w:right w:val="single" w:sz="2" w:space="0" w:color="auto"/>
            </w:tcBorders>
            <w:vAlign w:val="center"/>
          </w:tcPr>
          <w:p w14:paraId="5C95F9E9"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00A1561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712A5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713D78" w14:textId="77777777" w:rsidR="007B3DB2" w:rsidRPr="0063248C" w:rsidRDefault="00000000">
            <w:pPr>
              <w:spacing w:line="240" w:lineRule="exact"/>
              <w:jc w:val="right"/>
              <w:rPr>
                <w:rFonts w:cs="宋体"/>
                <w:sz w:val="18"/>
                <w:szCs w:val="18"/>
              </w:rPr>
            </w:pPr>
            <w:r w:rsidRPr="0063248C">
              <w:rPr>
                <w:rFonts w:cs="宋体"/>
                <w:sz w:val="18"/>
                <w:szCs w:val="18"/>
              </w:rPr>
              <w:t>2,181,429.75</w:t>
            </w:r>
          </w:p>
        </w:tc>
      </w:tr>
      <w:tr w:rsidR="007B3DB2" w:rsidRPr="0063248C" w14:paraId="3B6087C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54E4C19"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(1)</w:t>
            </w:r>
            <w:r w:rsidRPr="0063248C">
              <w:rPr>
                <w:rFonts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57CA5C7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94ACF33" w14:textId="77777777" w:rsidR="007B3DB2" w:rsidRPr="0063248C" w:rsidRDefault="00000000">
            <w:pPr>
              <w:spacing w:line="240" w:lineRule="exact"/>
              <w:jc w:val="right"/>
              <w:rPr>
                <w:rFonts w:cs="宋体"/>
                <w:sz w:val="18"/>
                <w:szCs w:val="18"/>
              </w:rPr>
            </w:pPr>
            <w:r w:rsidRPr="0063248C">
              <w:rPr>
                <w:rFonts w:cs="宋体"/>
                <w:sz w:val="18"/>
                <w:szCs w:val="18"/>
              </w:rPr>
              <w:t>2,181,429.75</w:t>
            </w:r>
          </w:p>
        </w:tc>
        <w:tc>
          <w:tcPr>
            <w:tcW w:w="1377" w:type="dxa"/>
            <w:tcBorders>
              <w:top w:val="single" w:sz="2" w:space="0" w:color="auto"/>
              <w:left w:val="single" w:sz="2" w:space="0" w:color="auto"/>
              <w:bottom w:val="single" w:sz="2" w:space="0" w:color="auto"/>
              <w:right w:val="single" w:sz="2" w:space="0" w:color="auto"/>
            </w:tcBorders>
            <w:vAlign w:val="center"/>
          </w:tcPr>
          <w:p w14:paraId="15FB9C50"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70A8792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3CFA6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5F1975" w14:textId="77777777" w:rsidR="007B3DB2" w:rsidRPr="0063248C" w:rsidRDefault="00000000">
            <w:pPr>
              <w:spacing w:line="240" w:lineRule="exact"/>
              <w:jc w:val="right"/>
              <w:rPr>
                <w:rFonts w:cs="宋体"/>
                <w:sz w:val="18"/>
                <w:szCs w:val="18"/>
              </w:rPr>
            </w:pPr>
            <w:r w:rsidRPr="0063248C">
              <w:rPr>
                <w:rFonts w:cs="宋体"/>
                <w:sz w:val="18"/>
                <w:szCs w:val="18"/>
              </w:rPr>
              <w:t>2,181,429.75</w:t>
            </w:r>
          </w:p>
        </w:tc>
      </w:tr>
      <w:tr w:rsidR="007B3DB2" w:rsidRPr="0063248C" w14:paraId="7A2633B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144C053"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(2)</w:t>
            </w:r>
            <w:r w:rsidRPr="0063248C">
              <w:rPr>
                <w:rFonts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4592CF0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1CECB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6CB26ED0"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14521A3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C3DB1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0B8BC8C"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45B77E60"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69B63ED"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55509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01945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DA56FA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B9388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BA6B6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B66E6F" w14:textId="77777777" w:rsidR="007B3DB2" w:rsidRPr="0063248C" w:rsidRDefault="007B3DB2">
            <w:pPr>
              <w:spacing w:line="240" w:lineRule="exact"/>
              <w:jc w:val="right"/>
              <w:rPr>
                <w:rFonts w:cs="宋体"/>
                <w:sz w:val="18"/>
                <w:szCs w:val="18"/>
              </w:rPr>
            </w:pPr>
          </w:p>
        </w:tc>
      </w:tr>
      <w:tr w:rsidR="007B3DB2" w:rsidRPr="0063248C" w14:paraId="587D51E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B7811DA"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38519E0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285779" w14:textId="77777777" w:rsidR="007B3DB2" w:rsidRPr="0063248C" w:rsidRDefault="00000000">
            <w:pPr>
              <w:spacing w:line="240" w:lineRule="exact"/>
              <w:jc w:val="right"/>
              <w:rPr>
                <w:rFonts w:cs="宋体"/>
                <w:sz w:val="18"/>
                <w:szCs w:val="18"/>
              </w:rPr>
            </w:pPr>
            <w:r w:rsidRPr="0063248C">
              <w:rPr>
                <w:rFonts w:cs="宋体"/>
                <w:sz w:val="18"/>
                <w:szCs w:val="18"/>
              </w:rPr>
              <w:t>8,520,476.11</w:t>
            </w:r>
          </w:p>
        </w:tc>
        <w:tc>
          <w:tcPr>
            <w:tcW w:w="1377" w:type="dxa"/>
            <w:tcBorders>
              <w:top w:val="single" w:sz="2" w:space="0" w:color="auto"/>
              <w:left w:val="single" w:sz="2" w:space="0" w:color="auto"/>
              <w:bottom w:val="single" w:sz="2" w:space="0" w:color="auto"/>
              <w:right w:val="single" w:sz="2" w:space="0" w:color="auto"/>
            </w:tcBorders>
            <w:vAlign w:val="center"/>
          </w:tcPr>
          <w:p w14:paraId="5CB08A22"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7BB017A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87A78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8329B51" w14:textId="77777777" w:rsidR="007B3DB2" w:rsidRPr="0063248C" w:rsidRDefault="00000000">
            <w:pPr>
              <w:spacing w:line="240" w:lineRule="exact"/>
              <w:jc w:val="right"/>
              <w:rPr>
                <w:rFonts w:cs="宋体"/>
                <w:sz w:val="18"/>
                <w:szCs w:val="18"/>
              </w:rPr>
            </w:pPr>
            <w:r w:rsidRPr="0063248C">
              <w:rPr>
                <w:rFonts w:cs="宋体"/>
                <w:sz w:val="18"/>
                <w:szCs w:val="18"/>
              </w:rPr>
              <w:t>8,520,476.11</w:t>
            </w:r>
          </w:p>
        </w:tc>
      </w:tr>
      <w:tr w:rsidR="007B3DB2" w:rsidRPr="0063248C" w14:paraId="36A50E8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ABB34AD" w14:textId="77777777" w:rsidR="007B3DB2" w:rsidRPr="0063248C" w:rsidRDefault="00000000">
            <w:pPr>
              <w:spacing w:before="40" w:after="40" w:line="240" w:lineRule="exact"/>
              <w:rPr>
                <w:rFonts w:cs="宋体"/>
                <w:sz w:val="18"/>
                <w:szCs w:val="18"/>
              </w:rPr>
            </w:pPr>
            <w:r w:rsidRPr="0063248C">
              <w:rPr>
                <w:rFonts w:cs="宋体"/>
                <w:sz w:val="18"/>
                <w:szCs w:val="18"/>
              </w:rPr>
              <w:t>三、减值准备</w:t>
            </w:r>
          </w:p>
        </w:tc>
        <w:tc>
          <w:tcPr>
            <w:tcW w:w="1377" w:type="dxa"/>
            <w:tcBorders>
              <w:top w:val="single" w:sz="2" w:space="0" w:color="auto"/>
              <w:left w:val="single" w:sz="2" w:space="0" w:color="auto"/>
              <w:bottom w:val="single" w:sz="2" w:space="0" w:color="auto"/>
              <w:right w:val="single" w:sz="2" w:space="0" w:color="auto"/>
            </w:tcBorders>
            <w:vAlign w:val="center"/>
          </w:tcPr>
          <w:p w14:paraId="5AE0A81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79C582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3EE06E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8B1A1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C74C63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6E4E800" w14:textId="77777777" w:rsidR="007B3DB2" w:rsidRPr="0063248C" w:rsidRDefault="007B3DB2">
            <w:pPr>
              <w:spacing w:line="240" w:lineRule="exact"/>
              <w:jc w:val="right"/>
              <w:rPr>
                <w:rFonts w:cs="宋体"/>
                <w:sz w:val="18"/>
                <w:szCs w:val="18"/>
              </w:rPr>
            </w:pPr>
          </w:p>
        </w:tc>
      </w:tr>
      <w:tr w:rsidR="007B3DB2" w:rsidRPr="0063248C" w14:paraId="2E98F71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52A6824"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76EA21E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230890" w14:textId="77777777" w:rsidR="007B3DB2" w:rsidRPr="0063248C" w:rsidRDefault="00000000">
            <w:pPr>
              <w:spacing w:line="240" w:lineRule="exact"/>
              <w:jc w:val="right"/>
              <w:rPr>
                <w:rFonts w:cs="宋体"/>
                <w:sz w:val="18"/>
                <w:szCs w:val="18"/>
              </w:rPr>
            </w:pPr>
            <w:r w:rsidRPr="0063248C">
              <w:rPr>
                <w:rFonts w:cs="宋体"/>
                <w:sz w:val="18"/>
                <w:szCs w:val="18"/>
              </w:rPr>
              <w:t>5,078,043.58</w:t>
            </w:r>
          </w:p>
        </w:tc>
        <w:tc>
          <w:tcPr>
            <w:tcW w:w="1377" w:type="dxa"/>
            <w:tcBorders>
              <w:top w:val="single" w:sz="2" w:space="0" w:color="auto"/>
              <w:left w:val="single" w:sz="2" w:space="0" w:color="auto"/>
              <w:bottom w:val="single" w:sz="2" w:space="0" w:color="auto"/>
              <w:right w:val="single" w:sz="2" w:space="0" w:color="auto"/>
            </w:tcBorders>
            <w:vAlign w:val="center"/>
          </w:tcPr>
          <w:p w14:paraId="4E0C42F8" w14:textId="77777777" w:rsidR="007B3DB2" w:rsidRPr="0063248C" w:rsidRDefault="00000000">
            <w:pPr>
              <w:spacing w:line="240" w:lineRule="exact"/>
              <w:jc w:val="right"/>
              <w:rPr>
                <w:rFonts w:cs="宋体"/>
                <w:sz w:val="18"/>
                <w:szCs w:val="18"/>
              </w:rPr>
            </w:pPr>
            <w:r w:rsidRPr="0063248C">
              <w:rPr>
                <w:rFonts w:cs="宋体"/>
                <w:sz w:val="18"/>
                <w:szCs w:val="18"/>
              </w:rPr>
              <w:t>76,040.61</w:t>
            </w:r>
          </w:p>
        </w:tc>
        <w:tc>
          <w:tcPr>
            <w:tcW w:w="1377" w:type="dxa"/>
            <w:tcBorders>
              <w:top w:val="single" w:sz="2" w:space="0" w:color="auto"/>
              <w:left w:val="single" w:sz="2" w:space="0" w:color="auto"/>
              <w:bottom w:val="single" w:sz="2" w:space="0" w:color="auto"/>
              <w:right w:val="single" w:sz="2" w:space="0" w:color="auto"/>
            </w:tcBorders>
            <w:vAlign w:val="center"/>
          </w:tcPr>
          <w:p w14:paraId="477208F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CCE187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98E2E75" w14:textId="77777777" w:rsidR="007B3DB2" w:rsidRPr="0063248C" w:rsidRDefault="00000000">
            <w:pPr>
              <w:spacing w:line="240" w:lineRule="exact"/>
              <w:jc w:val="right"/>
              <w:rPr>
                <w:rFonts w:cs="宋体"/>
                <w:sz w:val="18"/>
                <w:szCs w:val="18"/>
              </w:rPr>
            </w:pPr>
            <w:r w:rsidRPr="0063248C">
              <w:rPr>
                <w:rFonts w:cs="宋体"/>
                <w:sz w:val="18"/>
                <w:szCs w:val="18"/>
              </w:rPr>
              <w:t>5,154,084.19</w:t>
            </w:r>
          </w:p>
        </w:tc>
      </w:tr>
      <w:tr w:rsidR="007B3DB2" w:rsidRPr="0063248C" w14:paraId="4656C58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D4B7310"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1289FA8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5C5B4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270EB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16C140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48A44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D26AC3" w14:textId="77777777" w:rsidR="007B3DB2" w:rsidRPr="0063248C" w:rsidRDefault="007B3DB2">
            <w:pPr>
              <w:spacing w:line="240" w:lineRule="exact"/>
              <w:jc w:val="right"/>
              <w:rPr>
                <w:rFonts w:cs="宋体"/>
                <w:sz w:val="18"/>
                <w:szCs w:val="18"/>
              </w:rPr>
            </w:pPr>
          </w:p>
        </w:tc>
      </w:tr>
      <w:tr w:rsidR="007B3DB2" w:rsidRPr="0063248C" w14:paraId="521806F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9E4D4A4"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(1)</w:t>
            </w:r>
            <w:r w:rsidRPr="0063248C">
              <w:rPr>
                <w:rFonts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2ABE501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12C11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486878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0AA07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BA94D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ED3BB3" w14:textId="77777777" w:rsidR="007B3DB2" w:rsidRPr="0063248C" w:rsidRDefault="007B3DB2">
            <w:pPr>
              <w:spacing w:line="240" w:lineRule="exact"/>
              <w:jc w:val="right"/>
              <w:rPr>
                <w:rFonts w:cs="宋体"/>
                <w:sz w:val="18"/>
                <w:szCs w:val="18"/>
              </w:rPr>
            </w:pPr>
          </w:p>
        </w:tc>
      </w:tr>
      <w:tr w:rsidR="007B3DB2" w:rsidRPr="0063248C" w14:paraId="7C73AF42"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ECFE966"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939ECB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39CE8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AB468B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22B26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23563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B031CF" w14:textId="77777777" w:rsidR="007B3DB2" w:rsidRPr="0063248C" w:rsidRDefault="007B3DB2">
            <w:pPr>
              <w:spacing w:line="240" w:lineRule="exact"/>
              <w:jc w:val="right"/>
              <w:rPr>
                <w:rFonts w:cs="宋体"/>
                <w:sz w:val="18"/>
                <w:szCs w:val="18"/>
              </w:rPr>
            </w:pPr>
          </w:p>
        </w:tc>
      </w:tr>
      <w:tr w:rsidR="007B3DB2" w:rsidRPr="0063248C" w14:paraId="2C820315"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D1767BE"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05F3CC1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E9C075" w14:textId="77777777" w:rsidR="007B3DB2" w:rsidRPr="0063248C" w:rsidRDefault="00000000">
            <w:pPr>
              <w:spacing w:line="240" w:lineRule="exact"/>
              <w:jc w:val="right"/>
              <w:rPr>
                <w:rFonts w:cs="宋体"/>
                <w:sz w:val="18"/>
                <w:szCs w:val="18"/>
              </w:rPr>
            </w:pPr>
            <w:r w:rsidRPr="0063248C">
              <w:rPr>
                <w:rFonts w:cs="宋体"/>
                <w:sz w:val="18"/>
                <w:szCs w:val="18"/>
              </w:rPr>
              <w:t>980,945.00</w:t>
            </w:r>
          </w:p>
        </w:tc>
        <w:tc>
          <w:tcPr>
            <w:tcW w:w="1377" w:type="dxa"/>
            <w:tcBorders>
              <w:top w:val="single" w:sz="2" w:space="0" w:color="auto"/>
              <w:left w:val="single" w:sz="2" w:space="0" w:color="auto"/>
              <w:bottom w:val="single" w:sz="2" w:space="0" w:color="auto"/>
              <w:right w:val="single" w:sz="2" w:space="0" w:color="auto"/>
            </w:tcBorders>
            <w:vAlign w:val="center"/>
          </w:tcPr>
          <w:p w14:paraId="46893F7D"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1A55895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E82636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2D8632" w14:textId="77777777" w:rsidR="007B3DB2" w:rsidRPr="0063248C" w:rsidRDefault="00000000">
            <w:pPr>
              <w:spacing w:line="240" w:lineRule="exact"/>
              <w:jc w:val="right"/>
              <w:rPr>
                <w:rFonts w:cs="宋体"/>
                <w:sz w:val="18"/>
                <w:szCs w:val="18"/>
              </w:rPr>
            </w:pPr>
            <w:r w:rsidRPr="0063248C">
              <w:rPr>
                <w:rFonts w:cs="宋体"/>
                <w:sz w:val="18"/>
                <w:szCs w:val="18"/>
              </w:rPr>
              <w:t>980,945.00</w:t>
            </w:r>
          </w:p>
        </w:tc>
      </w:tr>
      <w:tr w:rsidR="007B3DB2" w:rsidRPr="0063248C" w14:paraId="26B4384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2BD0B15"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(1)</w:t>
            </w:r>
            <w:r w:rsidRPr="0063248C">
              <w:rPr>
                <w:rFonts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795EDEE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79AE9B6" w14:textId="77777777" w:rsidR="007B3DB2" w:rsidRPr="0063248C" w:rsidRDefault="00000000">
            <w:pPr>
              <w:spacing w:line="240" w:lineRule="exact"/>
              <w:jc w:val="right"/>
              <w:rPr>
                <w:rFonts w:cs="宋体"/>
                <w:sz w:val="18"/>
                <w:szCs w:val="18"/>
              </w:rPr>
            </w:pPr>
            <w:r w:rsidRPr="0063248C">
              <w:rPr>
                <w:rFonts w:cs="宋体"/>
                <w:sz w:val="18"/>
                <w:szCs w:val="18"/>
              </w:rPr>
              <w:t>980,945.00</w:t>
            </w:r>
          </w:p>
        </w:tc>
        <w:tc>
          <w:tcPr>
            <w:tcW w:w="1377" w:type="dxa"/>
            <w:tcBorders>
              <w:top w:val="single" w:sz="2" w:space="0" w:color="auto"/>
              <w:left w:val="single" w:sz="2" w:space="0" w:color="auto"/>
              <w:bottom w:val="single" w:sz="2" w:space="0" w:color="auto"/>
              <w:right w:val="single" w:sz="2" w:space="0" w:color="auto"/>
            </w:tcBorders>
            <w:vAlign w:val="center"/>
          </w:tcPr>
          <w:p w14:paraId="1D04CD3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5C40EE7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08923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DDDF2B0" w14:textId="77777777" w:rsidR="007B3DB2" w:rsidRPr="0063248C" w:rsidRDefault="00000000">
            <w:pPr>
              <w:spacing w:line="240" w:lineRule="exact"/>
              <w:jc w:val="right"/>
              <w:rPr>
                <w:rFonts w:cs="宋体"/>
                <w:sz w:val="18"/>
                <w:szCs w:val="18"/>
              </w:rPr>
            </w:pPr>
            <w:r w:rsidRPr="0063248C">
              <w:rPr>
                <w:rFonts w:cs="宋体"/>
                <w:sz w:val="18"/>
                <w:szCs w:val="18"/>
              </w:rPr>
              <w:t>980,945.00</w:t>
            </w:r>
          </w:p>
        </w:tc>
      </w:tr>
      <w:tr w:rsidR="007B3DB2" w:rsidRPr="0063248C" w14:paraId="2888641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AE0F787"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(2)</w:t>
            </w:r>
            <w:r w:rsidRPr="0063248C">
              <w:rPr>
                <w:rFonts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14:paraId="5384E52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583E1F"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5053F82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14:paraId="40633E7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61313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DA97208" w14:textId="77777777" w:rsidR="007B3DB2" w:rsidRPr="0063248C" w:rsidRDefault="007B3DB2">
            <w:pPr>
              <w:spacing w:line="240" w:lineRule="exact"/>
              <w:jc w:val="right"/>
              <w:rPr>
                <w:rFonts w:cs="宋体"/>
                <w:sz w:val="18"/>
                <w:szCs w:val="18"/>
              </w:rPr>
            </w:pPr>
          </w:p>
        </w:tc>
      </w:tr>
      <w:tr w:rsidR="007B3DB2" w:rsidRPr="0063248C" w14:paraId="4DBAEE41"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3748F44"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A8CD0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CFC2D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C729ED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43F3F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F4545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153FA6D" w14:textId="77777777" w:rsidR="007B3DB2" w:rsidRPr="0063248C" w:rsidRDefault="007B3DB2">
            <w:pPr>
              <w:spacing w:line="240" w:lineRule="exact"/>
              <w:jc w:val="right"/>
              <w:rPr>
                <w:rFonts w:cs="宋体"/>
                <w:sz w:val="18"/>
                <w:szCs w:val="18"/>
              </w:rPr>
            </w:pPr>
          </w:p>
        </w:tc>
      </w:tr>
      <w:tr w:rsidR="007B3DB2" w:rsidRPr="0063248C" w14:paraId="4CE75F9E"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7531878"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69DE79C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F38EE2" w14:textId="77777777" w:rsidR="007B3DB2" w:rsidRPr="0063248C" w:rsidRDefault="00000000">
            <w:pPr>
              <w:spacing w:line="240" w:lineRule="exact"/>
              <w:jc w:val="right"/>
              <w:rPr>
                <w:rFonts w:cs="宋体"/>
                <w:sz w:val="18"/>
                <w:szCs w:val="18"/>
              </w:rPr>
            </w:pPr>
            <w:r w:rsidRPr="0063248C">
              <w:rPr>
                <w:rFonts w:cs="宋体"/>
                <w:sz w:val="18"/>
                <w:szCs w:val="18"/>
              </w:rPr>
              <w:t>4,097,098.58</w:t>
            </w:r>
          </w:p>
        </w:tc>
        <w:tc>
          <w:tcPr>
            <w:tcW w:w="1377" w:type="dxa"/>
            <w:tcBorders>
              <w:top w:val="single" w:sz="2" w:space="0" w:color="auto"/>
              <w:left w:val="single" w:sz="2" w:space="0" w:color="auto"/>
              <w:bottom w:val="single" w:sz="2" w:space="0" w:color="auto"/>
              <w:right w:val="single" w:sz="2" w:space="0" w:color="auto"/>
            </w:tcBorders>
            <w:vAlign w:val="center"/>
          </w:tcPr>
          <w:p w14:paraId="18BD2CAD" w14:textId="77777777" w:rsidR="007B3DB2" w:rsidRPr="0063248C" w:rsidRDefault="00000000">
            <w:pPr>
              <w:spacing w:line="240" w:lineRule="exact"/>
              <w:jc w:val="right"/>
              <w:rPr>
                <w:rFonts w:cs="宋体"/>
                <w:sz w:val="18"/>
                <w:szCs w:val="18"/>
              </w:rPr>
            </w:pPr>
            <w:r w:rsidRPr="0063248C">
              <w:rPr>
                <w:rFonts w:cs="宋体"/>
                <w:sz w:val="18"/>
                <w:szCs w:val="18"/>
              </w:rPr>
              <w:t>76,040.61</w:t>
            </w:r>
          </w:p>
        </w:tc>
        <w:tc>
          <w:tcPr>
            <w:tcW w:w="1377" w:type="dxa"/>
            <w:tcBorders>
              <w:top w:val="single" w:sz="2" w:space="0" w:color="auto"/>
              <w:left w:val="single" w:sz="2" w:space="0" w:color="auto"/>
              <w:bottom w:val="single" w:sz="2" w:space="0" w:color="auto"/>
              <w:right w:val="single" w:sz="2" w:space="0" w:color="auto"/>
            </w:tcBorders>
            <w:vAlign w:val="center"/>
          </w:tcPr>
          <w:p w14:paraId="2C67A1A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B104A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80BEF48" w14:textId="77777777" w:rsidR="007B3DB2" w:rsidRPr="0063248C" w:rsidRDefault="00000000">
            <w:pPr>
              <w:spacing w:line="240" w:lineRule="exact"/>
              <w:jc w:val="right"/>
              <w:rPr>
                <w:rFonts w:cs="宋体"/>
                <w:sz w:val="18"/>
                <w:szCs w:val="18"/>
              </w:rPr>
            </w:pPr>
            <w:r w:rsidRPr="0063248C">
              <w:rPr>
                <w:rFonts w:cs="宋体"/>
                <w:sz w:val="18"/>
                <w:szCs w:val="18"/>
              </w:rPr>
              <w:t>4,173,139.19</w:t>
            </w:r>
          </w:p>
        </w:tc>
      </w:tr>
      <w:tr w:rsidR="007B3DB2" w:rsidRPr="0063248C" w14:paraId="267591B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34C0EA8" w14:textId="77777777" w:rsidR="007B3DB2" w:rsidRPr="0063248C" w:rsidRDefault="00000000">
            <w:pPr>
              <w:spacing w:before="40" w:after="40" w:line="240" w:lineRule="exact"/>
              <w:rPr>
                <w:rFonts w:cs="宋体"/>
                <w:sz w:val="18"/>
                <w:szCs w:val="18"/>
              </w:rPr>
            </w:pPr>
            <w:r w:rsidRPr="0063248C">
              <w:rPr>
                <w:rFonts w:cs="宋体"/>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77DB303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D5075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D8692C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B8D84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4DA6F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0AE163" w14:textId="77777777" w:rsidR="007B3DB2" w:rsidRPr="0063248C" w:rsidRDefault="007B3DB2">
            <w:pPr>
              <w:spacing w:line="240" w:lineRule="exact"/>
              <w:jc w:val="right"/>
              <w:rPr>
                <w:rFonts w:cs="宋体"/>
                <w:sz w:val="18"/>
                <w:szCs w:val="18"/>
              </w:rPr>
            </w:pPr>
          </w:p>
        </w:tc>
      </w:tr>
      <w:tr w:rsidR="007B3DB2" w:rsidRPr="0063248C" w14:paraId="20A788B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7650CC1"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期末账面价值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4AA6FCB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39BF97" w14:textId="77777777" w:rsidR="007B3DB2" w:rsidRPr="0063248C" w:rsidRDefault="00000000">
            <w:pPr>
              <w:spacing w:line="240" w:lineRule="exact"/>
              <w:jc w:val="right"/>
              <w:rPr>
                <w:rFonts w:cs="宋体"/>
                <w:sz w:val="18"/>
                <w:szCs w:val="18"/>
              </w:rPr>
            </w:pPr>
            <w:r w:rsidRPr="0063248C">
              <w:rPr>
                <w:rFonts w:cs="宋体"/>
                <w:sz w:val="18"/>
                <w:szCs w:val="18"/>
              </w:rPr>
              <w:t>16,709,304.09</w:t>
            </w:r>
          </w:p>
        </w:tc>
        <w:tc>
          <w:tcPr>
            <w:tcW w:w="1377" w:type="dxa"/>
            <w:tcBorders>
              <w:top w:val="single" w:sz="2" w:space="0" w:color="auto"/>
              <w:left w:val="single" w:sz="2" w:space="0" w:color="auto"/>
              <w:bottom w:val="single" w:sz="2" w:space="0" w:color="auto"/>
              <w:right w:val="single" w:sz="2" w:space="0" w:color="auto"/>
            </w:tcBorders>
            <w:vAlign w:val="center"/>
          </w:tcPr>
          <w:p w14:paraId="5977C5CB" w14:textId="77777777" w:rsidR="007B3DB2" w:rsidRPr="0063248C" w:rsidRDefault="00000000">
            <w:pPr>
              <w:spacing w:line="240" w:lineRule="exact"/>
              <w:jc w:val="right"/>
              <w:rPr>
                <w:rFonts w:cs="宋体"/>
                <w:sz w:val="18"/>
                <w:szCs w:val="18"/>
              </w:rPr>
            </w:pPr>
            <w:r w:rsidRPr="0063248C">
              <w:rPr>
                <w:rFonts w:cs="宋体"/>
                <w:sz w:val="18"/>
                <w:szCs w:val="18"/>
              </w:rPr>
              <w:t>698,351.95</w:t>
            </w:r>
          </w:p>
        </w:tc>
        <w:tc>
          <w:tcPr>
            <w:tcW w:w="1377" w:type="dxa"/>
            <w:tcBorders>
              <w:top w:val="single" w:sz="2" w:space="0" w:color="auto"/>
              <w:left w:val="single" w:sz="2" w:space="0" w:color="auto"/>
              <w:bottom w:val="single" w:sz="2" w:space="0" w:color="auto"/>
              <w:right w:val="single" w:sz="2" w:space="0" w:color="auto"/>
            </w:tcBorders>
            <w:vAlign w:val="center"/>
          </w:tcPr>
          <w:p w14:paraId="62EBD09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AE2B8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3C827B1" w14:textId="77777777" w:rsidR="007B3DB2" w:rsidRPr="0063248C" w:rsidRDefault="00000000">
            <w:pPr>
              <w:spacing w:line="240" w:lineRule="exact"/>
              <w:jc w:val="right"/>
              <w:rPr>
                <w:rFonts w:cs="宋体"/>
                <w:sz w:val="18"/>
                <w:szCs w:val="18"/>
              </w:rPr>
            </w:pPr>
            <w:r w:rsidRPr="0063248C">
              <w:rPr>
                <w:rFonts w:cs="宋体"/>
                <w:sz w:val="18"/>
                <w:szCs w:val="18"/>
              </w:rPr>
              <w:t>17,407,656.04</w:t>
            </w:r>
          </w:p>
        </w:tc>
      </w:tr>
      <w:tr w:rsidR="007B3DB2" w:rsidRPr="0063248C" w14:paraId="04B6EC8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635B9E3"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期初账面价值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662923A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490CD0" w14:textId="77777777" w:rsidR="007B3DB2" w:rsidRPr="0063248C" w:rsidRDefault="00000000">
            <w:pPr>
              <w:spacing w:line="240" w:lineRule="exact"/>
              <w:jc w:val="right"/>
              <w:rPr>
                <w:rFonts w:cs="宋体"/>
                <w:sz w:val="18"/>
                <w:szCs w:val="18"/>
              </w:rPr>
            </w:pPr>
            <w:r w:rsidRPr="0063248C">
              <w:rPr>
                <w:rFonts w:cs="宋体"/>
                <w:sz w:val="18"/>
                <w:szCs w:val="18"/>
              </w:rPr>
              <w:t>4,306,704.51</w:t>
            </w:r>
          </w:p>
        </w:tc>
        <w:tc>
          <w:tcPr>
            <w:tcW w:w="1377" w:type="dxa"/>
            <w:tcBorders>
              <w:top w:val="single" w:sz="2" w:space="0" w:color="auto"/>
              <w:left w:val="single" w:sz="2" w:space="0" w:color="auto"/>
              <w:bottom w:val="single" w:sz="2" w:space="0" w:color="auto"/>
              <w:right w:val="single" w:sz="2" w:space="0" w:color="auto"/>
            </w:tcBorders>
            <w:vAlign w:val="center"/>
          </w:tcPr>
          <w:p w14:paraId="347D7748" w14:textId="77777777" w:rsidR="007B3DB2" w:rsidRPr="0063248C" w:rsidRDefault="00000000">
            <w:pPr>
              <w:spacing w:line="240" w:lineRule="exact"/>
              <w:jc w:val="right"/>
              <w:rPr>
                <w:rFonts w:cs="宋体"/>
                <w:sz w:val="18"/>
                <w:szCs w:val="18"/>
              </w:rPr>
            </w:pPr>
            <w:r w:rsidRPr="0063248C">
              <w:rPr>
                <w:rFonts w:cs="宋体"/>
                <w:sz w:val="18"/>
                <w:szCs w:val="18"/>
              </w:rPr>
              <w:t>655,433.13</w:t>
            </w:r>
          </w:p>
        </w:tc>
        <w:tc>
          <w:tcPr>
            <w:tcW w:w="1377" w:type="dxa"/>
            <w:tcBorders>
              <w:top w:val="single" w:sz="2" w:space="0" w:color="auto"/>
              <w:left w:val="single" w:sz="2" w:space="0" w:color="auto"/>
              <w:bottom w:val="single" w:sz="2" w:space="0" w:color="auto"/>
              <w:right w:val="single" w:sz="2" w:space="0" w:color="auto"/>
            </w:tcBorders>
            <w:vAlign w:val="center"/>
          </w:tcPr>
          <w:p w14:paraId="4C55D85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58D9D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A915D2" w14:textId="77777777" w:rsidR="007B3DB2" w:rsidRPr="0063248C" w:rsidRDefault="00000000">
            <w:pPr>
              <w:spacing w:line="240" w:lineRule="exact"/>
              <w:jc w:val="right"/>
              <w:rPr>
                <w:rFonts w:cs="宋体"/>
                <w:sz w:val="18"/>
                <w:szCs w:val="18"/>
              </w:rPr>
            </w:pPr>
            <w:r w:rsidRPr="0063248C">
              <w:rPr>
                <w:rFonts w:cs="宋体"/>
                <w:sz w:val="18"/>
                <w:szCs w:val="18"/>
              </w:rPr>
              <w:t>4,962,137.64</w:t>
            </w:r>
          </w:p>
        </w:tc>
      </w:tr>
    </w:tbl>
    <w:p w14:paraId="789D160A" w14:textId="77777777" w:rsidR="007B3DB2" w:rsidRPr="0063248C" w:rsidRDefault="00000000">
      <w:pPr>
        <w:keepNext/>
        <w:keepLines/>
        <w:spacing w:before="300" w:after="300" w:line="280" w:lineRule="exact"/>
        <w:outlineLvl w:val="3"/>
        <w:rPr>
          <w:rFonts w:cs="宋体"/>
          <w:b/>
          <w:bCs/>
          <w:szCs w:val="21"/>
        </w:rPr>
      </w:pPr>
      <w:bookmarkStart w:id="283" w:name="_Toc989172"/>
      <w:r w:rsidRPr="0063248C">
        <w:rPr>
          <w:rFonts w:cs="宋体"/>
          <w:b/>
          <w:bCs/>
          <w:szCs w:val="21"/>
        </w:rPr>
        <w:lastRenderedPageBreak/>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采用成本计量模式的生产性生物资产的减值测试情况</w:t>
      </w:r>
      <w:bookmarkEnd w:id="283"/>
    </w:p>
    <w:p w14:paraId="3D636868"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9A9317A" w14:textId="77777777" w:rsidR="007B3DB2" w:rsidRPr="0063248C" w:rsidRDefault="00000000">
      <w:pPr>
        <w:keepNext/>
        <w:keepLines/>
        <w:spacing w:before="300" w:after="300" w:line="280" w:lineRule="exact"/>
        <w:outlineLvl w:val="3"/>
        <w:rPr>
          <w:rFonts w:cs="宋体"/>
          <w:b/>
          <w:bCs/>
          <w:szCs w:val="21"/>
        </w:rPr>
      </w:pPr>
      <w:bookmarkStart w:id="284" w:name="_Toc989173"/>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采用公允价值计量模式的生产性生物资产</w:t>
      </w:r>
      <w:bookmarkEnd w:id="284"/>
    </w:p>
    <w:p w14:paraId="5ADBEB09"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1D4B0AE" w14:textId="77777777" w:rsidR="007B3DB2" w:rsidRPr="0063248C" w:rsidRDefault="00000000">
      <w:pPr>
        <w:pStyle w:val="3"/>
        <w:spacing w:line="280" w:lineRule="exact"/>
        <w:jc w:val="left"/>
        <w:rPr>
          <w:rFonts w:cs="宋体"/>
          <w:b/>
          <w:bCs/>
        </w:rPr>
      </w:pPr>
      <w:bookmarkStart w:id="285" w:name="_Toc989174"/>
      <w:r w:rsidRPr="0063248C">
        <w:rPr>
          <w:rFonts w:cs="宋体"/>
          <w:b/>
          <w:bCs/>
        </w:rPr>
        <w:t>24</w:t>
      </w:r>
      <w:r w:rsidRPr="0063248C">
        <w:rPr>
          <w:rFonts w:cs="宋体"/>
          <w:b/>
          <w:bCs/>
        </w:rPr>
        <w:t>、油气资产</w:t>
      </w:r>
      <w:bookmarkEnd w:id="285"/>
    </w:p>
    <w:p w14:paraId="178AD915"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4B6B440" w14:textId="77777777" w:rsidR="007B3DB2" w:rsidRPr="0063248C" w:rsidRDefault="00000000">
      <w:pPr>
        <w:pStyle w:val="3"/>
        <w:spacing w:line="280" w:lineRule="exact"/>
        <w:jc w:val="left"/>
        <w:rPr>
          <w:rFonts w:cs="宋体"/>
          <w:b/>
          <w:bCs/>
        </w:rPr>
      </w:pPr>
      <w:bookmarkStart w:id="286" w:name="_Toc989175"/>
      <w:r w:rsidRPr="0063248C">
        <w:rPr>
          <w:rFonts w:cs="宋体"/>
          <w:b/>
          <w:bCs/>
        </w:rPr>
        <w:t>25</w:t>
      </w:r>
      <w:r w:rsidRPr="0063248C">
        <w:rPr>
          <w:rFonts w:cs="宋体"/>
          <w:b/>
          <w:bCs/>
        </w:rPr>
        <w:t>、使用权资产</w:t>
      </w:r>
      <w:bookmarkEnd w:id="286"/>
    </w:p>
    <w:p w14:paraId="302DC8E1" w14:textId="77777777" w:rsidR="007B3DB2" w:rsidRPr="0063248C" w:rsidRDefault="00000000">
      <w:pPr>
        <w:keepNext/>
        <w:keepLines/>
        <w:spacing w:before="300" w:after="300" w:line="280" w:lineRule="exact"/>
        <w:outlineLvl w:val="3"/>
        <w:rPr>
          <w:rFonts w:cs="宋体"/>
          <w:b/>
          <w:bCs/>
          <w:szCs w:val="21"/>
        </w:rPr>
      </w:pPr>
      <w:bookmarkStart w:id="287" w:name="_Toc989176"/>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使用权资产情况</w:t>
      </w:r>
      <w:bookmarkEnd w:id="287"/>
    </w:p>
    <w:p w14:paraId="67801A1B"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482C2E5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766AC1"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vAlign w:val="center"/>
          </w:tcPr>
          <w:p w14:paraId="31EA4C00" w14:textId="77777777" w:rsidR="007B3DB2" w:rsidRPr="0063248C" w:rsidRDefault="00000000">
            <w:pPr>
              <w:spacing w:line="240" w:lineRule="exact"/>
              <w:jc w:val="center"/>
              <w:rPr>
                <w:rFonts w:cs="宋体"/>
                <w:sz w:val="18"/>
                <w:szCs w:val="18"/>
              </w:rPr>
            </w:pPr>
            <w:r w:rsidRPr="0063248C">
              <w:rPr>
                <w:rFonts w:cs="宋体"/>
                <w:sz w:val="18"/>
                <w:szCs w:val="18"/>
              </w:rPr>
              <w:t>房屋及建筑物</w:t>
            </w:r>
          </w:p>
        </w:tc>
        <w:tc>
          <w:tcPr>
            <w:tcW w:w="2410" w:type="dxa"/>
            <w:tcBorders>
              <w:top w:val="single" w:sz="2" w:space="0" w:color="auto"/>
              <w:left w:val="single" w:sz="2" w:space="0" w:color="auto"/>
              <w:bottom w:val="single" w:sz="2" w:space="0" w:color="auto"/>
              <w:right w:val="single" w:sz="2" w:space="0" w:color="auto"/>
            </w:tcBorders>
            <w:vAlign w:val="center"/>
          </w:tcPr>
          <w:p w14:paraId="04726655" w14:textId="77777777" w:rsidR="007B3DB2" w:rsidRPr="0063248C" w:rsidRDefault="00000000">
            <w:pPr>
              <w:spacing w:line="240" w:lineRule="exact"/>
              <w:jc w:val="center"/>
              <w:rPr>
                <w:rFonts w:cs="宋体"/>
                <w:sz w:val="18"/>
                <w:szCs w:val="18"/>
              </w:rPr>
            </w:pPr>
            <w:r w:rsidRPr="0063248C">
              <w:rPr>
                <w:rFonts w:cs="宋体"/>
                <w:sz w:val="18"/>
                <w:szCs w:val="18"/>
              </w:rPr>
              <w:t>土地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3CC858D" w14:textId="77777777" w:rsidR="007B3DB2" w:rsidRPr="0063248C" w:rsidRDefault="00000000">
            <w:pPr>
              <w:spacing w:before="40" w:after="40" w:line="240" w:lineRule="exact"/>
              <w:jc w:val="center"/>
              <w:rPr>
                <w:rFonts w:cs="宋体"/>
                <w:sz w:val="18"/>
                <w:szCs w:val="18"/>
              </w:rPr>
            </w:pPr>
            <w:r w:rsidRPr="0063248C">
              <w:rPr>
                <w:rFonts w:cs="宋体"/>
                <w:sz w:val="18"/>
                <w:szCs w:val="18"/>
              </w:rPr>
              <w:t>合计</w:t>
            </w:r>
          </w:p>
        </w:tc>
      </w:tr>
      <w:tr w:rsidR="007B3DB2" w:rsidRPr="0063248C" w14:paraId="32845DF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F9A6D3" w14:textId="77777777" w:rsidR="007B3DB2" w:rsidRPr="0063248C" w:rsidRDefault="00000000">
            <w:pPr>
              <w:spacing w:before="40" w:after="40" w:line="240" w:lineRule="exact"/>
              <w:rPr>
                <w:rFonts w:cs="宋体"/>
                <w:sz w:val="18"/>
                <w:szCs w:val="18"/>
              </w:rPr>
            </w:pPr>
            <w:r w:rsidRPr="0063248C">
              <w:rPr>
                <w:rFonts w:cs="宋体"/>
                <w:sz w:val="18"/>
                <w:szCs w:val="18"/>
              </w:rPr>
              <w:t>一、账面原值</w:t>
            </w:r>
          </w:p>
        </w:tc>
        <w:tc>
          <w:tcPr>
            <w:tcW w:w="2410" w:type="dxa"/>
            <w:tcBorders>
              <w:top w:val="single" w:sz="2" w:space="0" w:color="auto"/>
              <w:left w:val="single" w:sz="2" w:space="0" w:color="auto"/>
              <w:bottom w:val="single" w:sz="2" w:space="0" w:color="auto"/>
              <w:right w:val="single" w:sz="2" w:space="0" w:color="auto"/>
            </w:tcBorders>
            <w:vAlign w:val="center"/>
          </w:tcPr>
          <w:p w14:paraId="4181DED8"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E4ED76A"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1AADA45" w14:textId="77777777" w:rsidR="007B3DB2" w:rsidRPr="0063248C" w:rsidRDefault="007B3DB2">
            <w:pPr>
              <w:spacing w:line="240" w:lineRule="exact"/>
              <w:jc w:val="right"/>
              <w:rPr>
                <w:rFonts w:cs="宋体"/>
                <w:sz w:val="18"/>
                <w:szCs w:val="18"/>
              </w:rPr>
            </w:pPr>
          </w:p>
        </w:tc>
      </w:tr>
      <w:tr w:rsidR="007B3DB2" w:rsidRPr="0063248C" w14:paraId="51E0A5F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B15787E"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期初余额</w:t>
            </w:r>
          </w:p>
        </w:tc>
        <w:tc>
          <w:tcPr>
            <w:tcW w:w="2410" w:type="dxa"/>
            <w:tcBorders>
              <w:top w:val="single" w:sz="2" w:space="0" w:color="auto"/>
              <w:left w:val="single" w:sz="2" w:space="0" w:color="auto"/>
              <w:bottom w:val="single" w:sz="2" w:space="0" w:color="auto"/>
              <w:right w:val="single" w:sz="2" w:space="0" w:color="auto"/>
            </w:tcBorders>
            <w:vAlign w:val="center"/>
          </w:tcPr>
          <w:p w14:paraId="21BC3040" w14:textId="77777777" w:rsidR="007B3DB2" w:rsidRPr="0063248C" w:rsidRDefault="00000000">
            <w:pPr>
              <w:spacing w:line="240" w:lineRule="exact"/>
              <w:jc w:val="right"/>
              <w:rPr>
                <w:rFonts w:cs="宋体"/>
                <w:sz w:val="18"/>
                <w:szCs w:val="18"/>
              </w:rPr>
            </w:pPr>
            <w:r w:rsidRPr="0063248C">
              <w:rPr>
                <w:rFonts w:cs="宋体"/>
                <w:sz w:val="18"/>
                <w:szCs w:val="18"/>
              </w:rPr>
              <w:t>53,011,950.64</w:t>
            </w:r>
          </w:p>
        </w:tc>
        <w:tc>
          <w:tcPr>
            <w:tcW w:w="2410" w:type="dxa"/>
            <w:tcBorders>
              <w:top w:val="single" w:sz="2" w:space="0" w:color="auto"/>
              <w:left w:val="single" w:sz="2" w:space="0" w:color="auto"/>
              <w:bottom w:val="single" w:sz="2" w:space="0" w:color="auto"/>
              <w:right w:val="single" w:sz="2" w:space="0" w:color="auto"/>
            </w:tcBorders>
            <w:vAlign w:val="center"/>
          </w:tcPr>
          <w:p w14:paraId="4B93BCC0" w14:textId="77777777" w:rsidR="007B3DB2" w:rsidRPr="0063248C" w:rsidRDefault="00000000">
            <w:pPr>
              <w:spacing w:line="240" w:lineRule="exact"/>
              <w:jc w:val="right"/>
              <w:rPr>
                <w:rFonts w:cs="宋体"/>
                <w:sz w:val="18"/>
                <w:szCs w:val="18"/>
              </w:rPr>
            </w:pPr>
            <w:r w:rsidRPr="0063248C">
              <w:rPr>
                <w:rFonts w:cs="宋体"/>
                <w:sz w:val="18"/>
                <w:szCs w:val="18"/>
              </w:rPr>
              <w:t>23,633,272.00</w:t>
            </w:r>
          </w:p>
        </w:tc>
        <w:tc>
          <w:tcPr>
            <w:tcW w:w="2410" w:type="dxa"/>
            <w:tcBorders>
              <w:top w:val="single" w:sz="2" w:space="0" w:color="auto"/>
              <w:left w:val="single" w:sz="2" w:space="0" w:color="auto"/>
              <w:bottom w:val="single" w:sz="2" w:space="0" w:color="auto"/>
              <w:right w:val="single" w:sz="2" w:space="0" w:color="auto"/>
            </w:tcBorders>
            <w:vAlign w:val="center"/>
          </w:tcPr>
          <w:p w14:paraId="7DBCDFBF" w14:textId="77777777" w:rsidR="007B3DB2" w:rsidRPr="0063248C" w:rsidRDefault="00000000">
            <w:pPr>
              <w:spacing w:line="240" w:lineRule="exact"/>
              <w:jc w:val="right"/>
              <w:rPr>
                <w:rFonts w:cs="宋体"/>
                <w:sz w:val="18"/>
                <w:szCs w:val="18"/>
              </w:rPr>
            </w:pPr>
            <w:r w:rsidRPr="0063248C">
              <w:rPr>
                <w:rFonts w:cs="宋体"/>
                <w:sz w:val="18"/>
                <w:szCs w:val="18"/>
              </w:rPr>
              <w:t>76,645,222.64</w:t>
            </w:r>
          </w:p>
        </w:tc>
      </w:tr>
      <w:tr w:rsidR="007B3DB2" w:rsidRPr="0063248C" w14:paraId="3555219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24BA6B5"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本期增加金额</w:t>
            </w:r>
          </w:p>
        </w:tc>
        <w:tc>
          <w:tcPr>
            <w:tcW w:w="2410" w:type="dxa"/>
            <w:tcBorders>
              <w:top w:val="single" w:sz="2" w:space="0" w:color="auto"/>
              <w:left w:val="single" w:sz="2" w:space="0" w:color="auto"/>
              <w:bottom w:val="single" w:sz="2" w:space="0" w:color="auto"/>
              <w:right w:val="single" w:sz="2" w:space="0" w:color="auto"/>
            </w:tcBorders>
            <w:vAlign w:val="center"/>
          </w:tcPr>
          <w:p w14:paraId="1B474D84"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97579AD"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AC9A894" w14:textId="77777777" w:rsidR="007B3DB2" w:rsidRPr="0063248C" w:rsidRDefault="007B3DB2">
            <w:pPr>
              <w:spacing w:line="240" w:lineRule="exact"/>
              <w:jc w:val="right"/>
              <w:rPr>
                <w:rFonts w:cs="宋体"/>
                <w:sz w:val="18"/>
                <w:szCs w:val="18"/>
              </w:rPr>
            </w:pPr>
          </w:p>
        </w:tc>
      </w:tr>
      <w:tr w:rsidR="007B3DB2" w:rsidRPr="0063248C" w14:paraId="0AC9F50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DF65FF2"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FCB8256"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D53D24B"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3B751CC" w14:textId="77777777" w:rsidR="007B3DB2" w:rsidRPr="0063248C" w:rsidRDefault="007B3DB2">
            <w:pPr>
              <w:spacing w:line="240" w:lineRule="exact"/>
              <w:jc w:val="right"/>
              <w:rPr>
                <w:rFonts w:cs="宋体"/>
                <w:sz w:val="18"/>
                <w:szCs w:val="18"/>
              </w:rPr>
            </w:pPr>
          </w:p>
        </w:tc>
      </w:tr>
      <w:tr w:rsidR="007B3DB2" w:rsidRPr="0063248C" w14:paraId="4D3FCFD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0CAA375"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本期减少金额</w:t>
            </w:r>
          </w:p>
        </w:tc>
        <w:tc>
          <w:tcPr>
            <w:tcW w:w="2410" w:type="dxa"/>
            <w:tcBorders>
              <w:top w:val="single" w:sz="2" w:space="0" w:color="auto"/>
              <w:left w:val="single" w:sz="2" w:space="0" w:color="auto"/>
              <w:bottom w:val="single" w:sz="2" w:space="0" w:color="auto"/>
              <w:right w:val="single" w:sz="2" w:space="0" w:color="auto"/>
            </w:tcBorders>
            <w:vAlign w:val="center"/>
          </w:tcPr>
          <w:p w14:paraId="78ED67AA"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6AECC62"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AE3B913" w14:textId="77777777" w:rsidR="007B3DB2" w:rsidRPr="0063248C" w:rsidRDefault="007B3DB2">
            <w:pPr>
              <w:spacing w:line="240" w:lineRule="exact"/>
              <w:jc w:val="right"/>
              <w:rPr>
                <w:rFonts w:cs="宋体"/>
                <w:sz w:val="18"/>
                <w:szCs w:val="18"/>
              </w:rPr>
            </w:pPr>
          </w:p>
        </w:tc>
      </w:tr>
      <w:tr w:rsidR="007B3DB2" w:rsidRPr="0063248C" w14:paraId="596BA8B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4153EF4"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E1CD3EE"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2FB41A2"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C11941B" w14:textId="77777777" w:rsidR="007B3DB2" w:rsidRPr="0063248C" w:rsidRDefault="007B3DB2">
            <w:pPr>
              <w:spacing w:line="240" w:lineRule="exact"/>
              <w:jc w:val="right"/>
              <w:rPr>
                <w:rFonts w:cs="宋体"/>
                <w:sz w:val="18"/>
                <w:szCs w:val="18"/>
              </w:rPr>
            </w:pPr>
          </w:p>
        </w:tc>
      </w:tr>
      <w:tr w:rsidR="007B3DB2" w:rsidRPr="0063248C" w14:paraId="46A6C8C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2359888"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期末余额</w:t>
            </w:r>
          </w:p>
        </w:tc>
        <w:tc>
          <w:tcPr>
            <w:tcW w:w="2410" w:type="dxa"/>
            <w:tcBorders>
              <w:top w:val="single" w:sz="2" w:space="0" w:color="auto"/>
              <w:left w:val="single" w:sz="2" w:space="0" w:color="auto"/>
              <w:bottom w:val="single" w:sz="2" w:space="0" w:color="auto"/>
              <w:right w:val="single" w:sz="2" w:space="0" w:color="auto"/>
            </w:tcBorders>
            <w:vAlign w:val="center"/>
          </w:tcPr>
          <w:p w14:paraId="2D295786" w14:textId="77777777" w:rsidR="007B3DB2" w:rsidRPr="0063248C" w:rsidRDefault="00000000">
            <w:pPr>
              <w:spacing w:line="240" w:lineRule="exact"/>
              <w:jc w:val="right"/>
              <w:rPr>
                <w:rFonts w:cs="宋体"/>
                <w:sz w:val="18"/>
                <w:szCs w:val="18"/>
              </w:rPr>
            </w:pPr>
            <w:r w:rsidRPr="0063248C">
              <w:rPr>
                <w:rFonts w:cs="宋体"/>
                <w:sz w:val="18"/>
                <w:szCs w:val="18"/>
              </w:rPr>
              <w:t>53,011,950.64</w:t>
            </w:r>
          </w:p>
        </w:tc>
        <w:tc>
          <w:tcPr>
            <w:tcW w:w="2410" w:type="dxa"/>
            <w:tcBorders>
              <w:top w:val="single" w:sz="2" w:space="0" w:color="auto"/>
              <w:left w:val="single" w:sz="2" w:space="0" w:color="auto"/>
              <w:bottom w:val="single" w:sz="2" w:space="0" w:color="auto"/>
              <w:right w:val="single" w:sz="2" w:space="0" w:color="auto"/>
            </w:tcBorders>
            <w:vAlign w:val="center"/>
          </w:tcPr>
          <w:p w14:paraId="260F7969" w14:textId="77777777" w:rsidR="007B3DB2" w:rsidRPr="0063248C" w:rsidRDefault="00000000">
            <w:pPr>
              <w:spacing w:line="240" w:lineRule="exact"/>
              <w:jc w:val="right"/>
              <w:rPr>
                <w:rFonts w:cs="宋体"/>
                <w:sz w:val="18"/>
                <w:szCs w:val="18"/>
              </w:rPr>
            </w:pPr>
            <w:r w:rsidRPr="0063248C">
              <w:rPr>
                <w:rFonts w:cs="宋体"/>
                <w:sz w:val="18"/>
                <w:szCs w:val="18"/>
              </w:rPr>
              <w:t>23,633,272.00</w:t>
            </w:r>
          </w:p>
        </w:tc>
        <w:tc>
          <w:tcPr>
            <w:tcW w:w="2410" w:type="dxa"/>
            <w:tcBorders>
              <w:top w:val="single" w:sz="2" w:space="0" w:color="auto"/>
              <w:left w:val="single" w:sz="2" w:space="0" w:color="auto"/>
              <w:bottom w:val="single" w:sz="2" w:space="0" w:color="auto"/>
              <w:right w:val="single" w:sz="2" w:space="0" w:color="auto"/>
            </w:tcBorders>
            <w:vAlign w:val="center"/>
          </w:tcPr>
          <w:p w14:paraId="3AB180CB" w14:textId="77777777" w:rsidR="007B3DB2" w:rsidRPr="0063248C" w:rsidRDefault="00000000">
            <w:pPr>
              <w:spacing w:line="240" w:lineRule="exact"/>
              <w:jc w:val="right"/>
              <w:rPr>
                <w:rFonts w:cs="宋体"/>
                <w:sz w:val="18"/>
                <w:szCs w:val="18"/>
              </w:rPr>
            </w:pPr>
            <w:r w:rsidRPr="0063248C">
              <w:rPr>
                <w:rFonts w:cs="宋体"/>
                <w:sz w:val="18"/>
                <w:szCs w:val="18"/>
              </w:rPr>
              <w:t>76,645,222.64</w:t>
            </w:r>
          </w:p>
        </w:tc>
      </w:tr>
      <w:tr w:rsidR="007B3DB2" w:rsidRPr="0063248C" w14:paraId="49FC460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772779B" w14:textId="77777777" w:rsidR="007B3DB2" w:rsidRPr="0063248C" w:rsidRDefault="00000000">
            <w:pPr>
              <w:spacing w:before="40" w:after="40" w:line="240" w:lineRule="exact"/>
              <w:rPr>
                <w:rFonts w:cs="宋体"/>
                <w:sz w:val="18"/>
                <w:szCs w:val="18"/>
              </w:rPr>
            </w:pPr>
            <w:r w:rsidRPr="0063248C">
              <w:rPr>
                <w:rFonts w:cs="宋体"/>
                <w:sz w:val="18"/>
                <w:szCs w:val="18"/>
              </w:rPr>
              <w:t>二、累计折旧</w:t>
            </w:r>
          </w:p>
        </w:tc>
        <w:tc>
          <w:tcPr>
            <w:tcW w:w="2410" w:type="dxa"/>
            <w:tcBorders>
              <w:top w:val="single" w:sz="2" w:space="0" w:color="auto"/>
              <w:left w:val="single" w:sz="2" w:space="0" w:color="auto"/>
              <w:bottom w:val="single" w:sz="2" w:space="0" w:color="auto"/>
              <w:right w:val="single" w:sz="2" w:space="0" w:color="auto"/>
            </w:tcBorders>
            <w:vAlign w:val="center"/>
          </w:tcPr>
          <w:p w14:paraId="4D6336F2"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23FC03F"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2BF2507" w14:textId="77777777" w:rsidR="007B3DB2" w:rsidRPr="0063248C" w:rsidRDefault="007B3DB2">
            <w:pPr>
              <w:spacing w:line="240" w:lineRule="exact"/>
              <w:jc w:val="right"/>
              <w:rPr>
                <w:rFonts w:cs="宋体"/>
                <w:sz w:val="18"/>
                <w:szCs w:val="18"/>
              </w:rPr>
            </w:pPr>
          </w:p>
        </w:tc>
      </w:tr>
      <w:tr w:rsidR="007B3DB2" w:rsidRPr="0063248C" w14:paraId="445A9A5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E163A46"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期初余额</w:t>
            </w:r>
          </w:p>
        </w:tc>
        <w:tc>
          <w:tcPr>
            <w:tcW w:w="2410" w:type="dxa"/>
            <w:tcBorders>
              <w:top w:val="single" w:sz="2" w:space="0" w:color="auto"/>
              <w:left w:val="single" w:sz="2" w:space="0" w:color="auto"/>
              <w:bottom w:val="single" w:sz="2" w:space="0" w:color="auto"/>
              <w:right w:val="single" w:sz="2" w:space="0" w:color="auto"/>
            </w:tcBorders>
            <w:vAlign w:val="center"/>
          </w:tcPr>
          <w:p w14:paraId="65C68C2F" w14:textId="77777777" w:rsidR="007B3DB2" w:rsidRPr="0063248C" w:rsidRDefault="00000000">
            <w:pPr>
              <w:spacing w:line="240" w:lineRule="exact"/>
              <w:jc w:val="right"/>
              <w:rPr>
                <w:rFonts w:cs="宋体"/>
                <w:sz w:val="18"/>
                <w:szCs w:val="18"/>
              </w:rPr>
            </w:pPr>
            <w:r w:rsidRPr="0063248C">
              <w:rPr>
                <w:rFonts w:cs="宋体"/>
                <w:sz w:val="18"/>
                <w:szCs w:val="18"/>
              </w:rPr>
              <w:t>15,581,754.05</w:t>
            </w:r>
          </w:p>
        </w:tc>
        <w:tc>
          <w:tcPr>
            <w:tcW w:w="2410" w:type="dxa"/>
            <w:tcBorders>
              <w:top w:val="single" w:sz="2" w:space="0" w:color="auto"/>
              <w:left w:val="single" w:sz="2" w:space="0" w:color="auto"/>
              <w:bottom w:val="single" w:sz="2" w:space="0" w:color="auto"/>
              <w:right w:val="single" w:sz="2" w:space="0" w:color="auto"/>
            </w:tcBorders>
            <w:vAlign w:val="center"/>
          </w:tcPr>
          <w:p w14:paraId="0CFCD18D" w14:textId="77777777" w:rsidR="007B3DB2" w:rsidRPr="0063248C" w:rsidRDefault="00000000">
            <w:pPr>
              <w:spacing w:line="240" w:lineRule="exact"/>
              <w:jc w:val="right"/>
              <w:rPr>
                <w:rFonts w:cs="宋体"/>
                <w:sz w:val="18"/>
                <w:szCs w:val="18"/>
              </w:rPr>
            </w:pPr>
            <w:r w:rsidRPr="0063248C">
              <w:rPr>
                <w:rFonts w:cs="宋体"/>
                <w:sz w:val="18"/>
                <w:szCs w:val="18"/>
              </w:rPr>
              <w:t>4,382,173.11</w:t>
            </w:r>
          </w:p>
        </w:tc>
        <w:tc>
          <w:tcPr>
            <w:tcW w:w="2410" w:type="dxa"/>
            <w:tcBorders>
              <w:top w:val="single" w:sz="2" w:space="0" w:color="auto"/>
              <w:left w:val="single" w:sz="2" w:space="0" w:color="auto"/>
              <w:bottom w:val="single" w:sz="2" w:space="0" w:color="auto"/>
              <w:right w:val="single" w:sz="2" w:space="0" w:color="auto"/>
            </w:tcBorders>
            <w:vAlign w:val="center"/>
          </w:tcPr>
          <w:p w14:paraId="59FFC5F8" w14:textId="77777777" w:rsidR="007B3DB2" w:rsidRPr="0063248C" w:rsidRDefault="00000000">
            <w:pPr>
              <w:spacing w:line="240" w:lineRule="exact"/>
              <w:jc w:val="right"/>
              <w:rPr>
                <w:rFonts w:cs="宋体"/>
                <w:sz w:val="18"/>
                <w:szCs w:val="18"/>
              </w:rPr>
            </w:pPr>
            <w:r w:rsidRPr="0063248C">
              <w:rPr>
                <w:rFonts w:cs="宋体"/>
                <w:sz w:val="18"/>
                <w:szCs w:val="18"/>
              </w:rPr>
              <w:t>19,963,927.16</w:t>
            </w:r>
          </w:p>
        </w:tc>
      </w:tr>
      <w:tr w:rsidR="007B3DB2" w:rsidRPr="0063248C" w14:paraId="70CC2B8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2DF5D2F"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本期增加金额</w:t>
            </w:r>
          </w:p>
        </w:tc>
        <w:tc>
          <w:tcPr>
            <w:tcW w:w="2410" w:type="dxa"/>
            <w:tcBorders>
              <w:top w:val="single" w:sz="2" w:space="0" w:color="auto"/>
              <w:left w:val="single" w:sz="2" w:space="0" w:color="auto"/>
              <w:bottom w:val="single" w:sz="2" w:space="0" w:color="auto"/>
              <w:right w:val="single" w:sz="2" w:space="0" w:color="auto"/>
            </w:tcBorders>
            <w:vAlign w:val="center"/>
          </w:tcPr>
          <w:p w14:paraId="2E06B7A8" w14:textId="77777777" w:rsidR="007B3DB2" w:rsidRPr="0063248C" w:rsidRDefault="00000000">
            <w:pPr>
              <w:spacing w:line="240" w:lineRule="exact"/>
              <w:jc w:val="right"/>
              <w:rPr>
                <w:rFonts w:cs="宋体"/>
                <w:sz w:val="18"/>
                <w:szCs w:val="18"/>
              </w:rPr>
            </w:pPr>
            <w:r w:rsidRPr="0063248C">
              <w:rPr>
                <w:rFonts w:cs="宋体"/>
                <w:sz w:val="18"/>
                <w:szCs w:val="18"/>
              </w:rPr>
              <w:t>2,731,678.98</w:t>
            </w:r>
          </w:p>
        </w:tc>
        <w:tc>
          <w:tcPr>
            <w:tcW w:w="2410" w:type="dxa"/>
            <w:tcBorders>
              <w:top w:val="single" w:sz="2" w:space="0" w:color="auto"/>
              <w:left w:val="single" w:sz="2" w:space="0" w:color="auto"/>
              <w:bottom w:val="single" w:sz="2" w:space="0" w:color="auto"/>
              <w:right w:val="single" w:sz="2" w:space="0" w:color="auto"/>
            </w:tcBorders>
            <w:vAlign w:val="center"/>
          </w:tcPr>
          <w:p w14:paraId="52C06ADE" w14:textId="77777777" w:rsidR="007B3DB2" w:rsidRPr="0063248C" w:rsidRDefault="00000000">
            <w:pPr>
              <w:spacing w:line="240" w:lineRule="exact"/>
              <w:jc w:val="right"/>
              <w:rPr>
                <w:rFonts w:cs="宋体"/>
                <w:sz w:val="18"/>
                <w:szCs w:val="18"/>
              </w:rPr>
            </w:pPr>
            <w:r w:rsidRPr="0063248C">
              <w:rPr>
                <w:rFonts w:cs="宋体"/>
                <w:sz w:val="18"/>
                <w:szCs w:val="18"/>
              </w:rPr>
              <w:t>743,257.02</w:t>
            </w:r>
          </w:p>
        </w:tc>
        <w:tc>
          <w:tcPr>
            <w:tcW w:w="2410" w:type="dxa"/>
            <w:tcBorders>
              <w:top w:val="single" w:sz="2" w:space="0" w:color="auto"/>
              <w:left w:val="single" w:sz="2" w:space="0" w:color="auto"/>
              <w:bottom w:val="single" w:sz="2" w:space="0" w:color="auto"/>
              <w:right w:val="single" w:sz="2" w:space="0" w:color="auto"/>
            </w:tcBorders>
            <w:vAlign w:val="center"/>
          </w:tcPr>
          <w:p w14:paraId="3AD0A163" w14:textId="77777777" w:rsidR="007B3DB2" w:rsidRPr="0063248C" w:rsidRDefault="00000000">
            <w:pPr>
              <w:spacing w:line="240" w:lineRule="exact"/>
              <w:jc w:val="right"/>
              <w:rPr>
                <w:rFonts w:cs="宋体"/>
                <w:sz w:val="18"/>
                <w:szCs w:val="18"/>
              </w:rPr>
            </w:pPr>
            <w:r w:rsidRPr="0063248C">
              <w:rPr>
                <w:rFonts w:cs="宋体"/>
                <w:sz w:val="18"/>
                <w:szCs w:val="18"/>
              </w:rPr>
              <w:t>3,474,936.00</w:t>
            </w:r>
          </w:p>
        </w:tc>
      </w:tr>
      <w:tr w:rsidR="007B3DB2" w:rsidRPr="0063248C" w14:paraId="31CE969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3AECEB4"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）计提</w:t>
            </w:r>
          </w:p>
        </w:tc>
        <w:tc>
          <w:tcPr>
            <w:tcW w:w="2410" w:type="dxa"/>
            <w:tcBorders>
              <w:top w:val="single" w:sz="2" w:space="0" w:color="auto"/>
              <w:left w:val="single" w:sz="2" w:space="0" w:color="auto"/>
              <w:bottom w:val="single" w:sz="2" w:space="0" w:color="auto"/>
              <w:right w:val="single" w:sz="2" w:space="0" w:color="auto"/>
            </w:tcBorders>
            <w:vAlign w:val="center"/>
          </w:tcPr>
          <w:p w14:paraId="443CC88D" w14:textId="77777777" w:rsidR="007B3DB2" w:rsidRPr="0063248C" w:rsidRDefault="00000000">
            <w:pPr>
              <w:spacing w:line="240" w:lineRule="exact"/>
              <w:jc w:val="right"/>
              <w:rPr>
                <w:rFonts w:cs="宋体"/>
                <w:sz w:val="18"/>
                <w:szCs w:val="18"/>
              </w:rPr>
            </w:pPr>
            <w:r w:rsidRPr="0063248C">
              <w:rPr>
                <w:rFonts w:cs="宋体"/>
                <w:sz w:val="18"/>
                <w:szCs w:val="18"/>
              </w:rPr>
              <w:t>2,731,678.98</w:t>
            </w:r>
          </w:p>
        </w:tc>
        <w:tc>
          <w:tcPr>
            <w:tcW w:w="2410" w:type="dxa"/>
            <w:tcBorders>
              <w:top w:val="single" w:sz="2" w:space="0" w:color="auto"/>
              <w:left w:val="single" w:sz="2" w:space="0" w:color="auto"/>
              <w:bottom w:val="single" w:sz="2" w:space="0" w:color="auto"/>
              <w:right w:val="single" w:sz="2" w:space="0" w:color="auto"/>
            </w:tcBorders>
            <w:vAlign w:val="center"/>
          </w:tcPr>
          <w:p w14:paraId="6AE6980C" w14:textId="77777777" w:rsidR="007B3DB2" w:rsidRPr="0063248C" w:rsidRDefault="00000000">
            <w:pPr>
              <w:spacing w:line="240" w:lineRule="exact"/>
              <w:jc w:val="right"/>
              <w:rPr>
                <w:rFonts w:cs="宋体"/>
                <w:sz w:val="18"/>
                <w:szCs w:val="18"/>
              </w:rPr>
            </w:pPr>
            <w:r w:rsidRPr="0063248C">
              <w:rPr>
                <w:rFonts w:cs="宋体"/>
                <w:sz w:val="18"/>
                <w:szCs w:val="18"/>
              </w:rPr>
              <w:t>743,257.02</w:t>
            </w:r>
          </w:p>
        </w:tc>
        <w:tc>
          <w:tcPr>
            <w:tcW w:w="2410" w:type="dxa"/>
            <w:tcBorders>
              <w:top w:val="single" w:sz="2" w:space="0" w:color="auto"/>
              <w:left w:val="single" w:sz="2" w:space="0" w:color="auto"/>
              <w:bottom w:val="single" w:sz="2" w:space="0" w:color="auto"/>
              <w:right w:val="single" w:sz="2" w:space="0" w:color="auto"/>
            </w:tcBorders>
            <w:vAlign w:val="center"/>
          </w:tcPr>
          <w:p w14:paraId="2B63E17F" w14:textId="77777777" w:rsidR="007B3DB2" w:rsidRPr="0063248C" w:rsidRDefault="00000000">
            <w:pPr>
              <w:spacing w:line="240" w:lineRule="exact"/>
              <w:jc w:val="right"/>
              <w:rPr>
                <w:rFonts w:cs="宋体"/>
                <w:sz w:val="18"/>
                <w:szCs w:val="18"/>
              </w:rPr>
            </w:pPr>
            <w:r w:rsidRPr="0063248C">
              <w:rPr>
                <w:rFonts w:cs="宋体"/>
                <w:sz w:val="18"/>
                <w:szCs w:val="18"/>
              </w:rPr>
              <w:t>3,474,936.00</w:t>
            </w:r>
          </w:p>
        </w:tc>
      </w:tr>
      <w:tr w:rsidR="007B3DB2" w:rsidRPr="0063248C" w14:paraId="119374E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D73BCFA"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C259D69"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A148FC7"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1DC7579" w14:textId="77777777" w:rsidR="007B3DB2" w:rsidRPr="0063248C" w:rsidRDefault="007B3DB2">
            <w:pPr>
              <w:spacing w:line="240" w:lineRule="exact"/>
              <w:jc w:val="right"/>
              <w:rPr>
                <w:rFonts w:cs="宋体"/>
                <w:sz w:val="18"/>
                <w:szCs w:val="18"/>
              </w:rPr>
            </w:pPr>
          </w:p>
        </w:tc>
      </w:tr>
      <w:tr w:rsidR="007B3DB2" w:rsidRPr="0063248C" w14:paraId="5F42DCD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0F99D5C"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本期减少金额</w:t>
            </w:r>
          </w:p>
        </w:tc>
        <w:tc>
          <w:tcPr>
            <w:tcW w:w="2410" w:type="dxa"/>
            <w:tcBorders>
              <w:top w:val="single" w:sz="2" w:space="0" w:color="auto"/>
              <w:left w:val="single" w:sz="2" w:space="0" w:color="auto"/>
              <w:bottom w:val="single" w:sz="2" w:space="0" w:color="auto"/>
              <w:right w:val="single" w:sz="2" w:space="0" w:color="auto"/>
            </w:tcBorders>
            <w:vAlign w:val="center"/>
          </w:tcPr>
          <w:p w14:paraId="6316B686"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965264A"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87AEF80" w14:textId="77777777" w:rsidR="007B3DB2" w:rsidRPr="0063248C" w:rsidRDefault="007B3DB2">
            <w:pPr>
              <w:spacing w:line="240" w:lineRule="exact"/>
              <w:jc w:val="right"/>
              <w:rPr>
                <w:rFonts w:cs="宋体"/>
                <w:sz w:val="18"/>
                <w:szCs w:val="18"/>
              </w:rPr>
            </w:pPr>
          </w:p>
        </w:tc>
      </w:tr>
      <w:tr w:rsidR="007B3DB2" w:rsidRPr="0063248C" w14:paraId="7B7422A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31EE7B1"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）处置</w:t>
            </w:r>
          </w:p>
        </w:tc>
        <w:tc>
          <w:tcPr>
            <w:tcW w:w="2410" w:type="dxa"/>
            <w:tcBorders>
              <w:top w:val="single" w:sz="2" w:space="0" w:color="auto"/>
              <w:left w:val="single" w:sz="2" w:space="0" w:color="auto"/>
              <w:bottom w:val="single" w:sz="2" w:space="0" w:color="auto"/>
              <w:right w:val="single" w:sz="2" w:space="0" w:color="auto"/>
            </w:tcBorders>
            <w:vAlign w:val="center"/>
          </w:tcPr>
          <w:p w14:paraId="73AB44FE"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C82C05C"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F1A351C" w14:textId="77777777" w:rsidR="007B3DB2" w:rsidRPr="0063248C" w:rsidRDefault="007B3DB2">
            <w:pPr>
              <w:spacing w:line="240" w:lineRule="exact"/>
              <w:jc w:val="right"/>
              <w:rPr>
                <w:rFonts w:cs="宋体"/>
                <w:sz w:val="18"/>
                <w:szCs w:val="18"/>
              </w:rPr>
            </w:pPr>
          </w:p>
        </w:tc>
      </w:tr>
      <w:tr w:rsidR="007B3DB2" w:rsidRPr="0063248C" w14:paraId="653A1AE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16326D5"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3D58714"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1ABF1F7"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C6E798E" w14:textId="77777777" w:rsidR="007B3DB2" w:rsidRPr="0063248C" w:rsidRDefault="007B3DB2">
            <w:pPr>
              <w:spacing w:line="240" w:lineRule="exact"/>
              <w:jc w:val="right"/>
              <w:rPr>
                <w:rFonts w:cs="宋体"/>
                <w:sz w:val="18"/>
                <w:szCs w:val="18"/>
              </w:rPr>
            </w:pPr>
          </w:p>
        </w:tc>
      </w:tr>
      <w:tr w:rsidR="007B3DB2" w:rsidRPr="0063248C" w14:paraId="280115F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1279D97"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期末余额</w:t>
            </w:r>
          </w:p>
        </w:tc>
        <w:tc>
          <w:tcPr>
            <w:tcW w:w="2410" w:type="dxa"/>
            <w:tcBorders>
              <w:top w:val="single" w:sz="2" w:space="0" w:color="auto"/>
              <w:left w:val="single" w:sz="2" w:space="0" w:color="auto"/>
              <w:bottom w:val="single" w:sz="2" w:space="0" w:color="auto"/>
              <w:right w:val="single" w:sz="2" w:space="0" w:color="auto"/>
            </w:tcBorders>
            <w:vAlign w:val="center"/>
          </w:tcPr>
          <w:p w14:paraId="67D552C4" w14:textId="77777777" w:rsidR="007B3DB2" w:rsidRPr="0063248C" w:rsidRDefault="00000000">
            <w:pPr>
              <w:spacing w:line="240" w:lineRule="exact"/>
              <w:jc w:val="right"/>
              <w:rPr>
                <w:rFonts w:cs="宋体"/>
                <w:sz w:val="18"/>
                <w:szCs w:val="18"/>
              </w:rPr>
            </w:pPr>
            <w:r w:rsidRPr="0063248C">
              <w:rPr>
                <w:rFonts w:cs="宋体"/>
                <w:sz w:val="18"/>
                <w:szCs w:val="18"/>
              </w:rPr>
              <w:t>18,313,433.03</w:t>
            </w:r>
          </w:p>
        </w:tc>
        <w:tc>
          <w:tcPr>
            <w:tcW w:w="2410" w:type="dxa"/>
            <w:tcBorders>
              <w:top w:val="single" w:sz="2" w:space="0" w:color="auto"/>
              <w:left w:val="single" w:sz="2" w:space="0" w:color="auto"/>
              <w:bottom w:val="single" w:sz="2" w:space="0" w:color="auto"/>
              <w:right w:val="single" w:sz="2" w:space="0" w:color="auto"/>
            </w:tcBorders>
            <w:vAlign w:val="center"/>
          </w:tcPr>
          <w:p w14:paraId="7DD509C9" w14:textId="77777777" w:rsidR="007B3DB2" w:rsidRPr="0063248C" w:rsidRDefault="00000000">
            <w:pPr>
              <w:spacing w:line="240" w:lineRule="exact"/>
              <w:jc w:val="right"/>
              <w:rPr>
                <w:rFonts w:cs="宋体"/>
                <w:sz w:val="18"/>
                <w:szCs w:val="18"/>
              </w:rPr>
            </w:pPr>
            <w:r w:rsidRPr="0063248C">
              <w:rPr>
                <w:rFonts w:cs="宋体"/>
                <w:sz w:val="18"/>
                <w:szCs w:val="18"/>
              </w:rPr>
              <w:t>5,125,430.13</w:t>
            </w:r>
          </w:p>
        </w:tc>
        <w:tc>
          <w:tcPr>
            <w:tcW w:w="2410" w:type="dxa"/>
            <w:tcBorders>
              <w:top w:val="single" w:sz="2" w:space="0" w:color="auto"/>
              <w:left w:val="single" w:sz="2" w:space="0" w:color="auto"/>
              <w:bottom w:val="single" w:sz="2" w:space="0" w:color="auto"/>
              <w:right w:val="single" w:sz="2" w:space="0" w:color="auto"/>
            </w:tcBorders>
            <w:vAlign w:val="center"/>
          </w:tcPr>
          <w:p w14:paraId="70E54E7D" w14:textId="77777777" w:rsidR="007B3DB2" w:rsidRPr="0063248C" w:rsidRDefault="00000000">
            <w:pPr>
              <w:spacing w:line="240" w:lineRule="exact"/>
              <w:jc w:val="right"/>
              <w:rPr>
                <w:rFonts w:cs="宋体"/>
                <w:sz w:val="18"/>
                <w:szCs w:val="18"/>
              </w:rPr>
            </w:pPr>
            <w:r w:rsidRPr="0063248C">
              <w:rPr>
                <w:rFonts w:cs="宋体"/>
                <w:sz w:val="18"/>
                <w:szCs w:val="18"/>
              </w:rPr>
              <w:t>23,438,863.16</w:t>
            </w:r>
          </w:p>
        </w:tc>
      </w:tr>
      <w:tr w:rsidR="007B3DB2" w:rsidRPr="0063248C" w14:paraId="72CA8F4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CB43E48" w14:textId="77777777" w:rsidR="007B3DB2" w:rsidRPr="0063248C" w:rsidRDefault="00000000">
            <w:pPr>
              <w:spacing w:before="40" w:after="40" w:line="240" w:lineRule="exact"/>
              <w:rPr>
                <w:rFonts w:cs="宋体"/>
                <w:sz w:val="18"/>
                <w:szCs w:val="18"/>
              </w:rPr>
            </w:pPr>
            <w:r w:rsidRPr="0063248C">
              <w:rPr>
                <w:rFonts w:cs="宋体"/>
                <w:sz w:val="18"/>
                <w:szCs w:val="18"/>
              </w:rPr>
              <w:t>三、减值准备</w:t>
            </w:r>
          </w:p>
        </w:tc>
        <w:tc>
          <w:tcPr>
            <w:tcW w:w="2410" w:type="dxa"/>
            <w:tcBorders>
              <w:top w:val="single" w:sz="2" w:space="0" w:color="auto"/>
              <w:left w:val="single" w:sz="2" w:space="0" w:color="auto"/>
              <w:bottom w:val="single" w:sz="2" w:space="0" w:color="auto"/>
              <w:right w:val="single" w:sz="2" w:space="0" w:color="auto"/>
            </w:tcBorders>
            <w:vAlign w:val="center"/>
          </w:tcPr>
          <w:p w14:paraId="39C627AC"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1ECD152"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526F67A" w14:textId="77777777" w:rsidR="007B3DB2" w:rsidRPr="0063248C" w:rsidRDefault="007B3DB2">
            <w:pPr>
              <w:spacing w:line="240" w:lineRule="exact"/>
              <w:jc w:val="right"/>
              <w:rPr>
                <w:rFonts w:cs="宋体"/>
                <w:sz w:val="18"/>
                <w:szCs w:val="18"/>
              </w:rPr>
            </w:pPr>
          </w:p>
        </w:tc>
      </w:tr>
      <w:tr w:rsidR="007B3DB2" w:rsidRPr="0063248C" w14:paraId="74B0188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FE83372"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期初余额</w:t>
            </w:r>
          </w:p>
        </w:tc>
        <w:tc>
          <w:tcPr>
            <w:tcW w:w="2410" w:type="dxa"/>
            <w:tcBorders>
              <w:top w:val="single" w:sz="2" w:space="0" w:color="auto"/>
              <w:left w:val="single" w:sz="2" w:space="0" w:color="auto"/>
              <w:bottom w:val="single" w:sz="2" w:space="0" w:color="auto"/>
              <w:right w:val="single" w:sz="2" w:space="0" w:color="auto"/>
            </w:tcBorders>
            <w:vAlign w:val="center"/>
          </w:tcPr>
          <w:p w14:paraId="6A0A7859"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EB7E9AA"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08BF7D9" w14:textId="77777777" w:rsidR="007B3DB2" w:rsidRPr="0063248C" w:rsidRDefault="007B3DB2">
            <w:pPr>
              <w:spacing w:line="240" w:lineRule="exact"/>
              <w:jc w:val="right"/>
              <w:rPr>
                <w:rFonts w:cs="宋体"/>
                <w:sz w:val="18"/>
                <w:szCs w:val="18"/>
              </w:rPr>
            </w:pPr>
          </w:p>
        </w:tc>
      </w:tr>
      <w:tr w:rsidR="007B3DB2" w:rsidRPr="0063248C" w14:paraId="1B746DD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2AA8F19"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本期增加金额</w:t>
            </w:r>
          </w:p>
        </w:tc>
        <w:tc>
          <w:tcPr>
            <w:tcW w:w="2410" w:type="dxa"/>
            <w:tcBorders>
              <w:top w:val="single" w:sz="2" w:space="0" w:color="auto"/>
              <w:left w:val="single" w:sz="2" w:space="0" w:color="auto"/>
              <w:bottom w:val="single" w:sz="2" w:space="0" w:color="auto"/>
              <w:right w:val="single" w:sz="2" w:space="0" w:color="auto"/>
            </w:tcBorders>
            <w:vAlign w:val="center"/>
          </w:tcPr>
          <w:p w14:paraId="04407CA4"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8FA48CA"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4C74379" w14:textId="77777777" w:rsidR="007B3DB2" w:rsidRPr="0063248C" w:rsidRDefault="007B3DB2">
            <w:pPr>
              <w:spacing w:line="240" w:lineRule="exact"/>
              <w:jc w:val="right"/>
              <w:rPr>
                <w:rFonts w:cs="宋体"/>
                <w:sz w:val="18"/>
                <w:szCs w:val="18"/>
              </w:rPr>
            </w:pPr>
          </w:p>
        </w:tc>
      </w:tr>
      <w:tr w:rsidR="007B3DB2" w:rsidRPr="0063248C" w14:paraId="5FB6C51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CA6DF18"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）计提</w:t>
            </w:r>
          </w:p>
        </w:tc>
        <w:tc>
          <w:tcPr>
            <w:tcW w:w="2410" w:type="dxa"/>
            <w:tcBorders>
              <w:top w:val="single" w:sz="2" w:space="0" w:color="auto"/>
              <w:left w:val="single" w:sz="2" w:space="0" w:color="auto"/>
              <w:bottom w:val="single" w:sz="2" w:space="0" w:color="auto"/>
              <w:right w:val="single" w:sz="2" w:space="0" w:color="auto"/>
            </w:tcBorders>
            <w:vAlign w:val="center"/>
          </w:tcPr>
          <w:p w14:paraId="08C97D94"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4E352C9"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FEBAF75" w14:textId="77777777" w:rsidR="007B3DB2" w:rsidRPr="0063248C" w:rsidRDefault="007B3DB2">
            <w:pPr>
              <w:spacing w:line="240" w:lineRule="exact"/>
              <w:jc w:val="right"/>
              <w:rPr>
                <w:rFonts w:cs="宋体"/>
                <w:sz w:val="18"/>
                <w:szCs w:val="18"/>
              </w:rPr>
            </w:pPr>
          </w:p>
        </w:tc>
      </w:tr>
      <w:tr w:rsidR="007B3DB2" w:rsidRPr="0063248C" w14:paraId="51EEBFE4"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1B3D5EE"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B22C561"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FFB03BE"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BCB50FC" w14:textId="77777777" w:rsidR="007B3DB2" w:rsidRPr="0063248C" w:rsidRDefault="007B3DB2">
            <w:pPr>
              <w:spacing w:line="240" w:lineRule="exact"/>
              <w:jc w:val="right"/>
              <w:rPr>
                <w:rFonts w:cs="宋体"/>
                <w:sz w:val="18"/>
                <w:szCs w:val="18"/>
              </w:rPr>
            </w:pPr>
          </w:p>
        </w:tc>
      </w:tr>
      <w:tr w:rsidR="007B3DB2" w:rsidRPr="0063248C" w14:paraId="559BBB8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F4480B1"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本期减少金额</w:t>
            </w:r>
          </w:p>
        </w:tc>
        <w:tc>
          <w:tcPr>
            <w:tcW w:w="2410" w:type="dxa"/>
            <w:tcBorders>
              <w:top w:val="single" w:sz="2" w:space="0" w:color="auto"/>
              <w:left w:val="single" w:sz="2" w:space="0" w:color="auto"/>
              <w:bottom w:val="single" w:sz="2" w:space="0" w:color="auto"/>
              <w:right w:val="single" w:sz="2" w:space="0" w:color="auto"/>
            </w:tcBorders>
            <w:vAlign w:val="center"/>
          </w:tcPr>
          <w:p w14:paraId="1209F19A"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286589F"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7027DAB" w14:textId="77777777" w:rsidR="007B3DB2" w:rsidRPr="0063248C" w:rsidRDefault="007B3DB2">
            <w:pPr>
              <w:spacing w:line="240" w:lineRule="exact"/>
              <w:jc w:val="right"/>
              <w:rPr>
                <w:rFonts w:cs="宋体"/>
                <w:sz w:val="18"/>
                <w:szCs w:val="18"/>
              </w:rPr>
            </w:pPr>
          </w:p>
        </w:tc>
      </w:tr>
      <w:tr w:rsidR="007B3DB2" w:rsidRPr="0063248C" w14:paraId="107041F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276CD10"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）处置</w:t>
            </w:r>
          </w:p>
        </w:tc>
        <w:tc>
          <w:tcPr>
            <w:tcW w:w="2410" w:type="dxa"/>
            <w:tcBorders>
              <w:top w:val="single" w:sz="2" w:space="0" w:color="auto"/>
              <w:left w:val="single" w:sz="2" w:space="0" w:color="auto"/>
              <w:bottom w:val="single" w:sz="2" w:space="0" w:color="auto"/>
              <w:right w:val="single" w:sz="2" w:space="0" w:color="auto"/>
            </w:tcBorders>
            <w:vAlign w:val="center"/>
          </w:tcPr>
          <w:p w14:paraId="32A5CB89"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D7E0FC1"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82F0F72" w14:textId="77777777" w:rsidR="007B3DB2" w:rsidRPr="0063248C" w:rsidRDefault="007B3DB2">
            <w:pPr>
              <w:spacing w:line="240" w:lineRule="exact"/>
              <w:jc w:val="right"/>
              <w:rPr>
                <w:rFonts w:cs="宋体"/>
                <w:sz w:val="18"/>
                <w:szCs w:val="18"/>
              </w:rPr>
            </w:pPr>
          </w:p>
        </w:tc>
      </w:tr>
      <w:tr w:rsidR="007B3DB2" w:rsidRPr="0063248C" w14:paraId="0292028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D9F4106"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18E6809"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F39E77A"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B7214BB" w14:textId="77777777" w:rsidR="007B3DB2" w:rsidRPr="0063248C" w:rsidRDefault="007B3DB2">
            <w:pPr>
              <w:spacing w:line="240" w:lineRule="exact"/>
              <w:jc w:val="right"/>
              <w:rPr>
                <w:rFonts w:cs="宋体"/>
                <w:sz w:val="18"/>
                <w:szCs w:val="18"/>
              </w:rPr>
            </w:pPr>
          </w:p>
        </w:tc>
      </w:tr>
      <w:tr w:rsidR="007B3DB2" w:rsidRPr="0063248C" w14:paraId="54956D4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676EE06"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期末余额</w:t>
            </w:r>
          </w:p>
        </w:tc>
        <w:tc>
          <w:tcPr>
            <w:tcW w:w="2410" w:type="dxa"/>
            <w:tcBorders>
              <w:top w:val="single" w:sz="2" w:space="0" w:color="auto"/>
              <w:left w:val="single" w:sz="2" w:space="0" w:color="auto"/>
              <w:bottom w:val="single" w:sz="2" w:space="0" w:color="auto"/>
              <w:right w:val="single" w:sz="2" w:space="0" w:color="auto"/>
            </w:tcBorders>
            <w:vAlign w:val="center"/>
          </w:tcPr>
          <w:p w14:paraId="0B9629E3"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AD19B72"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6451DCE" w14:textId="77777777" w:rsidR="007B3DB2" w:rsidRPr="0063248C" w:rsidRDefault="007B3DB2">
            <w:pPr>
              <w:spacing w:line="240" w:lineRule="exact"/>
              <w:jc w:val="right"/>
              <w:rPr>
                <w:rFonts w:cs="宋体"/>
                <w:sz w:val="18"/>
                <w:szCs w:val="18"/>
              </w:rPr>
            </w:pPr>
          </w:p>
        </w:tc>
      </w:tr>
      <w:tr w:rsidR="007B3DB2" w:rsidRPr="0063248C" w14:paraId="7777C11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38E5055" w14:textId="77777777" w:rsidR="007B3DB2" w:rsidRPr="0063248C" w:rsidRDefault="00000000">
            <w:pPr>
              <w:spacing w:before="40" w:after="40" w:line="240" w:lineRule="exact"/>
              <w:rPr>
                <w:rFonts w:cs="宋体"/>
                <w:sz w:val="18"/>
                <w:szCs w:val="18"/>
              </w:rPr>
            </w:pPr>
            <w:r w:rsidRPr="0063248C">
              <w:rPr>
                <w:rFonts w:cs="宋体"/>
                <w:sz w:val="18"/>
                <w:szCs w:val="18"/>
              </w:rPr>
              <w:t>四、账面价值</w:t>
            </w:r>
          </w:p>
        </w:tc>
        <w:tc>
          <w:tcPr>
            <w:tcW w:w="2410" w:type="dxa"/>
            <w:tcBorders>
              <w:top w:val="single" w:sz="2" w:space="0" w:color="auto"/>
              <w:left w:val="single" w:sz="2" w:space="0" w:color="auto"/>
              <w:bottom w:val="single" w:sz="2" w:space="0" w:color="auto"/>
              <w:right w:val="single" w:sz="2" w:space="0" w:color="auto"/>
            </w:tcBorders>
            <w:vAlign w:val="center"/>
          </w:tcPr>
          <w:p w14:paraId="05AC72F2"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3C26BE1"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4B178E6" w14:textId="77777777" w:rsidR="007B3DB2" w:rsidRPr="0063248C" w:rsidRDefault="007B3DB2">
            <w:pPr>
              <w:spacing w:line="240" w:lineRule="exact"/>
              <w:jc w:val="right"/>
              <w:rPr>
                <w:rFonts w:cs="宋体"/>
                <w:sz w:val="18"/>
                <w:szCs w:val="18"/>
              </w:rPr>
            </w:pPr>
          </w:p>
        </w:tc>
      </w:tr>
      <w:tr w:rsidR="007B3DB2" w:rsidRPr="0063248C" w14:paraId="278297D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371EF1"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期末账面价值</w:t>
            </w:r>
          </w:p>
        </w:tc>
        <w:tc>
          <w:tcPr>
            <w:tcW w:w="2410" w:type="dxa"/>
            <w:tcBorders>
              <w:top w:val="single" w:sz="2" w:space="0" w:color="auto"/>
              <w:left w:val="single" w:sz="2" w:space="0" w:color="auto"/>
              <w:bottom w:val="single" w:sz="2" w:space="0" w:color="auto"/>
              <w:right w:val="single" w:sz="2" w:space="0" w:color="auto"/>
            </w:tcBorders>
            <w:vAlign w:val="center"/>
          </w:tcPr>
          <w:p w14:paraId="05AAD500" w14:textId="77777777" w:rsidR="007B3DB2" w:rsidRPr="0063248C" w:rsidRDefault="00000000">
            <w:pPr>
              <w:spacing w:line="240" w:lineRule="exact"/>
              <w:jc w:val="right"/>
              <w:rPr>
                <w:rFonts w:cs="宋体"/>
                <w:sz w:val="18"/>
                <w:szCs w:val="18"/>
              </w:rPr>
            </w:pPr>
            <w:r w:rsidRPr="0063248C">
              <w:rPr>
                <w:rFonts w:cs="宋体"/>
                <w:sz w:val="18"/>
                <w:szCs w:val="18"/>
              </w:rPr>
              <w:t>34,698,517.61</w:t>
            </w:r>
          </w:p>
        </w:tc>
        <w:tc>
          <w:tcPr>
            <w:tcW w:w="2410" w:type="dxa"/>
            <w:tcBorders>
              <w:top w:val="single" w:sz="2" w:space="0" w:color="auto"/>
              <w:left w:val="single" w:sz="2" w:space="0" w:color="auto"/>
              <w:bottom w:val="single" w:sz="2" w:space="0" w:color="auto"/>
              <w:right w:val="single" w:sz="2" w:space="0" w:color="auto"/>
            </w:tcBorders>
            <w:vAlign w:val="center"/>
          </w:tcPr>
          <w:p w14:paraId="05BA257D" w14:textId="77777777" w:rsidR="007B3DB2" w:rsidRPr="0063248C" w:rsidRDefault="00000000">
            <w:pPr>
              <w:spacing w:line="240" w:lineRule="exact"/>
              <w:jc w:val="right"/>
              <w:rPr>
                <w:rFonts w:cs="宋体"/>
                <w:sz w:val="18"/>
                <w:szCs w:val="18"/>
              </w:rPr>
            </w:pPr>
            <w:r w:rsidRPr="0063248C">
              <w:rPr>
                <w:rFonts w:cs="宋体"/>
                <w:sz w:val="18"/>
                <w:szCs w:val="18"/>
              </w:rPr>
              <w:t>18,507,841.87</w:t>
            </w:r>
          </w:p>
        </w:tc>
        <w:tc>
          <w:tcPr>
            <w:tcW w:w="2410" w:type="dxa"/>
            <w:tcBorders>
              <w:top w:val="single" w:sz="2" w:space="0" w:color="auto"/>
              <w:left w:val="single" w:sz="2" w:space="0" w:color="auto"/>
              <w:bottom w:val="single" w:sz="2" w:space="0" w:color="auto"/>
              <w:right w:val="single" w:sz="2" w:space="0" w:color="auto"/>
            </w:tcBorders>
            <w:vAlign w:val="center"/>
          </w:tcPr>
          <w:p w14:paraId="513CE0A2" w14:textId="77777777" w:rsidR="007B3DB2" w:rsidRPr="0063248C" w:rsidRDefault="00000000">
            <w:pPr>
              <w:spacing w:line="240" w:lineRule="exact"/>
              <w:jc w:val="right"/>
              <w:rPr>
                <w:rFonts w:cs="宋体"/>
                <w:sz w:val="18"/>
                <w:szCs w:val="18"/>
              </w:rPr>
            </w:pPr>
            <w:r w:rsidRPr="0063248C">
              <w:rPr>
                <w:rFonts w:cs="宋体"/>
                <w:sz w:val="18"/>
                <w:szCs w:val="18"/>
              </w:rPr>
              <w:t>53,206,359.48</w:t>
            </w:r>
          </w:p>
        </w:tc>
      </w:tr>
      <w:tr w:rsidR="007B3DB2" w:rsidRPr="0063248C" w14:paraId="146BD6F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8081003"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期初账面价值</w:t>
            </w:r>
          </w:p>
        </w:tc>
        <w:tc>
          <w:tcPr>
            <w:tcW w:w="2410" w:type="dxa"/>
            <w:tcBorders>
              <w:top w:val="single" w:sz="2" w:space="0" w:color="auto"/>
              <w:left w:val="single" w:sz="2" w:space="0" w:color="auto"/>
              <w:bottom w:val="single" w:sz="2" w:space="0" w:color="auto"/>
              <w:right w:val="single" w:sz="2" w:space="0" w:color="auto"/>
            </w:tcBorders>
            <w:vAlign w:val="center"/>
          </w:tcPr>
          <w:p w14:paraId="485B1510" w14:textId="77777777" w:rsidR="007B3DB2" w:rsidRPr="0063248C" w:rsidRDefault="00000000">
            <w:pPr>
              <w:spacing w:line="240" w:lineRule="exact"/>
              <w:jc w:val="right"/>
              <w:rPr>
                <w:rFonts w:cs="宋体"/>
                <w:sz w:val="18"/>
                <w:szCs w:val="18"/>
              </w:rPr>
            </w:pPr>
            <w:r w:rsidRPr="0063248C">
              <w:rPr>
                <w:rFonts w:cs="宋体"/>
                <w:sz w:val="18"/>
                <w:szCs w:val="18"/>
              </w:rPr>
              <w:t>37,430,196.59</w:t>
            </w:r>
          </w:p>
        </w:tc>
        <w:tc>
          <w:tcPr>
            <w:tcW w:w="2410" w:type="dxa"/>
            <w:tcBorders>
              <w:top w:val="single" w:sz="2" w:space="0" w:color="auto"/>
              <w:left w:val="single" w:sz="2" w:space="0" w:color="auto"/>
              <w:bottom w:val="single" w:sz="2" w:space="0" w:color="auto"/>
              <w:right w:val="single" w:sz="2" w:space="0" w:color="auto"/>
            </w:tcBorders>
            <w:vAlign w:val="center"/>
          </w:tcPr>
          <w:p w14:paraId="6943D5B6" w14:textId="77777777" w:rsidR="007B3DB2" w:rsidRPr="0063248C" w:rsidRDefault="00000000">
            <w:pPr>
              <w:spacing w:line="240" w:lineRule="exact"/>
              <w:jc w:val="right"/>
              <w:rPr>
                <w:rFonts w:cs="宋体"/>
                <w:sz w:val="18"/>
                <w:szCs w:val="18"/>
              </w:rPr>
            </w:pPr>
            <w:r w:rsidRPr="0063248C">
              <w:rPr>
                <w:rFonts w:cs="宋体"/>
                <w:sz w:val="18"/>
                <w:szCs w:val="18"/>
              </w:rPr>
              <w:t>19,251,098.89</w:t>
            </w:r>
          </w:p>
        </w:tc>
        <w:tc>
          <w:tcPr>
            <w:tcW w:w="2410" w:type="dxa"/>
            <w:tcBorders>
              <w:top w:val="single" w:sz="2" w:space="0" w:color="auto"/>
              <w:left w:val="single" w:sz="2" w:space="0" w:color="auto"/>
              <w:bottom w:val="single" w:sz="2" w:space="0" w:color="auto"/>
              <w:right w:val="single" w:sz="2" w:space="0" w:color="auto"/>
            </w:tcBorders>
            <w:vAlign w:val="center"/>
          </w:tcPr>
          <w:p w14:paraId="6A6A8B38" w14:textId="77777777" w:rsidR="007B3DB2" w:rsidRPr="0063248C" w:rsidRDefault="00000000">
            <w:pPr>
              <w:spacing w:line="240" w:lineRule="exact"/>
              <w:jc w:val="right"/>
              <w:rPr>
                <w:rFonts w:cs="宋体"/>
                <w:sz w:val="18"/>
                <w:szCs w:val="18"/>
              </w:rPr>
            </w:pPr>
            <w:r w:rsidRPr="0063248C">
              <w:rPr>
                <w:rFonts w:cs="宋体"/>
                <w:sz w:val="18"/>
                <w:szCs w:val="18"/>
              </w:rPr>
              <w:t>56,681,295.48</w:t>
            </w:r>
          </w:p>
        </w:tc>
      </w:tr>
    </w:tbl>
    <w:p w14:paraId="08225943" w14:textId="77777777" w:rsidR="007B3DB2" w:rsidRPr="0063248C" w:rsidRDefault="00000000">
      <w:pPr>
        <w:keepNext/>
        <w:keepLines/>
        <w:spacing w:before="300" w:after="300" w:line="280" w:lineRule="exact"/>
        <w:outlineLvl w:val="3"/>
        <w:rPr>
          <w:rFonts w:cs="宋体"/>
          <w:b/>
          <w:bCs/>
          <w:szCs w:val="21"/>
        </w:rPr>
      </w:pPr>
      <w:bookmarkStart w:id="288" w:name="_Toc989177"/>
      <w:r w:rsidRPr="0063248C">
        <w:rPr>
          <w:rFonts w:cs="宋体"/>
          <w:b/>
          <w:bCs/>
          <w:szCs w:val="21"/>
        </w:rPr>
        <w:lastRenderedPageBreak/>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使用权资产的减值测试情况</w:t>
      </w:r>
      <w:bookmarkEnd w:id="288"/>
    </w:p>
    <w:p w14:paraId="28C7142B"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85D6B44"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32E91201" w14:textId="77777777" w:rsidR="00517D34" w:rsidRPr="0063248C" w:rsidRDefault="00000000">
      <w:pPr>
        <w:pStyle w:val="a3"/>
        <w:divId w:val="416095944"/>
        <w:rPr>
          <w:rFonts w:ascii="Times New Roman" w:hAnsi="Times New Roman"/>
          <w:sz w:val="18"/>
          <w:szCs w:val="18"/>
        </w:rPr>
      </w:pPr>
      <w:r w:rsidRPr="0063248C">
        <w:rPr>
          <w:rFonts w:ascii="Times New Roman" w:hAnsi="Times New Roman" w:hint="eastAsia"/>
          <w:sz w:val="18"/>
          <w:szCs w:val="18"/>
        </w:rPr>
        <w:t>无</w:t>
      </w:r>
    </w:p>
    <w:p w14:paraId="32648568" w14:textId="77777777" w:rsidR="007B3DB2" w:rsidRPr="0063248C" w:rsidRDefault="00000000">
      <w:pPr>
        <w:pStyle w:val="3"/>
        <w:spacing w:line="280" w:lineRule="exact"/>
        <w:jc w:val="left"/>
        <w:rPr>
          <w:rFonts w:cs="宋体"/>
          <w:b/>
          <w:bCs/>
        </w:rPr>
      </w:pPr>
      <w:bookmarkStart w:id="289" w:name="_Toc989178"/>
      <w:r w:rsidRPr="0063248C">
        <w:rPr>
          <w:rFonts w:cs="宋体"/>
          <w:b/>
          <w:bCs/>
        </w:rPr>
        <w:t>26</w:t>
      </w:r>
      <w:r w:rsidRPr="0063248C">
        <w:rPr>
          <w:rFonts w:cs="宋体"/>
          <w:b/>
          <w:bCs/>
        </w:rPr>
        <w:t>、无形资产</w:t>
      </w:r>
      <w:bookmarkEnd w:id="289"/>
    </w:p>
    <w:p w14:paraId="555EC6D7" w14:textId="77777777" w:rsidR="007B3DB2" w:rsidRPr="0063248C" w:rsidRDefault="00000000">
      <w:pPr>
        <w:keepNext/>
        <w:keepLines/>
        <w:spacing w:before="300" w:after="300" w:line="280" w:lineRule="exact"/>
        <w:outlineLvl w:val="3"/>
        <w:rPr>
          <w:rFonts w:cs="宋体"/>
          <w:b/>
          <w:bCs/>
          <w:szCs w:val="21"/>
        </w:rPr>
      </w:pPr>
      <w:bookmarkStart w:id="290" w:name="_Toc989179"/>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无形资产情况</w:t>
      </w:r>
      <w:bookmarkEnd w:id="290"/>
    </w:p>
    <w:p w14:paraId="2FFEFAB3"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651915C5"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3E481A3"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04E3789" w14:textId="77777777" w:rsidR="007B3DB2" w:rsidRPr="0063248C" w:rsidRDefault="00000000">
            <w:pPr>
              <w:spacing w:before="40" w:after="40" w:line="240" w:lineRule="exact"/>
              <w:jc w:val="center"/>
              <w:rPr>
                <w:rFonts w:cs="宋体"/>
                <w:sz w:val="18"/>
                <w:szCs w:val="18"/>
              </w:rPr>
            </w:pPr>
            <w:r w:rsidRPr="0063248C">
              <w:rPr>
                <w:rFonts w:cs="宋体"/>
                <w:sz w:val="18"/>
                <w:szCs w:val="18"/>
              </w:rPr>
              <w:t>土地使用权</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3B55D22" w14:textId="77777777" w:rsidR="007B3DB2" w:rsidRPr="0063248C" w:rsidRDefault="00000000">
            <w:pPr>
              <w:spacing w:before="40" w:after="40" w:line="240" w:lineRule="exact"/>
              <w:jc w:val="center"/>
              <w:rPr>
                <w:rFonts w:cs="宋体"/>
                <w:sz w:val="18"/>
                <w:szCs w:val="18"/>
              </w:rPr>
            </w:pPr>
            <w:r w:rsidRPr="0063248C">
              <w:rPr>
                <w:rFonts w:cs="宋体"/>
                <w:sz w:val="18"/>
                <w:szCs w:val="18"/>
              </w:rPr>
              <w:t>专利权</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C2BD70" w14:textId="77777777" w:rsidR="007B3DB2" w:rsidRPr="0063248C" w:rsidRDefault="00000000">
            <w:pPr>
              <w:spacing w:before="40" w:after="40" w:line="240" w:lineRule="exact"/>
              <w:jc w:val="center"/>
              <w:rPr>
                <w:rFonts w:cs="宋体"/>
                <w:sz w:val="18"/>
                <w:szCs w:val="18"/>
              </w:rPr>
            </w:pPr>
            <w:r w:rsidRPr="0063248C">
              <w:rPr>
                <w:rFonts w:cs="宋体"/>
                <w:sz w:val="18"/>
                <w:szCs w:val="18"/>
              </w:rPr>
              <w:t>非专利技术</w:t>
            </w:r>
          </w:p>
        </w:tc>
        <w:tc>
          <w:tcPr>
            <w:tcW w:w="1377" w:type="dxa"/>
            <w:tcBorders>
              <w:top w:val="single" w:sz="2" w:space="0" w:color="auto"/>
              <w:left w:val="single" w:sz="2" w:space="0" w:color="auto"/>
              <w:bottom w:val="single" w:sz="2" w:space="0" w:color="auto"/>
              <w:right w:val="single" w:sz="2" w:space="0" w:color="auto"/>
            </w:tcBorders>
            <w:vAlign w:val="center"/>
          </w:tcPr>
          <w:p w14:paraId="2CEA5498" w14:textId="77777777" w:rsidR="007B3DB2" w:rsidRPr="0063248C" w:rsidRDefault="00000000">
            <w:pPr>
              <w:spacing w:line="240" w:lineRule="exact"/>
              <w:jc w:val="center"/>
              <w:rPr>
                <w:rFonts w:cs="宋体"/>
                <w:sz w:val="18"/>
                <w:szCs w:val="18"/>
              </w:rPr>
            </w:pPr>
            <w:r w:rsidRPr="0063248C">
              <w:rPr>
                <w:rFonts w:cs="宋体"/>
                <w:sz w:val="18"/>
                <w:szCs w:val="18"/>
              </w:rPr>
              <w:t>软件使用权</w:t>
            </w:r>
          </w:p>
        </w:tc>
        <w:tc>
          <w:tcPr>
            <w:tcW w:w="1377" w:type="dxa"/>
            <w:tcBorders>
              <w:top w:val="single" w:sz="2" w:space="0" w:color="auto"/>
              <w:left w:val="single" w:sz="2" w:space="0" w:color="auto"/>
              <w:bottom w:val="single" w:sz="2" w:space="0" w:color="auto"/>
              <w:right w:val="single" w:sz="2" w:space="0" w:color="auto"/>
            </w:tcBorders>
            <w:vAlign w:val="center"/>
          </w:tcPr>
          <w:p w14:paraId="34BC1C11" w14:textId="77777777" w:rsidR="007B3DB2" w:rsidRPr="0063248C" w:rsidRDefault="00000000">
            <w:pPr>
              <w:spacing w:line="240" w:lineRule="exact"/>
              <w:jc w:val="center"/>
              <w:rPr>
                <w:rFonts w:cs="宋体"/>
                <w:sz w:val="18"/>
                <w:szCs w:val="18"/>
              </w:rPr>
            </w:pPr>
            <w:r w:rsidRPr="0063248C">
              <w:rPr>
                <w:rFonts w:cs="宋体"/>
                <w:sz w:val="18"/>
                <w:szCs w:val="18"/>
              </w:rPr>
              <w:t>商标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F8D91A4" w14:textId="77777777" w:rsidR="007B3DB2" w:rsidRPr="0063248C" w:rsidRDefault="00000000">
            <w:pPr>
              <w:spacing w:before="40" w:after="40" w:line="240" w:lineRule="exact"/>
              <w:jc w:val="center"/>
              <w:rPr>
                <w:rFonts w:cs="宋体"/>
                <w:sz w:val="18"/>
                <w:szCs w:val="18"/>
              </w:rPr>
            </w:pPr>
            <w:r w:rsidRPr="0063248C">
              <w:rPr>
                <w:rFonts w:cs="宋体"/>
                <w:sz w:val="18"/>
                <w:szCs w:val="18"/>
              </w:rPr>
              <w:t>合计</w:t>
            </w:r>
          </w:p>
        </w:tc>
      </w:tr>
      <w:tr w:rsidR="007B3DB2" w:rsidRPr="0063248C" w14:paraId="6ED4E21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E651491" w14:textId="77777777" w:rsidR="007B3DB2" w:rsidRPr="0063248C" w:rsidRDefault="00000000">
            <w:pPr>
              <w:spacing w:before="40" w:after="40" w:line="240" w:lineRule="exact"/>
              <w:rPr>
                <w:rFonts w:cs="宋体"/>
                <w:sz w:val="18"/>
                <w:szCs w:val="18"/>
              </w:rPr>
            </w:pPr>
            <w:r w:rsidRPr="0063248C">
              <w:rPr>
                <w:rFonts w:cs="宋体"/>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vAlign w:val="center"/>
          </w:tcPr>
          <w:p w14:paraId="56D2A4A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03EB1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35FC42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BF5C9D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F4E031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DA7C07" w14:textId="77777777" w:rsidR="007B3DB2" w:rsidRPr="0063248C" w:rsidRDefault="007B3DB2">
            <w:pPr>
              <w:spacing w:line="240" w:lineRule="exact"/>
              <w:jc w:val="right"/>
              <w:rPr>
                <w:rFonts w:cs="宋体"/>
                <w:sz w:val="18"/>
                <w:szCs w:val="18"/>
              </w:rPr>
            </w:pPr>
          </w:p>
        </w:tc>
      </w:tr>
      <w:tr w:rsidR="007B3DB2" w:rsidRPr="0063248C" w14:paraId="0D481CFE"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7F3A756"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5967739E" w14:textId="77777777" w:rsidR="007B3DB2" w:rsidRPr="0063248C" w:rsidRDefault="00000000">
            <w:pPr>
              <w:spacing w:line="240" w:lineRule="exact"/>
              <w:jc w:val="right"/>
              <w:rPr>
                <w:rFonts w:cs="宋体"/>
                <w:sz w:val="18"/>
                <w:szCs w:val="18"/>
              </w:rPr>
            </w:pPr>
            <w:r w:rsidRPr="0063248C">
              <w:rPr>
                <w:rFonts w:cs="宋体"/>
                <w:sz w:val="18"/>
                <w:szCs w:val="18"/>
              </w:rPr>
              <w:t>144,563,163.34</w:t>
            </w:r>
          </w:p>
        </w:tc>
        <w:tc>
          <w:tcPr>
            <w:tcW w:w="1377" w:type="dxa"/>
            <w:tcBorders>
              <w:top w:val="single" w:sz="2" w:space="0" w:color="auto"/>
              <w:left w:val="single" w:sz="2" w:space="0" w:color="auto"/>
              <w:bottom w:val="single" w:sz="2" w:space="0" w:color="auto"/>
              <w:right w:val="single" w:sz="2" w:space="0" w:color="auto"/>
            </w:tcBorders>
            <w:vAlign w:val="center"/>
          </w:tcPr>
          <w:p w14:paraId="70CB6B7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6E6596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005521" w14:textId="77777777" w:rsidR="007B3DB2" w:rsidRPr="0063248C" w:rsidRDefault="00000000">
            <w:pPr>
              <w:spacing w:line="240" w:lineRule="exact"/>
              <w:jc w:val="right"/>
              <w:rPr>
                <w:rFonts w:cs="宋体"/>
                <w:sz w:val="18"/>
                <w:szCs w:val="18"/>
              </w:rPr>
            </w:pPr>
            <w:r w:rsidRPr="0063248C">
              <w:rPr>
                <w:rFonts w:cs="宋体"/>
                <w:sz w:val="18"/>
                <w:szCs w:val="18"/>
              </w:rPr>
              <w:t>17,160,466.24</w:t>
            </w:r>
          </w:p>
        </w:tc>
        <w:tc>
          <w:tcPr>
            <w:tcW w:w="1377" w:type="dxa"/>
            <w:tcBorders>
              <w:top w:val="single" w:sz="2" w:space="0" w:color="auto"/>
              <w:left w:val="single" w:sz="2" w:space="0" w:color="auto"/>
              <w:bottom w:val="single" w:sz="2" w:space="0" w:color="auto"/>
              <w:right w:val="single" w:sz="2" w:space="0" w:color="auto"/>
            </w:tcBorders>
            <w:vAlign w:val="center"/>
          </w:tcPr>
          <w:p w14:paraId="3DCE99DF" w14:textId="77777777" w:rsidR="007B3DB2" w:rsidRPr="0063248C" w:rsidRDefault="00000000">
            <w:pPr>
              <w:spacing w:line="240" w:lineRule="exact"/>
              <w:jc w:val="right"/>
              <w:rPr>
                <w:rFonts w:cs="宋体"/>
                <w:sz w:val="18"/>
                <w:szCs w:val="18"/>
              </w:rPr>
            </w:pPr>
            <w:r w:rsidRPr="0063248C">
              <w:rPr>
                <w:rFonts w:cs="宋体"/>
                <w:sz w:val="18"/>
                <w:szCs w:val="18"/>
              </w:rPr>
              <w:t>4,210,000.00</w:t>
            </w:r>
          </w:p>
        </w:tc>
        <w:tc>
          <w:tcPr>
            <w:tcW w:w="1377" w:type="dxa"/>
            <w:tcBorders>
              <w:top w:val="single" w:sz="2" w:space="0" w:color="auto"/>
              <w:left w:val="single" w:sz="2" w:space="0" w:color="auto"/>
              <w:bottom w:val="single" w:sz="2" w:space="0" w:color="auto"/>
              <w:right w:val="single" w:sz="2" w:space="0" w:color="auto"/>
            </w:tcBorders>
            <w:vAlign w:val="center"/>
          </w:tcPr>
          <w:p w14:paraId="39F1D368" w14:textId="77777777" w:rsidR="007B3DB2" w:rsidRPr="0063248C" w:rsidRDefault="00000000">
            <w:pPr>
              <w:spacing w:line="240" w:lineRule="exact"/>
              <w:jc w:val="right"/>
              <w:rPr>
                <w:rFonts w:cs="宋体"/>
                <w:sz w:val="18"/>
                <w:szCs w:val="18"/>
              </w:rPr>
            </w:pPr>
            <w:r w:rsidRPr="0063248C">
              <w:rPr>
                <w:rFonts w:cs="宋体"/>
                <w:sz w:val="18"/>
                <w:szCs w:val="18"/>
              </w:rPr>
              <w:t>165,933,629.58</w:t>
            </w:r>
          </w:p>
        </w:tc>
      </w:tr>
      <w:tr w:rsidR="007B3DB2" w:rsidRPr="0063248C" w14:paraId="5096733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8CF871"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1523DB6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BA585F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1041D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BBE140" w14:textId="77777777" w:rsidR="007B3DB2" w:rsidRPr="0063248C" w:rsidRDefault="00000000">
            <w:pPr>
              <w:spacing w:line="240" w:lineRule="exact"/>
              <w:jc w:val="right"/>
              <w:rPr>
                <w:rFonts w:cs="宋体"/>
                <w:sz w:val="18"/>
                <w:szCs w:val="18"/>
              </w:rPr>
            </w:pPr>
            <w:r w:rsidRPr="0063248C">
              <w:rPr>
                <w:rFonts w:cs="宋体"/>
                <w:sz w:val="18"/>
                <w:szCs w:val="18"/>
              </w:rPr>
              <w:t>113,000.00</w:t>
            </w:r>
          </w:p>
        </w:tc>
        <w:tc>
          <w:tcPr>
            <w:tcW w:w="1377" w:type="dxa"/>
            <w:tcBorders>
              <w:top w:val="single" w:sz="2" w:space="0" w:color="auto"/>
              <w:left w:val="single" w:sz="2" w:space="0" w:color="auto"/>
              <w:bottom w:val="single" w:sz="2" w:space="0" w:color="auto"/>
              <w:right w:val="single" w:sz="2" w:space="0" w:color="auto"/>
            </w:tcBorders>
            <w:vAlign w:val="center"/>
          </w:tcPr>
          <w:p w14:paraId="5CBD3AE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8983E9" w14:textId="77777777" w:rsidR="007B3DB2" w:rsidRPr="0063248C" w:rsidRDefault="00000000">
            <w:pPr>
              <w:spacing w:line="240" w:lineRule="exact"/>
              <w:jc w:val="right"/>
              <w:rPr>
                <w:rFonts w:cs="宋体"/>
                <w:sz w:val="18"/>
                <w:szCs w:val="18"/>
              </w:rPr>
            </w:pPr>
            <w:r w:rsidRPr="0063248C">
              <w:rPr>
                <w:rFonts w:cs="宋体"/>
                <w:sz w:val="18"/>
                <w:szCs w:val="18"/>
              </w:rPr>
              <w:t>113,000.00</w:t>
            </w:r>
          </w:p>
        </w:tc>
      </w:tr>
      <w:tr w:rsidR="007B3DB2" w:rsidRPr="0063248C" w14:paraId="6535E55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CFACB9"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）购置</w:t>
            </w:r>
          </w:p>
        </w:tc>
        <w:tc>
          <w:tcPr>
            <w:tcW w:w="1377" w:type="dxa"/>
            <w:tcBorders>
              <w:top w:val="single" w:sz="2" w:space="0" w:color="auto"/>
              <w:left w:val="single" w:sz="2" w:space="0" w:color="auto"/>
              <w:bottom w:val="single" w:sz="2" w:space="0" w:color="auto"/>
              <w:right w:val="single" w:sz="2" w:space="0" w:color="auto"/>
            </w:tcBorders>
            <w:vAlign w:val="center"/>
          </w:tcPr>
          <w:p w14:paraId="58220C9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49354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8E92E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4A69025" w14:textId="77777777" w:rsidR="007B3DB2" w:rsidRPr="0063248C" w:rsidRDefault="00000000">
            <w:pPr>
              <w:spacing w:line="240" w:lineRule="exact"/>
              <w:jc w:val="right"/>
              <w:rPr>
                <w:rFonts w:cs="宋体"/>
                <w:sz w:val="18"/>
                <w:szCs w:val="18"/>
              </w:rPr>
            </w:pPr>
            <w:r w:rsidRPr="0063248C">
              <w:rPr>
                <w:rFonts w:cs="宋体"/>
                <w:sz w:val="18"/>
                <w:szCs w:val="18"/>
              </w:rPr>
              <w:t>113,000.00</w:t>
            </w:r>
          </w:p>
        </w:tc>
        <w:tc>
          <w:tcPr>
            <w:tcW w:w="1377" w:type="dxa"/>
            <w:tcBorders>
              <w:top w:val="single" w:sz="2" w:space="0" w:color="auto"/>
              <w:left w:val="single" w:sz="2" w:space="0" w:color="auto"/>
              <w:bottom w:val="single" w:sz="2" w:space="0" w:color="auto"/>
              <w:right w:val="single" w:sz="2" w:space="0" w:color="auto"/>
            </w:tcBorders>
            <w:vAlign w:val="center"/>
          </w:tcPr>
          <w:p w14:paraId="74F4A86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8ECF312" w14:textId="77777777" w:rsidR="007B3DB2" w:rsidRPr="0063248C" w:rsidRDefault="00000000">
            <w:pPr>
              <w:spacing w:line="240" w:lineRule="exact"/>
              <w:jc w:val="right"/>
              <w:rPr>
                <w:rFonts w:cs="宋体"/>
                <w:sz w:val="18"/>
                <w:szCs w:val="18"/>
              </w:rPr>
            </w:pPr>
            <w:r w:rsidRPr="0063248C">
              <w:rPr>
                <w:rFonts w:cs="宋体"/>
                <w:sz w:val="18"/>
                <w:szCs w:val="18"/>
              </w:rPr>
              <w:t>113,000.00</w:t>
            </w:r>
          </w:p>
        </w:tc>
      </w:tr>
      <w:tr w:rsidR="007B3DB2" w:rsidRPr="0063248C" w14:paraId="120EFBE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FACE2DF"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2</w:t>
            </w:r>
            <w:r w:rsidRPr="0063248C">
              <w:rPr>
                <w:rFonts w:cs="宋体"/>
                <w:sz w:val="18"/>
                <w:szCs w:val="18"/>
              </w:rPr>
              <w:t>）内部研发</w:t>
            </w:r>
          </w:p>
        </w:tc>
        <w:tc>
          <w:tcPr>
            <w:tcW w:w="1377" w:type="dxa"/>
            <w:tcBorders>
              <w:top w:val="single" w:sz="2" w:space="0" w:color="auto"/>
              <w:left w:val="single" w:sz="2" w:space="0" w:color="auto"/>
              <w:bottom w:val="single" w:sz="2" w:space="0" w:color="auto"/>
              <w:right w:val="single" w:sz="2" w:space="0" w:color="auto"/>
            </w:tcBorders>
            <w:vAlign w:val="center"/>
          </w:tcPr>
          <w:p w14:paraId="068866C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DC552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BBD07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389B5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ACA1C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C790E8" w14:textId="77777777" w:rsidR="007B3DB2" w:rsidRPr="0063248C" w:rsidRDefault="007B3DB2">
            <w:pPr>
              <w:spacing w:line="240" w:lineRule="exact"/>
              <w:jc w:val="right"/>
              <w:rPr>
                <w:rFonts w:cs="宋体"/>
                <w:sz w:val="18"/>
                <w:szCs w:val="18"/>
              </w:rPr>
            </w:pPr>
          </w:p>
        </w:tc>
      </w:tr>
      <w:tr w:rsidR="007B3DB2" w:rsidRPr="0063248C" w14:paraId="723128F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3E2D523"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3</w:t>
            </w:r>
            <w:r w:rsidRPr="0063248C">
              <w:rPr>
                <w:rFonts w:cs="宋体"/>
                <w:sz w:val="18"/>
                <w:szCs w:val="18"/>
              </w:rPr>
              <w:t>）企业合并增加</w:t>
            </w:r>
          </w:p>
        </w:tc>
        <w:tc>
          <w:tcPr>
            <w:tcW w:w="1377" w:type="dxa"/>
            <w:tcBorders>
              <w:top w:val="single" w:sz="2" w:space="0" w:color="auto"/>
              <w:left w:val="single" w:sz="2" w:space="0" w:color="auto"/>
              <w:bottom w:val="single" w:sz="2" w:space="0" w:color="auto"/>
              <w:right w:val="single" w:sz="2" w:space="0" w:color="auto"/>
            </w:tcBorders>
            <w:vAlign w:val="center"/>
          </w:tcPr>
          <w:p w14:paraId="1017821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0E6BF8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4DFAE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9F429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1C9759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8AFFAB0" w14:textId="77777777" w:rsidR="007B3DB2" w:rsidRPr="0063248C" w:rsidRDefault="007B3DB2">
            <w:pPr>
              <w:spacing w:line="240" w:lineRule="exact"/>
              <w:jc w:val="right"/>
              <w:rPr>
                <w:rFonts w:cs="宋体"/>
                <w:sz w:val="18"/>
                <w:szCs w:val="18"/>
              </w:rPr>
            </w:pPr>
          </w:p>
        </w:tc>
      </w:tr>
      <w:tr w:rsidR="007B3DB2" w:rsidRPr="0063248C" w14:paraId="72D479E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2FEB087"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C7087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19D1D9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384171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D75EDD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317AC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4067A1" w14:textId="77777777" w:rsidR="007B3DB2" w:rsidRPr="0063248C" w:rsidRDefault="007B3DB2">
            <w:pPr>
              <w:spacing w:line="240" w:lineRule="exact"/>
              <w:jc w:val="right"/>
              <w:rPr>
                <w:rFonts w:cs="宋体"/>
                <w:sz w:val="18"/>
                <w:szCs w:val="18"/>
              </w:rPr>
            </w:pPr>
          </w:p>
        </w:tc>
      </w:tr>
      <w:tr w:rsidR="007B3DB2" w:rsidRPr="0063248C" w14:paraId="6402138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C56959F"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00B6DFD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2B5DDE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0D98A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A5AEB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92D947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A473F9" w14:textId="77777777" w:rsidR="007B3DB2" w:rsidRPr="0063248C" w:rsidRDefault="007B3DB2">
            <w:pPr>
              <w:spacing w:line="240" w:lineRule="exact"/>
              <w:jc w:val="right"/>
              <w:rPr>
                <w:rFonts w:cs="宋体"/>
                <w:sz w:val="18"/>
                <w:szCs w:val="18"/>
              </w:rPr>
            </w:pPr>
          </w:p>
        </w:tc>
      </w:tr>
      <w:tr w:rsidR="007B3DB2" w:rsidRPr="0063248C" w14:paraId="0C239E9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EB4672E"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29E7259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997EC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A0596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91989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985F4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8B1EA5" w14:textId="77777777" w:rsidR="007B3DB2" w:rsidRPr="0063248C" w:rsidRDefault="007B3DB2">
            <w:pPr>
              <w:spacing w:line="240" w:lineRule="exact"/>
              <w:jc w:val="right"/>
              <w:rPr>
                <w:rFonts w:cs="宋体"/>
                <w:sz w:val="18"/>
                <w:szCs w:val="18"/>
              </w:rPr>
            </w:pPr>
          </w:p>
        </w:tc>
      </w:tr>
      <w:tr w:rsidR="007B3DB2" w:rsidRPr="0063248C" w14:paraId="5DEF33D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D871FFA"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E2AAF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C583D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95FE58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F694F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BD7E6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A80C5E" w14:textId="77777777" w:rsidR="007B3DB2" w:rsidRPr="0063248C" w:rsidRDefault="007B3DB2">
            <w:pPr>
              <w:spacing w:line="240" w:lineRule="exact"/>
              <w:jc w:val="right"/>
              <w:rPr>
                <w:rFonts w:cs="宋体"/>
                <w:sz w:val="18"/>
                <w:szCs w:val="18"/>
              </w:rPr>
            </w:pPr>
          </w:p>
        </w:tc>
      </w:tr>
      <w:tr w:rsidR="007B3DB2" w:rsidRPr="0063248C" w14:paraId="4455B5B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CA5643A"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3002CEBA" w14:textId="77777777" w:rsidR="007B3DB2" w:rsidRPr="0063248C" w:rsidRDefault="00000000">
            <w:pPr>
              <w:spacing w:line="240" w:lineRule="exact"/>
              <w:jc w:val="right"/>
              <w:rPr>
                <w:rFonts w:cs="宋体"/>
                <w:sz w:val="18"/>
                <w:szCs w:val="18"/>
              </w:rPr>
            </w:pPr>
            <w:r w:rsidRPr="0063248C">
              <w:rPr>
                <w:rFonts w:cs="宋体"/>
                <w:sz w:val="18"/>
                <w:szCs w:val="18"/>
              </w:rPr>
              <w:t>144,563,163.34</w:t>
            </w:r>
          </w:p>
        </w:tc>
        <w:tc>
          <w:tcPr>
            <w:tcW w:w="1377" w:type="dxa"/>
            <w:tcBorders>
              <w:top w:val="single" w:sz="2" w:space="0" w:color="auto"/>
              <w:left w:val="single" w:sz="2" w:space="0" w:color="auto"/>
              <w:bottom w:val="single" w:sz="2" w:space="0" w:color="auto"/>
              <w:right w:val="single" w:sz="2" w:space="0" w:color="auto"/>
            </w:tcBorders>
            <w:vAlign w:val="center"/>
          </w:tcPr>
          <w:p w14:paraId="76C17E3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153E6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08F26D" w14:textId="77777777" w:rsidR="007B3DB2" w:rsidRPr="0063248C" w:rsidRDefault="00000000">
            <w:pPr>
              <w:spacing w:line="240" w:lineRule="exact"/>
              <w:jc w:val="right"/>
              <w:rPr>
                <w:rFonts w:cs="宋体"/>
                <w:sz w:val="18"/>
                <w:szCs w:val="18"/>
              </w:rPr>
            </w:pPr>
            <w:r w:rsidRPr="0063248C">
              <w:rPr>
                <w:rFonts w:cs="宋体"/>
                <w:sz w:val="18"/>
                <w:szCs w:val="18"/>
              </w:rPr>
              <w:t>17,273,466.24</w:t>
            </w:r>
          </w:p>
        </w:tc>
        <w:tc>
          <w:tcPr>
            <w:tcW w:w="1377" w:type="dxa"/>
            <w:tcBorders>
              <w:top w:val="single" w:sz="2" w:space="0" w:color="auto"/>
              <w:left w:val="single" w:sz="2" w:space="0" w:color="auto"/>
              <w:bottom w:val="single" w:sz="2" w:space="0" w:color="auto"/>
              <w:right w:val="single" w:sz="2" w:space="0" w:color="auto"/>
            </w:tcBorders>
            <w:vAlign w:val="center"/>
          </w:tcPr>
          <w:p w14:paraId="0C49322B" w14:textId="77777777" w:rsidR="007B3DB2" w:rsidRPr="0063248C" w:rsidRDefault="00000000">
            <w:pPr>
              <w:spacing w:line="240" w:lineRule="exact"/>
              <w:jc w:val="right"/>
              <w:rPr>
                <w:rFonts w:cs="宋体"/>
                <w:sz w:val="18"/>
                <w:szCs w:val="18"/>
              </w:rPr>
            </w:pPr>
            <w:r w:rsidRPr="0063248C">
              <w:rPr>
                <w:rFonts w:cs="宋体"/>
                <w:sz w:val="18"/>
                <w:szCs w:val="18"/>
              </w:rPr>
              <w:t>4,210,000.00</w:t>
            </w:r>
          </w:p>
        </w:tc>
        <w:tc>
          <w:tcPr>
            <w:tcW w:w="1377" w:type="dxa"/>
            <w:tcBorders>
              <w:top w:val="single" w:sz="2" w:space="0" w:color="auto"/>
              <w:left w:val="single" w:sz="2" w:space="0" w:color="auto"/>
              <w:bottom w:val="single" w:sz="2" w:space="0" w:color="auto"/>
              <w:right w:val="single" w:sz="2" w:space="0" w:color="auto"/>
            </w:tcBorders>
            <w:vAlign w:val="center"/>
          </w:tcPr>
          <w:p w14:paraId="6F1644AE" w14:textId="77777777" w:rsidR="007B3DB2" w:rsidRPr="0063248C" w:rsidRDefault="00000000">
            <w:pPr>
              <w:spacing w:line="240" w:lineRule="exact"/>
              <w:jc w:val="right"/>
              <w:rPr>
                <w:rFonts w:cs="宋体"/>
                <w:sz w:val="18"/>
                <w:szCs w:val="18"/>
              </w:rPr>
            </w:pPr>
            <w:r w:rsidRPr="0063248C">
              <w:rPr>
                <w:rFonts w:cs="宋体"/>
                <w:sz w:val="18"/>
                <w:szCs w:val="18"/>
              </w:rPr>
              <w:t>166,046,629.58</w:t>
            </w:r>
          </w:p>
        </w:tc>
      </w:tr>
      <w:tr w:rsidR="007B3DB2" w:rsidRPr="0063248C" w14:paraId="3C08A0F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7299DC7" w14:textId="77777777" w:rsidR="007B3DB2" w:rsidRPr="0063248C" w:rsidRDefault="00000000">
            <w:pPr>
              <w:spacing w:before="40" w:after="40" w:line="240" w:lineRule="exact"/>
              <w:rPr>
                <w:rFonts w:cs="宋体"/>
                <w:sz w:val="18"/>
                <w:szCs w:val="18"/>
              </w:rPr>
            </w:pPr>
            <w:r w:rsidRPr="0063248C">
              <w:rPr>
                <w:rFonts w:cs="宋体"/>
                <w:sz w:val="18"/>
                <w:szCs w:val="18"/>
              </w:rPr>
              <w:t>二、累计摊销</w:t>
            </w:r>
          </w:p>
        </w:tc>
        <w:tc>
          <w:tcPr>
            <w:tcW w:w="1377" w:type="dxa"/>
            <w:tcBorders>
              <w:top w:val="single" w:sz="2" w:space="0" w:color="auto"/>
              <w:left w:val="single" w:sz="2" w:space="0" w:color="auto"/>
              <w:bottom w:val="single" w:sz="2" w:space="0" w:color="auto"/>
              <w:right w:val="single" w:sz="2" w:space="0" w:color="auto"/>
            </w:tcBorders>
            <w:vAlign w:val="center"/>
          </w:tcPr>
          <w:p w14:paraId="0296A2C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EF6AB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6DD875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9EAA9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103385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9591D7" w14:textId="77777777" w:rsidR="007B3DB2" w:rsidRPr="0063248C" w:rsidRDefault="007B3DB2">
            <w:pPr>
              <w:spacing w:line="240" w:lineRule="exact"/>
              <w:jc w:val="right"/>
              <w:rPr>
                <w:rFonts w:cs="宋体"/>
                <w:sz w:val="18"/>
                <w:szCs w:val="18"/>
              </w:rPr>
            </w:pPr>
          </w:p>
        </w:tc>
      </w:tr>
      <w:tr w:rsidR="007B3DB2" w:rsidRPr="0063248C" w14:paraId="2FA4DB5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2144F51"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5033AE9E" w14:textId="77777777" w:rsidR="007B3DB2" w:rsidRPr="0063248C" w:rsidRDefault="00000000">
            <w:pPr>
              <w:spacing w:line="240" w:lineRule="exact"/>
              <w:jc w:val="right"/>
              <w:rPr>
                <w:rFonts w:cs="宋体"/>
                <w:sz w:val="18"/>
                <w:szCs w:val="18"/>
              </w:rPr>
            </w:pPr>
            <w:r w:rsidRPr="0063248C">
              <w:rPr>
                <w:rFonts w:cs="宋体"/>
                <w:sz w:val="18"/>
                <w:szCs w:val="18"/>
              </w:rPr>
              <w:t>19,431,963.15</w:t>
            </w:r>
          </w:p>
        </w:tc>
        <w:tc>
          <w:tcPr>
            <w:tcW w:w="1377" w:type="dxa"/>
            <w:tcBorders>
              <w:top w:val="single" w:sz="2" w:space="0" w:color="auto"/>
              <w:left w:val="single" w:sz="2" w:space="0" w:color="auto"/>
              <w:bottom w:val="single" w:sz="2" w:space="0" w:color="auto"/>
              <w:right w:val="single" w:sz="2" w:space="0" w:color="auto"/>
            </w:tcBorders>
            <w:vAlign w:val="center"/>
          </w:tcPr>
          <w:p w14:paraId="69BEB53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3B0CA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61E877" w14:textId="77777777" w:rsidR="007B3DB2" w:rsidRPr="0063248C" w:rsidRDefault="00000000">
            <w:pPr>
              <w:spacing w:line="240" w:lineRule="exact"/>
              <w:jc w:val="right"/>
              <w:rPr>
                <w:rFonts w:cs="宋体"/>
                <w:sz w:val="18"/>
                <w:szCs w:val="18"/>
              </w:rPr>
            </w:pPr>
            <w:r w:rsidRPr="0063248C">
              <w:rPr>
                <w:rFonts w:cs="宋体"/>
                <w:sz w:val="18"/>
                <w:szCs w:val="18"/>
              </w:rPr>
              <w:t>9,752,148.62</w:t>
            </w:r>
          </w:p>
        </w:tc>
        <w:tc>
          <w:tcPr>
            <w:tcW w:w="1377" w:type="dxa"/>
            <w:tcBorders>
              <w:top w:val="single" w:sz="2" w:space="0" w:color="auto"/>
              <w:left w:val="single" w:sz="2" w:space="0" w:color="auto"/>
              <w:bottom w:val="single" w:sz="2" w:space="0" w:color="auto"/>
              <w:right w:val="single" w:sz="2" w:space="0" w:color="auto"/>
            </w:tcBorders>
            <w:vAlign w:val="center"/>
          </w:tcPr>
          <w:p w14:paraId="5F201018" w14:textId="77777777" w:rsidR="007B3DB2" w:rsidRPr="0063248C" w:rsidRDefault="00000000">
            <w:pPr>
              <w:spacing w:line="240" w:lineRule="exact"/>
              <w:jc w:val="right"/>
              <w:rPr>
                <w:rFonts w:cs="宋体"/>
                <w:sz w:val="18"/>
                <w:szCs w:val="18"/>
              </w:rPr>
            </w:pPr>
            <w:r w:rsidRPr="0063248C">
              <w:rPr>
                <w:rFonts w:cs="宋体"/>
                <w:sz w:val="18"/>
                <w:szCs w:val="18"/>
              </w:rPr>
              <w:t>2,175,166.67</w:t>
            </w:r>
          </w:p>
        </w:tc>
        <w:tc>
          <w:tcPr>
            <w:tcW w:w="1377" w:type="dxa"/>
            <w:tcBorders>
              <w:top w:val="single" w:sz="2" w:space="0" w:color="auto"/>
              <w:left w:val="single" w:sz="2" w:space="0" w:color="auto"/>
              <w:bottom w:val="single" w:sz="2" w:space="0" w:color="auto"/>
              <w:right w:val="single" w:sz="2" w:space="0" w:color="auto"/>
            </w:tcBorders>
            <w:vAlign w:val="center"/>
          </w:tcPr>
          <w:p w14:paraId="6C165417" w14:textId="77777777" w:rsidR="007B3DB2" w:rsidRPr="0063248C" w:rsidRDefault="00000000">
            <w:pPr>
              <w:spacing w:line="240" w:lineRule="exact"/>
              <w:jc w:val="right"/>
              <w:rPr>
                <w:rFonts w:cs="宋体"/>
                <w:sz w:val="18"/>
                <w:szCs w:val="18"/>
              </w:rPr>
            </w:pPr>
            <w:r w:rsidRPr="0063248C">
              <w:rPr>
                <w:rFonts w:cs="宋体"/>
                <w:sz w:val="18"/>
                <w:szCs w:val="18"/>
              </w:rPr>
              <w:t>31,359,278.44</w:t>
            </w:r>
          </w:p>
        </w:tc>
      </w:tr>
      <w:tr w:rsidR="007B3DB2" w:rsidRPr="0063248C" w14:paraId="13876FF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2802C91"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6A3A8FD7" w14:textId="77777777" w:rsidR="007B3DB2" w:rsidRPr="0063248C" w:rsidRDefault="00000000">
            <w:pPr>
              <w:spacing w:line="240" w:lineRule="exact"/>
              <w:jc w:val="right"/>
              <w:rPr>
                <w:rFonts w:cs="宋体"/>
                <w:sz w:val="18"/>
                <w:szCs w:val="18"/>
              </w:rPr>
            </w:pPr>
            <w:r w:rsidRPr="0063248C">
              <w:rPr>
                <w:rFonts w:cs="宋体"/>
                <w:sz w:val="18"/>
                <w:szCs w:val="18"/>
              </w:rPr>
              <w:t>1,599,089.61</w:t>
            </w:r>
          </w:p>
        </w:tc>
        <w:tc>
          <w:tcPr>
            <w:tcW w:w="1377" w:type="dxa"/>
            <w:tcBorders>
              <w:top w:val="single" w:sz="2" w:space="0" w:color="auto"/>
              <w:left w:val="single" w:sz="2" w:space="0" w:color="auto"/>
              <w:bottom w:val="single" w:sz="2" w:space="0" w:color="auto"/>
              <w:right w:val="single" w:sz="2" w:space="0" w:color="auto"/>
            </w:tcBorders>
            <w:vAlign w:val="center"/>
          </w:tcPr>
          <w:p w14:paraId="63AD0AC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083BF8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9565C5A" w14:textId="77777777" w:rsidR="007B3DB2" w:rsidRPr="0063248C" w:rsidRDefault="00000000">
            <w:pPr>
              <w:spacing w:line="240" w:lineRule="exact"/>
              <w:jc w:val="right"/>
              <w:rPr>
                <w:rFonts w:cs="宋体"/>
                <w:sz w:val="18"/>
                <w:szCs w:val="18"/>
              </w:rPr>
            </w:pPr>
            <w:r w:rsidRPr="0063248C">
              <w:rPr>
                <w:rFonts w:cs="宋体"/>
                <w:sz w:val="18"/>
                <w:szCs w:val="18"/>
              </w:rPr>
              <w:t>908,397.92</w:t>
            </w:r>
          </w:p>
        </w:tc>
        <w:tc>
          <w:tcPr>
            <w:tcW w:w="1377" w:type="dxa"/>
            <w:tcBorders>
              <w:top w:val="single" w:sz="2" w:space="0" w:color="auto"/>
              <w:left w:val="single" w:sz="2" w:space="0" w:color="auto"/>
              <w:bottom w:val="single" w:sz="2" w:space="0" w:color="auto"/>
              <w:right w:val="single" w:sz="2" w:space="0" w:color="auto"/>
            </w:tcBorders>
            <w:vAlign w:val="center"/>
          </w:tcPr>
          <w:p w14:paraId="6121D424" w14:textId="77777777" w:rsidR="007B3DB2" w:rsidRPr="0063248C" w:rsidRDefault="00000000">
            <w:pPr>
              <w:spacing w:line="240" w:lineRule="exact"/>
              <w:jc w:val="right"/>
              <w:rPr>
                <w:rFonts w:cs="宋体"/>
                <w:sz w:val="18"/>
                <w:szCs w:val="18"/>
              </w:rPr>
            </w:pPr>
            <w:r w:rsidRPr="0063248C">
              <w:rPr>
                <w:rFonts w:cs="宋体"/>
                <w:sz w:val="18"/>
                <w:szCs w:val="18"/>
              </w:rPr>
              <w:t>210,500.00</w:t>
            </w:r>
          </w:p>
        </w:tc>
        <w:tc>
          <w:tcPr>
            <w:tcW w:w="1377" w:type="dxa"/>
            <w:tcBorders>
              <w:top w:val="single" w:sz="2" w:space="0" w:color="auto"/>
              <w:left w:val="single" w:sz="2" w:space="0" w:color="auto"/>
              <w:bottom w:val="single" w:sz="2" w:space="0" w:color="auto"/>
              <w:right w:val="single" w:sz="2" w:space="0" w:color="auto"/>
            </w:tcBorders>
            <w:vAlign w:val="center"/>
          </w:tcPr>
          <w:p w14:paraId="69D46083" w14:textId="77777777" w:rsidR="007B3DB2" w:rsidRPr="0063248C" w:rsidRDefault="00000000">
            <w:pPr>
              <w:spacing w:line="240" w:lineRule="exact"/>
              <w:jc w:val="right"/>
              <w:rPr>
                <w:rFonts w:cs="宋体"/>
                <w:sz w:val="18"/>
                <w:szCs w:val="18"/>
              </w:rPr>
            </w:pPr>
            <w:r w:rsidRPr="0063248C">
              <w:rPr>
                <w:rFonts w:cs="宋体"/>
                <w:sz w:val="18"/>
                <w:szCs w:val="18"/>
              </w:rPr>
              <w:t>2,717,987.53</w:t>
            </w:r>
          </w:p>
        </w:tc>
      </w:tr>
      <w:tr w:rsidR="007B3DB2" w:rsidRPr="0063248C" w14:paraId="65AEB46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DDEF932"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7E0AE247" w14:textId="77777777" w:rsidR="007B3DB2" w:rsidRPr="0063248C" w:rsidRDefault="00000000">
            <w:pPr>
              <w:spacing w:line="240" w:lineRule="exact"/>
              <w:jc w:val="right"/>
              <w:rPr>
                <w:rFonts w:cs="宋体"/>
                <w:sz w:val="18"/>
                <w:szCs w:val="18"/>
              </w:rPr>
            </w:pPr>
            <w:r w:rsidRPr="0063248C">
              <w:rPr>
                <w:rFonts w:cs="宋体"/>
                <w:sz w:val="18"/>
                <w:szCs w:val="18"/>
              </w:rPr>
              <w:t>1,599,089.61</w:t>
            </w:r>
          </w:p>
        </w:tc>
        <w:tc>
          <w:tcPr>
            <w:tcW w:w="1377" w:type="dxa"/>
            <w:tcBorders>
              <w:top w:val="single" w:sz="2" w:space="0" w:color="auto"/>
              <w:left w:val="single" w:sz="2" w:space="0" w:color="auto"/>
              <w:bottom w:val="single" w:sz="2" w:space="0" w:color="auto"/>
              <w:right w:val="single" w:sz="2" w:space="0" w:color="auto"/>
            </w:tcBorders>
            <w:vAlign w:val="center"/>
          </w:tcPr>
          <w:p w14:paraId="0297CC5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485B8C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90DBDF2" w14:textId="77777777" w:rsidR="007B3DB2" w:rsidRPr="0063248C" w:rsidRDefault="00000000">
            <w:pPr>
              <w:spacing w:line="240" w:lineRule="exact"/>
              <w:jc w:val="right"/>
              <w:rPr>
                <w:rFonts w:cs="宋体"/>
                <w:sz w:val="18"/>
                <w:szCs w:val="18"/>
              </w:rPr>
            </w:pPr>
            <w:r w:rsidRPr="0063248C">
              <w:rPr>
                <w:rFonts w:cs="宋体"/>
                <w:sz w:val="18"/>
                <w:szCs w:val="18"/>
              </w:rPr>
              <w:t>908,397.92</w:t>
            </w:r>
          </w:p>
        </w:tc>
        <w:tc>
          <w:tcPr>
            <w:tcW w:w="1377" w:type="dxa"/>
            <w:tcBorders>
              <w:top w:val="single" w:sz="2" w:space="0" w:color="auto"/>
              <w:left w:val="single" w:sz="2" w:space="0" w:color="auto"/>
              <w:bottom w:val="single" w:sz="2" w:space="0" w:color="auto"/>
              <w:right w:val="single" w:sz="2" w:space="0" w:color="auto"/>
            </w:tcBorders>
            <w:vAlign w:val="center"/>
          </w:tcPr>
          <w:p w14:paraId="4F3CEB18" w14:textId="77777777" w:rsidR="007B3DB2" w:rsidRPr="0063248C" w:rsidRDefault="00000000">
            <w:pPr>
              <w:spacing w:line="240" w:lineRule="exact"/>
              <w:jc w:val="right"/>
              <w:rPr>
                <w:rFonts w:cs="宋体"/>
                <w:sz w:val="18"/>
                <w:szCs w:val="18"/>
              </w:rPr>
            </w:pPr>
            <w:r w:rsidRPr="0063248C">
              <w:rPr>
                <w:rFonts w:cs="宋体"/>
                <w:sz w:val="18"/>
                <w:szCs w:val="18"/>
              </w:rPr>
              <w:t>210,500.00</w:t>
            </w:r>
          </w:p>
        </w:tc>
        <w:tc>
          <w:tcPr>
            <w:tcW w:w="1377" w:type="dxa"/>
            <w:tcBorders>
              <w:top w:val="single" w:sz="2" w:space="0" w:color="auto"/>
              <w:left w:val="single" w:sz="2" w:space="0" w:color="auto"/>
              <w:bottom w:val="single" w:sz="2" w:space="0" w:color="auto"/>
              <w:right w:val="single" w:sz="2" w:space="0" w:color="auto"/>
            </w:tcBorders>
            <w:vAlign w:val="center"/>
          </w:tcPr>
          <w:p w14:paraId="6F13CD0F" w14:textId="77777777" w:rsidR="007B3DB2" w:rsidRPr="0063248C" w:rsidRDefault="00000000">
            <w:pPr>
              <w:spacing w:line="240" w:lineRule="exact"/>
              <w:jc w:val="right"/>
              <w:rPr>
                <w:rFonts w:cs="宋体"/>
                <w:sz w:val="18"/>
                <w:szCs w:val="18"/>
              </w:rPr>
            </w:pPr>
            <w:r w:rsidRPr="0063248C">
              <w:rPr>
                <w:rFonts w:cs="宋体"/>
                <w:sz w:val="18"/>
                <w:szCs w:val="18"/>
              </w:rPr>
              <w:t>2,717,987.53</w:t>
            </w:r>
          </w:p>
        </w:tc>
      </w:tr>
      <w:tr w:rsidR="007B3DB2" w:rsidRPr="0063248C" w14:paraId="789E3A0A"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A4AD7DC"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47FEF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0D473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D72AC2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343289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79DDB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83B5E51" w14:textId="77777777" w:rsidR="007B3DB2" w:rsidRPr="0063248C" w:rsidRDefault="007B3DB2">
            <w:pPr>
              <w:spacing w:line="240" w:lineRule="exact"/>
              <w:jc w:val="right"/>
              <w:rPr>
                <w:rFonts w:cs="宋体"/>
                <w:sz w:val="18"/>
                <w:szCs w:val="18"/>
              </w:rPr>
            </w:pPr>
          </w:p>
        </w:tc>
      </w:tr>
      <w:tr w:rsidR="007B3DB2" w:rsidRPr="0063248C" w14:paraId="1A5EB50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925920F"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6161302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882094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AC092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E89EE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825979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34EC6C" w14:textId="77777777" w:rsidR="007B3DB2" w:rsidRPr="0063248C" w:rsidRDefault="007B3DB2">
            <w:pPr>
              <w:spacing w:line="240" w:lineRule="exact"/>
              <w:jc w:val="right"/>
              <w:rPr>
                <w:rFonts w:cs="宋体"/>
                <w:sz w:val="18"/>
                <w:szCs w:val="18"/>
              </w:rPr>
            </w:pPr>
          </w:p>
        </w:tc>
      </w:tr>
      <w:tr w:rsidR="007B3DB2" w:rsidRPr="0063248C" w14:paraId="702BF4D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E541740"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3B0CCB3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DBE19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69CF3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406DB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BCF5E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6331151" w14:textId="77777777" w:rsidR="007B3DB2" w:rsidRPr="0063248C" w:rsidRDefault="007B3DB2">
            <w:pPr>
              <w:spacing w:line="240" w:lineRule="exact"/>
              <w:jc w:val="right"/>
              <w:rPr>
                <w:rFonts w:cs="宋体"/>
                <w:sz w:val="18"/>
                <w:szCs w:val="18"/>
              </w:rPr>
            </w:pPr>
          </w:p>
        </w:tc>
      </w:tr>
      <w:tr w:rsidR="007B3DB2" w:rsidRPr="0063248C" w14:paraId="4B778A7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15CC095"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55044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E92AE3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C32C00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FCFDD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A4122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E5845B8" w14:textId="77777777" w:rsidR="007B3DB2" w:rsidRPr="0063248C" w:rsidRDefault="007B3DB2">
            <w:pPr>
              <w:spacing w:line="240" w:lineRule="exact"/>
              <w:jc w:val="right"/>
              <w:rPr>
                <w:rFonts w:cs="宋体"/>
                <w:sz w:val="18"/>
                <w:szCs w:val="18"/>
              </w:rPr>
            </w:pPr>
          </w:p>
        </w:tc>
      </w:tr>
      <w:tr w:rsidR="007B3DB2" w:rsidRPr="0063248C" w14:paraId="754050C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408FE48"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280FE953" w14:textId="77777777" w:rsidR="007B3DB2" w:rsidRPr="0063248C" w:rsidRDefault="00000000">
            <w:pPr>
              <w:spacing w:line="240" w:lineRule="exact"/>
              <w:jc w:val="right"/>
              <w:rPr>
                <w:rFonts w:cs="宋体"/>
                <w:sz w:val="18"/>
                <w:szCs w:val="18"/>
              </w:rPr>
            </w:pPr>
            <w:r w:rsidRPr="0063248C">
              <w:rPr>
                <w:rFonts w:cs="宋体"/>
                <w:sz w:val="18"/>
                <w:szCs w:val="18"/>
              </w:rPr>
              <w:t>21,031,052.76</w:t>
            </w:r>
          </w:p>
        </w:tc>
        <w:tc>
          <w:tcPr>
            <w:tcW w:w="1377" w:type="dxa"/>
            <w:tcBorders>
              <w:top w:val="single" w:sz="2" w:space="0" w:color="auto"/>
              <w:left w:val="single" w:sz="2" w:space="0" w:color="auto"/>
              <w:bottom w:val="single" w:sz="2" w:space="0" w:color="auto"/>
              <w:right w:val="single" w:sz="2" w:space="0" w:color="auto"/>
            </w:tcBorders>
            <w:vAlign w:val="center"/>
          </w:tcPr>
          <w:p w14:paraId="0576CE7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DBD01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0CA33C2" w14:textId="77777777" w:rsidR="007B3DB2" w:rsidRPr="0063248C" w:rsidRDefault="00000000">
            <w:pPr>
              <w:spacing w:line="240" w:lineRule="exact"/>
              <w:jc w:val="right"/>
              <w:rPr>
                <w:rFonts w:cs="宋体"/>
                <w:sz w:val="18"/>
                <w:szCs w:val="18"/>
              </w:rPr>
            </w:pPr>
            <w:r w:rsidRPr="0063248C">
              <w:rPr>
                <w:rFonts w:cs="宋体"/>
                <w:sz w:val="18"/>
                <w:szCs w:val="18"/>
              </w:rPr>
              <w:t>10,660,546.54</w:t>
            </w:r>
          </w:p>
        </w:tc>
        <w:tc>
          <w:tcPr>
            <w:tcW w:w="1377" w:type="dxa"/>
            <w:tcBorders>
              <w:top w:val="single" w:sz="2" w:space="0" w:color="auto"/>
              <w:left w:val="single" w:sz="2" w:space="0" w:color="auto"/>
              <w:bottom w:val="single" w:sz="2" w:space="0" w:color="auto"/>
              <w:right w:val="single" w:sz="2" w:space="0" w:color="auto"/>
            </w:tcBorders>
            <w:vAlign w:val="center"/>
          </w:tcPr>
          <w:p w14:paraId="28305E90" w14:textId="77777777" w:rsidR="007B3DB2" w:rsidRPr="0063248C" w:rsidRDefault="00000000">
            <w:pPr>
              <w:spacing w:line="240" w:lineRule="exact"/>
              <w:jc w:val="right"/>
              <w:rPr>
                <w:rFonts w:cs="宋体"/>
                <w:sz w:val="18"/>
                <w:szCs w:val="18"/>
              </w:rPr>
            </w:pPr>
            <w:r w:rsidRPr="0063248C">
              <w:rPr>
                <w:rFonts w:cs="宋体"/>
                <w:sz w:val="18"/>
                <w:szCs w:val="18"/>
              </w:rPr>
              <w:t>2,385,666.67</w:t>
            </w:r>
          </w:p>
        </w:tc>
        <w:tc>
          <w:tcPr>
            <w:tcW w:w="1377" w:type="dxa"/>
            <w:tcBorders>
              <w:top w:val="single" w:sz="2" w:space="0" w:color="auto"/>
              <w:left w:val="single" w:sz="2" w:space="0" w:color="auto"/>
              <w:bottom w:val="single" w:sz="2" w:space="0" w:color="auto"/>
              <w:right w:val="single" w:sz="2" w:space="0" w:color="auto"/>
            </w:tcBorders>
            <w:vAlign w:val="center"/>
          </w:tcPr>
          <w:p w14:paraId="62A87FEB" w14:textId="77777777" w:rsidR="007B3DB2" w:rsidRPr="0063248C" w:rsidRDefault="00000000">
            <w:pPr>
              <w:spacing w:line="240" w:lineRule="exact"/>
              <w:jc w:val="right"/>
              <w:rPr>
                <w:rFonts w:cs="宋体"/>
                <w:sz w:val="18"/>
                <w:szCs w:val="18"/>
              </w:rPr>
            </w:pPr>
            <w:r w:rsidRPr="0063248C">
              <w:rPr>
                <w:rFonts w:cs="宋体"/>
                <w:sz w:val="18"/>
                <w:szCs w:val="18"/>
              </w:rPr>
              <w:t>34,077,265.97</w:t>
            </w:r>
          </w:p>
        </w:tc>
      </w:tr>
      <w:tr w:rsidR="007B3DB2" w:rsidRPr="0063248C" w14:paraId="52D79A4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66FC04" w14:textId="77777777" w:rsidR="007B3DB2" w:rsidRPr="0063248C" w:rsidRDefault="00000000">
            <w:pPr>
              <w:spacing w:before="40" w:after="40" w:line="240" w:lineRule="exact"/>
              <w:rPr>
                <w:rFonts w:cs="宋体"/>
                <w:sz w:val="18"/>
                <w:szCs w:val="18"/>
              </w:rPr>
            </w:pPr>
            <w:r w:rsidRPr="0063248C">
              <w:rPr>
                <w:rFonts w:cs="宋体"/>
                <w:sz w:val="18"/>
                <w:szCs w:val="18"/>
              </w:rPr>
              <w:t>三、减值准备</w:t>
            </w:r>
          </w:p>
        </w:tc>
        <w:tc>
          <w:tcPr>
            <w:tcW w:w="1377" w:type="dxa"/>
            <w:tcBorders>
              <w:top w:val="single" w:sz="2" w:space="0" w:color="auto"/>
              <w:left w:val="single" w:sz="2" w:space="0" w:color="auto"/>
              <w:bottom w:val="single" w:sz="2" w:space="0" w:color="auto"/>
              <w:right w:val="single" w:sz="2" w:space="0" w:color="auto"/>
            </w:tcBorders>
            <w:vAlign w:val="center"/>
          </w:tcPr>
          <w:p w14:paraId="6CDF01B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50ADC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279A6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65B964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2A1A78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A45EDA" w14:textId="77777777" w:rsidR="007B3DB2" w:rsidRPr="0063248C" w:rsidRDefault="007B3DB2">
            <w:pPr>
              <w:spacing w:line="240" w:lineRule="exact"/>
              <w:jc w:val="right"/>
              <w:rPr>
                <w:rFonts w:cs="宋体"/>
                <w:sz w:val="18"/>
                <w:szCs w:val="18"/>
              </w:rPr>
            </w:pPr>
          </w:p>
        </w:tc>
      </w:tr>
      <w:tr w:rsidR="007B3DB2" w:rsidRPr="0063248C" w14:paraId="2DE7A3A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4457DEA"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lastRenderedPageBreak/>
              <w:t>1.</w:t>
            </w:r>
            <w:r w:rsidRPr="0063248C">
              <w:rPr>
                <w:rFonts w:cs="宋体"/>
                <w:sz w:val="18"/>
                <w:szCs w:val="18"/>
              </w:rPr>
              <w:t>期初余额</w:t>
            </w:r>
          </w:p>
        </w:tc>
        <w:tc>
          <w:tcPr>
            <w:tcW w:w="1377" w:type="dxa"/>
            <w:tcBorders>
              <w:top w:val="single" w:sz="2" w:space="0" w:color="auto"/>
              <w:left w:val="single" w:sz="2" w:space="0" w:color="auto"/>
              <w:bottom w:val="single" w:sz="2" w:space="0" w:color="auto"/>
              <w:right w:val="single" w:sz="2" w:space="0" w:color="auto"/>
            </w:tcBorders>
            <w:vAlign w:val="center"/>
          </w:tcPr>
          <w:p w14:paraId="68FC4CB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1869C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D9F4BA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325A39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60125E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16FCA9" w14:textId="77777777" w:rsidR="007B3DB2" w:rsidRPr="0063248C" w:rsidRDefault="007B3DB2">
            <w:pPr>
              <w:spacing w:line="240" w:lineRule="exact"/>
              <w:jc w:val="right"/>
              <w:rPr>
                <w:rFonts w:cs="宋体"/>
                <w:sz w:val="18"/>
                <w:szCs w:val="18"/>
              </w:rPr>
            </w:pPr>
          </w:p>
        </w:tc>
      </w:tr>
      <w:tr w:rsidR="007B3DB2" w:rsidRPr="0063248C" w14:paraId="126A5D6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A7E29B7"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vAlign w:val="center"/>
          </w:tcPr>
          <w:p w14:paraId="4513287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047F6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697626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A73C7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2C8B2A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8795979" w14:textId="77777777" w:rsidR="007B3DB2" w:rsidRPr="0063248C" w:rsidRDefault="007B3DB2">
            <w:pPr>
              <w:spacing w:line="240" w:lineRule="exact"/>
              <w:jc w:val="right"/>
              <w:rPr>
                <w:rFonts w:cs="宋体"/>
                <w:sz w:val="18"/>
                <w:szCs w:val="18"/>
              </w:rPr>
            </w:pPr>
          </w:p>
        </w:tc>
      </w:tr>
      <w:tr w:rsidR="007B3DB2" w:rsidRPr="0063248C" w14:paraId="0963B98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58D750F"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6ED08EF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09CE1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D33DD8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9C7A04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5D6C4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0FFCD8" w14:textId="77777777" w:rsidR="007B3DB2" w:rsidRPr="0063248C" w:rsidRDefault="007B3DB2">
            <w:pPr>
              <w:spacing w:line="240" w:lineRule="exact"/>
              <w:jc w:val="right"/>
              <w:rPr>
                <w:rFonts w:cs="宋体"/>
                <w:sz w:val="18"/>
                <w:szCs w:val="18"/>
              </w:rPr>
            </w:pPr>
          </w:p>
        </w:tc>
      </w:tr>
      <w:tr w:rsidR="007B3DB2" w:rsidRPr="0063248C" w14:paraId="1FA19F3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1D0EEFE"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76D71A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CADABF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AA370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60F139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704DB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E6263F5" w14:textId="77777777" w:rsidR="007B3DB2" w:rsidRPr="0063248C" w:rsidRDefault="007B3DB2">
            <w:pPr>
              <w:spacing w:line="240" w:lineRule="exact"/>
              <w:jc w:val="right"/>
              <w:rPr>
                <w:rFonts w:cs="宋体"/>
                <w:sz w:val="18"/>
                <w:szCs w:val="18"/>
              </w:rPr>
            </w:pPr>
          </w:p>
        </w:tc>
      </w:tr>
      <w:tr w:rsidR="007B3DB2" w:rsidRPr="0063248C" w14:paraId="7B9F312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66612DE"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vAlign w:val="center"/>
          </w:tcPr>
          <w:p w14:paraId="64EE9B3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0C5CBF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2EE95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5BBBA2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E13F6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4B7A4A" w14:textId="77777777" w:rsidR="007B3DB2" w:rsidRPr="0063248C" w:rsidRDefault="007B3DB2">
            <w:pPr>
              <w:spacing w:line="240" w:lineRule="exact"/>
              <w:jc w:val="right"/>
              <w:rPr>
                <w:rFonts w:cs="宋体"/>
                <w:sz w:val="18"/>
                <w:szCs w:val="18"/>
              </w:rPr>
            </w:pPr>
          </w:p>
        </w:tc>
      </w:tr>
      <w:tr w:rsidR="007B3DB2" w:rsidRPr="0063248C" w14:paraId="61E6C61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52EE325" w14:textId="77777777" w:rsidR="007B3DB2" w:rsidRPr="0063248C" w:rsidRDefault="00000000">
            <w:pPr>
              <w:spacing w:before="40" w:after="40" w:line="240" w:lineRule="exact"/>
              <w:ind w:firstLineChars="400" w:firstLine="720"/>
              <w:rPr>
                <w:rFonts w:cs="宋体"/>
                <w:sz w:val="18"/>
                <w:szCs w:val="18"/>
              </w:rPr>
            </w:pPr>
            <w:r w:rsidRPr="0063248C">
              <w:rPr>
                <w:rFonts w:cs="宋体"/>
                <w:sz w:val="18"/>
                <w:szCs w:val="18"/>
              </w:rPr>
              <w:t>（</w:t>
            </w:r>
            <w:r w:rsidRPr="0063248C">
              <w:rPr>
                <w:rFonts w:cs="宋体"/>
                <w:sz w:val="18"/>
                <w:szCs w:val="18"/>
              </w:rPr>
              <w:t>1</w:t>
            </w:r>
            <w:r w:rsidRPr="0063248C">
              <w:rPr>
                <w:rFonts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12CCBAB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23C1C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CD5A6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116E2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BC382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4C3AD94" w14:textId="77777777" w:rsidR="007B3DB2" w:rsidRPr="0063248C" w:rsidRDefault="007B3DB2">
            <w:pPr>
              <w:spacing w:line="240" w:lineRule="exact"/>
              <w:jc w:val="right"/>
              <w:rPr>
                <w:rFonts w:cs="宋体"/>
                <w:sz w:val="18"/>
                <w:szCs w:val="18"/>
              </w:rPr>
            </w:pPr>
          </w:p>
        </w:tc>
      </w:tr>
      <w:tr w:rsidR="007B3DB2" w:rsidRPr="0063248C" w14:paraId="472CECC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D49D9C2" w14:textId="77777777" w:rsidR="007B3DB2" w:rsidRPr="0063248C" w:rsidRDefault="007B3DB2">
            <w:pPr>
              <w:spacing w:line="240" w:lineRule="exac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33E84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362CEE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0A9197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2439DA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70440A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930FB7E" w14:textId="77777777" w:rsidR="007B3DB2" w:rsidRPr="0063248C" w:rsidRDefault="007B3DB2">
            <w:pPr>
              <w:spacing w:line="240" w:lineRule="exact"/>
              <w:jc w:val="right"/>
              <w:rPr>
                <w:rFonts w:cs="宋体"/>
                <w:sz w:val="18"/>
                <w:szCs w:val="18"/>
              </w:rPr>
            </w:pPr>
          </w:p>
        </w:tc>
      </w:tr>
      <w:tr w:rsidR="007B3DB2" w:rsidRPr="0063248C" w14:paraId="7746F8F1"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184B6F5"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期末余额</w:t>
            </w:r>
          </w:p>
        </w:tc>
        <w:tc>
          <w:tcPr>
            <w:tcW w:w="1377" w:type="dxa"/>
            <w:tcBorders>
              <w:top w:val="single" w:sz="2" w:space="0" w:color="auto"/>
              <w:left w:val="single" w:sz="2" w:space="0" w:color="auto"/>
              <w:bottom w:val="single" w:sz="2" w:space="0" w:color="auto"/>
              <w:right w:val="single" w:sz="2" w:space="0" w:color="auto"/>
            </w:tcBorders>
            <w:vAlign w:val="center"/>
          </w:tcPr>
          <w:p w14:paraId="7B6BA9F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648E8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8BD69A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58AE89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098FD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DF3025" w14:textId="77777777" w:rsidR="007B3DB2" w:rsidRPr="0063248C" w:rsidRDefault="007B3DB2">
            <w:pPr>
              <w:spacing w:line="240" w:lineRule="exact"/>
              <w:jc w:val="right"/>
              <w:rPr>
                <w:rFonts w:cs="宋体"/>
                <w:sz w:val="18"/>
                <w:szCs w:val="18"/>
              </w:rPr>
            </w:pPr>
          </w:p>
        </w:tc>
      </w:tr>
      <w:tr w:rsidR="007B3DB2" w:rsidRPr="0063248C" w14:paraId="6ED99E74"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8C93F57" w14:textId="77777777" w:rsidR="007B3DB2" w:rsidRPr="0063248C" w:rsidRDefault="00000000">
            <w:pPr>
              <w:spacing w:before="40" w:after="40" w:line="240" w:lineRule="exact"/>
              <w:rPr>
                <w:rFonts w:cs="宋体"/>
                <w:sz w:val="18"/>
                <w:szCs w:val="18"/>
              </w:rPr>
            </w:pPr>
            <w:r w:rsidRPr="0063248C">
              <w:rPr>
                <w:rFonts w:cs="宋体"/>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5B8FEE4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BB6105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9E741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3D8419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59104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5D24625" w14:textId="77777777" w:rsidR="007B3DB2" w:rsidRPr="0063248C" w:rsidRDefault="007B3DB2">
            <w:pPr>
              <w:spacing w:line="240" w:lineRule="exact"/>
              <w:jc w:val="right"/>
              <w:rPr>
                <w:rFonts w:cs="宋体"/>
                <w:sz w:val="18"/>
                <w:szCs w:val="18"/>
              </w:rPr>
            </w:pPr>
          </w:p>
        </w:tc>
      </w:tr>
      <w:tr w:rsidR="007B3DB2" w:rsidRPr="0063248C" w14:paraId="7E982D42"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DA0BE01"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1.</w:t>
            </w:r>
            <w:r w:rsidRPr="0063248C">
              <w:rPr>
                <w:rFonts w:cs="宋体"/>
                <w:sz w:val="18"/>
                <w:szCs w:val="18"/>
              </w:rPr>
              <w:t>期末账面价值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0AA5FB91" w14:textId="77777777" w:rsidR="007B3DB2" w:rsidRPr="0063248C" w:rsidRDefault="00000000">
            <w:pPr>
              <w:spacing w:line="240" w:lineRule="exact"/>
              <w:jc w:val="right"/>
              <w:rPr>
                <w:rFonts w:cs="宋体"/>
                <w:sz w:val="18"/>
                <w:szCs w:val="18"/>
              </w:rPr>
            </w:pPr>
            <w:r w:rsidRPr="0063248C">
              <w:rPr>
                <w:rFonts w:cs="宋体"/>
                <w:sz w:val="18"/>
                <w:szCs w:val="18"/>
              </w:rPr>
              <w:t>123,532,110.58</w:t>
            </w:r>
          </w:p>
        </w:tc>
        <w:tc>
          <w:tcPr>
            <w:tcW w:w="1377" w:type="dxa"/>
            <w:tcBorders>
              <w:top w:val="single" w:sz="2" w:space="0" w:color="auto"/>
              <w:left w:val="single" w:sz="2" w:space="0" w:color="auto"/>
              <w:bottom w:val="single" w:sz="2" w:space="0" w:color="auto"/>
              <w:right w:val="single" w:sz="2" w:space="0" w:color="auto"/>
            </w:tcBorders>
            <w:vAlign w:val="center"/>
          </w:tcPr>
          <w:p w14:paraId="1CB09CE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81133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CB7DD2" w14:textId="77777777" w:rsidR="007B3DB2" w:rsidRPr="0063248C" w:rsidRDefault="00000000">
            <w:pPr>
              <w:spacing w:line="240" w:lineRule="exact"/>
              <w:jc w:val="right"/>
              <w:rPr>
                <w:rFonts w:cs="宋体"/>
                <w:sz w:val="18"/>
                <w:szCs w:val="18"/>
              </w:rPr>
            </w:pPr>
            <w:r w:rsidRPr="0063248C">
              <w:rPr>
                <w:rFonts w:cs="宋体"/>
                <w:sz w:val="18"/>
                <w:szCs w:val="18"/>
              </w:rPr>
              <w:t>6,612,919.70</w:t>
            </w:r>
          </w:p>
        </w:tc>
        <w:tc>
          <w:tcPr>
            <w:tcW w:w="1377" w:type="dxa"/>
            <w:tcBorders>
              <w:top w:val="single" w:sz="2" w:space="0" w:color="auto"/>
              <w:left w:val="single" w:sz="2" w:space="0" w:color="auto"/>
              <w:bottom w:val="single" w:sz="2" w:space="0" w:color="auto"/>
              <w:right w:val="single" w:sz="2" w:space="0" w:color="auto"/>
            </w:tcBorders>
            <w:vAlign w:val="center"/>
          </w:tcPr>
          <w:p w14:paraId="31A6D4C1" w14:textId="77777777" w:rsidR="007B3DB2" w:rsidRPr="0063248C" w:rsidRDefault="00000000">
            <w:pPr>
              <w:spacing w:line="240" w:lineRule="exact"/>
              <w:jc w:val="right"/>
              <w:rPr>
                <w:rFonts w:cs="宋体"/>
                <w:sz w:val="18"/>
                <w:szCs w:val="18"/>
              </w:rPr>
            </w:pPr>
            <w:r w:rsidRPr="0063248C">
              <w:rPr>
                <w:rFonts w:cs="宋体"/>
                <w:sz w:val="18"/>
                <w:szCs w:val="18"/>
              </w:rPr>
              <w:t>1,824,333.33</w:t>
            </w:r>
          </w:p>
        </w:tc>
        <w:tc>
          <w:tcPr>
            <w:tcW w:w="1377" w:type="dxa"/>
            <w:tcBorders>
              <w:top w:val="single" w:sz="2" w:space="0" w:color="auto"/>
              <w:left w:val="single" w:sz="2" w:space="0" w:color="auto"/>
              <w:bottom w:val="single" w:sz="2" w:space="0" w:color="auto"/>
              <w:right w:val="single" w:sz="2" w:space="0" w:color="auto"/>
            </w:tcBorders>
            <w:vAlign w:val="center"/>
          </w:tcPr>
          <w:p w14:paraId="683CC681" w14:textId="77777777" w:rsidR="007B3DB2" w:rsidRPr="0063248C" w:rsidRDefault="00000000">
            <w:pPr>
              <w:spacing w:line="240" w:lineRule="exact"/>
              <w:jc w:val="right"/>
              <w:rPr>
                <w:rFonts w:cs="宋体"/>
                <w:sz w:val="18"/>
                <w:szCs w:val="18"/>
              </w:rPr>
            </w:pPr>
            <w:r w:rsidRPr="0063248C">
              <w:rPr>
                <w:rFonts w:cs="宋体"/>
                <w:sz w:val="18"/>
                <w:szCs w:val="18"/>
              </w:rPr>
              <w:t>131,969,363.61</w:t>
            </w:r>
          </w:p>
        </w:tc>
      </w:tr>
      <w:tr w:rsidR="007B3DB2" w:rsidRPr="0063248C" w14:paraId="2DCAB2F9"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F0D3A7C"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2.</w:t>
            </w:r>
            <w:r w:rsidRPr="0063248C">
              <w:rPr>
                <w:rFonts w:cs="宋体"/>
                <w:sz w:val="18"/>
                <w:szCs w:val="18"/>
              </w:rPr>
              <w:t>期初账面价值</w:t>
            </w:r>
          </w:p>
        </w:tc>
        <w:tc>
          <w:tcPr>
            <w:tcW w:w="1377" w:type="dxa"/>
            <w:tcBorders>
              <w:top w:val="single" w:sz="2" w:space="0" w:color="auto"/>
              <w:left w:val="single" w:sz="2" w:space="0" w:color="auto"/>
              <w:bottom w:val="single" w:sz="2" w:space="0" w:color="auto"/>
              <w:right w:val="single" w:sz="2" w:space="0" w:color="auto"/>
            </w:tcBorders>
            <w:vAlign w:val="center"/>
          </w:tcPr>
          <w:p w14:paraId="2989641D" w14:textId="77777777" w:rsidR="007B3DB2" w:rsidRPr="0063248C" w:rsidRDefault="00000000">
            <w:pPr>
              <w:spacing w:line="240" w:lineRule="exact"/>
              <w:jc w:val="right"/>
              <w:rPr>
                <w:rFonts w:cs="宋体"/>
                <w:sz w:val="18"/>
                <w:szCs w:val="18"/>
              </w:rPr>
            </w:pPr>
            <w:r w:rsidRPr="0063248C">
              <w:rPr>
                <w:rFonts w:cs="宋体"/>
                <w:sz w:val="18"/>
                <w:szCs w:val="18"/>
              </w:rPr>
              <w:t>125,131,200.19</w:t>
            </w:r>
          </w:p>
        </w:tc>
        <w:tc>
          <w:tcPr>
            <w:tcW w:w="1377" w:type="dxa"/>
            <w:tcBorders>
              <w:top w:val="single" w:sz="2" w:space="0" w:color="auto"/>
              <w:left w:val="single" w:sz="2" w:space="0" w:color="auto"/>
              <w:bottom w:val="single" w:sz="2" w:space="0" w:color="auto"/>
              <w:right w:val="single" w:sz="2" w:space="0" w:color="auto"/>
            </w:tcBorders>
            <w:vAlign w:val="center"/>
          </w:tcPr>
          <w:p w14:paraId="16D287C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B0801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F2ECA2B" w14:textId="77777777" w:rsidR="007B3DB2" w:rsidRPr="0063248C" w:rsidRDefault="00000000">
            <w:pPr>
              <w:spacing w:line="240" w:lineRule="exact"/>
              <w:jc w:val="right"/>
              <w:rPr>
                <w:rFonts w:cs="宋体"/>
                <w:sz w:val="18"/>
                <w:szCs w:val="18"/>
              </w:rPr>
            </w:pPr>
            <w:r w:rsidRPr="0063248C">
              <w:rPr>
                <w:rFonts w:cs="宋体"/>
                <w:sz w:val="18"/>
                <w:szCs w:val="18"/>
              </w:rPr>
              <w:t>7,408,317.62</w:t>
            </w:r>
          </w:p>
        </w:tc>
        <w:tc>
          <w:tcPr>
            <w:tcW w:w="1377" w:type="dxa"/>
            <w:tcBorders>
              <w:top w:val="single" w:sz="2" w:space="0" w:color="auto"/>
              <w:left w:val="single" w:sz="2" w:space="0" w:color="auto"/>
              <w:bottom w:val="single" w:sz="2" w:space="0" w:color="auto"/>
              <w:right w:val="single" w:sz="2" w:space="0" w:color="auto"/>
            </w:tcBorders>
            <w:vAlign w:val="center"/>
          </w:tcPr>
          <w:p w14:paraId="410ECF54" w14:textId="77777777" w:rsidR="007B3DB2" w:rsidRPr="0063248C" w:rsidRDefault="00000000">
            <w:pPr>
              <w:spacing w:line="240" w:lineRule="exact"/>
              <w:jc w:val="right"/>
              <w:rPr>
                <w:rFonts w:cs="宋体"/>
                <w:sz w:val="18"/>
                <w:szCs w:val="18"/>
              </w:rPr>
            </w:pPr>
            <w:r w:rsidRPr="0063248C">
              <w:rPr>
                <w:rFonts w:cs="宋体"/>
                <w:sz w:val="18"/>
                <w:szCs w:val="18"/>
              </w:rPr>
              <w:t>2,034,833.33</w:t>
            </w:r>
          </w:p>
        </w:tc>
        <w:tc>
          <w:tcPr>
            <w:tcW w:w="1377" w:type="dxa"/>
            <w:tcBorders>
              <w:top w:val="single" w:sz="2" w:space="0" w:color="auto"/>
              <w:left w:val="single" w:sz="2" w:space="0" w:color="auto"/>
              <w:bottom w:val="single" w:sz="2" w:space="0" w:color="auto"/>
              <w:right w:val="single" w:sz="2" w:space="0" w:color="auto"/>
            </w:tcBorders>
            <w:vAlign w:val="center"/>
          </w:tcPr>
          <w:p w14:paraId="70349F28" w14:textId="77777777" w:rsidR="007B3DB2" w:rsidRPr="0063248C" w:rsidRDefault="00000000">
            <w:pPr>
              <w:spacing w:line="240" w:lineRule="exact"/>
              <w:jc w:val="right"/>
              <w:rPr>
                <w:rFonts w:cs="宋体"/>
                <w:sz w:val="18"/>
                <w:szCs w:val="18"/>
              </w:rPr>
            </w:pPr>
            <w:r w:rsidRPr="0063248C">
              <w:rPr>
                <w:rFonts w:cs="宋体"/>
                <w:sz w:val="18"/>
                <w:szCs w:val="18"/>
              </w:rPr>
              <w:t>134,574,351.14</w:t>
            </w:r>
          </w:p>
        </w:tc>
      </w:tr>
    </w:tbl>
    <w:p w14:paraId="5440D498" w14:textId="77777777" w:rsidR="007B3DB2" w:rsidRPr="0063248C" w:rsidRDefault="00000000">
      <w:pPr>
        <w:spacing w:before="100" w:after="100" w:line="240" w:lineRule="exact"/>
        <w:rPr>
          <w:rFonts w:cs="宋体"/>
          <w:sz w:val="18"/>
          <w:szCs w:val="18"/>
        </w:rPr>
      </w:pPr>
      <w:r w:rsidRPr="0063248C">
        <w:rPr>
          <w:rFonts w:cs="宋体"/>
          <w:sz w:val="18"/>
          <w:szCs w:val="18"/>
        </w:rPr>
        <w:t>本期末通过公司内部研发形成的无形资产占无形资产余额的比例</w:t>
      </w:r>
      <w:r w:rsidRPr="0063248C">
        <w:rPr>
          <w:rFonts w:cs="宋体"/>
          <w:sz w:val="18"/>
          <w:szCs w:val="18"/>
        </w:rPr>
        <w:t>0.00%</w:t>
      </w:r>
    </w:p>
    <w:p w14:paraId="5628B8C3" w14:textId="77777777" w:rsidR="007B3DB2" w:rsidRPr="0063248C" w:rsidRDefault="00000000">
      <w:pPr>
        <w:keepNext/>
        <w:keepLines/>
        <w:spacing w:before="300" w:after="300" w:line="280" w:lineRule="exact"/>
        <w:outlineLvl w:val="3"/>
        <w:rPr>
          <w:rFonts w:cs="宋体"/>
          <w:b/>
          <w:bCs/>
          <w:szCs w:val="21"/>
        </w:rPr>
      </w:pPr>
      <w:bookmarkStart w:id="291" w:name="_Toc989180"/>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确认为无形资产的数据资源</w:t>
      </w:r>
      <w:bookmarkEnd w:id="291"/>
    </w:p>
    <w:p w14:paraId="72ABE608" w14:textId="5B5E2C7A" w:rsidR="007B3DB2" w:rsidRPr="008669F6" w:rsidRDefault="008669F6" w:rsidP="008669F6">
      <w:pPr>
        <w:spacing w:before="40" w:after="40" w:line="240" w:lineRule="exact"/>
        <w:rPr>
          <w:rFonts w:cs="宋体"/>
          <w:sz w:val="18"/>
          <w:szCs w:val="18"/>
        </w:rPr>
      </w:pPr>
      <w:r>
        <w:rPr>
          <w:rFonts w:cs="宋体" w:hint="eastAsia"/>
          <w:sz w:val="18"/>
          <w:szCs w:val="18"/>
        </w:rPr>
        <w:t>无</w:t>
      </w:r>
    </w:p>
    <w:p w14:paraId="47A4C29B" w14:textId="77777777" w:rsidR="007B3DB2" w:rsidRPr="0063248C" w:rsidRDefault="00000000">
      <w:pPr>
        <w:keepNext/>
        <w:keepLines/>
        <w:spacing w:before="300" w:after="300" w:line="280" w:lineRule="exact"/>
        <w:outlineLvl w:val="3"/>
        <w:rPr>
          <w:rFonts w:cs="宋体"/>
          <w:b/>
          <w:bCs/>
          <w:szCs w:val="21"/>
        </w:rPr>
      </w:pPr>
      <w:bookmarkStart w:id="292" w:name="_Toc989181"/>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未办妥产权证书的土地使用权情况</w:t>
      </w:r>
      <w:bookmarkEnd w:id="292"/>
    </w:p>
    <w:p w14:paraId="77A63B85" w14:textId="77777777" w:rsidR="00517D34" w:rsidRPr="0063248C" w:rsidRDefault="00000000">
      <w:pPr>
        <w:pStyle w:val="a3"/>
        <w:divId w:val="1798990023"/>
        <w:rPr>
          <w:rFonts w:ascii="Times New Roman" w:hAnsi="Times New Roman"/>
          <w:sz w:val="18"/>
          <w:szCs w:val="18"/>
        </w:rPr>
      </w:pPr>
      <w:r w:rsidRPr="0063248C">
        <w:rPr>
          <w:rFonts w:ascii="Times New Roman" w:hAnsi="Times New Roman" w:hint="eastAsia"/>
          <w:sz w:val="18"/>
          <w:szCs w:val="18"/>
        </w:rPr>
        <w:t>无</w:t>
      </w:r>
    </w:p>
    <w:p w14:paraId="3F464F6F" w14:textId="77777777" w:rsidR="007B3DB2" w:rsidRPr="0063248C" w:rsidRDefault="00000000">
      <w:pPr>
        <w:keepNext/>
        <w:keepLines/>
        <w:spacing w:before="300" w:after="300" w:line="280" w:lineRule="exact"/>
        <w:outlineLvl w:val="3"/>
        <w:rPr>
          <w:rFonts w:cs="宋体"/>
          <w:b/>
          <w:bCs/>
          <w:szCs w:val="21"/>
        </w:rPr>
      </w:pPr>
      <w:bookmarkStart w:id="293" w:name="_Toc989182"/>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无形资产的减值测试情况</w:t>
      </w:r>
      <w:bookmarkEnd w:id="293"/>
    </w:p>
    <w:p w14:paraId="07622161"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5AA747B9" w14:textId="77777777" w:rsidR="007B3DB2" w:rsidRPr="0063248C" w:rsidRDefault="00000000">
      <w:pPr>
        <w:pStyle w:val="3"/>
        <w:spacing w:line="280" w:lineRule="exact"/>
        <w:jc w:val="left"/>
        <w:rPr>
          <w:rFonts w:cs="宋体"/>
          <w:b/>
          <w:bCs/>
        </w:rPr>
      </w:pPr>
      <w:bookmarkStart w:id="294" w:name="_Toc989183"/>
      <w:r w:rsidRPr="0063248C">
        <w:rPr>
          <w:rFonts w:cs="宋体"/>
          <w:b/>
          <w:bCs/>
        </w:rPr>
        <w:t>27</w:t>
      </w:r>
      <w:r w:rsidRPr="0063248C">
        <w:rPr>
          <w:rFonts w:cs="宋体"/>
          <w:b/>
          <w:bCs/>
        </w:rPr>
        <w:t>、商誉</w:t>
      </w:r>
      <w:bookmarkEnd w:id="294"/>
    </w:p>
    <w:p w14:paraId="5E777AF8" w14:textId="77777777" w:rsidR="007B3DB2" w:rsidRPr="0063248C" w:rsidRDefault="00000000">
      <w:pPr>
        <w:keepNext/>
        <w:keepLines/>
        <w:spacing w:before="300" w:after="300" w:line="280" w:lineRule="exact"/>
        <w:outlineLvl w:val="3"/>
        <w:rPr>
          <w:rFonts w:cs="宋体"/>
          <w:b/>
          <w:bCs/>
          <w:szCs w:val="21"/>
        </w:rPr>
      </w:pPr>
      <w:bookmarkStart w:id="295" w:name="_Toc989184"/>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商誉账面原值</w:t>
      </w:r>
      <w:bookmarkEnd w:id="295"/>
    </w:p>
    <w:p w14:paraId="28B5521D"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7DA9BE98"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1BEA17" w14:textId="77777777" w:rsidR="007B3DB2" w:rsidRPr="0063248C" w:rsidRDefault="00000000">
            <w:pPr>
              <w:spacing w:before="40" w:after="40" w:line="240" w:lineRule="exact"/>
              <w:jc w:val="center"/>
              <w:rPr>
                <w:rFonts w:cs="宋体"/>
                <w:sz w:val="18"/>
                <w:szCs w:val="18"/>
              </w:rPr>
            </w:pPr>
            <w:r w:rsidRPr="0063248C">
              <w:rPr>
                <w:rFonts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CF0601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A3A6EE"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D47B814"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36D92E8"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1ACBB67D"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401D822" w14:textId="77777777" w:rsidR="007B3DB2" w:rsidRPr="0063248C" w:rsidRDefault="007B3DB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5CD8791"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D678DA" w14:textId="77777777" w:rsidR="007B3DB2" w:rsidRPr="0063248C" w:rsidRDefault="00000000">
            <w:pPr>
              <w:spacing w:before="40" w:after="40" w:line="240" w:lineRule="exact"/>
              <w:jc w:val="center"/>
              <w:rPr>
                <w:rFonts w:cs="宋体"/>
                <w:sz w:val="18"/>
                <w:szCs w:val="18"/>
              </w:rPr>
            </w:pPr>
            <w:r w:rsidRPr="0063248C">
              <w:rPr>
                <w:rFonts w:cs="宋体"/>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vAlign w:val="center"/>
          </w:tcPr>
          <w:p w14:paraId="16E71F5C" w14:textId="77777777" w:rsidR="007B3DB2" w:rsidRPr="0063248C" w:rsidRDefault="007B3DB2">
            <w:pPr>
              <w:spacing w:line="240" w:lineRule="exact"/>
              <w:jc w:val="center"/>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BAACFEF" w14:textId="77777777" w:rsidR="007B3DB2" w:rsidRPr="0063248C" w:rsidRDefault="00000000">
            <w:pPr>
              <w:spacing w:before="40" w:after="40" w:line="240" w:lineRule="exact"/>
              <w:jc w:val="center"/>
              <w:rPr>
                <w:rFonts w:cs="宋体"/>
                <w:sz w:val="18"/>
                <w:szCs w:val="18"/>
              </w:rPr>
            </w:pPr>
            <w:r w:rsidRPr="0063248C">
              <w:rPr>
                <w:rFonts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22F7D08E" w14:textId="77777777" w:rsidR="007B3DB2" w:rsidRPr="0063248C" w:rsidRDefault="007B3DB2">
            <w:pPr>
              <w:spacing w:line="240" w:lineRule="exact"/>
              <w:jc w:val="center"/>
              <w:rPr>
                <w:rFonts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8088B10" w14:textId="77777777" w:rsidR="007B3DB2" w:rsidRPr="0063248C" w:rsidRDefault="007B3DB2"/>
        </w:tc>
      </w:tr>
      <w:tr w:rsidR="007B3DB2" w:rsidRPr="0063248C" w14:paraId="40D50540"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4248C70"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592C72E9" w14:textId="77777777" w:rsidR="007B3DB2" w:rsidRPr="0063248C" w:rsidRDefault="00000000">
            <w:pPr>
              <w:spacing w:line="240" w:lineRule="exact"/>
              <w:jc w:val="right"/>
              <w:rPr>
                <w:rFonts w:cs="宋体"/>
                <w:sz w:val="18"/>
                <w:szCs w:val="18"/>
              </w:rPr>
            </w:pPr>
            <w:r w:rsidRPr="0063248C">
              <w:rPr>
                <w:rFonts w:cs="宋体"/>
                <w:sz w:val="18"/>
                <w:szCs w:val="18"/>
              </w:rPr>
              <w:t>59,823,738.70</w:t>
            </w:r>
          </w:p>
        </w:tc>
        <w:tc>
          <w:tcPr>
            <w:tcW w:w="1377" w:type="dxa"/>
            <w:tcBorders>
              <w:top w:val="single" w:sz="2" w:space="0" w:color="auto"/>
              <w:left w:val="single" w:sz="2" w:space="0" w:color="auto"/>
              <w:bottom w:val="single" w:sz="2" w:space="0" w:color="auto"/>
              <w:right w:val="single" w:sz="2" w:space="0" w:color="auto"/>
            </w:tcBorders>
            <w:vAlign w:val="center"/>
          </w:tcPr>
          <w:p w14:paraId="194146C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84472D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4F59CC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D8D85C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9529970" w14:textId="77777777" w:rsidR="007B3DB2" w:rsidRPr="0063248C" w:rsidRDefault="00000000">
            <w:pPr>
              <w:spacing w:line="240" w:lineRule="exact"/>
              <w:jc w:val="right"/>
              <w:rPr>
                <w:rFonts w:cs="宋体"/>
                <w:sz w:val="18"/>
                <w:szCs w:val="18"/>
              </w:rPr>
            </w:pPr>
            <w:r w:rsidRPr="0063248C">
              <w:rPr>
                <w:rFonts w:cs="宋体"/>
                <w:sz w:val="18"/>
                <w:szCs w:val="18"/>
              </w:rPr>
              <w:t>59,823,738.70</w:t>
            </w:r>
          </w:p>
        </w:tc>
      </w:tr>
      <w:tr w:rsidR="007B3DB2" w:rsidRPr="0063248C" w14:paraId="666D45FB"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7373E7E" w14:textId="77777777" w:rsidR="007B3DB2" w:rsidRPr="0063248C" w:rsidRDefault="00000000">
            <w:pPr>
              <w:spacing w:line="240" w:lineRule="exact"/>
              <w:rPr>
                <w:rFonts w:cs="宋体"/>
                <w:sz w:val="18"/>
                <w:szCs w:val="18"/>
              </w:rPr>
            </w:pPr>
            <w:proofErr w:type="gramStart"/>
            <w:r w:rsidRPr="0063248C">
              <w:rPr>
                <w:rFonts w:cs="宋体"/>
                <w:sz w:val="18"/>
                <w:szCs w:val="18"/>
              </w:rPr>
              <w:t>通辽金泉食品</w:t>
            </w:r>
            <w:proofErr w:type="gramEnd"/>
            <w:r w:rsidRPr="0063248C">
              <w:rPr>
                <w:rFonts w:cs="宋体"/>
                <w:sz w:val="18"/>
                <w:szCs w:val="18"/>
              </w:rPr>
              <w:t>有限责任公司</w:t>
            </w:r>
          </w:p>
        </w:tc>
        <w:tc>
          <w:tcPr>
            <w:tcW w:w="1377" w:type="dxa"/>
            <w:tcBorders>
              <w:top w:val="single" w:sz="2" w:space="0" w:color="auto"/>
              <w:left w:val="single" w:sz="2" w:space="0" w:color="auto"/>
              <w:bottom w:val="single" w:sz="2" w:space="0" w:color="auto"/>
              <w:right w:val="single" w:sz="2" w:space="0" w:color="auto"/>
            </w:tcBorders>
            <w:vAlign w:val="center"/>
          </w:tcPr>
          <w:p w14:paraId="2D65443D" w14:textId="77777777" w:rsidR="007B3DB2" w:rsidRPr="0063248C" w:rsidRDefault="00000000">
            <w:pPr>
              <w:spacing w:line="240" w:lineRule="exact"/>
              <w:jc w:val="right"/>
              <w:rPr>
                <w:rFonts w:cs="宋体"/>
                <w:sz w:val="18"/>
                <w:szCs w:val="18"/>
              </w:rPr>
            </w:pPr>
            <w:r w:rsidRPr="0063248C">
              <w:rPr>
                <w:rFonts w:cs="宋体"/>
                <w:sz w:val="18"/>
                <w:szCs w:val="18"/>
              </w:rPr>
              <w:t>25,173.06</w:t>
            </w:r>
          </w:p>
        </w:tc>
        <w:tc>
          <w:tcPr>
            <w:tcW w:w="1377" w:type="dxa"/>
            <w:tcBorders>
              <w:top w:val="single" w:sz="2" w:space="0" w:color="auto"/>
              <w:left w:val="single" w:sz="2" w:space="0" w:color="auto"/>
              <w:bottom w:val="single" w:sz="2" w:space="0" w:color="auto"/>
              <w:right w:val="single" w:sz="2" w:space="0" w:color="auto"/>
            </w:tcBorders>
            <w:vAlign w:val="center"/>
          </w:tcPr>
          <w:p w14:paraId="20F7912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89745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4022C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827CC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BFA2515" w14:textId="77777777" w:rsidR="007B3DB2" w:rsidRPr="0063248C" w:rsidRDefault="00000000">
            <w:pPr>
              <w:spacing w:line="240" w:lineRule="exact"/>
              <w:jc w:val="right"/>
              <w:rPr>
                <w:rFonts w:cs="宋体"/>
                <w:sz w:val="18"/>
                <w:szCs w:val="18"/>
              </w:rPr>
            </w:pPr>
            <w:r w:rsidRPr="0063248C">
              <w:rPr>
                <w:rFonts w:cs="宋体"/>
                <w:sz w:val="18"/>
                <w:szCs w:val="18"/>
              </w:rPr>
              <w:t>25,173.06</w:t>
            </w:r>
          </w:p>
        </w:tc>
      </w:tr>
      <w:tr w:rsidR="007B3DB2" w:rsidRPr="0063248C" w14:paraId="5BBAC88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922A699"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115DEB17" w14:textId="77777777" w:rsidR="007B3DB2" w:rsidRPr="0063248C" w:rsidRDefault="00000000">
            <w:pPr>
              <w:spacing w:line="240" w:lineRule="exact"/>
              <w:jc w:val="right"/>
              <w:rPr>
                <w:rFonts w:cs="宋体"/>
                <w:sz w:val="18"/>
                <w:szCs w:val="18"/>
              </w:rPr>
            </w:pPr>
            <w:r w:rsidRPr="0063248C">
              <w:rPr>
                <w:rFonts w:cs="宋体"/>
                <w:sz w:val="18"/>
                <w:szCs w:val="18"/>
              </w:rPr>
              <w:t>59,848,911.76</w:t>
            </w:r>
          </w:p>
        </w:tc>
        <w:tc>
          <w:tcPr>
            <w:tcW w:w="1377" w:type="dxa"/>
            <w:tcBorders>
              <w:top w:val="single" w:sz="2" w:space="0" w:color="auto"/>
              <w:left w:val="single" w:sz="2" w:space="0" w:color="auto"/>
              <w:bottom w:val="single" w:sz="2" w:space="0" w:color="auto"/>
              <w:right w:val="single" w:sz="2" w:space="0" w:color="auto"/>
            </w:tcBorders>
            <w:vAlign w:val="center"/>
          </w:tcPr>
          <w:p w14:paraId="5B108AF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4B0667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57042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B46EC6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E76FDA" w14:textId="77777777" w:rsidR="007B3DB2" w:rsidRPr="0063248C" w:rsidRDefault="00000000">
            <w:pPr>
              <w:spacing w:line="240" w:lineRule="exact"/>
              <w:jc w:val="right"/>
              <w:rPr>
                <w:rFonts w:cs="宋体"/>
                <w:sz w:val="18"/>
                <w:szCs w:val="18"/>
              </w:rPr>
            </w:pPr>
            <w:r w:rsidRPr="0063248C">
              <w:rPr>
                <w:rFonts w:cs="宋体"/>
                <w:sz w:val="18"/>
                <w:szCs w:val="18"/>
              </w:rPr>
              <w:t>59,848,911.76</w:t>
            </w:r>
          </w:p>
        </w:tc>
      </w:tr>
    </w:tbl>
    <w:p w14:paraId="27AB9DB7" w14:textId="77777777" w:rsidR="007B3DB2" w:rsidRPr="0063248C" w:rsidRDefault="00000000">
      <w:pPr>
        <w:keepNext/>
        <w:keepLines/>
        <w:spacing w:before="300" w:after="300" w:line="280" w:lineRule="exact"/>
        <w:outlineLvl w:val="3"/>
        <w:rPr>
          <w:rFonts w:cs="宋体"/>
          <w:b/>
          <w:bCs/>
          <w:szCs w:val="21"/>
        </w:rPr>
      </w:pPr>
      <w:bookmarkStart w:id="296" w:name="_Toc989185"/>
      <w:r w:rsidRPr="0063248C">
        <w:rPr>
          <w:rFonts w:cs="宋体"/>
          <w:b/>
          <w:bCs/>
          <w:szCs w:val="21"/>
        </w:rPr>
        <w:lastRenderedPageBreak/>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商誉减值准备</w:t>
      </w:r>
      <w:bookmarkEnd w:id="296"/>
    </w:p>
    <w:p w14:paraId="7DCE3192"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4A78414D"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A50A1CD" w14:textId="77777777" w:rsidR="007B3DB2" w:rsidRPr="0063248C" w:rsidRDefault="00000000">
            <w:pPr>
              <w:spacing w:before="40" w:after="40" w:line="240" w:lineRule="exact"/>
              <w:jc w:val="center"/>
              <w:rPr>
                <w:rFonts w:cs="宋体"/>
                <w:sz w:val="18"/>
                <w:szCs w:val="18"/>
              </w:rPr>
            </w:pPr>
            <w:r w:rsidRPr="0063248C">
              <w:rPr>
                <w:rFonts w:cs="宋体"/>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5C27BD"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46D5794"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1C57B0B"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00E2A4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620ED073"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6E1592" w14:textId="77777777" w:rsidR="007B3DB2" w:rsidRPr="0063248C" w:rsidRDefault="007B3DB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43E3969"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22D53E6"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vAlign w:val="center"/>
          </w:tcPr>
          <w:p w14:paraId="4FF89ED5" w14:textId="77777777" w:rsidR="007B3DB2" w:rsidRPr="0063248C" w:rsidRDefault="007B3DB2">
            <w:pPr>
              <w:spacing w:line="240" w:lineRule="exact"/>
              <w:jc w:val="center"/>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FF22A06" w14:textId="77777777" w:rsidR="007B3DB2" w:rsidRPr="0063248C" w:rsidRDefault="00000000">
            <w:pPr>
              <w:spacing w:before="40" w:after="40" w:line="240" w:lineRule="exact"/>
              <w:jc w:val="center"/>
              <w:rPr>
                <w:rFonts w:cs="宋体"/>
                <w:sz w:val="18"/>
                <w:szCs w:val="18"/>
              </w:rPr>
            </w:pPr>
            <w:r w:rsidRPr="0063248C">
              <w:rPr>
                <w:rFonts w:cs="宋体"/>
                <w:sz w:val="18"/>
                <w:szCs w:val="18"/>
              </w:rPr>
              <w:t>处置</w:t>
            </w:r>
          </w:p>
        </w:tc>
        <w:tc>
          <w:tcPr>
            <w:tcW w:w="1377" w:type="dxa"/>
            <w:tcBorders>
              <w:top w:val="single" w:sz="2" w:space="0" w:color="auto"/>
              <w:left w:val="single" w:sz="2" w:space="0" w:color="auto"/>
              <w:bottom w:val="single" w:sz="2" w:space="0" w:color="auto"/>
              <w:right w:val="single" w:sz="2" w:space="0" w:color="auto"/>
            </w:tcBorders>
            <w:vAlign w:val="center"/>
          </w:tcPr>
          <w:p w14:paraId="5842D715" w14:textId="77777777" w:rsidR="007B3DB2" w:rsidRPr="0063248C" w:rsidRDefault="007B3DB2">
            <w:pPr>
              <w:spacing w:line="240" w:lineRule="exact"/>
              <w:jc w:val="center"/>
              <w:rPr>
                <w:rFonts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7423598" w14:textId="77777777" w:rsidR="007B3DB2" w:rsidRPr="0063248C" w:rsidRDefault="007B3DB2"/>
        </w:tc>
      </w:tr>
      <w:tr w:rsidR="007B3DB2" w:rsidRPr="0063248C" w14:paraId="43E02B2E"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D5FA983"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09F6E959" w14:textId="77777777" w:rsidR="007B3DB2" w:rsidRPr="0063248C" w:rsidRDefault="00000000">
            <w:pPr>
              <w:spacing w:line="240" w:lineRule="exact"/>
              <w:jc w:val="right"/>
              <w:rPr>
                <w:rFonts w:cs="宋体"/>
                <w:sz w:val="18"/>
                <w:szCs w:val="18"/>
              </w:rPr>
            </w:pPr>
            <w:r w:rsidRPr="0063248C">
              <w:rPr>
                <w:rFonts w:cs="宋体"/>
                <w:sz w:val="18"/>
                <w:szCs w:val="18"/>
              </w:rPr>
              <w:t>32,951,764.52</w:t>
            </w:r>
          </w:p>
        </w:tc>
        <w:tc>
          <w:tcPr>
            <w:tcW w:w="1377" w:type="dxa"/>
            <w:tcBorders>
              <w:top w:val="single" w:sz="2" w:space="0" w:color="auto"/>
              <w:left w:val="single" w:sz="2" w:space="0" w:color="auto"/>
              <w:bottom w:val="single" w:sz="2" w:space="0" w:color="auto"/>
              <w:right w:val="single" w:sz="2" w:space="0" w:color="auto"/>
            </w:tcBorders>
            <w:vAlign w:val="center"/>
          </w:tcPr>
          <w:p w14:paraId="6062BE64"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72EF1F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F05A9A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74A87D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1494B73" w14:textId="77777777" w:rsidR="007B3DB2" w:rsidRPr="0063248C" w:rsidRDefault="00000000">
            <w:pPr>
              <w:spacing w:line="240" w:lineRule="exact"/>
              <w:jc w:val="right"/>
              <w:rPr>
                <w:rFonts w:cs="宋体"/>
                <w:sz w:val="18"/>
                <w:szCs w:val="18"/>
              </w:rPr>
            </w:pPr>
            <w:r w:rsidRPr="0063248C">
              <w:rPr>
                <w:rFonts w:cs="宋体"/>
                <w:sz w:val="18"/>
                <w:szCs w:val="18"/>
              </w:rPr>
              <w:t>32,951,764.52</w:t>
            </w:r>
          </w:p>
        </w:tc>
      </w:tr>
      <w:tr w:rsidR="007B3DB2" w:rsidRPr="0063248C" w14:paraId="585F85F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9E56A97" w14:textId="77777777" w:rsidR="007B3DB2" w:rsidRPr="0063248C" w:rsidRDefault="00000000">
            <w:pPr>
              <w:spacing w:line="240" w:lineRule="exact"/>
              <w:rPr>
                <w:rFonts w:cs="宋体"/>
                <w:sz w:val="18"/>
                <w:szCs w:val="18"/>
              </w:rPr>
            </w:pPr>
            <w:proofErr w:type="gramStart"/>
            <w:r w:rsidRPr="0063248C">
              <w:rPr>
                <w:rFonts w:cs="宋体"/>
                <w:sz w:val="18"/>
                <w:szCs w:val="18"/>
              </w:rPr>
              <w:t>通辽金泉食品</w:t>
            </w:r>
            <w:proofErr w:type="gramEnd"/>
            <w:r w:rsidRPr="0063248C">
              <w:rPr>
                <w:rFonts w:cs="宋体"/>
                <w:sz w:val="18"/>
                <w:szCs w:val="18"/>
              </w:rPr>
              <w:t>有限责任公司</w:t>
            </w:r>
          </w:p>
        </w:tc>
        <w:tc>
          <w:tcPr>
            <w:tcW w:w="1377" w:type="dxa"/>
            <w:tcBorders>
              <w:top w:val="single" w:sz="2" w:space="0" w:color="auto"/>
              <w:left w:val="single" w:sz="2" w:space="0" w:color="auto"/>
              <w:bottom w:val="single" w:sz="2" w:space="0" w:color="auto"/>
              <w:right w:val="single" w:sz="2" w:space="0" w:color="auto"/>
            </w:tcBorders>
            <w:vAlign w:val="center"/>
          </w:tcPr>
          <w:p w14:paraId="4136E564" w14:textId="77777777" w:rsidR="007B3DB2" w:rsidRPr="0063248C" w:rsidRDefault="00000000">
            <w:pPr>
              <w:spacing w:line="240" w:lineRule="exact"/>
              <w:jc w:val="right"/>
              <w:rPr>
                <w:rFonts w:cs="宋体"/>
                <w:sz w:val="18"/>
                <w:szCs w:val="18"/>
              </w:rPr>
            </w:pPr>
            <w:r w:rsidRPr="0063248C">
              <w:rPr>
                <w:rFonts w:cs="宋体"/>
                <w:sz w:val="18"/>
                <w:szCs w:val="18"/>
              </w:rPr>
              <w:t>25,173.06</w:t>
            </w:r>
          </w:p>
        </w:tc>
        <w:tc>
          <w:tcPr>
            <w:tcW w:w="1377" w:type="dxa"/>
            <w:tcBorders>
              <w:top w:val="single" w:sz="2" w:space="0" w:color="auto"/>
              <w:left w:val="single" w:sz="2" w:space="0" w:color="auto"/>
              <w:bottom w:val="single" w:sz="2" w:space="0" w:color="auto"/>
              <w:right w:val="single" w:sz="2" w:space="0" w:color="auto"/>
            </w:tcBorders>
            <w:vAlign w:val="center"/>
          </w:tcPr>
          <w:p w14:paraId="720B128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DD3BAA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ABCC2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C4560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A2429AB" w14:textId="77777777" w:rsidR="007B3DB2" w:rsidRPr="0063248C" w:rsidRDefault="00000000">
            <w:pPr>
              <w:spacing w:line="240" w:lineRule="exact"/>
              <w:jc w:val="right"/>
              <w:rPr>
                <w:rFonts w:cs="宋体"/>
                <w:sz w:val="18"/>
                <w:szCs w:val="18"/>
              </w:rPr>
            </w:pPr>
            <w:r w:rsidRPr="0063248C">
              <w:rPr>
                <w:rFonts w:cs="宋体"/>
                <w:sz w:val="18"/>
                <w:szCs w:val="18"/>
              </w:rPr>
              <w:t>25,173.06</w:t>
            </w:r>
          </w:p>
        </w:tc>
      </w:tr>
      <w:tr w:rsidR="007B3DB2" w:rsidRPr="0063248C" w14:paraId="5CBAB9C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3A471A9"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36A93B0F" w14:textId="77777777" w:rsidR="007B3DB2" w:rsidRPr="0063248C" w:rsidRDefault="00000000">
            <w:pPr>
              <w:spacing w:line="240" w:lineRule="exact"/>
              <w:jc w:val="right"/>
              <w:rPr>
                <w:rFonts w:cs="宋体"/>
                <w:sz w:val="18"/>
                <w:szCs w:val="18"/>
              </w:rPr>
            </w:pPr>
            <w:r w:rsidRPr="0063248C">
              <w:rPr>
                <w:rFonts w:cs="宋体"/>
                <w:sz w:val="18"/>
                <w:szCs w:val="18"/>
              </w:rPr>
              <w:t>32,976,937.58</w:t>
            </w:r>
          </w:p>
        </w:tc>
        <w:tc>
          <w:tcPr>
            <w:tcW w:w="1377" w:type="dxa"/>
            <w:tcBorders>
              <w:top w:val="single" w:sz="2" w:space="0" w:color="auto"/>
              <w:left w:val="single" w:sz="2" w:space="0" w:color="auto"/>
              <w:bottom w:val="single" w:sz="2" w:space="0" w:color="auto"/>
              <w:right w:val="single" w:sz="2" w:space="0" w:color="auto"/>
            </w:tcBorders>
            <w:vAlign w:val="center"/>
          </w:tcPr>
          <w:p w14:paraId="154B800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C7C1EC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B5B101"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543EBE"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BF7CE86" w14:textId="77777777" w:rsidR="007B3DB2" w:rsidRPr="0063248C" w:rsidRDefault="00000000">
            <w:pPr>
              <w:spacing w:line="240" w:lineRule="exact"/>
              <w:jc w:val="right"/>
              <w:rPr>
                <w:rFonts w:cs="宋体"/>
                <w:sz w:val="18"/>
                <w:szCs w:val="18"/>
              </w:rPr>
            </w:pPr>
            <w:r w:rsidRPr="0063248C">
              <w:rPr>
                <w:rFonts w:cs="宋体"/>
                <w:sz w:val="18"/>
                <w:szCs w:val="18"/>
              </w:rPr>
              <w:t>32,976,937.58</w:t>
            </w:r>
          </w:p>
        </w:tc>
      </w:tr>
    </w:tbl>
    <w:p w14:paraId="0276E67C" w14:textId="77777777" w:rsidR="007B3DB2" w:rsidRPr="0063248C" w:rsidRDefault="00000000">
      <w:pPr>
        <w:keepNext/>
        <w:keepLines/>
        <w:spacing w:before="300" w:after="300" w:line="280" w:lineRule="exact"/>
        <w:outlineLvl w:val="3"/>
        <w:rPr>
          <w:rFonts w:cs="宋体"/>
          <w:b/>
          <w:bCs/>
          <w:szCs w:val="21"/>
        </w:rPr>
      </w:pPr>
      <w:bookmarkStart w:id="297" w:name="_Toc989186"/>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商誉所在资产组或资产组组合的相关信息</w:t>
      </w:r>
      <w:bookmarkEnd w:id="297"/>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0CB1CF74" w14:textId="77777777" w:rsidTr="006D579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74E3F0" w14:textId="77777777" w:rsidR="007B3DB2" w:rsidRPr="0063248C" w:rsidRDefault="00000000">
            <w:pPr>
              <w:spacing w:before="40" w:after="40" w:line="240" w:lineRule="exact"/>
              <w:jc w:val="center"/>
              <w:rPr>
                <w:rFonts w:cs="宋体"/>
                <w:sz w:val="18"/>
                <w:szCs w:val="18"/>
              </w:rPr>
            </w:pPr>
            <w:r w:rsidRPr="0063248C">
              <w:rPr>
                <w:rFonts w:cs="宋体"/>
                <w:sz w:val="18"/>
                <w:szCs w:val="18"/>
              </w:rPr>
              <w:t>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D592D34" w14:textId="77777777" w:rsidR="007B3DB2" w:rsidRPr="0063248C" w:rsidRDefault="00000000">
            <w:pPr>
              <w:spacing w:before="40" w:after="40" w:line="240" w:lineRule="exact"/>
              <w:jc w:val="center"/>
              <w:rPr>
                <w:rFonts w:cs="宋体"/>
                <w:sz w:val="18"/>
                <w:szCs w:val="18"/>
              </w:rPr>
            </w:pPr>
            <w:r w:rsidRPr="0063248C">
              <w:rPr>
                <w:rFonts w:cs="宋体"/>
                <w:sz w:val="18"/>
                <w:szCs w:val="18"/>
              </w:rPr>
              <w:t>所属资产组或组合的构成及依据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1280B85" w14:textId="77777777" w:rsidR="007B3DB2" w:rsidRPr="0063248C" w:rsidRDefault="00000000">
            <w:pPr>
              <w:spacing w:before="40" w:after="40" w:line="240" w:lineRule="exact"/>
              <w:jc w:val="center"/>
              <w:rPr>
                <w:rFonts w:cs="宋体"/>
                <w:sz w:val="18"/>
                <w:szCs w:val="18"/>
              </w:rPr>
            </w:pPr>
            <w:r w:rsidRPr="0063248C">
              <w:rPr>
                <w:rFonts w:cs="宋体"/>
                <w:sz w:val="18"/>
                <w:szCs w:val="18"/>
              </w:rPr>
              <w:t>所属经营分部及依据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4EA8E2" w14:textId="77777777" w:rsidR="007B3DB2" w:rsidRPr="0063248C" w:rsidRDefault="00000000">
            <w:pPr>
              <w:spacing w:before="40" w:after="40" w:line="240" w:lineRule="exact"/>
              <w:jc w:val="center"/>
              <w:rPr>
                <w:rFonts w:cs="宋体"/>
                <w:sz w:val="18"/>
                <w:szCs w:val="18"/>
              </w:rPr>
            </w:pPr>
            <w:r w:rsidRPr="0063248C">
              <w:rPr>
                <w:rFonts w:cs="宋体"/>
                <w:sz w:val="18"/>
                <w:szCs w:val="18"/>
              </w:rPr>
              <w:t>是否与以前年度保持一致</w:t>
            </w:r>
          </w:p>
        </w:tc>
      </w:tr>
      <w:tr w:rsidR="006D579E" w:rsidRPr="0063248C" w14:paraId="228B2917" w14:textId="77777777" w:rsidTr="006D579E">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B3FECBB" w14:textId="77777777" w:rsidR="006D579E" w:rsidRPr="0063248C" w:rsidRDefault="006D579E">
            <w:pPr>
              <w:spacing w:before="40" w:after="40" w:line="240" w:lineRule="exact"/>
              <w:jc w:val="center"/>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E69AD16" w14:textId="77777777" w:rsidR="006D579E" w:rsidRPr="0063248C" w:rsidRDefault="006D579E">
            <w:pPr>
              <w:spacing w:before="40" w:after="40" w:line="240" w:lineRule="exact"/>
              <w:jc w:val="center"/>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721CEE2" w14:textId="77777777" w:rsidR="006D579E" w:rsidRPr="0063248C" w:rsidRDefault="006D579E">
            <w:pPr>
              <w:spacing w:before="40" w:after="40" w:line="240" w:lineRule="exact"/>
              <w:jc w:val="center"/>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70A55D2" w14:textId="4FB41BFD" w:rsidR="006D579E" w:rsidRPr="0063248C" w:rsidRDefault="006D579E">
            <w:pPr>
              <w:spacing w:before="40" w:after="40" w:line="240" w:lineRule="exact"/>
              <w:jc w:val="center"/>
              <w:rPr>
                <w:rFonts w:cs="宋体"/>
                <w:sz w:val="18"/>
                <w:szCs w:val="18"/>
              </w:rPr>
            </w:pPr>
            <w:r>
              <w:rPr>
                <w:rFonts w:cs="宋体" w:hint="eastAsia"/>
                <w:sz w:val="18"/>
                <w:szCs w:val="18"/>
              </w:rPr>
              <w:t>是</w:t>
            </w:r>
          </w:p>
        </w:tc>
      </w:tr>
    </w:tbl>
    <w:p w14:paraId="1C705774" w14:textId="77777777" w:rsidR="007B3DB2" w:rsidRPr="0063248C" w:rsidRDefault="00000000">
      <w:pPr>
        <w:spacing w:before="100" w:after="100" w:line="240" w:lineRule="exact"/>
        <w:rPr>
          <w:rFonts w:cs="宋体"/>
          <w:sz w:val="18"/>
          <w:szCs w:val="18"/>
        </w:rPr>
      </w:pPr>
      <w:r w:rsidRPr="0063248C">
        <w:rPr>
          <w:rFonts w:cs="宋体"/>
          <w:sz w:val="18"/>
          <w:szCs w:val="18"/>
        </w:rPr>
        <w:t>资产组或资产组组合发生变化</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1F1EF6D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CD7CD77" w14:textId="77777777" w:rsidR="007B3DB2" w:rsidRPr="0063248C" w:rsidRDefault="00000000">
            <w:pPr>
              <w:spacing w:before="40" w:after="40" w:line="240" w:lineRule="exact"/>
              <w:jc w:val="center"/>
              <w:rPr>
                <w:rFonts w:cs="宋体"/>
                <w:sz w:val="18"/>
                <w:szCs w:val="18"/>
              </w:rPr>
            </w:pPr>
            <w:r w:rsidRPr="0063248C">
              <w:rPr>
                <w:rFonts w:cs="宋体"/>
                <w:sz w:val="18"/>
                <w:szCs w:val="18"/>
              </w:rPr>
              <w:t>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DF21D48" w14:textId="77777777" w:rsidR="007B3DB2" w:rsidRPr="0063248C" w:rsidRDefault="00000000">
            <w:pPr>
              <w:spacing w:before="40" w:after="40" w:line="240" w:lineRule="exact"/>
              <w:jc w:val="center"/>
              <w:rPr>
                <w:rFonts w:cs="宋体"/>
                <w:sz w:val="18"/>
                <w:szCs w:val="18"/>
              </w:rPr>
            </w:pPr>
            <w:r w:rsidRPr="0063248C">
              <w:rPr>
                <w:rFonts w:cs="宋体"/>
                <w:sz w:val="18"/>
                <w:szCs w:val="18"/>
              </w:rPr>
              <w:t>变化前的构成</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C5A1ED5" w14:textId="77777777" w:rsidR="007B3DB2" w:rsidRPr="0063248C" w:rsidRDefault="00000000">
            <w:pPr>
              <w:spacing w:before="40" w:after="40" w:line="240" w:lineRule="exact"/>
              <w:jc w:val="center"/>
              <w:rPr>
                <w:rFonts w:cs="宋体"/>
                <w:sz w:val="18"/>
                <w:szCs w:val="18"/>
              </w:rPr>
            </w:pPr>
            <w:r w:rsidRPr="0063248C">
              <w:rPr>
                <w:rFonts w:cs="宋体"/>
                <w:sz w:val="18"/>
                <w:szCs w:val="18"/>
              </w:rPr>
              <w:t>变化后的构成</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85DBCC0" w14:textId="77777777" w:rsidR="007B3DB2" w:rsidRPr="0063248C" w:rsidRDefault="00000000">
            <w:pPr>
              <w:spacing w:before="40" w:after="40" w:line="240" w:lineRule="exact"/>
              <w:jc w:val="center"/>
              <w:rPr>
                <w:rFonts w:cs="宋体"/>
                <w:sz w:val="18"/>
                <w:szCs w:val="18"/>
              </w:rPr>
            </w:pPr>
            <w:r w:rsidRPr="0063248C">
              <w:rPr>
                <w:rFonts w:cs="宋体"/>
                <w:sz w:val="18"/>
                <w:szCs w:val="18"/>
              </w:rPr>
              <w:t>导致变化的客观事实及依据</w:t>
            </w:r>
          </w:p>
        </w:tc>
      </w:tr>
    </w:tbl>
    <w:p w14:paraId="01EFFE22"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6EF50D08" w14:textId="77777777" w:rsidR="00517D34" w:rsidRPr="0063248C" w:rsidRDefault="00000000">
      <w:pPr>
        <w:pStyle w:val="a3"/>
        <w:spacing w:before="0" w:beforeAutospacing="0" w:after="0" w:afterAutospacing="0" w:line="273" w:lineRule="auto"/>
        <w:ind w:firstLine="360"/>
        <w:divId w:val="847599532"/>
        <w:rPr>
          <w:rFonts w:ascii="Times New Roman" w:hAnsi="Times New Roman"/>
          <w:sz w:val="21"/>
          <w:szCs w:val="21"/>
        </w:rPr>
      </w:pPr>
      <w:r w:rsidRPr="0063248C">
        <w:rPr>
          <w:rFonts w:ascii="Times New Roman" w:hAnsi="Times New Roman" w:hint="eastAsia"/>
          <w:sz w:val="18"/>
          <w:szCs w:val="18"/>
        </w:rPr>
        <w:t>商誉所在资产组或资产组组合的相关信息</w:t>
      </w:r>
      <w:r w:rsidRPr="0063248C">
        <w:rPr>
          <w:rFonts w:ascii="Times New Roman" w:hAnsi="Times New Roman" w:hint="eastAsia"/>
          <w:sz w:val="18"/>
          <w:szCs w:val="18"/>
        </w:rPr>
        <w:t xml:space="preserve"> </w:t>
      </w:r>
    </w:p>
    <w:p w14:paraId="4A01CBF7" w14:textId="77777777" w:rsidR="00517D34" w:rsidRPr="0063248C" w:rsidRDefault="00000000">
      <w:pPr>
        <w:pStyle w:val="a3"/>
        <w:spacing w:before="0" w:beforeAutospacing="0" w:after="0" w:afterAutospacing="0" w:line="273" w:lineRule="auto"/>
        <w:ind w:firstLine="360"/>
        <w:divId w:val="847599532"/>
        <w:rPr>
          <w:rFonts w:ascii="Times New Roman" w:hAnsi="Times New Roman"/>
          <w:sz w:val="21"/>
          <w:szCs w:val="21"/>
        </w:rPr>
      </w:pPr>
      <w:r w:rsidRPr="0063248C">
        <w:rPr>
          <w:rFonts w:ascii="Times New Roman" w:hAnsi="Times New Roman" w:hint="eastAsia"/>
          <w:sz w:val="18"/>
          <w:szCs w:val="18"/>
        </w:rPr>
        <w:t>商誉的初始形成</w:t>
      </w:r>
    </w:p>
    <w:p w14:paraId="41FAAE67" w14:textId="77777777" w:rsidR="00517D34" w:rsidRPr="0063248C" w:rsidRDefault="00000000" w:rsidP="00760A54">
      <w:pPr>
        <w:pStyle w:val="a3"/>
        <w:spacing w:before="0" w:beforeAutospacing="0" w:after="0" w:afterAutospacing="0" w:line="273" w:lineRule="auto"/>
        <w:ind w:firstLine="360"/>
        <w:jc w:val="both"/>
        <w:divId w:val="847599532"/>
        <w:rPr>
          <w:rFonts w:ascii="Times New Roman" w:hAnsi="Times New Roman"/>
          <w:sz w:val="21"/>
          <w:szCs w:val="21"/>
        </w:rPr>
      </w:pPr>
      <w:r w:rsidRPr="0063248C">
        <w:rPr>
          <w:rFonts w:ascii="Times New Roman" w:hAnsi="Times New Roman" w:hint="eastAsia"/>
          <w:sz w:val="18"/>
          <w:szCs w:val="18"/>
        </w:rPr>
        <w:t>本公司于</w:t>
      </w:r>
      <w:r w:rsidRPr="0063248C">
        <w:rPr>
          <w:rFonts w:ascii="Times New Roman" w:hAnsi="Times New Roman" w:cs="Times New Roman"/>
          <w:sz w:val="18"/>
          <w:szCs w:val="18"/>
        </w:rPr>
        <w:t>2018</w:t>
      </w:r>
      <w:r w:rsidRPr="0063248C">
        <w:rPr>
          <w:rFonts w:ascii="Times New Roman" w:hAnsi="Times New Roman" w:hint="eastAsia"/>
          <w:sz w:val="18"/>
          <w:szCs w:val="18"/>
        </w:rPr>
        <w:t>年收购潍坊振</w:t>
      </w:r>
      <w:proofErr w:type="gramStart"/>
      <w:r w:rsidRPr="0063248C">
        <w:rPr>
          <w:rFonts w:ascii="Times New Roman" w:hAnsi="Times New Roman" w:hint="eastAsia"/>
          <w:sz w:val="18"/>
          <w:szCs w:val="18"/>
        </w:rPr>
        <w:t>祥</w:t>
      </w:r>
      <w:proofErr w:type="gramEnd"/>
      <w:r w:rsidRPr="0063248C">
        <w:rPr>
          <w:rFonts w:ascii="Times New Roman" w:hAnsi="Times New Roman" w:hint="eastAsia"/>
          <w:sz w:val="18"/>
          <w:szCs w:val="18"/>
        </w:rPr>
        <w:t>食品有限公司（以下简称“潍坊振祥”）</w:t>
      </w:r>
      <w:r w:rsidRPr="0063248C">
        <w:rPr>
          <w:rFonts w:ascii="Times New Roman" w:hAnsi="Times New Roman" w:cs="Times New Roman"/>
          <w:sz w:val="18"/>
          <w:szCs w:val="18"/>
        </w:rPr>
        <w:t>70%</w:t>
      </w:r>
      <w:r w:rsidRPr="0063248C">
        <w:rPr>
          <w:rFonts w:ascii="Times New Roman" w:hAnsi="Times New Roman" w:hint="eastAsia"/>
          <w:sz w:val="18"/>
          <w:szCs w:val="18"/>
        </w:rPr>
        <w:t>股权，交易的合并成本为</w:t>
      </w:r>
      <w:r w:rsidRPr="0063248C">
        <w:rPr>
          <w:rFonts w:ascii="Times New Roman" w:hAnsi="Times New Roman" w:cs="Times New Roman"/>
          <w:sz w:val="18"/>
          <w:szCs w:val="18"/>
        </w:rPr>
        <w:t>86,690,300.00</w:t>
      </w:r>
      <w:r w:rsidRPr="0063248C">
        <w:rPr>
          <w:rFonts w:ascii="Times New Roman" w:hAnsi="Times New Roman" w:hint="eastAsia"/>
          <w:sz w:val="18"/>
          <w:szCs w:val="18"/>
        </w:rPr>
        <w:t>元，取得被购买方潍坊振</w:t>
      </w:r>
      <w:proofErr w:type="gramStart"/>
      <w:r w:rsidRPr="0063248C">
        <w:rPr>
          <w:rFonts w:ascii="Times New Roman" w:hAnsi="Times New Roman" w:hint="eastAsia"/>
          <w:sz w:val="18"/>
          <w:szCs w:val="18"/>
        </w:rPr>
        <w:t>祥</w:t>
      </w:r>
      <w:proofErr w:type="gramEnd"/>
      <w:r w:rsidRPr="0063248C">
        <w:rPr>
          <w:rFonts w:ascii="Times New Roman" w:hAnsi="Times New Roman" w:cs="Times New Roman"/>
          <w:sz w:val="18"/>
          <w:szCs w:val="18"/>
        </w:rPr>
        <w:t>70%</w:t>
      </w:r>
      <w:r w:rsidRPr="0063248C">
        <w:rPr>
          <w:rFonts w:ascii="Times New Roman" w:hAnsi="Times New Roman" w:hint="eastAsia"/>
          <w:sz w:val="18"/>
          <w:szCs w:val="18"/>
        </w:rPr>
        <w:t>股权对应的可辨认净资产公允价值为</w:t>
      </w:r>
      <w:r w:rsidRPr="0063248C">
        <w:rPr>
          <w:rFonts w:ascii="Times New Roman" w:hAnsi="Times New Roman" w:cs="Times New Roman"/>
          <w:sz w:val="18"/>
          <w:szCs w:val="18"/>
        </w:rPr>
        <w:t>26,866,561.30</w:t>
      </w:r>
      <w:r w:rsidRPr="0063248C">
        <w:rPr>
          <w:rFonts w:ascii="Times New Roman" w:hAnsi="Times New Roman" w:hint="eastAsia"/>
          <w:sz w:val="18"/>
          <w:szCs w:val="18"/>
        </w:rPr>
        <w:t>元，合并成本大于合并中取得的被购买方可辨认净资产公允价值份额的差额为</w:t>
      </w:r>
      <w:r w:rsidRPr="0063248C">
        <w:rPr>
          <w:rFonts w:ascii="Times New Roman" w:hAnsi="Times New Roman" w:cs="Times New Roman"/>
          <w:sz w:val="18"/>
          <w:szCs w:val="18"/>
        </w:rPr>
        <w:t>59,823,738.70</w:t>
      </w:r>
      <w:r w:rsidRPr="0063248C">
        <w:rPr>
          <w:rFonts w:ascii="Times New Roman" w:hAnsi="Times New Roman" w:hint="eastAsia"/>
          <w:sz w:val="18"/>
          <w:szCs w:val="18"/>
        </w:rPr>
        <w:t>元，确认为商誉。</w:t>
      </w:r>
    </w:p>
    <w:p w14:paraId="49017FEE" w14:textId="77777777" w:rsidR="00517D34" w:rsidRPr="0063248C" w:rsidRDefault="00000000" w:rsidP="00760A54">
      <w:pPr>
        <w:pStyle w:val="a3"/>
        <w:spacing w:before="0" w:beforeAutospacing="0" w:after="0" w:afterAutospacing="0" w:line="273" w:lineRule="auto"/>
        <w:ind w:firstLine="360"/>
        <w:jc w:val="both"/>
        <w:divId w:val="847599532"/>
        <w:rPr>
          <w:rFonts w:ascii="Times New Roman" w:hAnsi="Times New Roman"/>
          <w:sz w:val="21"/>
          <w:szCs w:val="21"/>
        </w:rPr>
      </w:pPr>
      <w:r w:rsidRPr="0063248C">
        <w:rPr>
          <w:rFonts w:ascii="Times New Roman" w:hAnsi="Times New Roman" w:hint="eastAsia"/>
          <w:sz w:val="18"/>
          <w:szCs w:val="18"/>
        </w:rPr>
        <w:t>本公司于</w:t>
      </w:r>
      <w:r w:rsidRPr="0063248C">
        <w:rPr>
          <w:rFonts w:ascii="Times New Roman" w:hAnsi="Times New Roman" w:cs="Times New Roman"/>
          <w:sz w:val="18"/>
          <w:szCs w:val="18"/>
        </w:rPr>
        <w:t>2020</w:t>
      </w:r>
      <w:r w:rsidRPr="0063248C">
        <w:rPr>
          <w:rFonts w:ascii="Times New Roman" w:hAnsi="Times New Roman" w:hint="eastAsia"/>
          <w:sz w:val="18"/>
          <w:szCs w:val="18"/>
        </w:rPr>
        <w:t>年收购</w:t>
      </w:r>
      <w:proofErr w:type="gramStart"/>
      <w:r w:rsidRPr="0063248C">
        <w:rPr>
          <w:rFonts w:ascii="Times New Roman" w:hAnsi="Times New Roman" w:hint="eastAsia"/>
          <w:sz w:val="18"/>
          <w:szCs w:val="18"/>
        </w:rPr>
        <w:t>通辽金泉食品</w:t>
      </w:r>
      <w:proofErr w:type="gramEnd"/>
      <w:r w:rsidRPr="0063248C">
        <w:rPr>
          <w:rFonts w:ascii="Times New Roman" w:hAnsi="Times New Roman" w:hint="eastAsia"/>
          <w:sz w:val="18"/>
          <w:szCs w:val="18"/>
        </w:rPr>
        <w:t>有限责任公司（以下简称“通辽金泉”）</w:t>
      </w:r>
      <w:r w:rsidRPr="0063248C">
        <w:rPr>
          <w:rFonts w:ascii="Times New Roman" w:hAnsi="Times New Roman" w:cs="Times New Roman"/>
          <w:sz w:val="18"/>
          <w:szCs w:val="18"/>
        </w:rPr>
        <w:t>100%</w:t>
      </w:r>
      <w:r w:rsidRPr="0063248C">
        <w:rPr>
          <w:rFonts w:ascii="Times New Roman" w:hAnsi="Times New Roman" w:hint="eastAsia"/>
          <w:sz w:val="18"/>
          <w:szCs w:val="18"/>
        </w:rPr>
        <w:t>股权，交易的合并成本为</w:t>
      </w:r>
      <w:r w:rsidRPr="0063248C">
        <w:rPr>
          <w:rFonts w:ascii="Times New Roman" w:hAnsi="Times New Roman" w:cs="Times New Roman"/>
          <w:sz w:val="18"/>
          <w:szCs w:val="18"/>
        </w:rPr>
        <w:t>35,000,700.00</w:t>
      </w:r>
      <w:r w:rsidRPr="0063248C">
        <w:rPr>
          <w:rFonts w:ascii="Times New Roman" w:hAnsi="Times New Roman" w:hint="eastAsia"/>
          <w:sz w:val="18"/>
          <w:szCs w:val="18"/>
        </w:rPr>
        <w:t>元，取得被购买方</w:t>
      </w:r>
      <w:proofErr w:type="gramStart"/>
      <w:r w:rsidRPr="0063248C">
        <w:rPr>
          <w:rFonts w:ascii="Times New Roman" w:hAnsi="Times New Roman" w:hint="eastAsia"/>
          <w:sz w:val="18"/>
          <w:szCs w:val="18"/>
        </w:rPr>
        <w:t>通辽金</w:t>
      </w:r>
      <w:proofErr w:type="gramEnd"/>
      <w:r w:rsidRPr="0063248C">
        <w:rPr>
          <w:rFonts w:ascii="Times New Roman" w:hAnsi="Times New Roman" w:hint="eastAsia"/>
          <w:sz w:val="18"/>
          <w:szCs w:val="18"/>
        </w:rPr>
        <w:t>泉</w:t>
      </w:r>
      <w:r w:rsidRPr="0063248C">
        <w:rPr>
          <w:rFonts w:ascii="Times New Roman" w:hAnsi="Times New Roman" w:cs="Times New Roman"/>
          <w:sz w:val="18"/>
          <w:szCs w:val="18"/>
        </w:rPr>
        <w:t>100%</w:t>
      </w:r>
      <w:r w:rsidRPr="0063248C">
        <w:rPr>
          <w:rFonts w:ascii="Times New Roman" w:hAnsi="Times New Roman" w:hint="eastAsia"/>
          <w:sz w:val="18"/>
          <w:szCs w:val="18"/>
        </w:rPr>
        <w:t>股权对应的可辨认净资产公允价值为</w:t>
      </w:r>
      <w:r w:rsidRPr="0063248C">
        <w:rPr>
          <w:rFonts w:ascii="Times New Roman" w:hAnsi="Times New Roman" w:cs="Times New Roman"/>
          <w:sz w:val="18"/>
          <w:szCs w:val="18"/>
        </w:rPr>
        <w:t>34,975,526.94</w:t>
      </w:r>
      <w:r w:rsidRPr="0063248C">
        <w:rPr>
          <w:rFonts w:ascii="Times New Roman" w:hAnsi="Times New Roman" w:hint="eastAsia"/>
          <w:sz w:val="18"/>
          <w:szCs w:val="18"/>
        </w:rPr>
        <w:t>元，合并成本大于合并中取得的被购买方可辨认净资产公允价值份额的差额为</w:t>
      </w:r>
      <w:r w:rsidRPr="0063248C">
        <w:rPr>
          <w:rFonts w:ascii="Times New Roman" w:hAnsi="Times New Roman" w:cs="Times New Roman"/>
          <w:sz w:val="18"/>
          <w:szCs w:val="18"/>
        </w:rPr>
        <w:t>25,173.06</w:t>
      </w:r>
      <w:r w:rsidRPr="0063248C">
        <w:rPr>
          <w:rFonts w:ascii="Times New Roman" w:hAnsi="Times New Roman" w:hint="eastAsia"/>
          <w:sz w:val="18"/>
          <w:szCs w:val="18"/>
        </w:rPr>
        <w:t>元，确认为商誉。</w:t>
      </w:r>
    </w:p>
    <w:p w14:paraId="5995B77C" w14:textId="77777777" w:rsidR="00517D34" w:rsidRPr="0063248C" w:rsidRDefault="00000000">
      <w:pPr>
        <w:pStyle w:val="a3"/>
        <w:spacing w:before="0" w:beforeAutospacing="0" w:after="0" w:afterAutospacing="0" w:line="273" w:lineRule="auto"/>
        <w:ind w:firstLine="360"/>
        <w:divId w:val="847599532"/>
        <w:rPr>
          <w:rFonts w:ascii="Times New Roman" w:hAnsi="Times New Roman"/>
          <w:sz w:val="21"/>
          <w:szCs w:val="21"/>
        </w:rPr>
      </w:pPr>
      <w:r w:rsidRPr="0063248C">
        <w:rPr>
          <w:rFonts w:ascii="Times New Roman" w:hAnsi="Times New Roman" w:cs="Times New Roman"/>
          <w:sz w:val="18"/>
          <w:szCs w:val="18"/>
        </w:rPr>
        <w:t> </w:t>
      </w:r>
    </w:p>
    <w:p w14:paraId="5FACEAB5" w14:textId="77777777" w:rsidR="00517D34" w:rsidRPr="0063248C" w:rsidRDefault="00000000">
      <w:pPr>
        <w:pStyle w:val="a3"/>
        <w:spacing w:before="0" w:beforeAutospacing="0" w:after="0" w:afterAutospacing="0" w:line="273" w:lineRule="auto"/>
        <w:ind w:firstLine="360"/>
        <w:divId w:val="847599532"/>
        <w:rPr>
          <w:rFonts w:ascii="Times New Roman" w:hAnsi="Times New Roman"/>
          <w:sz w:val="21"/>
          <w:szCs w:val="21"/>
        </w:rPr>
      </w:pPr>
      <w:r w:rsidRPr="0063248C">
        <w:rPr>
          <w:rFonts w:ascii="Times New Roman" w:hAnsi="Times New Roman" w:hint="eastAsia"/>
          <w:sz w:val="18"/>
          <w:szCs w:val="18"/>
        </w:rPr>
        <w:t>资产组或资产组组合的相关信息</w:t>
      </w:r>
    </w:p>
    <w:p w14:paraId="07B519B8" w14:textId="77777777" w:rsidR="00517D34" w:rsidRPr="0063248C" w:rsidRDefault="00000000">
      <w:pPr>
        <w:pStyle w:val="a3"/>
        <w:spacing w:before="0" w:beforeAutospacing="0" w:after="0" w:afterAutospacing="0" w:line="273" w:lineRule="auto"/>
        <w:ind w:firstLine="360"/>
        <w:divId w:val="847599532"/>
        <w:rPr>
          <w:rFonts w:ascii="Times New Roman" w:hAnsi="Times New Roman"/>
          <w:sz w:val="21"/>
          <w:szCs w:val="21"/>
        </w:rPr>
      </w:pPr>
      <w:r w:rsidRPr="0063248C">
        <w:rPr>
          <w:rFonts w:ascii="Times New Roman" w:hAnsi="Times New Roman" w:hint="eastAsia"/>
          <w:sz w:val="18"/>
          <w:szCs w:val="18"/>
        </w:rPr>
        <w:t>资产组包括组成与商誉相关资产组的长期资产（具体包括固定资产、在建工程和无形资产）和合并报表确认的商誉。</w:t>
      </w:r>
    </w:p>
    <w:p w14:paraId="49A853E7" w14:textId="77777777" w:rsidR="00517D34" w:rsidRPr="0063248C" w:rsidRDefault="00000000">
      <w:pPr>
        <w:pStyle w:val="a3"/>
        <w:spacing w:before="0" w:beforeAutospacing="0" w:after="0" w:afterAutospacing="0" w:line="273" w:lineRule="auto"/>
        <w:ind w:firstLine="360"/>
        <w:divId w:val="847599532"/>
        <w:rPr>
          <w:rFonts w:ascii="Times New Roman" w:hAnsi="Times New Roman"/>
          <w:sz w:val="21"/>
          <w:szCs w:val="21"/>
        </w:rPr>
      </w:pPr>
      <w:r w:rsidRPr="0063248C">
        <w:rPr>
          <w:rFonts w:ascii="Times New Roman" w:hAnsi="Times New Roman" w:hint="eastAsia"/>
          <w:sz w:val="18"/>
          <w:szCs w:val="18"/>
        </w:rPr>
        <w:t>商誉的减值测试过程</w:t>
      </w:r>
    </w:p>
    <w:p w14:paraId="59A79743" w14:textId="77777777" w:rsidR="00517D34" w:rsidRPr="0063248C" w:rsidRDefault="00000000">
      <w:pPr>
        <w:pStyle w:val="a3"/>
        <w:spacing w:before="0" w:beforeAutospacing="0" w:after="0" w:afterAutospacing="0" w:line="273" w:lineRule="auto"/>
        <w:ind w:firstLine="360"/>
        <w:divId w:val="847599532"/>
        <w:rPr>
          <w:rFonts w:ascii="Times New Roman" w:hAnsi="Times New Roman"/>
          <w:sz w:val="21"/>
          <w:szCs w:val="21"/>
        </w:rPr>
      </w:pPr>
      <w:r w:rsidRPr="0063248C">
        <w:rPr>
          <w:rFonts w:ascii="Times New Roman" w:hAnsi="Times New Roman" w:hint="eastAsia"/>
          <w:sz w:val="18"/>
          <w:szCs w:val="18"/>
        </w:rPr>
        <w:t>公司</w:t>
      </w:r>
      <w:proofErr w:type="gramStart"/>
      <w:r w:rsidRPr="0063248C">
        <w:rPr>
          <w:rFonts w:ascii="Times New Roman" w:hAnsi="Times New Roman" w:hint="eastAsia"/>
          <w:sz w:val="18"/>
          <w:szCs w:val="18"/>
        </w:rPr>
        <w:t>期末对</w:t>
      </w:r>
      <w:proofErr w:type="gramEnd"/>
      <w:r w:rsidRPr="0063248C">
        <w:rPr>
          <w:rFonts w:ascii="Times New Roman" w:hAnsi="Times New Roman" w:hint="eastAsia"/>
          <w:sz w:val="18"/>
          <w:szCs w:val="18"/>
        </w:rPr>
        <w:t>与商誉相关的资产组进行了减值测试，首先将该商誉及归属于少数股东权益的商誉包括在内，调整资产组的账面价值，然后将调整后的资产组账面价值</w:t>
      </w:r>
      <w:proofErr w:type="gramStart"/>
      <w:r w:rsidRPr="0063248C">
        <w:rPr>
          <w:rFonts w:ascii="Times New Roman" w:hAnsi="Times New Roman" w:hint="eastAsia"/>
          <w:sz w:val="18"/>
          <w:szCs w:val="18"/>
        </w:rPr>
        <w:t>与其可</w:t>
      </w:r>
      <w:proofErr w:type="gramEnd"/>
      <w:r w:rsidRPr="0063248C">
        <w:rPr>
          <w:rFonts w:ascii="Times New Roman" w:hAnsi="Times New Roman" w:hint="eastAsia"/>
          <w:sz w:val="18"/>
          <w:szCs w:val="18"/>
        </w:rPr>
        <w:t>收回金额进行比较，以确定资产组（包括商誉）是否发生了减值。</w:t>
      </w:r>
    </w:p>
    <w:p w14:paraId="0D62D716" w14:textId="77777777" w:rsidR="00517D34" w:rsidRPr="0063248C" w:rsidRDefault="00000000">
      <w:pPr>
        <w:pStyle w:val="a3"/>
        <w:spacing w:before="0" w:beforeAutospacing="0" w:after="0" w:afterAutospacing="0" w:line="273" w:lineRule="auto"/>
        <w:ind w:firstLine="360"/>
        <w:divId w:val="847599532"/>
        <w:rPr>
          <w:rFonts w:ascii="Times New Roman" w:hAnsi="Times New Roman"/>
          <w:sz w:val="21"/>
          <w:szCs w:val="21"/>
        </w:rPr>
      </w:pPr>
      <w:r w:rsidRPr="0063248C">
        <w:rPr>
          <w:rFonts w:ascii="Times New Roman" w:hAnsi="Times New Roman" w:cs="Times New Roman"/>
          <w:sz w:val="18"/>
          <w:szCs w:val="18"/>
        </w:rPr>
        <w:t> </w:t>
      </w:r>
    </w:p>
    <w:p w14:paraId="23E21021" w14:textId="77777777" w:rsidR="00517D34" w:rsidRPr="0063248C" w:rsidRDefault="00000000">
      <w:pPr>
        <w:pStyle w:val="a3"/>
        <w:spacing w:before="0" w:beforeAutospacing="0" w:after="0" w:afterAutospacing="0" w:line="273" w:lineRule="auto"/>
        <w:ind w:firstLine="360"/>
        <w:divId w:val="847599532"/>
        <w:rPr>
          <w:rFonts w:ascii="Times New Roman" w:hAnsi="Times New Roman"/>
          <w:sz w:val="21"/>
          <w:szCs w:val="21"/>
        </w:rPr>
      </w:pPr>
      <w:r w:rsidRPr="0063248C">
        <w:rPr>
          <w:rFonts w:ascii="Times New Roman" w:hAnsi="Times New Roman" w:hint="eastAsia"/>
          <w:sz w:val="18"/>
          <w:szCs w:val="18"/>
        </w:rPr>
        <w:t>重要公司商誉减值测试过程如下：</w:t>
      </w:r>
    </w:p>
    <w:p w14:paraId="3291911D" w14:textId="77777777" w:rsidR="00517D34" w:rsidRPr="0063248C" w:rsidRDefault="00000000">
      <w:pPr>
        <w:pStyle w:val="15"/>
        <w:spacing w:line="460" w:lineRule="atLeast"/>
        <w:ind w:left="425" w:right="90"/>
        <w:jc w:val="right"/>
        <w:divId w:val="847599532"/>
        <w:rPr>
          <w:rFonts w:ascii="Times New Roman" w:hAnsi="Times New Roman"/>
          <w:sz w:val="18"/>
          <w:szCs w:val="18"/>
        </w:rPr>
      </w:pPr>
      <w:r w:rsidRPr="0063248C">
        <w:rPr>
          <w:rFonts w:ascii="Times New Roman" w:hAnsi="Times New Roman" w:hint="eastAsia"/>
          <w:sz w:val="21"/>
          <w:szCs w:val="21"/>
        </w:rPr>
        <w:t>单位：万元</w:t>
      </w:r>
    </w:p>
    <w:tbl>
      <w:tblPr>
        <w:tblW w:w="5000" w:type="pct"/>
        <w:tblCellMar>
          <w:top w:w="15" w:type="dxa"/>
          <w:left w:w="15" w:type="dxa"/>
          <w:bottom w:w="15" w:type="dxa"/>
          <w:right w:w="15" w:type="dxa"/>
        </w:tblCellMar>
        <w:tblLook w:val="04A0" w:firstRow="1" w:lastRow="0" w:firstColumn="1" w:lastColumn="0" w:noHBand="0" w:noVBand="1"/>
      </w:tblPr>
      <w:tblGrid>
        <w:gridCol w:w="5340"/>
        <w:gridCol w:w="4317"/>
      </w:tblGrid>
      <w:tr w:rsidR="00517D34" w:rsidRPr="0063248C" w14:paraId="1CDE19BF" w14:textId="77777777">
        <w:trPr>
          <w:divId w:val="847599532"/>
          <w:trHeight w:val="340"/>
        </w:trPr>
        <w:tc>
          <w:tcPr>
            <w:tcW w:w="2765" w:type="pct"/>
            <w:tcBorders>
              <w:top w:val="single" w:sz="8" w:space="0" w:color="auto"/>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1578D82F" w14:textId="77777777" w:rsidR="00517D34" w:rsidRPr="0063248C" w:rsidRDefault="00000000" w:rsidP="00FA083A">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项目</w:t>
            </w:r>
          </w:p>
        </w:tc>
        <w:tc>
          <w:tcPr>
            <w:tcW w:w="2235" w:type="pct"/>
            <w:tcBorders>
              <w:top w:val="single" w:sz="8" w:space="0" w:color="auto"/>
              <w:left w:val="nil"/>
              <w:bottom w:val="single" w:sz="8" w:space="0" w:color="auto"/>
              <w:right w:val="single" w:sz="8" w:space="0" w:color="auto"/>
            </w:tcBorders>
            <w:noWrap/>
            <w:tcMar>
              <w:top w:w="0" w:type="dxa"/>
              <w:left w:w="0" w:type="dxa"/>
              <w:bottom w:w="0" w:type="dxa"/>
              <w:right w:w="0" w:type="dxa"/>
            </w:tcMar>
            <w:vAlign w:val="center"/>
            <w:hideMark/>
          </w:tcPr>
          <w:p w14:paraId="580A43F6"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潍坊振</w:t>
            </w:r>
            <w:proofErr w:type="gramStart"/>
            <w:r w:rsidRPr="0063248C">
              <w:rPr>
                <w:rFonts w:ascii="Times New Roman" w:hAnsi="Times New Roman" w:cs="Times New Roman" w:hint="eastAsia"/>
                <w:sz w:val="18"/>
                <w:szCs w:val="18"/>
              </w:rPr>
              <w:t>祥</w:t>
            </w:r>
            <w:proofErr w:type="gramEnd"/>
            <w:r w:rsidRPr="0063248C">
              <w:rPr>
                <w:rFonts w:ascii="Times New Roman" w:hAnsi="Times New Roman" w:cs="Times New Roman" w:hint="eastAsia"/>
                <w:sz w:val="18"/>
                <w:szCs w:val="18"/>
              </w:rPr>
              <w:t>食品有限公司</w:t>
            </w:r>
          </w:p>
        </w:tc>
      </w:tr>
      <w:tr w:rsidR="00517D34" w:rsidRPr="0063248C" w14:paraId="0F3429DD" w14:textId="77777777">
        <w:trPr>
          <w:divId w:val="847599532"/>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0F8E8503"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商誉账面余额①</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699188A6"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5,982.37</w:t>
            </w:r>
          </w:p>
        </w:tc>
      </w:tr>
      <w:tr w:rsidR="00517D34" w:rsidRPr="0063248C" w14:paraId="11121336" w14:textId="77777777">
        <w:trPr>
          <w:divId w:val="847599532"/>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5F36C9CB"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商誉减值准备余额②</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3E847A9"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3,295.18</w:t>
            </w:r>
          </w:p>
        </w:tc>
      </w:tr>
      <w:tr w:rsidR="00517D34" w:rsidRPr="0063248C" w14:paraId="423ABDD8" w14:textId="77777777">
        <w:trPr>
          <w:divId w:val="847599532"/>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7D77B8E8"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lastRenderedPageBreak/>
              <w:t>商誉的账面价值③</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①</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②</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74FDA89E"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2,687.19</w:t>
            </w:r>
          </w:p>
        </w:tc>
      </w:tr>
      <w:tr w:rsidR="00517D34" w:rsidRPr="0063248C" w14:paraId="3E31F7CE" w14:textId="77777777">
        <w:trPr>
          <w:divId w:val="847599532"/>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6291D877"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未确认归属于少数股东权益的商誉价值④</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102A34A2"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1,151.66</w:t>
            </w:r>
          </w:p>
        </w:tc>
      </w:tr>
      <w:tr w:rsidR="00517D34" w:rsidRPr="0063248C" w14:paraId="136EB82F" w14:textId="77777777">
        <w:trPr>
          <w:divId w:val="847599532"/>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1DFC6238"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包含未确认归属于少数股东权益的商誉价值⑤</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④</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③</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7650C3A6"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3,838.85</w:t>
            </w:r>
          </w:p>
        </w:tc>
      </w:tr>
      <w:tr w:rsidR="00517D34" w:rsidRPr="0063248C" w14:paraId="2C8932F7" w14:textId="77777777">
        <w:trPr>
          <w:divId w:val="847599532"/>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199CA6BD"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资产组的账面价值⑥</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29B554F6"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17,554.23</w:t>
            </w:r>
          </w:p>
        </w:tc>
      </w:tr>
      <w:tr w:rsidR="00517D34" w:rsidRPr="0063248C" w14:paraId="49015555" w14:textId="77777777">
        <w:trPr>
          <w:divId w:val="847599532"/>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26750027"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包含整体商誉的资产组的公允价值⑦</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⑤</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⑥</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7193AA83"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21,393.08</w:t>
            </w:r>
          </w:p>
        </w:tc>
      </w:tr>
      <w:tr w:rsidR="00517D34" w:rsidRPr="0063248C" w14:paraId="7D802335" w14:textId="77777777">
        <w:trPr>
          <w:divId w:val="847599532"/>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53336D87"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资产组预计未来现金流量的现值（可回收金额）⑧</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76FDB11A"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22,136.78</w:t>
            </w:r>
          </w:p>
        </w:tc>
      </w:tr>
      <w:tr w:rsidR="00517D34" w:rsidRPr="0063248C" w14:paraId="3EF2A8D6" w14:textId="77777777">
        <w:trPr>
          <w:divId w:val="847599532"/>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37D3B6B2"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商誉减值损失（大于</w:t>
            </w:r>
            <w:r w:rsidRPr="0063248C">
              <w:rPr>
                <w:rFonts w:ascii="Times New Roman" w:hAnsi="Times New Roman" w:cs="Times New Roman"/>
                <w:sz w:val="18"/>
                <w:szCs w:val="18"/>
              </w:rPr>
              <w:t>0</w:t>
            </w:r>
            <w:r w:rsidRPr="0063248C">
              <w:rPr>
                <w:rFonts w:ascii="Times New Roman" w:hAnsi="Times New Roman" w:cs="Times New Roman" w:hint="eastAsia"/>
                <w:sz w:val="18"/>
                <w:szCs w:val="18"/>
              </w:rPr>
              <w:t>时）⑨</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⑦</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⑧</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501489AE"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 </w:t>
            </w:r>
          </w:p>
        </w:tc>
      </w:tr>
      <w:tr w:rsidR="00517D34" w:rsidRPr="0063248C" w14:paraId="73115510" w14:textId="77777777">
        <w:trPr>
          <w:divId w:val="847599532"/>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7E43DE4C"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商誉产生时的持股比例⑩</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0CB41188"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70%</w:t>
            </w:r>
          </w:p>
        </w:tc>
      </w:tr>
      <w:tr w:rsidR="00517D34" w:rsidRPr="0063248C" w14:paraId="429808BD" w14:textId="77777777">
        <w:trPr>
          <w:divId w:val="847599532"/>
          <w:trHeight w:val="340"/>
        </w:trPr>
        <w:tc>
          <w:tcPr>
            <w:tcW w:w="2765" w:type="pct"/>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hideMark/>
          </w:tcPr>
          <w:p w14:paraId="7AF92BAA"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应由本集团确认的商誉减值损失</w:t>
            </w:r>
            <w:r w:rsidRPr="0063248C">
              <w:rPr>
                <w:rFonts w:ascii="Cambria Math" w:hAnsi="Cambria Math" w:cs="Cambria Math"/>
                <w:sz w:val="18"/>
                <w:szCs w:val="18"/>
              </w:rPr>
              <w:t>⑪</w:t>
            </w:r>
            <w:r w:rsidRPr="0063248C">
              <w:rPr>
                <w:rFonts w:ascii="Times New Roman" w:hAnsi="Times New Roman" w:cs="Times New Roman"/>
                <w:sz w:val="18"/>
                <w:szCs w:val="18"/>
              </w:rPr>
              <w:t>=</w:t>
            </w:r>
            <w:r w:rsidRPr="0063248C">
              <w:rPr>
                <w:rFonts w:ascii="Times New Roman" w:hAnsi="Times New Roman" w:cs="Times New Roman" w:hint="eastAsia"/>
                <w:sz w:val="18"/>
                <w:szCs w:val="18"/>
              </w:rPr>
              <w:t>⑨×⑩</w:t>
            </w:r>
          </w:p>
        </w:tc>
        <w:tc>
          <w:tcPr>
            <w:tcW w:w="2235" w:type="pct"/>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440D057B"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 </w:t>
            </w:r>
          </w:p>
        </w:tc>
      </w:tr>
    </w:tbl>
    <w:p w14:paraId="5D941852" w14:textId="77777777" w:rsidR="00517D34" w:rsidRPr="0063248C" w:rsidRDefault="00000000" w:rsidP="00FA083A">
      <w:pPr>
        <w:pStyle w:val="a3"/>
        <w:spacing w:before="0" w:beforeAutospacing="0" w:after="0" w:afterAutospacing="0" w:line="273" w:lineRule="auto"/>
        <w:ind w:firstLine="360"/>
        <w:jc w:val="both"/>
        <w:divId w:val="847599532"/>
        <w:rPr>
          <w:rFonts w:ascii="Times New Roman" w:hAnsi="Times New Roman"/>
          <w:sz w:val="21"/>
          <w:szCs w:val="21"/>
        </w:rPr>
      </w:pPr>
      <w:r w:rsidRPr="0063248C">
        <w:rPr>
          <w:rFonts w:ascii="Times New Roman" w:hAnsi="Times New Roman" w:hint="eastAsia"/>
          <w:sz w:val="18"/>
          <w:szCs w:val="18"/>
        </w:rPr>
        <w:t>上述资产组预计未来现金流量的现值（可收回金额）利用了深圳中科华资产评估有限公司于</w:t>
      </w:r>
      <w:r w:rsidRPr="0063248C">
        <w:rPr>
          <w:rFonts w:ascii="Times New Roman" w:hAnsi="Times New Roman" w:cs="Times New Roman"/>
          <w:sz w:val="18"/>
          <w:szCs w:val="18"/>
        </w:rPr>
        <w:t>2024</w:t>
      </w:r>
      <w:r w:rsidRPr="0063248C">
        <w:rPr>
          <w:rFonts w:ascii="Times New Roman" w:hAnsi="Times New Roman" w:hint="eastAsia"/>
          <w:sz w:val="18"/>
          <w:szCs w:val="18"/>
        </w:rPr>
        <w:t>年</w:t>
      </w:r>
      <w:r w:rsidRPr="0063248C">
        <w:rPr>
          <w:rFonts w:ascii="Times New Roman" w:hAnsi="Times New Roman" w:cs="Times New Roman"/>
          <w:sz w:val="18"/>
          <w:szCs w:val="18"/>
        </w:rPr>
        <w:t>3</w:t>
      </w:r>
      <w:r w:rsidRPr="0063248C">
        <w:rPr>
          <w:rFonts w:ascii="Times New Roman" w:hAnsi="Times New Roman" w:hint="eastAsia"/>
          <w:sz w:val="18"/>
          <w:szCs w:val="18"/>
        </w:rPr>
        <w:t>月</w:t>
      </w:r>
      <w:r w:rsidRPr="0063248C">
        <w:rPr>
          <w:rFonts w:ascii="Times New Roman" w:hAnsi="Times New Roman" w:cs="Times New Roman"/>
          <w:sz w:val="18"/>
          <w:szCs w:val="18"/>
        </w:rPr>
        <w:t>25</w:t>
      </w:r>
      <w:r w:rsidRPr="0063248C">
        <w:rPr>
          <w:rFonts w:ascii="Times New Roman" w:hAnsi="Times New Roman" w:hint="eastAsia"/>
          <w:sz w:val="18"/>
          <w:szCs w:val="18"/>
        </w:rPr>
        <w:t>日出具的深中科华评报字</w:t>
      </w:r>
      <w:r w:rsidRPr="0063248C">
        <w:rPr>
          <w:rFonts w:ascii="Times New Roman" w:hAnsi="Times New Roman" w:cs="Times New Roman"/>
          <w:sz w:val="18"/>
          <w:szCs w:val="18"/>
        </w:rPr>
        <w:t>[2024]</w:t>
      </w:r>
      <w:r w:rsidRPr="0063248C">
        <w:rPr>
          <w:rFonts w:ascii="Times New Roman" w:hAnsi="Times New Roman" w:hint="eastAsia"/>
          <w:sz w:val="18"/>
          <w:szCs w:val="18"/>
        </w:rPr>
        <w:t>第</w:t>
      </w:r>
      <w:r w:rsidRPr="0063248C">
        <w:rPr>
          <w:rFonts w:ascii="Times New Roman" w:hAnsi="Times New Roman" w:cs="Times New Roman"/>
          <w:sz w:val="18"/>
          <w:szCs w:val="18"/>
        </w:rPr>
        <w:t>029</w:t>
      </w:r>
      <w:r w:rsidRPr="0063248C">
        <w:rPr>
          <w:rFonts w:ascii="Times New Roman" w:hAnsi="Times New Roman" w:hint="eastAsia"/>
          <w:sz w:val="18"/>
          <w:szCs w:val="18"/>
        </w:rPr>
        <w:t>号《山东龙大美食股份有限公司因商誉减值测试所涉及的潍坊振祥食品有限公司包含商誉的资产组可收回金额评估项目资产评估报告》的评估结果。</w:t>
      </w:r>
    </w:p>
    <w:p w14:paraId="1575DD94" w14:textId="77777777" w:rsidR="00517D34" w:rsidRPr="0063248C" w:rsidRDefault="00000000" w:rsidP="00FA083A">
      <w:pPr>
        <w:pStyle w:val="a3"/>
        <w:spacing w:before="0" w:beforeAutospacing="0" w:after="0" w:afterAutospacing="0" w:line="273" w:lineRule="auto"/>
        <w:ind w:firstLine="360"/>
        <w:jc w:val="both"/>
        <w:divId w:val="847599532"/>
        <w:rPr>
          <w:rFonts w:ascii="Times New Roman" w:hAnsi="Times New Roman"/>
          <w:sz w:val="21"/>
          <w:szCs w:val="21"/>
        </w:rPr>
      </w:pPr>
      <w:r w:rsidRPr="0063248C">
        <w:rPr>
          <w:rFonts w:ascii="Times New Roman" w:hAnsi="Times New Roman" w:hint="eastAsia"/>
          <w:sz w:val="18"/>
          <w:szCs w:val="18"/>
        </w:rPr>
        <w:t>重要假设及依据：</w:t>
      </w:r>
    </w:p>
    <w:p w14:paraId="65C23DCC" w14:textId="77777777" w:rsidR="00517D34" w:rsidRPr="0063248C" w:rsidRDefault="00000000" w:rsidP="00FA083A">
      <w:pPr>
        <w:pStyle w:val="a3"/>
        <w:spacing w:before="0" w:beforeAutospacing="0" w:after="0" w:afterAutospacing="0" w:line="273" w:lineRule="auto"/>
        <w:ind w:firstLine="360"/>
        <w:jc w:val="both"/>
        <w:divId w:val="847599532"/>
        <w:rPr>
          <w:rFonts w:ascii="Times New Roman" w:hAnsi="Times New Roman"/>
          <w:sz w:val="21"/>
          <w:szCs w:val="21"/>
        </w:rPr>
      </w:pPr>
      <w:r w:rsidRPr="0063248C">
        <w:rPr>
          <w:rFonts w:ascii="Times New Roman" w:hAnsi="Times New Roman" w:hint="eastAsia"/>
          <w:sz w:val="18"/>
          <w:szCs w:val="18"/>
        </w:rPr>
        <w:t>交易假设：假定所有待评估资产已经处在交易过程中，评估师根据待评估资产的交易条件等模拟市场进行估价。</w:t>
      </w:r>
    </w:p>
    <w:p w14:paraId="67C99C70" w14:textId="77777777" w:rsidR="00517D34" w:rsidRPr="0063248C" w:rsidRDefault="00000000" w:rsidP="00FA083A">
      <w:pPr>
        <w:pStyle w:val="a3"/>
        <w:spacing w:before="0" w:beforeAutospacing="0" w:after="0" w:afterAutospacing="0" w:line="273" w:lineRule="auto"/>
        <w:ind w:firstLine="360"/>
        <w:jc w:val="both"/>
        <w:divId w:val="847599532"/>
        <w:rPr>
          <w:rFonts w:ascii="Times New Roman" w:hAnsi="Times New Roman"/>
          <w:sz w:val="21"/>
          <w:szCs w:val="21"/>
        </w:rPr>
      </w:pPr>
      <w:r w:rsidRPr="0063248C">
        <w:rPr>
          <w:rFonts w:ascii="Times New Roman" w:hAnsi="Times New Roman" w:hint="eastAsia"/>
          <w:sz w:val="18"/>
          <w:szCs w:val="18"/>
        </w:rPr>
        <w:t>公开市场假设：公开市场假设是对资产拟进入的市场的条件以及资产在这样的市场条件下接受何种影响的一种假定。公开市场是指充分发达与完善的市场条件，是指一个有自愿的买方和卖方的竞争性市场，在这个市场上，买方和卖方的地位平等，都有获取足够市场信息的机会和时间，买卖双方的交易都是在自愿的、理智的、非强制性或不受限制的条件下进行。</w:t>
      </w:r>
    </w:p>
    <w:p w14:paraId="3C837304" w14:textId="77777777" w:rsidR="00517D34" w:rsidRPr="0063248C" w:rsidRDefault="00000000" w:rsidP="00FA083A">
      <w:pPr>
        <w:pStyle w:val="a3"/>
        <w:spacing w:before="0" w:beforeAutospacing="0" w:after="0" w:afterAutospacing="0" w:line="273" w:lineRule="auto"/>
        <w:ind w:firstLine="360"/>
        <w:jc w:val="both"/>
        <w:divId w:val="847599532"/>
        <w:rPr>
          <w:rFonts w:ascii="Times New Roman" w:hAnsi="Times New Roman"/>
          <w:sz w:val="21"/>
          <w:szCs w:val="21"/>
        </w:rPr>
      </w:pPr>
      <w:r w:rsidRPr="0063248C">
        <w:rPr>
          <w:rFonts w:ascii="Times New Roman" w:hAnsi="Times New Roman" w:hint="eastAsia"/>
          <w:sz w:val="18"/>
          <w:szCs w:val="18"/>
        </w:rPr>
        <w:t>持续使用假设：持续使用假设是对资产拟进入市场的条件以及资产在这样的市场条件下的资产状态的一种假定。首先被评估资产正处于使用状态，其次假定处于使用状态的资产还将继续使用下去。在持续使用假设条件下，没有考虑资产用途转换或者</w:t>
      </w:r>
      <w:proofErr w:type="gramStart"/>
      <w:r w:rsidRPr="0063248C">
        <w:rPr>
          <w:rFonts w:ascii="Times New Roman" w:hAnsi="Times New Roman" w:hint="eastAsia"/>
          <w:sz w:val="18"/>
          <w:szCs w:val="18"/>
        </w:rPr>
        <w:t>最佳利用</w:t>
      </w:r>
      <w:proofErr w:type="gramEnd"/>
      <w:r w:rsidRPr="0063248C">
        <w:rPr>
          <w:rFonts w:ascii="Times New Roman" w:hAnsi="Times New Roman" w:hint="eastAsia"/>
          <w:sz w:val="18"/>
          <w:szCs w:val="18"/>
        </w:rPr>
        <w:t>条件，其评估结果的使用范围受到限制。</w:t>
      </w:r>
    </w:p>
    <w:p w14:paraId="19E043BC" w14:textId="77777777" w:rsidR="00517D34" w:rsidRPr="0063248C" w:rsidRDefault="00000000" w:rsidP="00FA083A">
      <w:pPr>
        <w:pStyle w:val="a3"/>
        <w:spacing w:before="0" w:beforeAutospacing="0" w:after="0" w:afterAutospacing="0" w:line="273" w:lineRule="auto"/>
        <w:ind w:firstLine="360"/>
        <w:jc w:val="both"/>
        <w:divId w:val="847599532"/>
        <w:rPr>
          <w:rFonts w:ascii="Times New Roman" w:hAnsi="Times New Roman"/>
          <w:sz w:val="21"/>
          <w:szCs w:val="21"/>
        </w:rPr>
      </w:pPr>
      <w:r w:rsidRPr="0063248C">
        <w:rPr>
          <w:rFonts w:ascii="Times New Roman" w:hAnsi="Times New Roman" w:hint="eastAsia"/>
          <w:sz w:val="18"/>
          <w:szCs w:val="18"/>
        </w:rPr>
        <w:t>本次评估假设评估基准日后国家宏观经济政策和外部经济环境无重大变化。</w:t>
      </w:r>
    </w:p>
    <w:p w14:paraId="4B93509F" w14:textId="77777777" w:rsidR="00517D34" w:rsidRPr="0063248C" w:rsidRDefault="00000000" w:rsidP="00FA083A">
      <w:pPr>
        <w:pStyle w:val="a3"/>
        <w:spacing w:before="0" w:beforeAutospacing="0" w:after="0" w:afterAutospacing="0" w:line="273" w:lineRule="auto"/>
        <w:ind w:firstLine="360"/>
        <w:jc w:val="both"/>
        <w:divId w:val="847599532"/>
        <w:rPr>
          <w:rFonts w:ascii="Times New Roman" w:hAnsi="Times New Roman"/>
          <w:sz w:val="21"/>
          <w:szCs w:val="21"/>
        </w:rPr>
      </w:pPr>
      <w:r w:rsidRPr="0063248C">
        <w:rPr>
          <w:rFonts w:ascii="Times New Roman" w:hAnsi="Times New Roman" w:hint="eastAsia"/>
          <w:sz w:val="18"/>
          <w:szCs w:val="18"/>
        </w:rPr>
        <w:t>假设产权持有人管理层称职地对有关资产实行了有效的管理，本次经济行为的相关当事方没有任何违反国家法律、法规的行为。</w:t>
      </w:r>
    </w:p>
    <w:p w14:paraId="6D88CEFB" w14:textId="77777777" w:rsidR="00517D34" w:rsidRPr="0063248C" w:rsidRDefault="00000000">
      <w:pPr>
        <w:pStyle w:val="a3"/>
        <w:spacing w:before="0" w:beforeAutospacing="0" w:after="0" w:afterAutospacing="0" w:line="273" w:lineRule="auto"/>
        <w:ind w:firstLine="360"/>
        <w:divId w:val="847599532"/>
        <w:rPr>
          <w:rFonts w:ascii="Times New Roman" w:hAnsi="Times New Roman"/>
          <w:sz w:val="21"/>
          <w:szCs w:val="21"/>
        </w:rPr>
      </w:pPr>
      <w:r w:rsidRPr="0063248C">
        <w:rPr>
          <w:rFonts w:ascii="Times New Roman" w:hAnsi="Times New Roman" w:cs="Times New Roman"/>
          <w:sz w:val="18"/>
          <w:szCs w:val="18"/>
        </w:rPr>
        <w:t> </w:t>
      </w:r>
    </w:p>
    <w:p w14:paraId="3479709D" w14:textId="77777777" w:rsidR="00517D34" w:rsidRPr="0063248C" w:rsidRDefault="00000000">
      <w:pPr>
        <w:pStyle w:val="a3"/>
        <w:spacing w:before="0" w:beforeAutospacing="0" w:after="0" w:afterAutospacing="0" w:line="273" w:lineRule="auto"/>
        <w:ind w:firstLine="360"/>
        <w:divId w:val="847599532"/>
        <w:rPr>
          <w:rFonts w:ascii="Times New Roman" w:hAnsi="Times New Roman"/>
          <w:sz w:val="21"/>
          <w:szCs w:val="21"/>
        </w:rPr>
      </w:pPr>
      <w:r w:rsidRPr="0063248C">
        <w:rPr>
          <w:rFonts w:ascii="Times New Roman" w:hAnsi="Times New Roman" w:hint="eastAsia"/>
          <w:sz w:val="18"/>
          <w:szCs w:val="18"/>
        </w:rPr>
        <w:t>关键参数：</w:t>
      </w:r>
    </w:p>
    <w:tbl>
      <w:tblPr>
        <w:tblW w:w="0" w:type="auto"/>
        <w:jc w:val="center"/>
        <w:tblCellMar>
          <w:top w:w="15" w:type="dxa"/>
          <w:left w:w="15" w:type="dxa"/>
          <w:bottom w:w="15" w:type="dxa"/>
          <w:right w:w="15" w:type="dxa"/>
        </w:tblCellMar>
        <w:tblLook w:val="04A0" w:firstRow="1" w:lastRow="0" w:firstColumn="1" w:lastColumn="0" w:noHBand="0" w:noVBand="1"/>
      </w:tblPr>
      <w:tblGrid>
        <w:gridCol w:w="1611"/>
        <w:gridCol w:w="1417"/>
        <w:gridCol w:w="1081"/>
        <w:gridCol w:w="1014"/>
        <w:gridCol w:w="1759"/>
        <w:gridCol w:w="2775"/>
      </w:tblGrid>
      <w:tr w:rsidR="00517D34" w:rsidRPr="0063248C" w14:paraId="4BE7B3AE" w14:textId="77777777" w:rsidTr="00760A54">
        <w:trPr>
          <w:divId w:val="847599532"/>
          <w:trHeight w:val="654"/>
          <w:jc w:val="center"/>
        </w:trPr>
        <w:tc>
          <w:tcPr>
            <w:tcW w:w="1633"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1E21393"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项目</w:t>
            </w:r>
          </w:p>
        </w:tc>
        <w:tc>
          <w:tcPr>
            <w:tcW w:w="143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4915AE64"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预测期</w:t>
            </w:r>
          </w:p>
        </w:tc>
        <w:tc>
          <w:tcPr>
            <w:tcW w:w="109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5FD010D0"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预测期增长率</w:t>
            </w:r>
          </w:p>
        </w:tc>
        <w:tc>
          <w:tcPr>
            <w:tcW w:w="102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4C21D746"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稳定期增长率</w:t>
            </w:r>
          </w:p>
        </w:tc>
        <w:tc>
          <w:tcPr>
            <w:tcW w:w="1759" w:type="dxa"/>
            <w:tcBorders>
              <w:top w:val="single" w:sz="8" w:space="0" w:color="auto"/>
              <w:left w:val="nil"/>
              <w:bottom w:val="single" w:sz="8" w:space="0" w:color="auto"/>
              <w:right w:val="single" w:sz="8" w:space="0" w:color="auto"/>
            </w:tcBorders>
            <w:noWrap/>
            <w:tcMar>
              <w:top w:w="0" w:type="dxa"/>
              <w:left w:w="0" w:type="dxa"/>
              <w:bottom w:w="0" w:type="dxa"/>
              <w:right w:w="0" w:type="dxa"/>
            </w:tcMar>
            <w:vAlign w:val="center"/>
            <w:hideMark/>
          </w:tcPr>
          <w:p w14:paraId="494C7EDB"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利润率</w:t>
            </w:r>
          </w:p>
        </w:tc>
        <w:tc>
          <w:tcPr>
            <w:tcW w:w="2775" w:type="dxa"/>
            <w:tcBorders>
              <w:top w:val="single" w:sz="8" w:space="0" w:color="auto"/>
              <w:left w:val="nil"/>
              <w:bottom w:val="single" w:sz="8" w:space="0" w:color="auto"/>
              <w:right w:val="single" w:sz="8" w:space="0" w:color="auto"/>
            </w:tcBorders>
            <w:noWrap/>
            <w:tcMar>
              <w:top w:w="0" w:type="dxa"/>
              <w:left w:w="0" w:type="dxa"/>
              <w:bottom w:w="0" w:type="dxa"/>
              <w:right w:w="0" w:type="dxa"/>
            </w:tcMar>
            <w:vAlign w:val="center"/>
            <w:hideMark/>
          </w:tcPr>
          <w:p w14:paraId="16AB7D04"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税前折现率（加权平均资本成本</w:t>
            </w:r>
            <w:r w:rsidRPr="0063248C">
              <w:rPr>
                <w:rFonts w:ascii="Times New Roman" w:hAnsi="Times New Roman" w:cs="Times New Roman"/>
                <w:sz w:val="18"/>
                <w:szCs w:val="18"/>
              </w:rPr>
              <w:t>WACC</w:t>
            </w:r>
            <w:r w:rsidRPr="0063248C">
              <w:rPr>
                <w:rFonts w:ascii="Times New Roman" w:hAnsi="Times New Roman" w:cs="Times New Roman" w:hint="eastAsia"/>
                <w:sz w:val="18"/>
                <w:szCs w:val="18"/>
              </w:rPr>
              <w:t>）</w:t>
            </w:r>
          </w:p>
        </w:tc>
      </w:tr>
      <w:tr w:rsidR="00517D34" w:rsidRPr="0063248C" w14:paraId="7061BFE8" w14:textId="77777777" w:rsidTr="00760A54">
        <w:trPr>
          <w:divId w:val="847599532"/>
          <w:trHeight w:val="365"/>
          <w:jc w:val="center"/>
        </w:trPr>
        <w:tc>
          <w:tcPr>
            <w:tcW w:w="1633"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12E50104"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潍坊振</w:t>
            </w:r>
            <w:proofErr w:type="gramStart"/>
            <w:r w:rsidRPr="0063248C">
              <w:rPr>
                <w:rFonts w:ascii="Times New Roman" w:hAnsi="Times New Roman" w:cs="Times New Roman" w:hint="eastAsia"/>
                <w:sz w:val="18"/>
                <w:szCs w:val="18"/>
              </w:rPr>
              <w:t>祥</w:t>
            </w:r>
            <w:proofErr w:type="gramEnd"/>
            <w:r w:rsidRPr="0063248C">
              <w:rPr>
                <w:rFonts w:ascii="Times New Roman" w:hAnsi="Times New Roman" w:cs="Times New Roman" w:hint="eastAsia"/>
                <w:sz w:val="18"/>
                <w:szCs w:val="18"/>
              </w:rPr>
              <w:t>食品有限公司</w:t>
            </w:r>
          </w:p>
        </w:tc>
        <w:tc>
          <w:tcPr>
            <w:tcW w:w="1432"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664B205"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2024-2028</w:t>
            </w:r>
            <w:r w:rsidRPr="0063248C">
              <w:rPr>
                <w:rFonts w:ascii="Times New Roman" w:hAnsi="Times New Roman" w:cs="Times New Roman" w:hint="eastAsia"/>
                <w:sz w:val="18"/>
                <w:szCs w:val="18"/>
              </w:rPr>
              <w:t>年</w:t>
            </w:r>
          </w:p>
          <w:p w14:paraId="100E532B"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（后续为稳定期）</w:t>
            </w:r>
          </w:p>
        </w:tc>
        <w:tc>
          <w:tcPr>
            <w:tcW w:w="1094"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0995B16"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注</w:t>
            </w:r>
            <w:r w:rsidRPr="0063248C">
              <w:rPr>
                <w:rFonts w:ascii="Times New Roman" w:hAnsi="Times New Roman" w:cs="Times New Roman"/>
                <w:sz w:val="18"/>
                <w:szCs w:val="18"/>
              </w:rPr>
              <w:t>1</w:t>
            </w:r>
          </w:p>
        </w:tc>
        <w:tc>
          <w:tcPr>
            <w:tcW w:w="102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64812E3"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持平</w:t>
            </w:r>
          </w:p>
        </w:tc>
        <w:tc>
          <w:tcPr>
            <w:tcW w:w="1759" w:type="dxa"/>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76097BA2"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hint="eastAsia"/>
                <w:sz w:val="18"/>
                <w:szCs w:val="18"/>
              </w:rPr>
              <w:t>根据预测的收入、成本、税费等计算</w:t>
            </w:r>
          </w:p>
        </w:tc>
        <w:tc>
          <w:tcPr>
            <w:tcW w:w="2775" w:type="dxa"/>
            <w:tcBorders>
              <w:top w:val="nil"/>
              <w:left w:val="nil"/>
              <w:bottom w:val="single" w:sz="8" w:space="0" w:color="auto"/>
              <w:right w:val="single" w:sz="8" w:space="0" w:color="auto"/>
            </w:tcBorders>
            <w:noWrap/>
            <w:tcMar>
              <w:top w:w="0" w:type="dxa"/>
              <w:left w:w="0" w:type="dxa"/>
              <w:bottom w:w="0" w:type="dxa"/>
              <w:right w:w="0" w:type="dxa"/>
            </w:tcMar>
            <w:vAlign w:val="center"/>
            <w:hideMark/>
          </w:tcPr>
          <w:p w14:paraId="64D8E8A4" w14:textId="77777777" w:rsidR="00517D34" w:rsidRPr="0063248C" w:rsidRDefault="00000000">
            <w:pPr>
              <w:pStyle w:val="a3"/>
              <w:spacing w:before="0" w:beforeAutospacing="0" w:after="0" w:afterAutospacing="0"/>
              <w:jc w:val="center"/>
              <w:rPr>
                <w:rFonts w:ascii="Times New Roman" w:hAnsi="Times New Roman" w:cs="Times New Roman"/>
                <w:sz w:val="21"/>
                <w:szCs w:val="21"/>
              </w:rPr>
            </w:pPr>
            <w:r w:rsidRPr="0063248C">
              <w:rPr>
                <w:rFonts w:ascii="Times New Roman" w:hAnsi="Times New Roman" w:cs="Times New Roman"/>
                <w:sz w:val="18"/>
                <w:szCs w:val="18"/>
              </w:rPr>
              <w:t>10.09</w:t>
            </w:r>
          </w:p>
        </w:tc>
      </w:tr>
    </w:tbl>
    <w:p w14:paraId="710C096F" w14:textId="77777777" w:rsidR="00517D34" w:rsidRPr="0063248C" w:rsidRDefault="00000000">
      <w:pPr>
        <w:pStyle w:val="a3"/>
        <w:spacing w:before="0" w:beforeAutospacing="0" w:after="0" w:afterAutospacing="0" w:line="273" w:lineRule="auto"/>
        <w:ind w:firstLine="360"/>
        <w:divId w:val="847599532"/>
        <w:rPr>
          <w:rFonts w:ascii="Times New Roman" w:hAnsi="Times New Roman"/>
          <w:sz w:val="21"/>
          <w:szCs w:val="21"/>
        </w:rPr>
      </w:pPr>
      <w:r w:rsidRPr="0063248C">
        <w:rPr>
          <w:rFonts w:ascii="Times New Roman" w:hAnsi="Times New Roman" w:hint="eastAsia"/>
          <w:sz w:val="18"/>
          <w:szCs w:val="18"/>
        </w:rPr>
        <w:t>注</w:t>
      </w:r>
      <w:r w:rsidRPr="0063248C">
        <w:rPr>
          <w:rFonts w:ascii="Times New Roman" w:hAnsi="Times New Roman" w:cs="Times New Roman"/>
          <w:sz w:val="18"/>
          <w:szCs w:val="18"/>
        </w:rPr>
        <w:t>1</w:t>
      </w:r>
      <w:r w:rsidRPr="0063248C">
        <w:rPr>
          <w:rFonts w:ascii="Times New Roman" w:hAnsi="Times New Roman" w:hint="eastAsia"/>
          <w:sz w:val="18"/>
          <w:szCs w:val="18"/>
        </w:rPr>
        <w:t>：收入预测基本遵循采纳了潍坊振</w:t>
      </w:r>
      <w:proofErr w:type="gramStart"/>
      <w:r w:rsidRPr="0063248C">
        <w:rPr>
          <w:rFonts w:ascii="Times New Roman" w:hAnsi="Times New Roman" w:hint="eastAsia"/>
          <w:sz w:val="18"/>
          <w:szCs w:val="18"/>
        </w:rPr>
        <w:t>祥</w:t>
      </w:r>
      <w:proofErr w:type="gramEnd"/>
      <w:r w:rsidRPr="0063248C">
        <w:rPr>
          <w:rFonts w:ascii="Times New Roman" w:hAnsi="Times New Roman" w:cs="Times New Roman"/>
          <w:sz w:val="18"/>
          <w:szCs w:val="18"/>
        </w:rPr>
        <w:t>2024-2028</w:t>
      </w:r>
      <w:r w:rsidRPr="0063248C">
        <w:rPr>
          <w:rFonts w:ascii="Times New Roman" w:hAnsi="Times New Roman" w:hint="eastAsia"/>
          <w:sz w:val="18"/>
          <w:szCs w:val="18"/>
        </w:rPr>
        <w:t>预算的各项数据，结合潍坊振</w:t>
      </w:r>
      <w:proofErr w:type="gramStart"/>
      <w:r w:rsidRPr="0063248C">
        <w:rPr>
          <w:rFonts w:ascii="Times New Roman" w:hAnsi="Times New Roman" w:hint="eastAsia"/>
          <w:sz w:val="18"/>
          <w:szCs w:val="18"/>
        </w:rPr>
        <w:t>祥</w:t>
      </w:r>
      <w:proofErr w:type="gramEnd"/>
      <w:r w:rsidRPr="0063248C">
        <w:rPr>
          <w:rFonts w:ascii="Times New Roman" w:hAnsi="Times New Roman" w:hint="eastAsia"/>
          <w:sz w:val="18"/>
          <w:szCs w:val="18"/>
        </w:rPr>
        <w:t>的实际产能、市场情况和经营规划，确定预测年度销售数量的增长率，</w:t>
      </w:r>
      <w:r w:rsidRPr="0063248C">
        <w:rPr>
          <w:rFonts w:ascii="Times New Roman" w:hAnsi="Times New Roman" w:cs="Times New Roman"/>
          <w:sz w:val="18"/>
          <w:szCs w:val="18"/>
        </w:rPr>
        <w:t>2024</w:t>
      </w:r>
      <w:r w:rsidRPr="0063248C">
        <w:rPr>
          <w:rFonts w:ascii="Times New Roman" w:hAnsi="Times New Roman" w:hint="eastAsia"/>
          <w:sz w:val="18"/>
          <w:szCs w:val="18"/>
        </w:rPr>
        <w:t>年</w:t>
      </w:r>
      <w:r w:rsidRPr="0063248C">
        <w:rPr>
          <w:rFonts w:ascii="Times New Roman" w:hAnsi="Times New Roman" w:cs="Times New Roman"/>
          <w:sz w:val="18"/>
          <w:szCs w:val="18"/>
        </w:rPr>
        <w:t>-2028</w:t>
      </w:r>
      <w:r w:rsidRPr="0063248C">
        <w:rPr>
          <w:rFonts w:ascii="Times New Roman" w:hAnsi="Times New Roman" w:hint="eastAsia"/>
          <w:sz w:val="18"/>
          <w:szCs w:val="18"/>
        </w:rPr>
        <w:t>年增长率按下表确定：</w:t>
      </w:r>
    </w:p>
    <w:tbl>
      <w:tblPr>
        <w:tblW w:w="5000" w:type="pct"/>
        <w:tblCellMar>
          <w:top w:w="15" w:type="dxa"/>
          <w:left w:w="15" w:type="dxa"/>
          <w:bottom w:w="15" w:type="dxa"/>
          <w:right w:w="15" w:type="dxa"/>
        </w:tblCellMar>
        <w:tblLook w:val="04A0" w:firstRow="1" w:lastRow="0" w:firstColumn="1" w:lastColumn="0" w:noHBand="0" w:noVBand="1"/>
      </w:tblPr>
      <w:tblGrid>
        <w:gridCol w:w="1641"/>
        <w:gridCol w:w="1642"/>
        <w:gridCol w:w="1643"/>
        <w:gridCol w:w="1642"/>
        <w:gridCol w:w="1642"/>
        <w:gridCol w:w="1643"/>
      </w:tblGrid>
      <w:tr w:rsidR="00517D34" w:rsidRPr="0063248C" w14:paraId="2BC16B00" w14:textId="77777777">
        <w:trPr>
          <w:divId w:val="847599532"/>
          <w:trHeight w:val="340"/>
        </w:trPr>
        <w:tc>
          <w:tcPr>
            <w:tcW w:w="8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D2E5BA"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年度</w:t>
            </w:r>
          </w:p>
        </w:tc>
        <w:tc>
          <w:tcPr>
            <w:tcW w:w="83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C3FAE5"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2024</w:t>
            </w:r>
            <w:r w:rsidRPr="0063248C">
              <w:rPr>
                <w:rFonts w:ascii="Times New Roman" w:hAnsi="Times New Roman" w:cs="Times New Roman" w:hint="eastAsia"/>
                <w:sz w:val="18"/>
                <w:szCs w:val="18"/>
              </w:rPr>
              <w:t>年</w:t>
            </w:r>
          </w:p>
        </w:tc>
        <w:tc>
          <w:tcPr>
            <w:tcW w:w="83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77CF371"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2025</w:t>
            </w:r>
            <w:r w:rsidRPr="0063248C">
              <w:rPr>
                <w:rFonts w:ascii="Times New Roman" w:hAnsi="Times New Roman" w:cs="Times New Roman" w:hint="eastAsia"/>
                <w:sz w:val="18"/>
                <w:szCs w:val="18"/>
              </w:rPr>
              <w:t>年</w:t>
            </w:r>
          </w:p>
        </w:tc>
        <w:tc>
          <w:tcPr>
            <w:tcW w:w="83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F93FE22"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2026</w:t>
            </w:r>
            <w:r w:rsidRPr="0063248C">
              <w:rPr>
                <w:rFonts w:ascii="Times New Roman" w:hAnsi="Times New Roman" w:cs="Times New Roman" w:hint="eastAsia"/>
                <w:sz w:val="18"/>
                <w:szCs w:val="18"/>
              </w:rPr>
              <w:t>年</w:t>
            </w:r>
          </w:p>
        </w:tc>
        <w:tc>
          <w:tcPr>
            <w:tcW w:w="83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B892E26"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2027</w:t>
            </w:r>
            <w:r w:rsidRPr="0063248C">
              <w:rPr>
                <w:rFonts w:ascii="Times New Roman" w:hAnsi="Times New Roman" w:cs="Times New Roman" w:hint="eastAsia"/>
                <w:sz w:val="18"/>
                <w:szCs w:val="18"/>
              </w:rPr>
              <w:t>年</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52CE"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2028</w:t>
            </w:r>
            <w:r w:rsidRPr="0063248C">
              <w:rPr>
                <w:rFonts w:ascii="Times New Roman" w:hAnsi="Times New Roman" w:cs="Times New Roman" w:hint="eastAsia"/>
                <w:sz w:val="18"/>
                <w:szCs w:val="18"/>
              </w:rPr>
              <w:t>年</w:t>
            </w:r>
          </w:p>
        </w:tc>
      </w:tr>
      <w:tr w:rsidR="00517D34" w:rsidRPr="0063248C" w14:paraId="0C49D4E6" w14:textId="77777777">
        <w:trPr>
          <w:divId w:val="847599532"/>
          <w:trHeight w:val="340"/>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32A163"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hint="eastAsia"/>
                <w:sz w:val="18"/>
                <w:szCs w:val="18"/>
              </w:rPr>
              <w:t>猪肉产品销售</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662A41"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2.35%</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6FF0E8"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1.23%</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79C055"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1.22%</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D464BA"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1.20%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292A54" w14:textId="77777777" w:rsidR="00517D34" w:rsidRPr="0063248C" w:rsidRDefault="00000000">
            <w:pPr>
              <w:pStyle w:val="a3"/>
              <w:spacing w:before="0" w:beforeAutospacing="0" w:after="0" w:afterAutospacing="0"/>
              <w:rPr>
                <w:rFonts w:ascii="Times New Roman" w:hAnsi="Times New Roman" w:cs="Times New Roman"/>
                <w:sz w:val="21"/>
                <w:szCs w:val="21"/>
              </w:rPr>
            </w:pPr>
            <w:r w:rsidRPr="0063248C">
              <w:rPr>
                <w:rFonts w:ascii="Times New Roman" w:hAnsi="Times New Roman" w:cs="Times New Roman"/>
                <w:sz w:val="18"/>
                <w:szCs w:val="18"/>
              </w:rPr>
              <w:t>1.19%</w:t>
            </w:r>
          </w:p>
        </w:tc>
      </w:tr>
    </w:tbl>
    <w:p w14:paraId="0779431D" w14:textId="77777777" w:rsidR="00517D34" w:rsidRPr="0063248C" w:rsidRDefault="00517D34">
      <w:pPr>
        <w:divId w:val="847599532"/>
      </w:pPr>
    </w:p>
    <w:p w14:paraId="521074EB" w14:textId="77777777" w:rsidR="007B3DB2" w:rsidRPr="0063248C" w:rsidRDefault="00000000">
      <w:pPr>
        <w:keepNext/>
        <w:keepLines/>
        <w:spacing w:before="300" w:after="300" w:line="280" w:lineRule="exact"/>
        <w:outlineLvl w:val="3"/>
        <w:rPr>
          <w:rFonts w:cs="宋体"/>
          <w:b/>
          <w:bCs/>
          <w:szCs w:val="21"/>
        </w:rPr>
      </w:pPr>
      <w:bookmarkStart w:id="298" w:name="_Toc989187"/>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可收回金额的具体确定方法</w:t>
      </w:r>
      <w:bookmarkEnd w:id="298"/>
    </w:p>
    <w:p w14:paraId="5C623CDA" w14:textId="77777777" w:rsidR="007B3DB2" w:rsidRPr="0063248C" w:rsidRDefault="00000000">
      <w:pPr>
        <w:spacing w:before="100" w:after="100" w:line="240" w:lineRule="exact"/>
        <w:rPr>
          <w:rFonts w:cs="宋体"/>
          <w:sz w:val="18"/>
          <w:szCs w:val="18"/>
        </w:rPr>
      </w:pPr>
      <w:r w:rsidRPr="0063248C">
        <w:rPr>
          <w:rFonts w:cs="宋体"/>
          <w:sz w:val="18"/>
          <w:szCs w:val="18"/>
        </w:rPr>
        <w:t>可收回金额按公允价值减去处置费用后的净额确定</w:t>
      </w:r>
    </w:p>
    <w:p w14:paraId="3FC55D19"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1916320" w14:textId="77777777" w:rsidR="007B3DB2" w:rsidRPr="0063248C" w:rsidRDefault="00000000">
      <w:pPr>
        <w:spacing w:before="100" w:after="100" w:line="240" w:lineRule="exact"/>
        <w:rPr>
          <w:rFonts w:cs="宋体"/>
          <w:sz w:val="18"/>
          <w:szCs w:val="18"/>
        </w:rPr>
      </w:pPr>
      <w:r w:rsidRPr="0063248C">
        <w:rPr>
          <w:rFonts w:cs="宋体"/>
          <w:sz w:val="18"/>
          <w:szCs w:val="18"/>
        </w:rPr>
        <w:lastRenderedPageBreak/>
        <w:t>可收回金额按预计未来现金流量的现值确定</w:t>
      </w:r>
    </w:p>
    <w:p w14:paraId="11946A57"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5C0496D" w14:textId="77777777" w:rsidR="007B3DB2" w:rsidRPr="0063248C" w:rsidRDefault="00000000">
      <w:pPr>
        <w:spacing w:before="100" w:after="100" w:line="240" w:lineRule="exact"/>
        <w:rPr>
          <w:rFonts w:cs="宋体"/>
          <w:sz w:val="18"/>
          <w:szCs w:val="18"/>
        </w:rPr>
      </w:pPr>
      <w:r w:rsidRPr="0063248C">
        <w:rPr>
          <w:rFonts w:cs="宋体"/>
          <w:sz w:val="18"/>
          <w:szCs w:val="18"/>
        </w:rPr>
        <w:t>前述信息与以前年度减值测试采用的信息或外部信息明显不一致的差异原因</w:t>
      </w:r>
    </w:p>
    <w:p w14:paraId="3CCD8874" w14:textId="77777777" w:rsidR="00517D34" w:rsidRPr="0063248C" w:rsidRDefault="00000000">
      <w:pPr>
        <w:pStyle w:val="a3"/>
        <w:divId w:val="1989244446"/>
        <w:rPr>
          <w:rFonts w:ascii="Times New Roman" w:hAnsi="Times New Roman"/>
          <w:sz w:val="18"/>
          <w:szCs w:val="18"/>
        </w:rPr>
      </w:pPr>
      <w:r w:rsidRPr="0063248C">
        <w:rPr>
          <w:rFonts w:ascii="Times New Roman" w:hAnsi="Times New Roman" w:hint="eastAsia"/>
          <w:sz w:val="18"/>
          <w:szCs w:val="18"/>
        </w:rPr>
        <w:t>无</w:t>
      </w:r>
    </w:p>
    <w:p w14:paraId="33F8AA46" w14:textId="77777777" w:rsidR="007B3DB2" w:rsidRPr="0063248C" w:rsidRDefault="00000000">
      <w:pPr>
        <w:spacing w:before="100" w:after="100" w:line="240" w:lineRule="exact"/>
        <w:rPr>
          <w:rFonts w:cs="宋体"/>
          <w:sz w:val="18"/>
          <w:szCs w:val="18"/>
        </w:rPr>
      </w:pPr>
      <w:r w:rsidRPr="0063248C">
        <w:rPr>
          <w:rFonts w:cs="宋体"/>
          <w:sz w:val="18"/>
          <w:szCs w:val="18"/>
        </w:rPr>
        <w:t>公司以前年度减值测试采用信息与当年实际情况明显不一致的差异原因</w:t>
      </w:r>
    </w:p>
    <w:p w14:paraId="65A91AFD" w14:textId="77777777" w:rsidR="00517D34" w:rsidRPr="0063248C" w:rsidRDefault="00000000">
      <w:pPr>
        <w:pStyle w:val="a3"/>
        <w:divId w:val="393705599"/>
        <w:rPr>
          <w:rFonts w:ascii="Times New Roman" w:hAnsi="Times New Roman"/>
          <w:sz w:val="18"/>
          <w:szCs w:val="18"/>
        </w:rPr>
      </w:pPr>
      <w:r w:rsidRPr="0063248C">
        <w:rPr>
          <w:rFonts w:ascii="Times New Roman" w:hAnsi="Times New Roman" w:hint="eastAsia"/>
          <w:sz w:val="18"/>
          <w:szCs w:val="18"/>
        </w:rPr>
        <w:t>无</w:t>
      </w:r>
    </w:p>
    <w:p w14:paraId="237D5AC4" w14:textId="77777777" w:rsidR="007B3DB2" w:rsidRPr="0063248C" w:rsidRDefault="00000000">
      <w:pPr>
        <w:keepNext/>
        <w:keepLines/>
        <w:spacing w:before="300" w:after="300" w:line="280" w:lineRule="exact"/>
        <w:outlineLvl w:val="3"/>
        <w:rPr>
          <w:rFonts w:cs="宋体"/>
          <w:b/>
          <w:bCs/>
          <w:szCs w:val="21"/>
        </w:rPr>
      </w:pPr>
      <w:bookmarkStart w:id="299" w:name="_Toc989188"/>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业绩承诺完成及对应商誉减值情况</w:t>
      </w:r>
      <w:bookmarkEnd w:id="299"/>
    </w:p>
    <w:p w14:paraId="1B0FD88A" w14:textId="77777777" w:rsidR="007B3DB2" w:rsidRPr="0063248C" w:rsidRDefault="00000000">
      <w:pPr>
        <w:spacing w:before="100" w:after="100" w:line="240" w:lineRule="exact"/>
        <w:rPr>
          <w:rFonts w:cs="宋体"/>
          <w:sz w:val="18"/>
          <w:szCs w:val="18"/>
        </w:rPr>
      </w:pPr>
      <w:r w:rsidRPr="0063248C">
        <w:rPr>
          <w:rFonts w:cs="宋体"/>
          <w:sz w:val="18"/>
          <w:szCs w:val="18"/>
        </w:rPr>
        <w:t>形成商誉时存在业绩承诺</w:t>
      </w:r>
      <w:proofErr w:type="gramStart"/>
      <w:r w:rsidRPr="0063248C">
        <w:rPr>
          <w:rFonts w:cs="宋体"/>
          <w:sz w:val="18"/>
          <w:szCs w:val="18"/>
        </w:rPr>
        <w:t>且报告</w:t>
      </w:r>
      <w:proofErr w:type="gramEnd"/>
      <w:r w:rsidRPr="0063248C">
        <w:rPr>
          <w:rFonts w:cs="宋体"/>
          <w:sz w:val="18"/>
          <w:szCs w:val="18"/>
        </w:rPr>
        <w:t>期或报告期上一期间处于业绩承诺期内</w:t>
      </w:r>
    </w:p>
    <w:p w14:paraId="49F2D69C"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04200C85"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5C8D08BB" w14:textId="77777777" w:rsidR="00517D34" w:rsidRPr="0063248C" w:rsidRDefault="00000000">
      <w:pPr>
        <w:pStyle w:val="a3"/>
        <w:divId w:val="1474787188"/>
        <w:rPr>
          <w:rFonts w:ascii="Times New Roman" w:hAnsi="Times New Roman"/>
          <w:sz w:val="18"/>
          <w:szCs w:val="18"/>
        </w:rPr>
      </w:pPr>
      <w:r w:rsidRPr="0063248C">
        <w:rPr>
          <w:rFonts w:ascii="Times New Roman" w:hAnsi="Times New Roman" w:hint="eastAsia"/>
          <w:sz w:val="18"/>
          <w:szCs w:val="18"/>
        </w:rPr>
        <w:t>无</w:t>
      </w:r>
    </w:p>
    <w:p w14:paraId="2994D38A" w14:textId="77777777" w:rsidR="007B3DB2" w:rsidRPr="0063248C" w:rsidRDefault="00000000">
      <w:pPr>
        <w:pStyle w:val="3"/>
        <w:spacing w:line="280" w:lineRule="exact"/>
        <w:jc w:val="left"/>
        <w:rPr>
          <w:rFonts w:cs="宋体"/>
          <w:b/>
          <w:bCs/>
        </w:rPr>
      </w:pPr>
      <w:bookmarkStart w:id="300" w:name="_Toc989189"/>
      <w:r w:rsidRPr="0063248C">
        <w:rPr>
          <w:rFonts w:cs="宋体"/>
          <w:b/>
          <w:bCs/>
        </w:rPr>
        <w:t>28</w:t>
      </w:r>
      <w:r w:rsidRPr="0063248C">
        <w:rPr>
          <w:rFonts w:cs="宋体"/>
          <w:b/>
          <w:bCs/>
        </w:rPr>
        <w:t>、长期待摊费用</w:t>
      </w:r>
      <w:bookmarkEnd w:id="300"/>
    </w:p>
    <w:p w14:paraId="4D84144C"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B3DB2" w:rsidRPr="0063248C" w14:paraId="6A40D018"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F0B862B"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827024D"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B902647"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41957A0"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B4342E8"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E6A9772"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77F183B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37C2732" w14:textId="77777777" w:rsidR="007B3DB2" w:rsidRPr="0063248C" w:rsidRDefault="00000000">
            <w:pPr>
              <w:spacing w:line="240" w:lineRule="exact"/>
              <w:rPr>
                <w:rFonts w:cs="宋体"/>
                <w:sz w:val="18"/>
                <w:szCs w:val="18"/>
              </w:rPr>
            </w:pPr>
            <w:r w:rsidRPr="0063248C">
              <w:rPr>
                <w:rFonts w:cs="宋体"/>
                <w:sz w:val="18"/>
                <w:szCs w:val="18"/>
              </w:rPr>
              <w:t>实验室装修改造</w:t>
            </w:r>
          </w:p>
        </w:tc>
        <w:tc>
          <w:tcPr>
            <w:tcW w:w="1606" w:type="dxa"/>
            <w:tcBorders>
              <w:top w:val="single" w:sz="2" w:space="0" w:color="auto"/>
              <w:left w:val="single" w:sz="2" w:space="0" w:color="auto"/>
              <w:bottom w:val="single" w:sz="2" w:space="0" w:color="auto"/>
              <w:right w:val="single" w:sz="2" w:space="0" w:color="auto"/>
            </w:tcBorders>
            <w:vAlign w:val="center"/>
          </w:tcPr>
          <w:p w14:paraId="5CF89A61" w14:textId="77777777" w:rsidR="007B3DB2" w:rsidRPr="0063248C" w:rsidRDefault="00000000">
            <w:pPr>
              <w:spacing w:line="240" w:lineRule="exact"/>
              <w:jc w:val="right"/>
              <w:rPr>
                <w:rFonts w:cs="宋体"/>
                <w:sz w:val="18"/>
                <w:szCs w:val="18"/>
              </w:rPr>
            </w:pPr>
            <w:r w:rsidRPr="0063248C">
              <w:rPr>
                <w:rFonts w:cs="宋体"/>
                <w:sz w:val="18"/>
                <w:szCs w:val="18"/>
              </w:rPr>
              <w:t>379,510.67</w:t>
            </w:r>
          </w:p>
        </w:tc>
        <w:tc>
          <w:tcPr>
            <w:tcW w:w="1606" w:type="dxa"/>
            <w:tcBorders>
              <w:top w:val="single" w:sz="2" w:space="0" w:color="auto"/>
              <w:left w:val="single" w:sz="2" w:space="0" w:color="auto"/>
              <w:bottom w:val="single" w:sz="2" w:space="0" w:color="auto"/>
              <w:right w:val="single" w:sz="2" w:space="0" w:color="auto"/>
            </w:tcBorders>
            <w:vAlign w:val="center"/>
          </w:tcPr>
          <w:p w14:paraId="484766AF"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63B338B" w14:textId="77777777" w:rsidR="007B3DB2" w:rsidRPr="0063248C" w:rsidRDefault="00000000">
            <w:pPr>
              <w:spacing w:line="240" w:lineRule="exact"/>
              <w:jc w:val="right"/>
              <w:rPr>
                <w:rFonts w:cs="宋体"/>
                <w:sz w:val="18"/>
                <w:szCs w:val="18"/>
              </w:rPr>
            </w:pPr>
            <w:r w:rsidRPr="0063248C">
              <w:rPr>
                <w:rFonts w:cs="宋体"/>
                <w:sz w:val="18"/>
                <w:szCs w:val="18"/>
              </w:rPr>
              <w:t>133,944.96</w:t>
            </w:r>
          </w:p>
        </w:tc>
        <w:tc>
          <w:tcPr>
            <w:tcW w:w="1606" w:type="dxa"/>
            <w:tcBorders>
              <w:top w:val="single" w:sz="2" w:space="0" w:color="auto"/>
              <w:left w:val="single" w:sz="2" w:space="0" w:color="auto"/>
              <w:bottom w:val="single" w:sz="2" w:space="0" w:color="auto"/>
              <w:right w:val="single" w:sz="2" w:space="0" w:color="auto"/>
            </w:tcBorders>
            <w:vAlign w:val="center"/>
          </w:tcPr>
          <w:p w14:paraId="583551E2"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09324A5" w14:textId="77777777" w:rsidR="007B3DB2" w:rsidRPr="0063248C" w:rsidRDefault="00000000">
            <w:pPr>
              <w:spacing w:line="240" w:lineRule="exact"/>
              <w:jc w:val="right"/>
              <w:rPr>
                <w:rFonts w:cs="宋体"/>
                <w:sz w:val="18"/>
                <w:szCs w:val="18"/>
              </w:rPr>
            </w:pPr>
            <w:r w:rsidRPr="0063248C">
              <w:rPr>
                <w:rFonts w:cs="宋体"/>
                <w:sz w:val="18"/>
                <w:szCs w:val="18"/>
              </w:rPr>
              <w:t>245,565.71</w:t>
            </w:r>
          </w:p>
        </w:tc>
      </w:tr>
      <w:tr w:rsidR="007B3DB2" w:rsidRPr="0063248C" w14:paraId="5DC26D9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757D38A" w14:textId="77777777" w:rsidR="007B3DB2" w:rsidRPr="0063248C" w:rsidRDefault="00000000">
            <w:pPr>
              <w:spacing w:line="240" w:lineRule="exact"/>
              <w:rPr>
                <w:rFonts w:cs="宋体"/>
                <w:sz w:val="18"/>
                <w:szCs w:val="18"/>
              </w:rPr>
            </w:pPr>
            <w:r w:rsidRPr="0063248C">
              <w:rPr>
                <w:rFonts w:cs="宋体"/>
                <w:sz w:val="18"/>
                <w:szCs w:val="18"/>
              </w:rPr>
              <w:t>研发中心装修设计</w:t>
            </w:r>
          </w:p>
        </w:tc>
        <w:tc>
          <w:tcPr>
            <w:tcW w:w="1606" w:type="dxa"/>
            <w:tcBorders>
              <w:top w:val="single" w:sz="2" w:space="0" w:color="auto"/>
              <w:left w:val="single" w:sz="2" w:space="0" w:color="auto"/>
              <w:bottom w:val="single" w:sz="2" w:space="0" w:color="auto"/>
              <w:right w:val="single" w:sz="2" w:space="0" w:color="auto"/>
            </w:tcBorders>
            <w:vAlign w:val="center"/>
          </w:tcPr>
          <w:p w14:paraId="4F5AFB92" w14:textId="77777777" w:rsidR="007B3DB2" w:rsidRPr="0063248C" w:rsidRDefault="00000000">
            <w:pPr>
              <w:spacing w:line="240" w:lineRule="exact"/>
              <w:jc w:val="right"/>
              <w:rPr>
                <w:rFonts w:cs="宋体"/>
                <w:sz w:val="18"/>
                <w:szCs w:val="18"/>
              </w:rPr>
            </w:pPr>
            <w:r w:rsidRPr="0063248C">
              <w:rPr>
                <w:rFonts w:cs="宋体"/>
                <w:sz w:val="18"/>
                <w:szCs w:val="18"/>
              </w:rPr>
              <w:t>3,555,404.07</w:t>
            </w:r>
          </w:p>
        </w:tc>
        <w:tc>
          <w:tcPr>
            <w:tcW w:w="1606" w:type="dxa"/>
            <w:tcBorders>
              <w:top w:val="single" w:sz="2" w:space="0" w:color="auto"/>
              <w:left w:val="single" w:sz="2" w:space="0" w:color="auto"/>
              <w:bottom w:val="single" w:sz="2" w:space="0" w:color="auto"/>
              <w:right w:val="single" w:sz="2" w:space="0" w:color="auto"/>
            </w:tcBorders>
            <w:vAlign w:val="center"/>
          </w:tcPr>
          <w:p w14:paraId="7071F0D8"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E318262" w14:textId="77777777" w:rsidR="007B3DB2" w:rsidRPr="0063248C" w:rsidRDefault="00000000">
            <w:pPr>
              <w:spacing w:line="240" w:lineRule="exact"/>
              <w:jc w:val="right"/>
              <w:rPr>
                <w:rFonts w:cs="宋体"/>
                <w:sz w:val="18"/>
                <w:szCs w:val="18"/>
              </w:rPr>
            </w:pPr>
            <w:r w:rsidRPr="0063248C">
              <w:rPr>
                <w:rFonts w:cs="宋体"/>
                <w:sz w:val="18"/>
                <w:szCs w:val="18"/>
              </w:rPr>
              <w:t>573,442.26</w:t>
            </w:r>
          </w:p>
        </w:tc>
        <w:tc>
          <w:tcPr>
            <w:tcW w:w="1606" w:type="dxa"/>
            <w:tcBorders>
              <w:top w:val="single" w:sz="2" w:space="0" w:color="auto"/>
              <w:left w:val="single" w:sz="2" w:space="0" w:color="auto"/>
              <w:bottom w:val="single" w:sz="2" w:space="0" w:color="auto"/>
              <w:right w:val="single" w:sz="2" w:space="0" w:color="auto"/>
            </w:tcBorders>
            <w:vAlign w:val="center"/>
          </w:tcPr>
          <w:p w14:paraId="2C63C371"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A4D97BA" w14:textId="77777777" w:rsidR="007B3DB2" w:rsidRPr="0063248C" w:rsidRDefault="00000000">
            <w:pPr>
              <w:spacing w:line="240" w:lineRule="exact"/>
              <w:jc w:val="right"/>
              <w:rPr>
                <w:rFonts w:cs="宋体"/>
                <w:sz w:val="18"/>
                <w:szCs w:val="18"/>
              </w:rPr>
            </w:pPr>
            <w:r w:rsidRPr="0063248C">
              <w:rPr>
                <w:rFonts w:cs="宋体"/>
                <w:sz w:val="18"/>
                <w:szCs w:val="18"/>
              </w:rPr>
              <w:t>2,981,961.81</w:t>
            </w:r>
          </w:p>
        </w:tc>
      </w:tr>
      <w:tr w:rsidR="007B3DB2" w:rsidRPr="0063248C" w14:paraId="3A7ADAD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6F354D0" w14:textId="77777777" w:rsidR="007B3DB2" w:rsidRPr="0063248C" w:rsidRDefault="00000000">
            <w:pPr>
              <w:spacing w:line="240" w:lineRule="exact"/>
              <w:rPr>
                <w:rFonts w:cs="宋体"/>
                <w:sz w:val="18"/>
                <w:szCs w:val="18"/>
              </w:rPr>
            </w:pPr>
            <w:r w:rsidRPr="0063248C">
              <w:rPr>
                <w:rFonts w:cs="宋体"/>
                <w:sz w:val="18"/>
                <w:szCs w:val="18"/>
              </w:rPr>
              <w:t>夏庄猪场</w:t>
            </w:r>
          </w:p>
        </w:tc>
        <w:tc>
          <w:tcPr>
            <w:tcW w:w="1606" w:type="dxa"/>
            <w:tcBorders>
              <w:top w:val="single" w:sz="2" w:space="0" w:color="auto"/>
              <w:left w:val="single" w:sz="2" w:space="0" w:color="auto"/>
              <w:bottom w:val="single" w:sz="2" w:space="0" w:color="auto"/>
              <w:right w:val="single" w:sz="2" w:space="0" w:color="auto"/>
            </w:tcBorders>
            <w:vAlign w:val="center"/>
          </w:tcPr>
          <w:p w14:paraId="400954F4" w14:textId="77777777" w:rsidR="007B3DB2" w:rsidRPr="0063248C" w:rsidRDefault="00000000">
            <w:pPr>
              <w:spacing w:line="240" w:lineRule="exact"/>
              <w:jc w:val="right"/>
              <w:rPr>
                <w:rFonts w:cs="宋体"/>
                <w:sz w:val="18"/>
                <w:szCs w:val="18"/>
              </w:rPr>
            </w:pPr>
            <w:r w:rsidRPr="0063248C">
              <w:rPr>
                <w:rFonts w:cs="宋体"/>
                <w:sz w:val="18"/>
                <w:szCs w:val="18"/>
              </w:rPr>
              <w:t>1,721,102.12</w:t>
            </w:r>
          </w:p>
        </w:tc>
        <w:tc>
          <w:tcPr>
            <w:tcW w:w="1606" w:type="dxa"/>
            <w:tcBorders>
              <w:top w:val="single" w:sz="2" w:space="0" w:color="auto"/>
              <w:left w:val="single" w:sz="2" w:space="0" w:color="auto"/>
              <w:bottom w:val="single" w:sz="2" w:space="0" w:color="auto"/>
              <w:right w:val="single" w:sz="2" w:space="0" w:color="auto"/>
            </w:tcBorders>
            <w:vAlign w:val="center"/>
          </w:tcPr>
          <w:p w14:paraId="410CE09E"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611EE48" w14:textId="77777777" w:rsidR="007B3DB2" w:rsidRPr="0063248C" w:rsidRDefault="00000000">
            <w:pPr>
              <w:spacing w:line="240" w:lineRule="exact"/>
              <w:jc w:val="right"/>
              <w:rPr>
                <w:rFonts w:cs="宋体"/>
                <w:sz w:val="18"/>
                <w:szCs w:val="18"/>
              </w:rPr>
            </w:pPr>
            <w:r w:rsidRPr="0063248C">
              <w:rPr>
                <w:rFonts w:cs="宋体"/>
                <w:sz w:val="18"/>
                <w:szCs w:val="18"/>
              </w:rPr>
              <w:t>1,032,661.29</w:t>
            </w:r>
          </w:p>
        </w:tc>
        <w:tc>
          <w:tcPr>
            <w:tcW w:w="1606" w:type="dxa"/>
            <w:tcBorders>
              <w:top w:val="single" w:sz="2" w:space="0" w:color="auto"/>
              <w:left w:val="single" w:sz="2" w:space="0" w:color="auto"/>
              <w:bottom w:val="single" w:sz="2" w:space="0" w:color="auto"/>
              <w:right w:val="single" w:sz="2" w:space="0" w:color="auto"/>
            </w:tcBorders>
            <w:vAlign w:val="center"/>
          </w:tcPr>
          <w:p w14:paraId="18EF14AE"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6F9067E" w14:textId="77777777" w:rsidR="007B3DB2" w:rsidRPr="0063248C" w:rsidRDefault="00000000">
            <w:pPr>
              <w:spacing w:line="240" w:lineRule="exact"/>
              <w:jc w:val="right"/>
              <w:rPr>
                <w:rFonts w:cs="宋体"/>
                <w:sz w:val="18"/>
                <w:szCs w:val="18"/>
              </w:rPr>
            </w:pPr>
            <w:r w:rsidRPr="0063248C">
              <w:rPr>
                <w:rFonts w:cs="宋体"/>
                <w:sz w:val="18"/>
                <w:szCs w:val="18"/>
              </w:rPr>
              <w:t>688,440.83</w:t>
            </w:r>
          </w:p>
        </w:tc>
      </w:tr>
      <w:tr w:rsidR="007B3DB2" w:rsidRPr="0063248C" w14:paraId="47DEC86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62AB730" w14:textId="77777777" w:rsidR="007B3DB2" w:rsidRPr="0063248C" w:rsidRDefault="00000000">
            <w:pPr>
              <w:spacing w:line="240" w:lineRule="exact"/>
              <w:rPr>
                <w:rFonts w:cs="宋体"/>
                <w:sz w:val="18"/>
                <w:szCs w:val="18"/>
              </w:rPr>
            </w:pPr>
            <w:r w:rsidRPr="0063248C">
              <w:rPr>
                <w:rFonts w:cs="宋体"/>
                <w:sz w:val="18"/>
                <w:szCs w:val="18"/>
              </w:rPr>
              <w:t>放养管理中心装修费</w:t>
            </w:r>
          </w:p>
        </w:tc>
        <w:tc>
          <w:tcPr>
            <w:tcW w:w="1606" w:type="dxa"/>
            <w:tcBorders>
              <w:top w:val="single" w:sz="2" w:space="0" w:color="auto"/>
              <w:left w:val="single" w:sz="2" w:space="0" w:color="auto"/>
              <w:bottom w:val="single" w:sz="2" w:space="0" w:color="auto"/>
              <w:right w:val="single" w:sz="2" w:space="0" w:color="auto"/>
            </w:tcBorders>
            <w:vAlign w:val="center"/>
          </w:tcPr>
          <w:p w14:paraId="7FC265AE" w14:textId="77777777" w:rsidR="007B3DB2" w:rsidRPr="0063248C" w:rsidRDefault="00000000">
            <w:pPr>
              <w:spacing w:line="240" w:lineRule="exact"/>
              <w:jc w:val="right"/>
              <w:rPr>
                <w:rFonts w:cs="宋体"/>
                <w:sz w:val="18"/>
                <w:szCs w:val="18"/>
              </w:rPr>
            </w:pPr>
            <w:r w:rsidRPr="0063248C">
              <w:rPr>
                <w:rFonts w:cs="宋体"/>
                <w:sz w:val="18"/>
                <w:szCs w:val="18"/>
              </w:rPr>
              <w:t>1,957,692.79</w:t>
            </w:r>
          </w:p>
        </w:tc>
        <w:tc>
          <w:tcPr>
            <w:tcW w:w="1606" w:type="dxa"/>
            <w:tcBorders>
              <w:top w:val="single" w:sz="2" w:space="0" w:color="auto"/>
              <w:left w:val="single" w:sz="2" w:space="0" w:color="auto"/>
              <w:bottom w:val="single" w:sz="2" w:space="0" w:color="auto"/>
              <w:right w:val="single" w:sz="2" w:space="0" w:color="auto"/>
            </w:tcBorders>
            <w:vAlign w:val="center"/>
          </w:tcPr>
          <w:p w14:paraId="5FC3BBB8"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3057741" w14:textId="77777777" w:rsidR="007B3DB2" w:rsidRPr="0063248C" w:rsidRDefault="00000000">
            <w:pPr>
              <w:spacing w:line="240" w:lineRule="exact"/>
              <w:jc w:val="right"/>
              <w:rPr>
                <w:rFonts w:cs="宋体"/>
                <w:sz w:val="18"/>
                <w:szCs w:val="18"/>
              </w:rPr>
            </w:pPr>
            <w:r w:rsidRPr="0063248C">
              <w:rPr>
                <w:rFonts w:cs="宋体"/>
                <w:sz w:val="18"/>
                <w:szCs w:val="18"/>
              </w:rPr>
              <w:t>139,835.22</w:t>
            </w:r>
          </w:p>
        </w:tc>
        <w:tc>
          <w:tcPr>
            <w:tcW w:w="1606" w:type="dxa"/>
            <w:tcBorders>
              <w:top w:val="single" w:sz="2" w:space="0" w:color="auto"/>
              <w:left w:val="single" w:sz="2" w:space="0" w:color="auto"/>
              <w:bottom w:val="single" w:sz="2" w:space="0" w:color="auto"/>
              <w:right w:val="single" w:sz="2" w:space="0" w:color="auto"/>
            </w:tcBorders>
            <w:vAlign w:val="center"/>
          </w:tcPr>
          <w:p w14:paraId="33BCEAA8"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182F430" w14:textId="77777777" w:rsidR="007B3DB2" w:rsidRPr="0063248C" w:rsidRDefault="00000000">
            <w:pPr>
              <w:spacing w:line="240" w:lineRule="exact"/>
              <w:jc w:val="right"/>
              <w:rPr>
                <w:rFonts w:cs="宋体"/>
                <w:sz w:val="18"/>
                <w:szCs w:val="18"/>
              </w:rPr>
            </w:pPr>
            <w:r w:rsidRPr="0063248C">
              <w:rPr>
                <w:rFonts w:cs="宋体"/>
                <w:sz w:val="18"/>
                <w:szCs w:val="18"/>
              </w:rPr>
              <w:t>1,817,857.57</w:t>
            </w:r>
          </w:p>
        </w:tc>
      </w:tr>
      <w:tr w:rsidR="007B3DB2" w:rsidRPr="0063248C" w14:paraId="297840C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8B9FD4A" w14:textId="77777777" w:rsidR="007B3DB2" w:rsidRPr="0063248C" w:rsidRDefault="00000000">
            <w:pPr>
              <w:spacing w:line="240" w:lineRule="exact"/>
              <w:rPr>
                <w:rFonts w:cs="宋体"/>
                <w:sz w:val="18"/>
                <w:szCs w:val="18"/>
              </w:rPr>
            </w:pPr>
            <w:r w:rsidRPr="0063248C">
              <w:rPr>
                <w:rFonts w:cs="宋体"/>
                <w:sz w:val="18"/>
                <w:szCs w:val="18"/>
              </w:rPr>
              <w:t>海阳服务部改造工程</w:t>
            </w:r>
          </w:p>
        </w:tc>
        <w:tc>
          <w:tcPr>
            <w:tcW w:w="1606" w:type="dxa"/>
            <w:tcBorders>
              <w:top w:val="single" w:sz="2" w:space="0" w:color="auto"/>
              <w:left w:val="single" w:sz="2" w:space="0" w:color="auto"/>
              <w:bottom w:val="single" w:sz="2" w:space="0" w:color="auto"/>
              <w:right w:val="single" w:sz="2" w:space="0" w:color="auto"/>
            </w:tcBorders>
            <w:vAlign w:val="center"/>
          </w:tcPr>
          <w:p w14:paraId="2236E7BC"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F64E7B2" w14:textId="77777777" w:rsidR="007B3DB2" w:rsidRPr="0063248C" w:rsidRDefault="00000000">
            <w:pPr>
              <w:spacing w:line="240" w:lineRule="exact"/>
              <w:jc w:val="right"/>
              <w:rPr>
                <w:rFonts w:cs="宋体"/>
                <w:sz w:val="18"/>
                <w:szCs w:val="18"/>
              </w:rPr>
            </w:pPr>
            <w:r w:rsidRPr="0063248C">
              <w:rPr>
                <w:rFonts w:cs="宋体"/>
                <w:sz w:val="18"/>
                <w:szCs w:val="18"/>
              </w:rPr>
              <w:t>68,800.00</w:t>
            </w:r>
          </w:p>
        </w:tc>
        <w:tc>
          <w:tcPr>
            <w:tcW w:w="1606" w:type="dxa"/>
            <w:tcBorders>
              <w:top w:val="single" w:sz="2" w:space="0" w:color="auto"/>
              <w:left w:val="single" w:sz="2" w:space="0" w:color="auto"/>
              <w:bottom w:val="single" w:sz="2" w:space="0" w:color="auto"/>
              <w:right w:val="single" w:sz="2" w:space="0" w:color="auto"/>
            </w:tcBorders>
            <w:vAlign w:val="center"/>
          </w:tcPr>
          <w:p w14:paraId="4D196DAE" w14:textId="77777777" w:rsidR="007B3DB2" w:rsidRPr="0063248C" w:rsidRDefault="00000000">
            <w:pPr>
              <w:spacing w:line="240" w:lineRule="exact"/>
              <w:jc w:val="right"/>
              <w:rPr>
                <w:rFonts w:cs="宋体"/>
                <w:sz w:val="18"/>
                <w:szCs w:val="18"/>
              </w:rPr>
            </w:pPr>
            <w:r w:rsidRPr="0063248C">
              <w:rPr>
                <w:rFonts w:cs="宋体"/>
                <w:sz w:val="18"/>
                <w:szCs w:val="18"/>
              </w:rPr>
              <w:t>1,638.10</w:t>
            </w:r>
          </w:p>
        </w:tc>
        <w:tc>
          <w:tcPr>
            <w:tcW w:w="1606" w:type="dxa"/>
            <w:tcBorders>
              <w:top w:val="single" w:sz="2" w:space="0" w:color="auto"/>
              <w:left w:val="single" w:sz="2" w:space="0" w:color="auto"/>
              <w:bottom w:val="single" w:sz="2" w:space="0" w:color="auto"/>
              <w:right w:val="single" w:sz="2" w:space="0" w:color="auto"/>
            </w:tcBorders>
            <w:vAlign w:val="center"/>
          </w:tcPr>
          <w:p w14:paraId="63919A21"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3D2CFBC" w14:textId="77777777" w:rsidR="007B3DB2" w:rsidRPr="0063248C" w:rsidRDefault="00000000">
            <w:pPr>
              <w:spacing w:line="240" w:lineRule="exact"/>
              <w:jc w:val="right"/>
              <w:rPr>
                <w:rFonts w:cs="宋体"/>
                <w:sz w:val="18"/>
                <w:szCs w:val="18"/>
              </w:rPr>
            </w:pPr>
            <w:r w:rsidRPr="0063248C">
              <w:rPr>
                <w:rFonts w:cs="宋体"/>
                <w:sz w:val="18"/>
                <w:szCs w:val="18"/>
              </w:rPr>
              <w:t>67,161.90</w:t>
            </w:r>
          </w:p>
        </w:tc>
      </w:tr>
      <w:tr w:rsidR="007B3DB2" w:rsidRPr="0063248C" w14:paraId="6F2D906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559F833" w14:textId="77777777" w:rsidR="007B3DB2" w:rsidRPr="0063248C" w:rsidRDefault="00000000">
            <w:pPr>
              <w:spacing w:line="240" w:lineRule="exact"/>
              <w:rPr>
                <w:rFonts w:cs="宋体"/>
                <w:sz w:val="18"/>
                <w:szCs w:val="18"/>
              </w:rPr>
            </w:pPr>
            <w:r w:rsidRPr="0063248C">
              <w:rPr>
                <w:rFonts w:cs="宋体"/>
                <w:sz w:val="18"/>
                <w:szCs w:val="18"/>
              </w:rPr>
              <w:t>龙口服务部改造工程</w:t>
            </w:r>
          </w:p>
        </w:tc>
        <w:tc>
          <w:tcPr>
            <w:tcW w:w="1606" w:type="dxa"/>
            <w:tcBorders>
              <w:top w:val="single" w:sz="2" w:space="0" w:color="auto"/>
              <w:left w:val="single" w:sz="2" w:space="0" w:color="auto"/>
              <w:bottom w:val="single" w:sz="2" w:space="0" w:color="auto"/>
              <w:right w:val="single" w:sz="2" w:space="0" w:color="auto"/>
            </w:tcBorders>
            <w:vAlign w:val="center"/>
          </w:tcPr>
          <w:p w14:paraId="67937133"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E6AA5F8" w14:textId="77777777" w:rsidR="007B3DB2" w:rsidRPr="0063248C" w:rsidRDefault="00000000">
            <w:pPr>
              <w:spacing w:line="240" w:lineRule="exact"/>
              <w:jc w:val="right"/>
              <w:rPr>
                <w:rFonts w:cs="宋体"/>
                <w:sz w:val="18"/>
                <w:szCs w:val="18"/>
              </w:rPr>
            </w:pPr>
            <w:r w:rsidRPr="0063248C">
              <w:rPr>
                <w:rFonts w:cs="宋体"/>
                <w:sz w:val="18"/>
                <w:szCs w:val="18"/>
              </w:rPr>
              <w:t>147,632.61</w:t>
            </w:r>
          </w:p>
        </w:tc>
        <w:tc>
          <w:tcPr>
            <w:tcW w:w="1606" w:type="dxa"/>
            <w:tcBorders>
              <w:top w:val="single" w:sz="2" w:space="0" w:color="auto"/>
              <w:left w:val="single" w:sz="2" w:space="0" w:color="auto"/>
              <w:bottom w:val="single" w:sz="2" w:space="0" w:color="auto"/>
              <w:right w:val="single" w:sz="2" w:space="0" w:color="auto"/>
            </w:tcBorders>
            <w:vAlign w:val="center"/>
          </w:tcPr>
          <w:p w14:paraId="7C6DD8E8" w14:textId="77777777" w:rsidR="007B3DB2" w:rsidRPr="0063248C" w:rsidRDefault="00000000">
            <w:pPr>
              <w:spacing w:line="240" w:lineRule="exact"/>
              <w:jc w:val="right"/>
              <w:rPr>
                <w:rFonts w:cs="宋体"/>
                <w:sz w:val="18"/>
                <w:szCs w:val="18"/>
              </w:rPr>
            </w:pPr>
            <w:r w:rsidRPr="0063248C">
              <w:rPr>
                <w:rFonts w:cs="宋体"/>
                <w:sz w:val="18"/>
                <w:szCs w:val="18"/>
              </w:rPr>
              <w:t>4,100.91</w:t>
            </w:r>
          </w:p>
        </w:tc>
        <w:tc>
          <w:tcPr>
            <w:tcW w:w="1606" w:type="dxa"/>
            <w:tcBorders>
              <w:top w:val="single" w:sz="2" w:space="0" w:color="auto"/>
              <w:left w:val="single" w:sz="2" w:space="0" w:color="auto"/>
              <w:bottom w:val="single" w:sz="2" w:space="0" w:color="auto"/>
              <w:right w:val="single" w:sz="2" w:space="0" w:color="auto"/>
            </w:tcBorders>
            <w:vAlign w:val="center"/>
          </w:tcPr>
          <w:p w14:paraId="1D2736DE"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4709C6C" w14:textId="77777777" w:rsidR="007B3DB2" w:rsidRPr="0063248C" w:rsidRDefault="00000000">
            <w:pPr>
              <w:spacing w:line="240" w:lineRule="exact"/>
              <w:jc w:val="right"/>
              <w:rPr>
                <w:rFonts w:cs="宋体"/>
                <w:sz w:val="18"/>
                <w:szCs w:val="18"/>
              </w:rPr>
            </w:pPr>
            <w:r w:rsidRPr="0063248C">
              <w:rPr>
                <w:rFonts w:cs="宋体"/>
                <w:sz w:val="18"/>
                <w:szCs w:val="18"/>
              </w:rPr>
              <w:t>143,531.70</w:t>
            </w:r>
          </w:p>
        </w:tc>
      </w:tr>
      <w:tr w:rsidR="007B3DB2" w:rsidRPr="0063248C" w14:paraId="0F85E417"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20ACAD1"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33137B55" w14:textId="77777777" w:rsidR="007B3DB2" w:rsidRPr="0063248C" w:rsidRDefault="00000000">
            <w:pPr>
              <w:spacing w:line="240" w:lineRule="exact"/>
              <w:jc w:val="right"/>
              <w:rPr>
                <w:rFonts w:cs="宋体"/>
                <w:sz w:val="18"/>
                <w:szCs w:val="18"/>
              </w:rPr>
            </w:pPr>
            <w:r w:rsidRPr="0063248C">
              <w:rPr>
                <w:rFonts w:cs="宋体"/>
                <w:sz w:val="18"/>
                <w:szCs w:val="18"/>
              </w:rPr>
              <w:t>7,613,709.65</w:t>
            </w:r>
          </w:p>
        </w:tc>
        <w:tc>
          <w:tcPr>
            <w:tcW w:w="1606" w:type="dxa"/>
            <w:tcBorders>
              <w:top w:val="single" w:sz="2" w:space="0" w:color="auto"/>
              <w:left w:val="single" w:sz="2" w:space="0" w:color="auto"/>
              <w:bottom w:val="single" w:sz="2" w:space="0" w:color="auto"/>
              <w:right w:val="single" w:sz="2" w:space="0" w:color="auto"/>
            </w:tcBorders>
            <w:vAlign w:val="center"/>
          </w:tcPr>
          <w:p w14:paraId="0D6F49B1" w14:textId="77777777" w:rsidR="007B3DB2" w:rsidRPr="0063248C" w:rsidRDefault="00000000">
            <w:pPr>
              <w:spacing w:line="240" w:lineRule="exact"/>
              <w:jc w:val="right"/>
              <w:rPr>
                <w:rFonts w:cs="宋体"/>
                <w:sz w:val="18"/>
                <w:szCs w:val="18"/>
              </w:rPr>
            </w:pPr>
            <w:r w:rsidRPr="0063248C">
              <w:rPr>
                <w:rFonts w:cs="宋体"/>
                <w:sz w:val="18"/>
                <w:szCs w:val="18"/>
              </w:rPr>
              <w:t>216,432.61</w:t>
            </w:r>
          </w:p>
        </w:tc>
        <w:tc>
          <w:tcPr>
            <w:tcW w:w="1606" w:type="dxa"/>
            <w:tcBorders>
              <w:top w:val="single" w:sz="2" w:space="0" w:color="auto"/>
              <w:left w:val="single" w:sz="2" w:space="0" w:color="auto"/>
              <w:bottom w:val="single" w:sz="2" w:space="0" w:color="auto"/>
              <w:right w:val="single" w:sz="2" w:space="0" w:color="auto"/>
            </w:tcBorders>
            <w:vAlign w:val="center"/>
          </w:tcPr>
          <w:p w14:paraId="016ACEAA" w14:textId="77777777" w:rsidR="007B3DB2" w:rsidRPr="0063248C" w:rsidRDefault="00000000">
            <w:pPr>
              <w:spacing w:line="240" w:lineRule="exact"/>
              <w:jc w:val="right"/>
              <w:rPr>
                <w:rFonts w:cs="宋体"/>
                <w:sz w:val="18"/>
                <w:szCs w:val="18"/>
              </w:rPr>
            </w:pPr>
            <w:r w:rsidRPr="0063248C">
              <w:rPr>
                <w:rFonts w:cs="宋体"/>
                <w:sz w:val="18"/>
                <w:szCs w:val="18"/>
              </w:rPr>
              <w:t>1,885,622.74</w:t>
            </w:r>
          </w:p>
        </w:tc>
        <w:tc>
          <w:tcPr>
            <w:tcW w:w="1606" w:type="dxa"/>
            <w:tcBorders>
              <w:top w:val="single" w:sz="2" w:space="0" w:color="auto"/>
              <w:left w:val="single" w:sz="2" w:space="0" w:color="auto"/>
              <w:bottom w:val="single" w:sz="2" w:space="0" w:color="auto"/>
              <w:right w:val="single" w:sz="2" w:space="0" w:color="auto"/>
            </w:tcBorders>
            <w:vAlign w:val="center"/>
          </w:tcPr>
          <w:p w14:paraId="79870E8B"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D45F2F1" w14:textId="77777777" w:rsidR="007B3DB2" w:rsidRPr="0063248C" w:rsidRDefault="00000000">
            <w:pPr>
              <w:spacing w:line="240" w:lineRule="exact"/>
              <w:jc w:val="right"/>
              <w:rPr>
                <w:rFonts w:cs="宋体"/>
                <w:sz w:val="18"/>
                <w:szCs w:val="18"/>
              </w:rPr>
            </w:pPr>
            <w:r w:rsidRPr="0063248C">
              <w:rPr>
                <w:rFonts w:cs="宋体"/>
                <w:sz w:val="18"/>
                <w:szCs w:val="18"/>
              </w:rPr>
              <w:t>5,944,519.52</w:t>
            </w:r>
          </w:p>
        </w:tc>
      </w:tr>
    </w:tbl>
    <w:p w14:paraId="1E8C0659"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7CDC3C73" w14:textId="77777777" w:rsidR="00517D34" w:rsidRPr="0063248C" w:rsidRDefault="00000000">
      <w:pPr>
        <w:pStyle w:val="a3"/>
        <w:divId w:val="1489974081"/>
        <w:rPr>
          <w:rFonts w:ascii="Times New Roman" w:hAnsi="Times New Roman"/>
          <w:sz w:val="18"/>
          <w:szCs w:val="18"/>
        </w:rPr>
      </w:pPr>
      <w:r w:rsidRPr="0063248C">
        <w:rPr>
          <w:rFonts w:ascii="Times New Roman" w:hAnsi="Times New Roman" w:hint="eastAsia"/>
          <w:sz w:val="18"/>
          <w:szCs w:val="18"/>
        </w:rPr>
        <w:t>无</w:t>
      </w:r>
    </w:p>
    <w:p w14:paraId="280809DB" w14:textId="77777777" w:rsidR="007B3DB2" w:rsidRPr="0063248C" w:rsidRDefault="00000000">
      <w:pPr>
        <w:pStyle w:val="3"/>
        <w:spacing w:line="280" w:lineRule="exact"/>
        <w:jc w:val="left"/>
        <w:rPr>
          <w:rFonts w:cs="宋体"/>
          <w:b/>
          <w:bCs/>
        </w:rPr>
      </w:pPr>
      <w:bookmarkStart w:id="301" w:name="_Toc989190"/>
      <w:r w:rsidRPr="0063248C">
        <w:rPr>
          <w:rFonts w:cs="宋体"/>
          <w:b/>
          <w:bCs/>
        </w:rPr>
        <w:t>29</w:t>
      </w:r>
      <w:r w:rsidRPr="0063248C">
        <w:rPr>
          <w:rFonts w:cs="宋体"/>
          <w:b/>
          <w:bCs/>
        </w:rPr>
        <w:t>、递延所得税资产</w:t>
      </w:r>
      <w:r w:rsidRPr="0063248C">
        <w:rPr>
          <w:rFonts w:cs="宋体"/>
          <w:b/>
          <w:bCs/>
        </w:rPr>
        <w:t>/</w:t>
      </w:r>
      <w:r w:rsidRPr="0063248C">
        <w:rPr>
          <w:rFonts w:cs="宋体"/>
          <w:b/>
          <w:bCs/>
        </w:rPr>
        <w:t>递延所得税负债</w:t>
      </w:r>
      <w:bookmarkEnd w:id="301"/>
    </w:p>
    <w:p w14:paraId="576ED69F" w14:textId="77777777" w:rsidR="007B3DB2" w:rsidRPr="0063248C" w:rsidRDefault="00000000">
      <w:pPr>
        <w:keepNext/>
        <w:keepLines/>
        <w:spacing w:before="300" w:after="300" w:line="280" w:lineRule="exact"/>
        <w:outlineLvl w:val="3"/>
        <w:rPr>
          <w:rFonts w:cs="宋体"/>
          <w:b/>
          <w:bCs/>
          <w:szCs w:val="21"/>
        </w:rPr>
      </w:pPr>
      <w:bookmarkStart w:id="302" w:name="_Toc989191"/>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未经</w:t>
      </w:r>
      <w:proofErr w:type="gramStart"/>
      <w:r w:rsidRPr="0063248C">
        <w:rPr>
          <w:rFonts w:cs="宋体"/>
          <w:b/>
          <w:bCs/>
          <w:szCs w:val="21"/>
        </w:rPr>
        <w:t>抵销</w:t>
      </w:r>
      <w:proofErr w:type="gramEnd"/>
      <w:r w:rsidRPr="0063248C">
        <w:rPr>
          <w:rFonts w:cs="宋体"/>
          <w:b/>
          <w:bCs/>
          <w:szCs w:val="21"/>
        </w:rPr>
        <w:t>的递延所得税资产</w:t>
      </w:r>
      <w:bookmarkEnd w:id="302"/>
    </w:p>
    <w:p w14:paraId="522C7737"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4985839E"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E65093"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4ADD7D7"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C3E350A"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5ECBE8D7"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2172D13"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E290239" w14:textId="77777777" w:rsidR="007B3DB2" w:rsidRPr="0063248C" w:rsidRDefault="00000000">
            <w:pPr>
              <w:spacing w:before="40" w:after="40" w:line="240" w:lineRule="exact"/>
              <w:jc w:val="center"/>
              <w:rPr>
                <w:rFonts w:cs="宋体"/>
                <w:sz w:val="18"/>
                <w:szCs w:val="18"/>
              </w:rPr>
            </w:pPr>
            <w:r w:rsidRPr="0063248C">
              <w:rPr>
                <w:rFonts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6473A1F" w14:textId="77777777" w:rsidR="007B3DB2" w:rsidRPr="0063248C" w:rsidRDefault="00000000">
            <w:pPr>
              <w:spacing w:before="40" w:after="40" w:line="240" w:lineRule="exact"/>
              <w:jc w:val="center"/>
              <w:rPr>
                <w:rFonts w:cs="宋体"/>
                <w:sz w:val="18"/>
                <w:szCs w:val="18"/>
              </w:rPr>
            </w:pPr>
            <w:r w:rsidRPr="0063248C">
              <w:rPr>
                <w:rFonts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58D8303" w14:textId="77777777" w:rsidR="007B3DB2" w:rsidRPr="0063248C" w:rsidRDefault="00000000">
            <w:pPr>
              <w:spacing w:before="40" w:after="40" w:line="240" w:lineRule="exact"/>
              <w:jc w:val="center"/>
              <w:rPr>
                <w:rFonts w:cs="宋体"/>
                <w:sz w:val="18"/>
                <w:szCs w:val="18"/>
              </w:rPr>
            </w:pPr>
            <w:r w:rsidRPr="0063248C">
              <w:rPr>
                <w:rFonts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0E7FC6F" w14:textId="77777777" w:rsidR="007B3DB2" w:rsidRPr="0063248C" w:rsidRDefault="00000000">
            <w:pPr>
              <w:spacing w:before="40" w:after="40" w:line="240" w:lineRule="exact"/>
              <w:jc w:val="center"/>
              <w:rPr>
                <w:rFonts w:cs="宋体"/>
                <w:sz w:val="18"/>
                <w:szCs w:val="18"/>
              </w:rPr>
            </w:pPr>
            <w:r w:rsidRPr="0063248C">
              <w:rPr>
                <w:rFonts w:cs="宋体"/>
                <w:sz w:val="18"/>
                <w:szCs w:val="18"/>
              </w:rPr>
              <w:t>递延所得税资产</w:t>
            </w:r>
          </w:p>
        </w:tc>
      </w:tr>
      <w:tr w:rsidR="007B3DB2" w:rsidRPr="0063248C" w14:paraId="6872EB3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FB07AFD" w14:textId="77777777" w:rsidR="007B3DB2" w:rsidRPr="0063248C" w:rsidRDefault="00000000">
            <w:pPr>
              <w:spacing w:before="40" w:after="40" w:line="240" w:lineRule="exact"/>
              <w:rPr>
                <w:rFonts w:cs="宋体"/>
                <w:sz w:val="18"/>
                <w:szCs w:val="18"/>
              </w:rPr>
            </w:pPr>
            <w:r w:rsidRPr="0063248C">
              <w:rPr>
                <w:rFonts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14:paraId="406B1D04" w14:textId="77777777" w:rsidR="007B3DB2" w:rsidRPr="0063248C" w:rsidRDefault="00000000">
            <w:pPr>
              <w:spacing w:line="240" w:lineRule="exact"/>
              <w:jc w:val="right"/>
              <w:rPr>
                <w:rFonts w:cs="宋体"/>
                <w:sz w:val="18"/>
                <w:szCs w:val="18"/>
              </w:rPr>
            </w:pPr>
            <w:r w:rsidRPr="0063248C">
              <w:rPr>
                <w:rFonts w:cs="宋体"/>
                <w:sz w:val="18"/>
                <w:szCs w:val="18"/>
              </w:rPr>
              <w:t>648,903.72</w:t>
            </w:r>
          </w:p>
        </w:tc>
        <w:tc>
          <w:tcPr>
            <w:tcW w:w="1928" w:type="dxa"/>
            <w:tcBorders>
              <w:top w:val="single" w:sz="2" w:space="0" w:color="auto"/>
              <w:left w:val="single" w:sz="2" w:space="0" w:color="auto"/>
              <w:bottom w:val="single" w:sz="2" w:space="0" w:color="auto"/>
              <w:right w:val="single" w:sz="2" w:space="0" w:color="auto"/>
            </w:tcBorders>
            <w:vAlign w:val="center"/>
          </w:tcPr>
          <w:p w14:paraId="68450BE0" w14:textId="77777777" w:rsidR="007B3DB2" w:rsidRPr="0063248C" w:rsidRDefault="00000000">
            <w:pPr>
              <w:spacing w:line="240" w:lineRule="exact"/>
              <w:jc w:val="right"/>
              <w:rPr>
                <w:rFonts w:cs="宋体"/>
                <w:sz w:val="18"/>
                <w:szCs w:val="18"/>
              </w:rPr>
            </w:pPr>
            <w:r w:rsidRPr="0063248C">
              <w:rPr>
                <w:rFonts w:cs="宋体"/>
                <w:sz w:val="18"/>
                <w:szCs w:val="18"/>
              </w:rPr>
              <w:t>157,426.56</w:t>
            </w:r>
          </w:p>
        </w:tc>
        <w:tc>
          <w:tcPr>
            <w:tcW w:w="1928" w:type="dxa"/>
            <w:tcBorders>
              <w:top w:val="single" w:sz="2" w:space="0" w:color="auto"/>
              <w:left w:val="single" w:sz="2" w:space="0" w:color="auto"/>
              <w:bottom w:val="single" w:sz="2" w:space="0" w:color="auto"/>
              <w:right w:val="single" w:sz="2" w:space="0" w:color="auto"/>
            </w:tcBorders>
            <w:vAlign w:val="center"/>
          </w:tcPr>
          <w:p w14:paraId="3BE58005" w14:textId="77777777" w:rsidR="007B3DB2" w:rsidRPr="0063248C" w:rsidRDefault="00000000">
            <w:pPr>
              <w:spacing w:line="240" w:lineRule="exact"/>
              <w:jc w:val="right"/>
              <w:rPr>
                <w:rFonts w:cs="宋体"/>
                <w:sz w:val="18"/>
                <w:szCs w:val="18"/>
              </w:rPr>
            </w:pPr>
            <w:r w:rsidRPr="0063248C">
              <w:rPr>
                <w:rFonts w:cs="宋体"/>
                <w:sz w:val="18"/>
                <w:szCs w:val="18"/>
              </w:rPr>
              <w:t>674,581.49</w:t>
            </w:r>
          </w:p>
        </w:tc>
        <w:tc>
          <w:tcPr>
            <w:tcW w:w="1928" w:type="dxa"/>
            <w:tcBorders>
              <w:top w:val="single" w:sz="2" w:space="0" w:color="auto"/>
              <w:left w:val="single" w:sz="2" w:space="0" w:color="auto"/>
              <w:bottom w:val="single" w:sz="2" w:space="0" w:color="auto"/>
              <w:right w:val="single" w:sz="2" w:space="0" w:color="auto"/>
            </w:tcBorders>
            <w:vAlign w:val="center"/>
          </w:tcPr>
          <w:p w14:paraId="6E6D0C04" w14:textId="77777777" w:rsidR="007B3DB2" w:rsidRPr="0063248C" w:rsidRDefault="00000000">
            <w:pPr>
              <w:spacing w:line="240" w:lineRule="exact"/>
              <w:jc w:val="right"/>
              <w:rPr>
                <w:rFonts w:cs="宋体"/>
                <w:sz w:val="18"/>
                <w:szCs w:val="18"/>
              </w:rPr>
            </w:pPr>
            <w:r w:rsidRPr="0063248C">
              <w:rPr>
                <w:rFonts w:cs="宋体"/>
                <w:sz w:val="18"/>
                <w:szCs w:val="18"/>
              </w:rPr>
              <w:t>163,246.98</w:t>
            </w:r>
          </w:p>
        </w:tc>
      </w:tr>
      <w:tr w:rsidR="007B3DB2" w:rsidRPr="0063248C" w14:paraId="72A9302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B771AF" w14:textId="77777777" w:rsidR="007B3DB2" w:rsidRPr="0063248C" w:rsidRDefault="00000000">
            <w:pPr>
              <w:spacing w:before="40" w:after="40" w:line="240" w:lineRule="exact"/>
              <w:rPr>
                <w:rFonts w:cs="宋体"/>
                <w:sz w:val="18"/>
                <w:szCs w:val="18"/>
              </w:rPr>
            </w:pPr>
            <w:r w:rsidRPr="0063248C">
              <w:rPr>
                <w:rFonts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14:paraId="6790F6FA" w14:textId="77777777" w:rsidR="007B3DB2" w:rsidRPr="0063248C" w:rsidRDefault="00000000">
            <w:pPr>
              <w:spacing w:line="240" w:lineRule="exact"/>
              <w:jc w:val="right"/>
              <w:rPr>
                <w:rFonts w:cs="宋体"/>
                <w:sz w:val="18"/>
                <w:szCs w:val="18"/>
              </w:rPr>
            </w:pPr>
            <w:r w:rsidRPr="0063248C">
              <w:rPr>
                <w:rFonts w:cs="宋体"/>
                <w:sz w:val="18"/>
                <w:szCs w:val="18"/>
              </w:rPr>
              <w:t>137,953,031.59</w:t>
            </w:r>
          </w:p>
        </w:tc>
        <w:tc>
          <w:tcPr>
            <w:tcW w:w="1928" w:type="dxa"/>
            <w:tcBorders>
              <w:top w:val="single" w:sz="2" w:space="0" w:color="auto"/>
              <w:left w:val="single" w:sz="2" w:space="0" w:color="auto"/>
              <w:bottom w:val="single" w:sz="2" w:space="0" w:color="auto"/>
              <w:right w:val="single" w:sz="2" w:space="0" w:color="auto"/>
            </w:tcBorders>
            <w:vAlign w:val="center"/>
          </w:tcPr>
          <w:p w14:paraId="3F5FBBB2" w14:textId="77777777" w:rsidR="007B3DB2" w:rsidRPr="0063248C" w:rsidRDefault="00000000">
            <w:pPr>
              <w:spacing w:line="240" w:lineRule="exact"/>
              <w:jc w:val="right"/>
              <w:rPr>
                <w:rFonts w:cs="宋体"/>
                <w:sz w:val="18"/>
                <w:szCs w:val="18"/>
              </w:rPr>
            </w:pPr>
            <w:r w:rsidRPr="0063248C">
              <w:rPr>
                <w:rFonts w:cs="宋体"/>
                <w:sz w:val="18"/>
                <w:szCs w:val="18"/>
              </w:rPr>
              <w:t>34,488,257.89</w:t>
            </w:r>
          </w:p>
        </w:tc>
        <w:tc>
          <w:tcPr>
            <w:tcW w:w="1928" w:type="dxa"/>
            <w:tcBorders>
              <w:top w:val="single" w:sz="2" w:space="0" w:color="auto"/>
              <w:left w:val="single" w:sz="2" w:space="0" w:color="auto"/>
              <w:bottom w:val="single" w:sz="2" w:space="0" w:color="auto"/>
              <w:right w:val="single" w:sz="2" w:space="0" w:color="auto"/>
            </w:tcBorders>
            <w:vAlign w:val="center"/>
          </w:tcPr>
          <w:p w14:paraId="56B08490" w14:textId="77777777" w:rsidR="007B3DB2" w:rsidRPr="0063248C" w:rsidRDefault="00000000">
            <w:pPr>
              <w:spacing w:line="240" w:lineRule="exact"/>
              <w:jc w:val="right"/>
              <w:rPr>
                <w:rFonts w:cs="宋体"/>
                <w:sz w:val="18"/>
                <w:szCs w:val="18"/>
              </w:rPr>
            </w:pPr>
            <w:r w:rsidRPr="0063248C">
              <w:rPr>
                <w:rFonts w:cs="宋体"/>
                <w:sz w:val="18"/>
                <w:szCs w:val="18"/>
              </w:rPr>
              <w:t>113,295,117.51</w:t>
            </w:r>
          </w:p>
        </w:tc>
        <w:tc>
          <w:tcPr>
            <w:tcW w:w="1928" w:type="dxa"/>
            <w:tcBorders>
              <w:top w:val="single" w:sz="2" w:space="0" w:color="auto"/>
              <w:left w:val="single" w:sz="2" w:space="0" w:color="auto"/>
              <w:bottom w:val="single" w:sz="2" w:space="0" w:color="auto"/>
              <w:right w:val="single" w:sz="2" w:space="0" w:color="auto"/>
            </w:tcBorders>
            <w:vAlign w:val="center"/>
          </w:tcPr>
          <w:p w14:paraId="4CDA6D8A" w14:textId="77777777" w:rsidR="007B3DB2" w:rsidRPr="0063248C" w:rsidRDefault="00000000">
            <w:pPr>
              <w:spacing w:line="240" w:lineRule="exact"/>
              <w:jc w:val="right"/>
              <w:rPr>
                <w:rFonts w:cs="宋体"/>
                <w:sz w:val="18"/>
                <w:szCs w:val="18"/>
              </w:rPr>
            </w:pPr>
            <w:r w:rsidRPr="0063248C">
              <w:rPr>
                <w:rFonts w:cs="宋体"/>
                <w:sz w:val="18"/>
                <w:szCs w:val="18"/>
              </w:rPr>
              <w:t>28,323,779.37</w:t>
            </w:r>
          </w:p>
        </w:tc>
      </w:tr>
      <w:tr w:rsidR="007B3DB2" w:rsidRPr="0063248C" w14:paraId="7693C76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FAA47E0" w14:textId="77777777" w:rsidR="007B3DB2" w:rsidRPr="0063248C" w:rsidRDefault="00000000">
            <w:pPr>
              <w:spacing w:line="240" w:lineRule="exact"/>
              <w:rPr>
                <w:rFonts w:cs="宋体"/>
                <w:sz w:val="18"/>
                <w:szCs w:val="18"/>
              </w:rPr>
            </w:pPr>
            <w:r w:rsidRPr="0063248C">
              <w:rPr>
                <w:rFonts w:cs="宋体"/>
                <w:sz w:val="18"/>
                <w:szCs w:val="18"/>
              </w:rPr>
              <w:t>租赁负债影响数</w:t>
            </w:r>
          </w:p>
        </w:tc>
        <w:tc>
          <w:tcPr>
            <w:tcW w:w="1928" w:type="dxa"/>
            <w:tcBorders>
              <w:top w:val="single" w:sz="2" w:space="0" w:color="auto"/>
              <w:left w:val="single" w:sz="2" w:space="0" w:color="auto"/>
              <w:bottom w:val="single" w:sz="2" w:space="0" w:color="auto"/>
              <w:right w:val="single" w:sz="2" w:space="0" w:color="auto"/>
            </w:tcBorders>
            <w:vAlign w:val="center"/>
          </w:tcPr>
          <w:p w14:paraId="22943D42" w14:textId="77777777" w:rsidR="007B3DB2" w:rsidRPr="0063248C" w:rsidRDefault="00000000">
            <w:pPr>
              <w:spacing w:line="240" w:lineRule="exact"/>
              <w:jc w:val="right"/>
              <w:rPr>
                <w:rFonts w:cs="宋体"/>
                <w:sz w:val="18"/>
                <w:szCs w:val="18"/>
              </w:rPr>
            </w:pPr>
            <w:r w:rsidRPr="0063248C">
              <w:rPr>
                <w:rFonts w:cs="宋体"/>
                <w:sz w:val="18"/>
                <w:szCs w:val="18"/>
              </w:rPr>
              <w:t>4,748,080.84</w:t>
            </w:r>
          </w:p>
        </w:tc>
        <w:tc>
          <w:tcPr>
            <w:tcW w:w="1928" w:type="dxa"/>
            <w:tcBorders>
              <w:top w:val="single" w:sz="2" w:space="0" w:color="auto"/>
              <w:left w:val="single" w:sz="2" w:space="0" w:color="auto"/>
              <w:bottom w:val="single" w:sz="2" w:space="0" w:color="auto"/>
              <w:right w:val="single" w:sz="2" w:space="0" w:color="auto"/>
            </w:tcBorders>
            <w:vAlign w:val="center"/>
          </w:tcPr>
          <w:p w14:paraId="2BFEE17F" w14:textId="77777777" w:rsidR="007B3DB2" w:rsidRPr="0063248C" w:rsidRDefault="00000000">
            <w:pPr>
              <w:spacing w:line="240" w:lineRule="exact"/>
              <w:jc w:val="right"/>
              <w:rPr>
                <w:rFonts w:cs="宋体"/>
                <w:sz w:val="18"/>
                <w:szCs w:val="18"/>
              </w:rPr>
            </w:pPr>
            <w:r w:rsidRPr="0063248C">
              <w:rPr>
                <w:rFonts w:cs="宋体"/>
                <w:sz w:val="18"/>
                <w:szCs w:val="18"/>
              </w:rPr>
              <w:t>782,396.12</w:t>
            </w:r>
          </w:p>
        </w:tc>
        <w:tc>
          <w:tcPr>
            <w:tcW w:w="1928" w:type="dxa"/>
            <w:tcBorders>
              <w:top w:val="single" w:sz="2" w:space="0" w:color="auto"/>
              <w:left w:val="single" w:sz="2" w:space="0" w:color="auto"/>
              <w:bottom w:val="single" w:sz="2" w:space="0" w:color="auto"/>
              <w:right w:val="single" w:sz="2" w:space="0" w:color="auto"/>
            </w:tcBorders>
            <w:vAlign w:val="center"/>
          </w:tcPr>
          <w:p w14:paraId="6C1D9AC7" w14:textId="77777777" w:rsidR="007B3DB2" w:rsidRPr="0063248C" w:rsidRDefault="00000000">
            <w:pPr>
              <w:spacing w:line="240" w:lineRule="exact"/>
              <w:jc w:val="right"/>
              <w:rPr>
                <w:rFonts w:cs="宋体"/>
                <w:sz w:val="18"/>
                <w:szCs w:val="18"/>
              </w:rPr>
            </w:pPr>
            <w:r w:rsidRPr="0063248C">
              <w:rPr>
                <w:rFonts w:cs="宋体"/>
                <w:sz w:val="18"/>
                <w:szCs w:val="18"/>
              </w:rPr>
              <w:t>6,765,301.51</w:t>
            </w:r>
          </w:p>
        </w:tc>
        <w:tc>
          <w:tcPr>
            <w:tcW w:w="1928" w:type="dxa"/>
            <w:tcBorders>
              <w:top w:val="single" w:sz="2" w:space="0" w:color="auto"/>
              <w:left w:val="single" w:sz="2" w:space="0" w:color="auto"/>
              <w:bottom w:val="single" w:sz="2" w:space="0" w:color="auto"/>
              <w:right w:val="single" w:sz="2" w:space="0" w:color="auto"/>
            </w:tcBorders>
            <w:vAlign w:val="center"/>
          </w:tcPr>
          <w:p w14:paraId="46C7B5BC" w14:textId="77777777" w:rsidR="007B3DB2" w:rsidRPr="0063248C" w:rsidRDefault="00000000">
            <w:pPr>
              <w:spacing w:line="240" w:lineRule="exact"/>
              <w:jc w:val="right"/>
              <w:rPr>
                <w:rFonts w:cs="宋体"/>
                <w:sz w:val="18"/>
                <w:szCs w:val="18"/>
              </w:rPr>
            </w:pPr>
            <w:r w:rsidRPr="0063248C">
              <w:rPr>
                <w:rFonts w:cs="宋体"/>
                <w:sz w:val="18"/>
                <w:szCs w:val="18"/>
              </w:rPr>
              <w:t>1,254,938.25</w:t>
            </w:r>
          </w:p>
        </w:tc>
      </w:tr>
      <w:tr w:rsidR="007B3DB2" w:rsidRPr="0063248C" w14:paraId="24D479E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56DADF"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05176612" w14:textId="77777777" w:rsidR="007B3DB2" w:rsidRPr="0063248C" w:rsidRDefault="00000000">
            <w:pPr>
              <w:spacing w:line="240" w:lineRule="exact"/>
              <w:jc w:val="right"/>
              <w:rPr>
                <w:rFonts w:cs="宋体"/>
                <w:sz w:val="18"/>
                <w:szCs w:val="18"/>
              </w:rPr>
            </w:pPr>
            <w:r w:rsidRPr="0063248C">
              <w:rPr>
                <w:rFonts w:cs="宋体"/>
                <w:sz w:val="18"/>
                <w:szCs w:val="18"/>
              </w:rPr>
              <w:t>143,350,016.15</w:t>
            </w:r>
          </w:p>
        </w:tc>
        <w:tc>
          <w:tcPr>
            <w:tcW w:w="1928" w:type="dxa"/>
            <w:tcBorders>
              <w:top w:val="single" w:sz="2" w:space="0" w:color="auto"/>
              <w:left w:val="single" w:sz="2" w:space="0" w:color="auto"/>
              <w:bottom w:val="single" w:sz="2" w:space="0" w:color="auto"/>
              <w:right w:val="single" w:sz="2" w:space="0" w:color="auto"/>
            </w:tcBorders>
            <w:vAlign w:val="center"/>
          </w:tcPr>
          <w:p w14:paraId="6DB377D5" w14:textId="77777777" w:rsidR="007B3DB2" w:rsidRPr="0063248C" w:rsidRDefault="00000000">
            <w:pPr>
              <w:spacing w:line="240" w:lineRule="exact"/>
              <w:jc w:val="right"/>
              <w:rPr>
                <w:rFonts w:cs="宋体"/>
                <w:sz w:val="18"/>
                <w:szCs w:val="18"/>
              </w:rPr>
            </w:pPr>
            <w:r w:rsidRPr="0063248C">
              <w:rPr>
                <w:rFonts w:cs="宋体"/>
                <w:sz w:val="18"/>
                <w:szCs w:val="18"/>
              </w:rPr>
              <w:t>35,428,080.57</w:t>
            </w:r>
          </w:p>
        </w:tc>
        <w:tc>
          <w:tcPr>
            <w:tcW w:w="1928" w:type="dxa"/>
            <w:tcBorders>
              <w:top w:val="single" w:sz="2" w:space="0" w:color="auto"/>
              <w:left w:val="single" w:sz="2" w:space="0" w:color="auto"/>
              <w:bottom w:val="single" w:sz="2" w:space="0" w:color="auto"/>
              <w:right w:val="single" w:sz="2" w:space="0" w:color="auto"/>
            </w:tcBorders>
            <w:vAlign w:val="center"/>
          </w:tcPr>
          <w:p w14:paraId="19092888" w14:textId="77777777" w:rsidR="007B3DB2" w:rsidRPr="0063248C" w:rsidRDefault="00000000">
            <w:pPr>
              <w:spacing w:line="240" w:lineRule="exact"/>
              <w:jc w:val="right"/>
              <w:rPr>
                <w:rFonts w:cs="宋体"/>
                <w:sz w:val="18"/>
                <w:szCs w:val="18"/>
              </w:rPr>
            </w:pPr>
            <w:r w:rsidRPr="0063248C">
              <w:rPr>
                <w:rFonts w:cs="宋体"/>
                <w:sz w:val="18"/>
                <w:szCs w:val="18"/>
              </w:rPr>
              <w:t>120,735,000.51</w:t>
            </w:r>
          </w:p>
        </w:tc>
        <w:tc>
          <w:tcPr>
            <w:tcW w:w="1928" w:type="dxa"/>
            <w:tcBorders>
              <w:top w:val="single" w:sz="2" w:space="0" w:color="auto"/>
              <w:left w:val="single" w:sz="2" w:space="0" w:color="auto"/>
              <w:bottom w:val="single" w:sz="2" w:space="0" w:color="auto"/>
              <w:right w:val="single" w:sz="2" w:space="0" w:color="auto"/>
            </w:tcBorders>
            <w:vAlign w:val="center"/>
          </w:tcPr>
          <w:p w14:paraId="0F64B084" w14:textId="77777777" w:rsidR="007B3DB2" w:rsidRPr="0063248C" w:rsidRDefault="00000000">
            <w:pPr>
              <w:spacing w:line="240" w:lineRule="exact"/>
              <w:jc w:val="right"/>
              <w:rPr>
                <w:rFonts w:cs="宋体"/>
                <w:sz w:val="18"/>
                <w:szCs w:val="18"/>
              </w:rPr>
            </w:pPr>
            <w:r w:rsidRPr="0063248C">
              <w:rPr>
                <w:rFonts w:cs="宋体"/>
                <w:sz w:val="18"/>
                <w:szCs w:val="18"/>
              </w:rPr>
              <w:t>29,741,964.60</w:t>
            </w:r>
          </w:p>
        </w:tc>
      </w:tr>
    </w:tbl>
    <w:p w14:paraId="0654F3AD" w14:textId="77777777" w:rsidR="007B3DB2" w:rsidRPr="0063248C" w:rsidRDefault="00000000">
      <w:pPr>
        <w:keepNext/>
        <w:keepLines/>
        <w:spacing w:before="300" w:after="300" w:line="280" w:lineRule="exact"/>
        <w:outlineLvl w:val="3"/>
        <w:rPr>
          <w:rFonts w:cs="宋体"/>
          <w:b/>
          <w:bCs/>
          <w:szCs w:val="21"/>
        </w:rPr>
      </w:pPr>
      <w:bookmarkStart w:id="303" w:name="_Toc989192"/>
      <w:r w:rsidRPr="0063248C">
        <w:rPr>
          <w:rFonts w:cs="宋体"/>
          <w:b/>
          <w:bCs/>
          <w:szCs w:val="21"/>
        </w:rPr>
        <w:lastRenderedPageBreak/>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未经</w:t>
      </w:r>
      <w:proofErr w:type="gramStart"/>
      <w:r w:rsidRPr="0063248C">
        <w:rPr>
          <w:rFonts w:cs="宋体"/>
          <w:b/>
          <w:bCs/>
          <w:szCs w:val="21"/>
        </w:rPr>
        <w:t>抵销</w:t>
      </w:r>
      <w:proofErr w:type="gramEnd"/>
      <w:r w:rsidRPr="0063248C">
        <w:rPr>
          <w:rFonts w:cs="宋体"/>
          <w:b/>
          <w:bCs/>
          <w:szCs w:val="21"/>
        </w:rPr>
        <w:t>的递延所得税负债</w:t>
      </w:r>
      <w:bookmarkEnd w:id="303"/>
    </w:p>
    <w:p w14:paraId="0414F125"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1EA5C3CD"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73BBE2"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CFBA3B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CC4A2C8"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2F250680"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8554DBD"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942353" w14:textId="77777777" w:rsidR="007B3DB2" w:rsidRPr="0063248C" w:rsidRDefault="00000000">
            <w:pPr>
              <w:spacing w:before="40" w:after="40" w:line="240" w:lineRule="exact"/>
              <w:jc w:val="center"/>
              <w:rPr>
                <w:rFonts w:cs="宋体"/>
                <w:sz w:val="18"/>
                <w:szCs w:val="18"/>
              </w:rPr>
            </w:pPr>
            <w:r w:rsidRPr="0063248C">
              <w:rPr>
                <w:rFonts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1C14EC" w14:textId="77777777" w:rsidR="007B3DB2" w:rsidRPr="0063248C" w:rsidRDefault="00000000">
            <w:pPr>
              <w:spacing w:before="40" w:after="40" w:line="240" w:lineRule="exact"/>
              <w:jc w:val="center"/>
              <w:rPr>
                <w:rFonts w:cs="宋体"/>
                <w:sz w:val="18"/>
                <w:szCs w:val="18"/>
              </w:rPr>
            </w:pPr>
            <w:r w:rsidRPr="0063248C">
              <w:rPr>
                <w:rFonts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95B7F8C" w14:textId="77777777" w:rsidR="007B3DB2" w:rsidRPr="0063248C" w:rsidRDefault="00000000">
            <w:pPr>
              <w:spacing w:before="40" w:after="40" w:line="240" w:lineRule="exact"/>
              <w:jc w:val="center"/>
              <w:rPr>
                <w:rFonts w:cs="宋体"/>
                <w:sz w:val="18"/>
                <w:szCs w:val="18"/>
              </w:rPr>
            </w:pPr>
            <w:r w:rsidRPr="0063248C">
              <w:rPr>
                <w:rFonts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638E138" w14:textId="77777777" w:rsidR="007B3DB2" w:rsidRPr="0063248C" w:rsidRDefault="00000000">
            <w:pPr>
              <w:spacing w:before="40" w:after="40" w:line="240" w:lineRule="exact"/>
              <w:jc w:val="center"/>
              <w:rPr>
                <w:rFonts w:cs="宋体"/>
                <w:sz w:val="18"/>
                <w:szCs w:val="18"/>
              </w:rPr>
            </w:pPr>
            <w:r w:rsidRPr="0063248C">
              <w:rPr>
                <w:rFonts w:cs="宋体"/>
                <w:sz w:val="18"/>
                <w:szCs w:val="18"/>
              </w:rPr>
              <w:t>递延所得税负债</w:t>
            </w:r>
          </w:p>
        </w:tc>
      </w:tr>
      <w:tr w:rsidR="007B3DB2" w:rsidRPr="0063248C" w14:paraId="5F2E172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A771838" w14:textId="77777777" w:rsidR="007B3DB2" w:rsidRPr="0063248C" w:rsidRDefault="00000000">
            <w:pPr>
              <w:spacing w:line="240" w:lineRule="exact"/>
              <w:rPr>
                <w:rFonts w:cs="宋体"/>
                <w:sz w:val="18"/>
                <w:szCs w:val="18"/>
              </w:rPr>
            </w:pPr>
            <w:r w:rsidRPr="0063248C">
              <w:rPr>
                <w:rFonts w:cs="宋体"/>
                <w:sz w:val="18"/>
                <w:szCs w:val="18"/>
              </w:rPr>
              <w:t>固定资产一次性税前扣除税会差异</w:t>
            </w:r>
          </w:p>
        </w:tc>
        <w:tc>
          <w:tcPr>
            <w:tcW w:w="1928" w:type="dxa"/>
            <w:tcBorders>
              <w:top w:val="single" w:sz="2" w:space="0" w:color="auto"/>
              <w:left w:val="single" w:sz="2" w:space="0" w:color="auto"/>
              <w:bottom w:val="single" w:sz="2" w:space="0" w:color="auto"/>
              <w:right w:val="single" w:sz="2" w:space="0" w:color="auto"/>
            </w:tcBorders>
            <w:vAlign w:val="center"/>
          </w:tcPr>
          <w:p w14:paraId="05E8ED45" w14:textId="77777777" w:rsidR="007B3DB2" w:rsidRPr="0063248C" w:rsidRDefault="00000000">
            <w:pPr>
              <w:spacing w:line="240" w:lineRule="exact"/>
              <w:jc w:val="right"/>
              <w:rPr>
                <w:rFonts w:cs="宋体"/>
                <w:sz w:val="18"/>
                <w:szCs w:val="18"/>
              </w:rPr>
            </w:pPr>
            <w:r w:rsidRPr="0063248C">
              <w:rPr>
                <w:rFonts w:cs="宋体"/>
                <w:sz w:val="18"/>
                <w:szCs w:val="18"/>
              </w:rPr>
              <w:t>89,709,645.05</w:t>
            </w:r>
          </w:p>
        </w:tc>
        <w:tc>
          <w:tcPr>
            <w:tcW w:w="1928" w:type="dxa"/>
            <w:tcBorders>
              <w:top w:val="single" w:sz="2" w:space="0" w:color="auto"/>
              <w:left w:val="single" w:sz="2" w:space="0" w:color="auto"/>
              <w:bottom w:val="single" w:sz="2" w:space="0" w:color="auto"/>
              <w:right w:val="single" w:sz="2" w:space="0" w:color="auto"/>
            </w:tcBorders>
            <w:vAlign w:val="center"/>
          </w:tcPr>
          <w:p w14:paraId="53E32A23" w14:textId="77777777" w:rsidR="007B3DB2" w:rsidRPr="0063248C" w:rsidRDefault="00000000">
            <w:pPr>
              <w:spacing w:line="240" w:lineRule="exact"/>
              <w:jc w:val="right"/>
              <w:rPr>
                <w:rFonts w:cs="宋体"/>
                <w:sz w:val="18"/>
                <w:szCs w:val="18"/>
              </w:rPr>
            </w:pPr>
            <w:r w:rsidRPr="0063248C">
              <w:rPr>
                <w:rFonts w:cs="宋体"/>
                <w:sz w:val="18"/>
                <w:szCs w:val="18"/>
              </w:rPr>
              <w:t>21,146,952.10</w:t>
            </w:r>
          </w:p>
        </w:tc>
        <w:tc>
          <w:tcPr>
            <w:tcW w:w="1928" w:type="dxa"/>
            <w:tcBorders>
              <w:top w:val="single" w:sz="2" w:space="0" w:color="auto"/>
              <w:left w:val="single" w:sz="2" w:space="0" w:color="auto"/>
              <w:bottom w:val="single" w:sz="2" w:space="0" w:color="auto"/>
              <w:right w:val="single" w:sz="2" w:space="0" w:color="auto"/>
            </w:tcBorders>
            <w:vAlign w:val="center"/>
          </w:tcPr>
          <w:p w14:paraId="4CD451C9" w14:textId="77777777" w:rsidR="007B3DB2" w:rsidRPr="0063248C" w:rsidRDefault="00000000">
            <w:pPr>
              <w:spacing w:line="240" w:lineRule="exact"/>
              <w:jc w:val="right"/>
              <w:rPr>
                <w:rFonts w:cs="宋体"/>
                <w:sz w:val="18"/>
                <w:szCs w:val="18"/>
              </w:rPr>
            </w:pPr>
            <w:r w:rsidRPr="0063248C">
              <w:rPr>
                <w:rFonts w:cs="宋体"/>
                <w:sz w:val="18"/>
                <w:szCs w:val="18"/>
              </w:rPr>
              <w:t>89,709,645.05</w:t>
            </w:r>
          </w:p>
        </w:tc>
        <w:tc>
          <w:tcPr>
            <w:tcW w:w="1928" w:type="dxa"/>
            <w:tcBorders>
              <w:top w:val="single" w:sz="2" w:space="0" w:color="auto"/>
              <w:left w:val="single" w:sz="2" w:space="0" w:color="auto"/>
              <w:bottom w:val="single" w:sz="2" w:space="0" w:color="auto"/>
              <w:right w:val="single" w:sz="2" w:space="0" w:color="auto"/>
            </w:tcBorders>
            <w:vAlign w:val="center"/>
          </w:tcPr>
          <w:p w14:paraId="08527A65" w14:textId="77777777" w:rsidR="007B3DB2" w:rsidRPr="0063248C" w:rsidRDefault="00000000">
            <w:pPr>
              <w:spacing w:line="240" w:lineRule="exact"/>
              <w:jc w:val="right"/>
              <w:rPr>
                <w:rFonts w:cs="宋体"/>
                <w:sz w:val="18"/>
                <w:szCs w:val="18"/>
              </w:rPr>
            </w:pPr>
            <w:r w:rsidRPr="0063248C">
              <w:rPr>
                <w:rFonts w:cs="宋体"/>
                <w:sz w:val="18"/>
                <w:szCs w:val="18"/>
              </w:rPr>
              <w:t>21,146,952.11</w:t>
            </w:r>
          </w:p>
        </w:tc>
      </w:tr>
      <w:tr w:rsidR="007B3DB2" w:rsidRPr="0063248C" w14:paraId="76E8816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63B48A7" w14:textId="77777777" w:rsidR="007B3DB2" w:rsidRPr="0063248C" w:rsidRDefault="00000000">
            <w:pPr>
              <w:spacing w:line="240" w:lineRule="exact"/>
              <w:rPr>
                <w:rFonts w:cs="宋体"/>
                <w:sz w:val="18"/>
                <w:szCs w:val="18"/>
              </w:rPr>
            </w:pPr>
            <w:r w:rsidRPr="0063248C">
              <w:rPr>
                <w:rFonts w:cs="宋体"/>
                <w:sz w:val="18"/>
                <w:szCs w:val="18"/>
              </w:rPr>
              <w:t>使用权资产影响数</w:t>
            </w:r>
          </w:p>
        </w:tc>
        <w:tc>
          <w:tcPr>
            <w:tcW w:w="1928" w:type="dxa"/>
            <w:tcBorders>
              <w:top w:val="single" w:sz="2" w:space="0" w:color="auto"/>
              <w:left w:val="single" w:sz="2" w:space="0" w:color="auto"/>
              <w:bottom w:val="single" w:sz="2" w:space="0" w:color="auto"/>
              <w:right w:val="single" w:sz="2" w:space="0" w:color="auto"/>
            </w:tcBorders>
            <w:vAlign w:val="center"/>
          </w:tcPr>
          <w:p w14:paraId="2B5EF075" w14:textId="77777777" w:rsidR="007B3DB2" w:rsidRPr="0063248C" w:rsidRDefault="00000000">
            <w:pPr>
              <w:spacing w:line="240" w:lineRule="exact"/>
              <w:jc w:val="right"/>
              <w:rPr>
                <w:rFonts w:cs="宋体"/>
                <w:sz w:val="18"/>
                <w:szCs w:val="18"/>
              </w:rPr>
            </w:pPr>
            <w:r w:rsidRPr="0063248C">
              <w:rPr>
                <w:rFonts w:cs="宋体"/>
                <w:sz w:val="18"/>
                <w:szCs w:val="18"/>
              </w:rPr>
              <w:t>4,445,882.17</w:t>
            </w:r>
          </w:p>
        </w:tc>
        <w:tc>
          <w:tcPr>
            <w:tcW w:w="1928" w:type="dxa"/>
            <w:tcBorders>
              <w:top w:val="single" w:sz="2" w:space="0" w:color="auto"/>
              <w:left w:val="single" w:sz="2" w:space="0" w:color="auto"/>
              <w:bottom w:val="single" w:sz="2" w:space="0" w:color="auto"/>
              <w:right w:val="single" w:sz="2" w:space="0" w:color="auto"/>
            </w:tcBorders>
            <w:vAlign w:val="center"/>
          </w:tcPr>
          <w:p w14:paraId="743B7E69" w14:textId="77777777" w:rsidR="007B3DB2" w:rsidRPr="0063248C" w:rsidRDefault="00000000">
            <w:pPr>
              <w:spacing w:line="240" w:lineRule="exact"/>
              <w:jc w:val="right"/>
              <w:rPr>
                <w:rFonts w:cs="宋体"/>
                <w:sz w:val="18"/>
                <w:szCs w:val="18"/>
              </w:rPr>
            </w:pPr>
            <w:r w:rsidRPr="0063248C">
              <w:rPr>
                <w:rFonts w:cs="宋体"/>
                <w:sz w:val="18"/>
                <w:szCs w:val="18"/>
              </w:rPr>
              <w:t>751,682.10</w:t>
            </w:r>
          </w:p>
        </w:tc>
        <w:tc>
          <w:tcPr>
            <w:tcW w:w="1928" w:type="dxa"/>
            <w:tcBorders>
              <w:top w:val="single" w:sz="2" w:space="0" w:color="auto"/>
              <w:left w:val="single" w:sz="2" w:space="0" w:color="auto"/>
              <w:bottom w:val="single" w:sz="2" w:space="0" w:color="auto"/>
              <w:right w:val="single" w:sz="2" w:space="0" w:color="auto"/>
            </w:tcBorders>
            <w:vAlign w:val="center"/>
          </w:tcPr>
          <w:p w14:paraId="296D6E0B" w14:textId="77777777" w:rsidR="007B3DB2" w:rsidRPr="0063248C" w:rsidRDefault="00000000">
            <w:pPr>
              <w:spacing w:line="240" w:lineRule="exact"/>
              <w:jc w:val="right"/>
              <w:rPr>
                <w:rFonts w:cs="宋体"/>
                <w:sz w:val="18"/>
                <w:szCs w:val="18"/>
              </w:rPr>
            </w:pPr>
            <w:r w:rsidRPr="0063248C">
              <w:rPr>
                <w:rFonts w:cs="宋体"/>
                <w:sz w:val="18"/>
                <w:szCs w:val="18"/>
              </w:rPr>
              <w:t>6,525,168.80</w:t>
            </w:r>
          </w:p>
        </w:tc>
        <w:tc>
          <w:tcPr>
            <w:tcW w:w="1928" w:type="dxa"/>
            <w:tcBorders>
              <w:top w:val="single" w:sz="2" w:space="0" w:color="auto"/>
              <w:left w:val="single" w:sz="2" w:space="0" w:color="auto"/>
              <w:bottom w:val="single" w:sz="2" w:space="0" w:color="auto"/>
              <w:right w:val="single" w:sz="2" w:space="0" w:color="auto"/>
            </w:tcBorders>
            <w:vAlign w:val="center"/>
          </w:tcPr>
          <w:p w14:paraId="6623650D" w14:textId="77777777" w:rsidR="007B3DB2" w:rsidRPr="0063248C" w:rsidRDefault="00000000">
            <w:pPr>
              <w:spacing w:line="240" w:lineRule="exact"/>
              <w:jc w:val="right"/>
              <w:rPr>
                <w:rFonts w:cs="宋体"/>
                <w:sz w:val="18"/>
                <w:szCs w:val="18"/>
              </w:rPr>
            </w:pPr>
            <w:r w:rsidRPr="0063248C">
              <w:rPr>
                <w:rFonts w:cs="宋体"/>
                <w:sz w:val="18"/>
                <w:szCs w:val="18"/>
              </w:rPr>
              <w:t>1,213,815.31</w:t>
            </w:r>
          </w:p>
        </w:tc>
      </w:tr>
      <w:tr w:rsidR="007B3DB2" w:rsidRPr="0063248C" w14:paraId="361F6AB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B86863"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4D898B6F" w14:textId="77777777" w:rsidR="007B3DB2" w:rsidRPr="0063248C" w:rsidRDefault="00000000">
            <w:pPr>
              <w:spacing w:line="240" w:lineRule="exact"/>
              <w:jc w:val="right"/>
              <w:rPr>
                <w:rFonts w:cs="宋体"/>
                <w:sz w:val="18"/>
                <w:szCs w:val="18"/>
              </w:rPr>
            </w:pPr>
            <w:r w:rsidRPr="0063248C">
              <w:rPr>
                <w:rFonts w:cs="宋体"/>
                <w:sz w:val="18"/>
                <w:szCs w:val="18"/>
              </w:rPr>
              <w:t>94,155,527.22</w:t>
            </w:r>
          </w:p>
        </w:tc>
        <w:tc>
          <w:tcPr>
            <w:tcW w:w="1928" w:type="dxa"/>
            <w:tcBorders>
              <w:top w:val="single" w:sz="2" w:space="0" w:color="auto"/>
              <w:left w:val="single" w:sz="2" w:space="0" w:color="auto"/>
              <w:bottom w:val="single" w:sz="2" w:space="0" w:color="auto"/>
              <w:right w:val="single" w:sz="2" w:space="0" w:color="auto"/>
            </w:tcBorders>
            <w:vAlign w:val="center"/>
          </w:tcPr>
          <w:p w14:paraId="30B709A0" w14:textId="77777777" w:rsidR="007B3DB2" w:rsidRPr="0063248C" w:rsidRDefault="00000000">
            <w:pPr>
              <w:spacing w:line="240" w:lineRule="exact"/>
              <w:jc w:val="right"/>
              <w:rPr>
                <w:rFonts w:cs="宋体"/>
                <w:sz w:val="18"/>
                <w:szCs w:val="18"/>
              </w:rPr>
            </w:pPr>
            <w:r w:rsidRPr="0063248C">
              <w:rPr>
                <w:rFonts w:cs="宋体"/>
                <w:sz w:val="18"/>
                <w:szCs w:val="18"/>
              </w:rPr>
              <w:t>21,898,634.20</w:t>
            </w:r>
          </w:p>
        </w:tc>
        <w:tc>
          <w:tcPr>
            <w:tcW w:w="1928" w:type="dxa"/>
            <w:tcBorders>
              <w:top w:val="single" w:sz="2" w:space="0" w:color="auto"/>
              <w:left w:val="single" w:sz="2" w:space="0" w:color="auto"/>
              <w:bottom w:val="single" w:sz="2" w:space="0" w:color="auto"/>
              <w:right w:val="single" w:sz="2" w:space="0" w:color="auto"/>
            </w:tcBorders>
            <w:vAlign w:val="center"/>
          </w:tcPr>
          <w:p w14:paraId="78F912F7" w14:textId="77777777" w:rsidR="007B3DB2" w:rsidRPr="0063248C" w:rsidRDefault="00000000">
            <w:pPr>
              <w:spacing w:line="240" w:lineRule="exact"/>
              <w:jc w:val="right"/>
              <w:rPr>
                <w:rFonts w:cs="宋体"/>
                <w:sz w:val="18"/>
                <w:szCs w:val="18"/>
              </w:rPr>
            </w:pPr>
            <w:r w:rsidRPr="0063248C">
              <w:rPr>
                <w:rFonts w:cs="宋体"/>
                <w:sz w:val="18"/>
                <w:szCs w:val="18"/>
              </w:rPr>
              <w:t>96,234,813.85</w:t>
            </w:r>
          </w:p>
        </w:tc>
        <w:tc>
          <w:tcPr>
            <w:tcW w:w="1928" w:type="dxa"/>
            <w:tcBorders>
              <w:top w:val="single" w:sz="2" w:space="0" w:color="auto"/>
              <w:left w:val="single" w:sz="2" w:space="0" w:color="auto"/>
              <w:bottom w:val="single" w:sz="2" w:space="0" w:color="auto"/>
              <w:right w:val="single" w:sz="2" w:space="0" w:color="auto"/>
            </w:tcBorders>
            <w:vAlign w:val="center"/>
          </w:tcPr>
          <w:p w14:paraId="065997C1" w14:textId="77777777" w:rsidR="007B3DB2" w:rsidRPr="0063248C" w:rsidRDefault="00000000">
            <w:pPr>
              <w:spacing w:line="240" w:lineRule="exact"/>
              <w:jc w:val="right"/>
              <w:rPr>
                <w:rFonts w:cs="宋体"/>
                <w:sz w:val="18"/>
                <w:szCs w:val="18"/>
              </w:rPr>
            </w:pPr>
            <w:r w:rsidRPr="0063248C">
              <w:rPr>
                <w:rFonts w:cs="宋体"/>
                <w:sz w:val="18"/>
                <w:szCs w:val="18"/>
              </w:rPr>
              <w:t>22,360,767.42</w:t>
            </w:r>
          </w:p>
        </w:tc>
      </w:tr>
    </w:tbl>
    <w:p w14:paraId="6E4D5FF1" w14:textId="77777777" w:rsidR="007B3DB2" w:rsidRPr="0063248C" w:rsidRDefault="00000000">
      <w:pPr>
        <w:keepNext/>
        <w:keepLines/>
        <w:spacing w:before="300" w:after="300" w:line="280" w:lineRule="exact"/>
        <w:outlineLvl w:val="3"/>
        <w:rPr>
          <w:rFonts w:cs="宋体"/>
          <w:b/>
          <w:bCs/>
          <w:szCs w:val="21"/>
        </w:rPr>
      </w:pPr>
      <w:bookmarkStart w:id="304" w:name="_Toc989193"/>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以</w:t>
      </w:r>
      <w:proofErr w:type="gramStart"/>
      <w:r w:rsidRPr="0063248C">
        <w:rPr>
          <w:rFonts w:cs="宋体"/>
          <w:b/>
          <w:bCs/>
          <w:szCs w:val="21"/>
        </w:rPr>
        <w:t>抵销</w:t>
      </w:r>
      <w:proofErr w:type="gramEnd"/>
      <w:r w:rsidRPr="0063248C">
        <w:rPr>
          <w:rFonts w:cs="宋体"/>
          <w:b/>
          <w:bCs/>
          <w:szCs w:val="21"/>
        </w:rPr>
        <w:t>后净额列示的递延所得税资产或负债</w:t>
      </w:r>
      <w:bookmarkEnd w:id="304"/>
    </w:p>
    <w:p w14:paraId="2966979D"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0A3D3B2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D32DA3"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38AAA9E" w14:textId="77777777" w:rsidR="007B3DB2" w:rsidRPr="0063248C" w:rsidRDefault="00000000">
            <w:pPr>
              <w:spacing w:before="40" w:after="40" w:line="240" w:lineRule="exact"/>
              <w:jc w:val="center"/>
              <w:rPr>
                <w:rFonts w:cs="宋体"/>
                <w:sz w:val="18"/>
                <w:szCs w:val="18"/>
              </w:rPr>
            </w:pPr>
            <w:r w:rsidRPr="0063248C">
              <w:rPr>
                <w:rFonts w:cs="宋体"/>
                <w:sz w:val="18"/>
                <w:szCs w:val="18"/>
              </w:rPr>
              <w:t>递延所得税资产和负债期末互</w:t>
            </w:r>
            <w:proofErr w:type="gramStart"/>
            <w:r w:rsidRPr="0063248C">
              <w:rPr>
                <w:rFonts w:cs="宋体"/>
                <w:sz w:val="18"/>
                <w:szCs w:val="18"/>
              </w:rPr>
              <w:t>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9C05886" w14:textId="77777777" w:rsidR="007B3DB2" w:rsidRPr="0063248C" w:rsidRDefault="00000000">
            <w:pPr>
              <w:spacing w:before="40" w:after="40" w:line="240" w:lineRule="exact"/>
              <w:jc w:val="center"/>
              <w:rPr>
                <w:rFonts w:cs="宋体"/>
                <w:sz w:val="18"/>
                <w:szCs w:val="18"/>
              </w:rPr>
            </w:pPr>
            <w:proofErr w:type="gramStart"/>
            <w:r w:rsidRPr="0063248C">
              <w:rPr>
                <w:rFonts w:cs="宋体"/>
                <w:sz w:val="18"/>
                <w:szCs w:val="18"/>
              </w:rPr>
              <w:t>抵销后递延</w:t>
            </w:r>
            <w:proofErr w:type="gramEnd"/>
            <w:r w:rsidRPr="0063248C">
              <w:rPr>
                <w:rFonts w:cs="宋体"/>
                <w:sz w:val="18"/>
                <w:szCs w:val="18"/>
              </w:rPr>
              <w:t>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10E074" w14:textId="77777777" w:rsidR="007B3DB2" w:rsidRPr="0063248C" w:rsidRDefault="00000000">
            <w:pPr>
              <w:spacing w:before="40" w:after="40" w:line="240" w:lineRule="exact"/>
              <w:jc w:val="center"/>
              <w:rPr>
                <w:rFonts w:cs="宋体"/>
                <w:sz w:val="18"/>
                <w:szCs w:val="18"/>
              </w:rPr>
            </w:pPr>
            <w:r w:rsidRPr="0063248C">
              <w:rPr>
                <w:rFonts w:cs="宋体"/>
                <w:sz w:val="18"/>
                <w:szCs w:val="18"/>
              </w:rPr>
              <w:t>递延所得税资产和负债期</w:t>
            </w:r>
            <w:proofErr w:type="gramStart"/>
            <w:r w:rsidRPr="0063248C">
              <w:rPr>
                <w:rFonts w:cs="宋体"/>
                <w:sz w:val="18"/>
                <w:szCs w:val="18"/>
              </w:rPr>
              <w:t>初互抵金额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97F7876" w14:textId="77777777" w:rsidR="007B3DB2" w:rsidRPr="0063248C" w:rsidRDefault="00000000">
            <w:pPr>
              <w:spacing w:before="40" w:after="40" w:line="240" w:lineRule="exact"/>
              <w:jc w:val="center"/>
              <w:rPr>
                <w:rFonts w:cs="宋体"/>
                <w:sz w:val="18"/>
                <w:szCs w:val="18"/>
              </w:rPr>
            </w:pPr>
            <w:proofErr w:type="gramStart"/>
            <w:r w:rsidRPr="0063248C">
              <w:rPr>
                <w:rFonts w:cs="宋体"/>
                <w:sz w:val="18"/>
                <w:szCs w:val="18"/>
              </w:rPr>
              <w:t>抵销后递延</w:t>
            </w:r>
            <w:proofErr w:type="gramEnd"/>
            <w:r w:rsidRPr="0063248C">
              <w:rPr>
                <w:rFonts w:cs="宋体"/>
                <w:sz w:val="18"/>
                <w:szCs w:val="18"/>
              </w:rPr>
              <w:t>所得税资产或负债期初余额</w:t>
            </w:r>
          </w:p>
        </w:tc>
      </w:tr>
      <w:tr w:rsidR="007B3DB2" w:rsidRPr="0063248C" w14:paraId="4A2C279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A1343C5" w14:textId="77777777" w:rsidR="007B3DB2" w:rsidRPr="0063248C" w:rsidRDefault="00000000">
            <w:pPr>
              <w:spacing w:before="40" w:after="40" w:line="240" w:lineRule="exact"/>
              <w:rPr>
                <w:rFonts w:cs="宋体"/>
                <w:sz w:val="18"/>
                <w:szCs w:val="18"/>
              </w:rPr>
            </w:pPr>
            <w:r w:rsidRPr="0063248C">
              <w:rPr>
                <w:rFonts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14:paraId="001BDF65" w14:textId="77777777" w:rsidR="007B3DB2" w:rsidRPr="0063248C" w:rsidRDefault="00000000">
            <w:pPr>
              <w:spacing w:line="240" w:lineRule="exact"/>
              <w:jc w:val="right"/>
              <w:rPr>
                <w:rFonts w:cs="宋体"/>
                <w:sz w:val="18"/>
                <w:szCs w:val="18"/>
              </w:rPr>
            </w:pPr>
            <w:r w:rsidRPr="0063248C">
              <w:rPr>
                <w:rFonts w:cs="宋体"/>
                <w:sz w:val="18"/>
                <w:szCs w:val="18"/>
              </w:rPr>
              <w:t>19,824,763.07</w:t>
            </w:r>
          </w:p>
        </w:tc>
        <w:tc>
          <w:tcPr>
            <w:tcW w:w="1928" w:type="dxa"/>
            <w:tcBorders>
              <w:top w:val="single" w:sz="2" w:space="0" w:color="auto"/>
              <w:left w:val="single" w:sz="2" w:space="0" w:color="auto"/>
              <w:bottom w:val="single" w:sz="2" w:space="0" w:color="auto"/>
              <w:right w:val="single" w:sz="2" w:space="0" w:color="auto"/>
            </w:tcBorders>
            <w:vAlign w:val="center"/>
          </w:tcPr>
          <w:p w14:paraId="4855DEB6" w14:textId="77777777" w:rsidR="007B3DB2" w:rsidRPr="0063248C" w:rsidRDefault="00000000">
            <w:pPr>
              <w:spacing w:line="240" w:lineRule="exact"/>
              <w:jc w:val="right"/>
              <w:rPr>
                <w:rFonts w:cs="宋体"/>
                <w:sz w:val="18"/>
                <w:szCs w:val="18"/>
              </w:rPr>
            </w:pPr>
            <w:r w:rsidRPr="0063248C">
              <w:rPr>
                <w:rFonts w:cs="宋体"/>
                <w:sz w:val="18"/>
                <w:szCs w:val="18"/>
              </w:rPr>
              <w:t>15,603,317.50</w:t>
            </w:r>
          </w:p>
        </w:tc>
        <w:tc>
          <w:tcPr>
            <w:tcW w:w="1928" w:type="dxa"/>
            <w:tcBorders>
              <w:top w:val="single" w:sz="2" w:space="0" w:color="auto"/>
              <w:left w:val="single" w:sz="2" w:space="0" w:color="auto"/>
              <w:bottom w:val="single" w:sz="2" w:space="0" w:color="auto"/>
              <w:right w:val="single" w:sz="2" w:space="0" w:color="auto"/>
            </w:tcBorders>
            <w:vAlign w:val="center"/>
          </w:tcPr>
          <w:p w14:paraId="214DCEBA" w14:textId="77777777" w:rsidR="007B3DB2" w:rsidRPr="0063248C" w:rsidRDefault="00000000">
            <w:pPr>
              <w:spacing w:line="240" w:lineRule="exact"/>
              <w:jc w:val="right"/>
              <w:rPr>
                <w:rFonts w:cs="宋体"/>
                <w:sz w:val="18"/>
                <w:szCs w:val="18"/>
              </w:rPr>
            </w:pPr>
            <w:r w:rsidRPr="0063248C">
              <w:rPr>
                <w:rFonts w:cs="宋体"/>
                <w:sz w:val="18"/>
                <w:szCs w:val="18"/>
              </w:rPr>
              <w:t>20,296,211.02</w:t>
            </w:r>
          </w:p>
        </w:tc>
        <w:tc>
          <w:tcPr>
            <w:tcW w:w="1928" w:type="dxa"/>
            <w:tcBorders>
              <w:top w:val="single" w:sz="2" w:space="0" w:color="auto"/>
              <w:left w:val="single" w:sz="2" w:space="0" w:color="auto"/>
              <w:bottom w:val="single" w:sz="2" w:space="0" w:color="auto"/>
              <w:right w:val="single" w:sz="2" w:space="0" w:color="auto"/>
            </w:tcBorders>
            <w:vAlign w:val="center"/>
          </w:tcPr>
          <w:p w14:paraId="410078EE" w14:textId="77777777" w:rsidR="007B3DB2" w:rsidRPr="0063248C" w:rsidRDefault="00000000">
            <w:pPr>
              <w:spacing w:line="240" w:lineRule="exact"/>
              <w:jc w:val="right"/>
              <w:rPr>
                <w:rFonts w:cs="宋体"/>
                <w:sz w:val="18"/>
                <w:szCs w:val="18"/>
              </w:rPr>
            </w:pPr>
            <w:r w:rsidRPr="0063248C">
              <w:rPr>
                <w:rFonts w:cs="宋体"/>
                <w:sz w:val="18"/>
                <w:szCs w:val="18"/>
              </w:rPr>
              <w:t>9,445,753.58</w:t>
            </w:r>
          </w:p>
        </w:tc>
      </w:tr>
      <w:tr w:rsidR="007B3DB2" w:rsidRPr="0063248C" w14:paraId="6A5EB31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F8941E" w14:textId="77777777" w:rsidR="007B3DB2" w:rsidRPr="0063248C" w:rsidRDefault="00000000">
            <w:pPr>
              <w:spacing w:before="40" w:after="40" w:line="240" w:lineRule="exact"/>
              <w:rPr>
                <w:rFonts w:cs="宋体"/>
                <w:sz w:val="18"/>
                <w:szCs w:val="18"/>
              </w:rPr>
            </w:pPr>
            <w:r w:rsidRPr="0063248C">
              <w:rPr>
                <w:rFonts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14:paraId="4D5713D2" w14:textId="77777777" w:rsidR="007B3DB2" w:rsidRPr="0063248C" w:rsidRDefault="00000000">
            <w:pPr>
              <w:spacing w:line="240" w:lineRule="exact"/>
              <w:jc w:val="right"/>
              <w:rPr>
                <w:rFonts w:cs="宋体"/>
                <w:sz w:val="18"/>
                <w:szCs w:val="18"/>
              </w:rPr>
            </w:pPr>
            <w:r w:rsidRPr="0063248C">
              <w:rPr>
                <w:rFonts w:cs="宋体"/>
                <w:sz w:val="18"/>
                <w:szCs w:val="18"/>
              </w:rPr>
              <w:t>19,824,763.07</w:t>
            </w:r>
          </w:p>
        </w:tc>
        <w:tc>
          <w:tcPr>
            <w:tcW w:w="1928" w:type="dxa"/>
            <w:tcBorders>
              <w:top w:val="single" w:sz="2" w:space="0" w:color="auto"/>
              <w:left w:val="single" w:sz="2" w:space="0" w:color="auto"/>
              <w:bottom w:val="single" w:sz="2" w:space="0" w:color="auto"/>
              <w:right w:val="single" w:sz="2" w:space="0" w:color="auto"/>
            </w:tcBorders>
            <w:vAlign w:val="center"/>
          </w:tcPr>
          <w:p w14:paraId="20A03FB9" w14:textId="77777777" w:rsidR="007B3DB2" w:rsidRPr="0063248C" w:rsidRDefault="00000000">
            <w:pPr>
              <w:spacing w:line="240" w:lineRule="exact"/>
              <w:jc w:val="right"/>
              <w:rPr>
                <w:rFonts w:cs="宋体"/>
                <w:sz w:val="18"/>
                <w:szCs w:val="18"/>
              </w:rPr>
            </w:pPr>
            <w:r w:rsidRPr="0063248C">
              <w:rPr>
                <w:rFonts w:cs="宋体"/>
                <w:sz w:val="18"/>
                <w:szCs w:val="18"/>
              </w:rPr>
              <w:t>2,073,871.13</w:t>
            </w:r>
          </w:p>
        </w:tc>
        <w:tc>
          <w:tcPr>
            <w:tcW w:w="1928" w:type="dxa"/>
            <w:tcBorders>
              <w:top w:val="single" w:sz="2" w:space="0" w:color="auto"/>
              <w:left w:val="single" w:sz="2" w:space="0" w:color="auto"/>
              <w:bottom w:val="single" w:sz="2" w:space="0" w:color="auto"/>
              <w:right w:val="single" w:sz="2" w:space="0" w:color="auto"/>
            </w:tcBorders>
            <w:vAlign w:val="center"/>
          </w:tcPr>
          <w:p w14:paraId="3EB96D48" w14:textId="77777777" w:rsidR="007B3DB2" w:rsidRPr="0063248C" w:rsidRDefault="00000000">
            <w:pPr>
              <w:spacing w:line="240" w:lineRule="exact"/>
              <w:jc w:val="right"/>
              <w:rPr>
                <w:rFonts w:cs="宋体"/>
                <w:sz w:val="18"/>
                <w:szCs w:val="18"/>
              </w:rPr>
            </w:pPr>
            <w:r w:rsidRPr="0063248C">
              <w:rPr>
                <w:rFonts w:cs="宋体"/>
                <w:sz w:val="18"/>
                <w:szCs w:val="18"/>
              </w:rPr>
              <w:t>20,296,211.02</w:t>
            </w:r>
          </w:p>
        </w:tc>
        <w:tc>
          <w:tcPr>
            <w:tcW w:w="1928" w:type="dxa"/>
            <w:tcBorders>
              <w:top w:val="single" w:sz="2" w:space="0" w:color="auto"/>
              <w:left w:val="single" w:sz="2" w:space="0" w:color="auto"/>
              <w:bottom w:val="single" w:sz="2" w:space="0" w:color="auto"/>
              <w:right w:val="single" w:sz="2" w:space="0" w:color="auto"/>
            </w:tcBorders>
            <w:vAlign w:val="center"/>
          </w:tcPr>
          <w:p w14:paraId="6AA22B29" w14:textId="77777777" w:rsidR="007B3DB2" w:rsidRPr="0063248C" w:rsidRDefault="00000000">
            <w:pPr>
              <w:spacing w:line="240" w:lineRule="exact"/>
              <w:jc w:val="right"/>
              <w:rPr>
                <w:rFonts w:cs="宋体"/>
                <w:sz w:val="18"/>
                <w:szCs w:val="18"/>
              </w:rPr>
            </w:pPr>
            <w:r w:rsidRPr="0063248C">
              <w:rPr>
                <w:rFonts w:cs="宋体"/>
                <w:sz w:val="18"/>
                <w:szCs w:val="18"/>
              </w:rPr>
              <w:t>2,064,556.40</w:t>
            </w:r>
          </w:p>
        </w:tc>
      </w:tr>
    </w:tbl>
    <w:p w14:paraId="4E09421C" w14:textId="77777777" w:rsidR="007B3DB2" w:rsidRPr="0063248C" w:rsidRDefault="00000000">
      <w:pPr>
        <w:keepNext/>
        <w:keepLines/>
        <w:spacing w:before="300" w:after="300" w:line="280" w:lineRule="exact"/>
        <w:outlineLvl w:val="3"/>
        <w:rPr>
          <w:rFonts w:cs="宋体"/>
          <w:b/>
          <w:bCs/>
          <w:szCs w:val="21"/>
        </w:rPr>
      </w:pPr>
      <w:bookmarkStart w:id="305" w:name="_Toc989194"/>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未确认递延所得税资产明细</w:t>
      </w:r>
      <w:bookmarkEnd w:id="305"/>
    </w:p>
    <w:p w14:paraId="543A1452"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37FF1B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2A7A0F"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997D5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6A886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7CF587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D3A4E9" w14:textId="77777777" w:rsidR="007B3DB2" w:rsidRPr="0063248C" w:rsidRDefault="00000000">
            <w:pPr>
              <w:spacing w:before="40" w:after="40" w:line="240" w:lineRule="exact"/>
              <w:rPr>
                <w:rFonts w:cs="宋体"/>
                <w:sz w:val="18"/>
                <w:szCs w:val="18"/>
              </w:rPr>
            </w:pPr>
            <w:r w:rsidRPr="0063248C">
              <w:rPr>
                <w:rFonts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14:paraId="626A6C0A" w14:textId="77777777" w:rsidR="007B3DB2" w:rsidRPr="0063248C" w:rsidRDefault="00000000">
            <w:pPr>
              <w:spacing w:line="240" w:lineRule="exact"/>
              <w:jc w:val="right"/>
              <w:rPr>
                <w:rFonts w:cs="宋体"/>
                <w:sz w:val="18"/>
                <w:szCs w:val="18"/>
              </w:rPr>
            </w:pPr>
            <w:r w:rsidRPr="0063248C">
              <w:rPr>
                <w:rFonts w:cs="宋体"/>
                <w:sz w:val="18"/>
                <w:szCs w:val="18"/>
              </w:rPr>
              <w:t>236,920,832.41</w:t>
            </w:r>
          </w:p>
        </w:tc>
        <w:tc>
          <w:tcPr>
            <w:tcW w:w="3213" w:type="dxa"/>
            <w:tcBorders>
              <w:top w:val="single" w:sz="2" w:space="0" w:color="auto"/>
              <w:left w:val="single" w:sz="2" w:space="0" w:color="auto"/>
              <w:bottom w:val="single" w:sz="2" w:space="0" w:color="auto"/>
              <w:right w:val="single" w:sz="2" w:space="0" w:color="auto"/>
            </w:tcBorders>
            <w:vAlign w:val="center"/>
          </w:tcPr>
          <w:p w14:paraId="27BF9CF7" w14:textId="77777777" w:rsidR="007B3DB2" w:rsidRPr="0063248C" w:rsidRDefault="00000000">
            <w:pPr>
              <w:spacing w:line="240" w:lineRule="exact"/>
              <w:jc w:val="right"/>
              <w:rPr>
                <w:rFonts w:cs="宋体"/>
                <w:sz w:val="18"/>
                <w:szCs w:val="18"/>
              </w:rPr>
            </w:pPr>
            <w:r w:rsidRPr="0063248C">
              <w:rPr>
                <w:rFonts w:cs="宋体"/>
                <w:sz w:val="18"/>
                <w:szCs w:val="18"/>
              </w:rPr>
              <w:t>403,964,176.42</w:t>
            </w:r>
          </w:p>
        </w:tc>
      </w:tr>
      <w:tr w:rsidR="007B3DB2" w:rsidRPr="0063248C" w14:paraId="62F79E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639AF1" w14:textId="77777777" w:rsidR="007B3DB2" w:rsidRPr="0063248C" w:rsidRDefault="00000000">
            <w:pPr>
              <w:spacing w:before="40" w:after="40" w:line="240" w:lineRule="exact"/>
              <w:rPr>
                <w:rFonts w:cs="宋体"/>
                <w:sz w:val="18"/>
                <w:szCs w:val="18"/>
              </w:rPr>
            </w:pPr>
            <w:r w:rsidRPr="0063248C">
              <w:rPr>
                <w:rFonts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14:paraId="723C0350" w14:textId="77777777" w:rsidR="007B3DB2" w:rsidRPr="0063248C" w:rsidRDefault="00000000">
            <w:pPr>
              <w:spacing w:line="240" w:lineRule="exact"/>
              <w:jc w:val="right"/>
              <w:rPr>
                <w:rFonts w:cs="宋体"/>
                <w:sz w:val="18"/>
                <w:szCs w:val="18"/>
              </w:rPr>
            </w:pPr>
            <w:r w:rsidRPr="0063248C">
              <w:rPr>
                <w:rFonts w:cs="宋体"/>
                <w:sz w:val="18"/>
                <w:szCs w:val="18"/>
              </w:rPr>
              <w:t>1,829,741,247.76</w:t>
            </w:r>
          </w:p>
        </w:tc>
        <w:tc>
          <w:tcPr>
            <w:tcW w:w="3213" w:type="dxa"/>
            <w:tcBorders>
              <w:top w:val="single" w:sz="2" w:space="0" w:color="auto"/>
              <w:left w:val="single" w:sz="2" w:space="0" w:color="auto"/>
              <w:bottom w:val="single" w:sz="2" w:space="0" w:color="auto"/>
              <w:right w:val="single" w:sz="2" w:space="0" w:color="auto"/>
            </w:tcBorders>
            <w:vAlign w:val="center"/>
          </w:tcPr>
          <w:p w14:paraId="03580655" w14:textId="77777777" w:rsidR="007B3DB2" w:rsidRPr="0063248C" w:rsidRDefault="00000000">
            <w:pPr>
              <w:spacing w:line="240" w:lineRule="exact"/>
              <w:jc w:val="right"/>
              <w:rPr>
                <w:rFonts w:cs="宋体"/>
                <w:sz w:val="18"/>
                <w:szCs w:val="18"/>
              </w:rPr>
            </w:pPr>
            <w:r w:rsidRPr="0063248C">
              <w:rPr>
                <w:rFonts w:cs="宋体"/>
                <w:sz w:val="18"/>
                <w:szCs w:val="18"/>
              </w:rPr>
              <w:t>1,764,130,623.96</w:t>
            </w:r>
          </w:p>
        </w:tc>
      </w:tr>
      <w:tr w:rsidR="007B3DB2" w:rsidRPr="0063248C" w14:paraId="1B54E2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889A79"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39AE51B" w14:textId="77777777" w:rsidR="007B3DB2" w:rsidRPr="0063248C" w:rsidRDefault="00000000">
            <w:pPr>
              <w:spacing w:line="240" w:lineRule="exact"/>
              <w:jc w:val="right"/>
              <w:rPr>
                <w:rFonts w:cs="宋体"/>
                <w:sz w:val="18"/>
                <w:szCs w:val="18"/>
              </w:rPr>
            </w:pPr>
            <w:r w:rsidRPr="0063248C">
              <w:rPr>
                <w:rFonts w:cs="宋体"/>
                <w:sz w:val="18"/>
                <w:szCs w:val="18"/>
              </w:rPr>
              <w:t>2,066,662,080.17</w:t>
            </w:r>
          </w:p>
        </w:tc>
        <w:tc>
          <w:tcPr>
            <w:tcW w:w="3213" w:type="dxa"/>
            <w:tcBorders>
              <w:top w:val="single" w:sz="2" w:space="0" w:color="auto"/>
              <w:left w:val="single" w:sz="2" w:space="0" w:color="auto"/>
              <w:bottom w:val="single" w:sz="2" w:space="0" w:color="auto"/>
              <w:right w:val="single" w:sz="2" w:space="0" w:color="auto"/>
            </w:tcBorders>
            <w:vAlign w:val="center"/>
          </w:tcPr>
          <w:p w14:paraId="08540BC9" w14:textId="77777777" w:rsidR="007B3DB2" w:rsidRPr="0063248C" w:rsidRDefault="00000000">
            <w:pPr>
              <w:spacing w:line="240" w:lineRule="exact"/>
              <w:jc w:val="right"/>
              <w:rPr>
                <w:rFonts w:cs="宋体"/>
                <w:sz w:val="18"/>
                <w:szCs w:val="18"/>
              </w:rPr>
            </w:pPr>
            <w:r w:rsidRPr="0063248C">
              <w:rPr>
                <w:rFonts w:cs="宋体"/>
                <w:sz w:val="18"/>
                <w:szCs w:val="18"/>
              </w:rPr>
              <w:t>2,168,094,800.38</w:t>
            </w:r>
          </w:p>
        </w:tc>
      </w:tr>
    </w:tbl>
    <w:p w14:paraId="228AE911" w14:textId="77777777" w:rsidR="007B3DB2" w:rsidRPr="0063248C" w:rsidRDefault="00000000">
      <w:pPr>
        <w:keepNext/>
        <w:keepLines/>
        <w:spacing w:before="300" w:after="300" w:line="280" w:lineRule="exact"/>
        <w:outlineLvl w:val="3"/>
        <w:rPr>
          <w:rFonts w:cs="宋体"/>
          <w:b/>
          <w:bCs/>
          <w:szCs w:val="21"/>
        </w:rPr>
      </w:pPr>
      <w:bookmarkStart w:id="306" w:name="_Toc989195"/>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未确认递延所得税资产的可抵扣亏损将于以下年度到期</w:t>
      </w:r>
      <w:bookmarkEnd w:id="306"/>
    </w:p>
    <w:p w14:paraId="461BEF71"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4B20EA2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BD99B8" w14:textId="77777777" w:rsidR="007B3DB2" w:rsidRPr="0063248C" w:rsidRDefault="00000000">
            <w:pPr>
              <w:spacing w:before="40" w:after="40" w:line="240" w:lineRule="exact"/>
              <w:jc w:val="center"/>
              <w:rPr>
                <w:rFonts w:cs="宋体"/>
                <w:sz w:val="18"/>
                <w:szCs w:val="18"/>
              </w:rPr>
            </w:pPr>
            <w:r w:rsidRPr="0063248C">
              <w:rPr>
                <w:rFonts w:cs="宋体"/>
                <w:sz w:val="18"/>
                <w:szCs w:val="18"/>
              </w:rPr>
              <w:t>年份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CBEEF4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3ED481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w:t>
            </w:r>
            <w:proofErr w:type="gramStart"/>
            <w:r w:rsidRPr="0063248C">
              <w:rPr>
                <w:rFonts w:cs="宋体"/>
                <w:sz w:val="18"/>
                <w:szCs w:val="18"/>
              </w:rPr>
              <w:t>初金额</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0F2512C" w14:textId="77777777" w:rsidR="007B3DB2" w:rsidRPr="0063248C" w:rsidRDefault="00000000">
            <w:pPr>
              <w:spacing w:before="40" w:after="40" w:line="240" w:lineRule="exact"/>
              <w:jc w:val="center"/>
              <w:rPr>
                <w:rFonts w:cs="宋体"/>
                <w:sz w:val="18"/>
                <w:szCs w:val="18"/>
              </w:rPr>
            </w:pPr>
            <w:r w:rsidRPr="0063248C">
              <w:rPr>
                <w:rFonts w:cs="宋体"/>
                <w:sz w:val="18"/>
                <w:szCs w:val="18"/>
              </w:rPr>
              <w:t>备注</w:t>
            </w:r>
          </w:p>
        </w:tc>
      </w:tr>
      <w:tr w:rsidR="007B3DB2" w:rsidRPr="0063248C" w14:paraId="4928B4C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8C322CC"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011ABD09" w14:textId="77777777" w:rsidR="007B3DB2" w:rsidRPr="0063248C" w:rsidRDefault="00000000">
            <w:pPr>
              <w:spacing w:line="240" w:lineRule="exact"/>
              <w:jc w:val="right"/>
              <w:rPr>
                <w:rFonts w:cs="宋体"/>
                <w:sz w:val="18"/>
                <w:szCs w:val="18"/>
              </w:rPr>
            </w:pPr>
            <w:r w:rsidRPr="0063248C">
              <w:rPr>
                <w:rFonts w:cs="宋体"/>
                <w:sz w:val="18"/>
                <w:szCs w:val="18"/>
              </w:rPr>
              <w:t>2,193,063.92</w:t>
            </w:r>
          </w:p>
        </w:tc>
        <w:tc>
          <w:tcPr>
            <w:tcW w:w="2410" w:type="dxa"/>
            <w:tcBorders>
              <w:top w:val="single" w:sz="2" w:space="0" w:color="auto"/>
              <w:left w:val="single" w:sz="2" w:space="0" w:color="auto"/>
              <w:bottom w:val="single" w:sz="2" w:space="0" w:color="auto"/>
              <w:right w:val="single" w:sz="2" w:space="0" w:color="auto"/>
            </w:tcBorders>
            <w:vAlign w:val="center"/>
          </w:tcPr>
          <w:p w14:paraId="79D2BC56" w14:textId="77777777" w:rsidR="007B3DB2" w:rsidRPr="0063248C" w:rsidRDefault="00000000">
            <w:pPr>
              <w:spacing w:line="240" w:lineRule="exact"/>
              <w:jc w:val="right"/>
              <w:rPr>
                <w:rFonts w:cs="宋体"/>
                <w:sz w:val="18"/>
                <w:szCs w:val="18"/>
              </w:rPr>
            </w:pPr>
            <w:r w:rsidRPr="0063248C">
              <w:rPr>
                <w:rFonts w:cs="宋体"/>
                <w:sz w:val="18"/>
                <w:szCs w:val="18"/>
              </w:rPr>
              <w:t>2,193,063.92</w:t>
            </w:r>
          </w:p>
        </w:tc>
        <w:tc>
          <w:tcPr>
            <w:tcW w:w="2410" w:type="dxa"/>
            <w:tcBorders>
              <w:top w:val="single" w:sz="2" w:space="0" w:color="auto"/>
              <w:left w:val="single" w:sz="2" w:space="0" w:color="auto"/>
              <w:bottom w:val="single" w:sz="2" w:space="0" w:color="auto"/>
              <w:right w:val="single" w:sz="2" w:space="0" w:color="auto"/>
            </w:tcBorders>
            <w:vAlign w:val="center"/>
          </w:tcPr>
          <w:p w14:paraId="249026AE" w14:textId="77777777" w:rsidR="007B3DB2" w:rsidRPr="0063248C" w:rsidRDefault="007B3DB2">
            <w:pPr>
              <w:spacing w:line="240" w:lineRule="exact"/>
              <w:rPr>
                <w:rFonts w:cs="宋体"/>
                <w:sz w:val="18"/>
                <w:szCs w:val="18"/>
              </w:rPr>
            </w:pPr>
          </w:p>
        </w:tc>
      </w:tr>
      <w:tr w:rsidR="007B3DB2" w:rsidRPr="0063248C" w14:paraId="2FB6B7E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9AB3E42"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79804443" w14:textId="77777777" w:rsidR="007B3DB2" w:rsidRPr="0063248C" w:rsidRDefault="00000000">
            <w:pPr>
              <w:spacing w:line="240" w:lineRule="exact"/>
              <w:jc w:val="right"/>
              <w:rPr>
                <w:rFonts w:cs="宋体"/>
                <w:sz w:val="18"/>
                <w:szCs w:val="18"/>
              </w:rPr>
            </w:pPr>
            <w:r w:rsidRPr="0063248C">
              <w:rPr>
                <w:rFonts w:cs="宋体"/>
                <w:sz w:val="18"/>
                <w:szCs w:val="18"/>
              </w:rPr>
              <w:t>33,369,764.49</w:t>
            </w:r>
          </w:p>
        </w:tc>
        <w:tc>
          <w:tcPr>
            <w:tcW w:w="2410" w:type="dxa"/>
            <w:tcBorders>
              <w:top w:val="single" w:sz="2" w:space="0" w:color="auto"/>
              <w:left w:val="single" w:sz="2" w:space="0" w:color="auto"/>
              <w:bottom w:val="single" w:sz="2" w:space="0" w:color="auto"/>
              <w:right w:val="single" w:sz="2" w:space="0" w:color="auto"/>
            </w:tcBorders>
            <w:vAlign w:val="center"/>
          </w:tcPr>
          <w:p w14:paraId="48C7B9D2" w14:textId="77777777" w:rsidR="007B3DB2" w:rsidRPr="0063248C" w:rsidRDefault="00000000">
            <w:pPr>
              <w:spacing w:line="240" w:lineRule="exact"/>
              <w:jc w:val="right"/>
              <w:rPr>
                <w:rFonts w:cs="宋体"/>
                <w:sz w:val="18"/>
                <w:szCs w:val="18"/>
              </w:rPr>
            </w:pPr>
            <w:r w:rsidRPr="0063248C">
              <w:rPr>
                <w:rFonts w:cs="宋体"/>
                <w:sz w:val="18"/>
                <w:szCs w:val="18"/>
              </w:rPr>
              <w:t>34,787,996.46</w:t>
            </w:r>
          </w:p>
        </w:tc>
        <w:tc>
          <w:tcPr>
            <w:tcW w:w="2410" w:type="dxa"/>
            <w:tcBorders>
              <w:top w:val="single" w:sz="2" w:space="0" w:color="auto"/>
              <w:left w:val="single" w:sz="2" w:space="0" w:color="auto"/>
              <w:bottom w:val="single" w:sz="2" w:space="0" w:color="auto"/>
              <w:right w:val="single" w:sz="2" w:space="0" w:color="auto"/>
            </w:tcBorders>
            <w:vAlign w:val="center"/>
          </w:tcPr>
          <w:p w14:paraId="31309451" w14:textId="77777777" w:rsidR="007B3DB2" w:rsidRPr="0063248C" w:rsidRDefault="007B3DB2">
            <w:pPr>
              <w:spacing w:line="240" w:lineRule="exact"/>
              <w:rPr>
                <w:rFonts w:cs="宋体"/>
                <w:sz w:val="18"/>
                <w:szCs w:val="18"/>
              </w:rPr>
            </w:pPr>
          </w:p>
        </w:tc>
      </w:tr>
      <w:tr w:rsidR="007B3DB2" w:rsidRPr="0063248C" w14:paraId="05C425A8"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FB9CF8B" w14:textId="77777777" w:rsidR="007B3DB2" w:rsidRPr="0063248C" w:rsidRDefault="00000000">
            <w:pPr>
              <w:spacing w:line="240" w:lineRule="exact"/>
              <w:rPr>
                <w:rFonts w:cs="宋体"/>
                <w:sz w:val="18"/>
                <w:szCs w:val="18"/>
              </w:rPr>
            </w:pPr>
            <w:r w:rsidRPr="0063248C">
              <w:rPr>
                <w:rFonts w:cs="宋体"/>
                <w:sz w:val="18"/>
                <w:szCs w:val="18"/>
              </w:rPr>
              <w:t>2026</w:t>
            </w:r>
            <w:r w:rsidRPr="0063248C">
              <w:rPr>
                <w:rFonts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665BCAEE" w14:textId="77777777" w:rsidR="007B3DB2" w:rsidRPr="0063248C" w:rsidRDefault="00000000">
            <w:pPr>
              <w:spacing w:line="240" w:lineRule="exact"/>
              <w:jc w:val="right"/>
              <w:rPr>
                <w:rFonts w:cs="宋体"/>
                <w:sz w:val="18"/>
                <w:szCs w:val="18"/>
              </w:rPr>
            </w:pPr>
            <w:r w:rsidRPr="0063248C">
              <w:rPr>
                <w:rFonts w:cs="宋体"/>
                <w:sz w:val="18"/>
                <w:szCs w:val="18"/>
              </w:rPr>
              <w:t>296,033,175.44</w:t>
            </w:r>
          </w:p>
        </w:tc>
        <w:tc>
          <w:tcPr>
            <w:tcW w:w="2410" w:type="dxa"/>
            <w:tcBorders>
              <w:top w:val="single" w:sz="2" w:space="0" w:color="auto"/>
              <w:left w:val="single" w:sz="2" w:space="0" w:color="auto"/>
              <w:bottom w:val="single" w:sz="2" w:space="0" w:color="auto"/>
              <w:right w:val="single" w:sz="2" w:space="0" w:color="auto"/>
            </w:tcBorders>
            <w:vAlign w:val="center"/>
          </w:tcPr>
          <w:p w14:paraId="6A84F895" w14:textId="77777777" w:rsidR="007B3DB2" w:rsidRPr="0063248C" w:rsidRDefault="00000000">
            <w:pPr>
              <w:spacing w:line="240" w:lineRule="exact"/>
              <w:jc w:val="right"/>
              <w:rPr>
                <w:rFonts w:cs="宋体"/>
                <w:sz w:val="18"/>
                <w:szCs w:val="18"/>
              </w:rPr>
            </w:pPr>
            <w:r w:rsidRPr="0063248C">
              <w:rPr>
                <w:rFonts w:cs="宋体"/>
                <w:sz w:val="18"/>
                <w:szCs w:val="18"/>
              </w:rPr>
              <w:t>401,114,809.41</w:t>
            </w:r>
          </w:p>
        </w:tc>
        <w:tc>
          <w:tcPr>
            <w:tcW w:w="2410" w:type="dxa"/>
            <w:tcBorders>
              <w:top w:val="single" w:sz="2" w:space="0" w:color="auto"/>
              <w:left w:val="single" w:sz="2" w:space="0" w:color="auto"/>
              <w:bottom w:val="single" w:sz="2" w:space="0" w:color="auto"/>
              <w:right w:val="single" w:sz="2" w:space="0" w:color="auto"/>
            </w:tcBorders>
            <w:vAlign w:val="center"/>
          </w:tcPr>
          <w:p w14:paraId="0A414A18" w14:textId="77777777" w:rsidR="007B3DB2" w:rsidRPr="0063248C" w:rsidRDefault="007B3DB2">
            <w:pPr>
              <w:spacing w:line="240" w:lineRule="exact"/>
              <w:rPr>
                <w:rFonts w:cs="宋体"/>
                <w:sz w:val="18"/>
                <w:szCs w:val="18"/>
              </w:rPr>
            </w:pPr>
          </w:p>
        </w:tc>
      </w:tr>
      <w:tr w:rsidR="007B3DB2" w:rsidRPr="0063248C" w14:paraId="2059A5F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0E55494" w14:textId="77777777" w:rsidR="007B3DB2" w:rsidRPr="0063248C" w:rsidRDefault="00000000">
            <w:pPr>
              <w:spacing w:line="240" w:lineRule="exact"/>
              <w:rPr>
                <w:rFonts w:cs="宋体"/>
                <w:sz w:val="18"/>
                <w:szCs w:val="18"/>
              </w:rPr>
            </w:pPr>
            <w:r w:rsidRPr="0063248C">
              <w:rPr>
                <w:rFonts w:cs="宋体"/>
                <w:sz w:val="18"/>
                <w:szCs w:val="18"/>
              </w:rPr>
              <w:t>2027</w:t>
            </w:r>
            <w:r w:rsidRPr="0063248C">
              <w:rPr>
                <w:rFonts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08EA949A" w14:textId="77777777" w:rsidR="007B3DB2" w:rsidRPr="0063248C" w:rsidRDefault="00000000">
            <w:pPr>
              <w:spacing w:line="240" w:lineRule="exact"/>
              <w:jc w:val="right"/>
              <w:rPr>
                <w:rFonts w:cs="宋体"/>
                <w:sz w:val="18"/>
                <w:szCs w:val="18"/>
              </w:rPr>
            </w:pPr>
            <w:r w:rsidRPr="0063248C">
              <w:rPr>
                <w:rFonts w:cs="宋体"/>
                <w:sz w:val="18"/>
                <w:szCs w:val="18"/>
              </w:rPr>
              <w:t>447,407,004.52</w:t>
            </w:r>
          </w:p>
        </w:tc>
        <w:tc>
          <w:tcPr>
            <w:tcW w:w="2410" w:type="dxa"/>
            <w:tcBorders>
              <w:top w:val="single" w:sz="2" w:space="0" w:color="auto"/>
              <w:left w:val="single" w:sz="2" w:space="0" w:color="auto"/>
              <w:bottom w:val="single" w:sz="2" w:space="0" w:color="auto"/>
              <w:right w:val="single" w:sz="2" w:space="0" w:color="auto"/>
            </w:tcBorders>
            <w:vAlign w:val="center"/>
          </w:tcPr>
          <w:p w14:paraId="2A537B77" w14:textId="77777777" w:rsidR="007B3DB2" w:rsidRPr="0063248C" w:rsidRDefault="00000000">
            <w:pPr>
              <w:spacing w:line="240" w:lineRule="exact"/>
              <w:jc w:val="right"/>
              <w:rPr>
                <w:rFonts w:cs="宋体"/>
                <w:sz w:val="18"/>
                <w:szCs w:val="18"/>
              </w:rPr>
            </w:pPr>
            <w:r w:rsidRPr="0063248C">
              <w:rPr>
                <w:rFonts w:cs="宋体"/>
                <w:sz w:val="18"/>
                <w:szCs w:val="18"/>
              </w:rPr>
              <w:t>414,262,443.51</w:t>
            </w:r>
          </w:p>
        </w:tc>
        <w:tc>
          <w:tcPr>
            <w:tcW w:w="2410" w:type="dxa"/>
            <w:tcBorders>
              <w:top w:val="single" w:sz="2" w:space="0" w:color="auto"/>
              <w:left w:val="single" w:sz="2" w:space="0" w:color="auto"/>
              <w:bottom w:val="single" w:sz="2" w:space="0" w:color="auto"/>
              <w:right w:val="single" w:sz="2" w:space="0" w:color="auto"/>
            </w:tcBorders>
            <w:vAlign w:val="center"/>
          </w:tcPr>
          <w:p w14:paraId="5FB43B73" w14:textId="77777777" w:rsidR="007B3DB2" w:rsidRPr="0063248C" w:rsidRDefault="007B3DB2">
            <w:pPr>
              <w:spacing w:line="240" w:lineRule="exact"/>
              <w:rPr>
                <w:rFonts w:cs="宋体"/>
                <w:sz w:val="18"/>
                <w:szCs w:val="18"/>
              </w:rPr>
            </w:pPr>
          </w:p>
        </w:tc>
      </w:tr>
      <w:tr w:rsidR="007B3DB2" w:rsidRPr="0063248C" w14:paraId="28C610A5"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A409986" w14:textId="77777777" w:rsidR="007B3DB2" w:rsidRPr="0063248C" w:rsidRDefault="00000000">
            <w:pPr>
              <w:spacing w:line="240" w:lineRule="exact"/>
              <w:rPr>
                <w:rFonts w:cs="宋体"/>
                <w:sz w:val="18"/>
                <w:szCs w:val="18"/>
              </w:rPr>
            </w:pPr>
            <w:r w:rsidRPr="0063248C">
              <w:rPr>
                <w:rFonts w:cs="宋体"/>
                <w:sz w:val="18"/>
                <w:szCs w:val="18"/>
              </w:rPr>
              <w:t>2028</w:t>
            </w:r>
            <w:r w:rsidRPr="0063248C">
              <w:rPr>
                <w:rFonts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0B4E6447" w14:textId="77777777" w:rsidR="007B3DB2" w:rsidRPr="0063248C" w:rsidRDefault="00000000">
            <w:pPr>
              <w:spacing w:line="240" w:lineRule="exact"/>
              <w:jc w:val="right"/>
              <w:rPr>
                <w:rFonts w:cs="宋体"/>
                <w:sz w:val="18"/>
                <w:szCs w:val="18"/>
              </w:rPr>
            </w:pPr>
            <w:r w:rsidRPr="0063248C">
              <w:rPr>
                <w:rFonts w:cs="宋体"/>
                <w:sz w:val="18"/>
                <w:szCs w:val="18"/>
              </w:rPr>
              <w:t>879,529,508.12</w:t>
            </w:r>
          </w:p>
        </w:tc>
        <w:tc>
          <w:tcPr>
            <w:tcW w:w="2410" w:type="dxa"/>
            <w:tcBorders>
              <w:top w:val="single" w:sz="2" w:space="0" w:color="auto"/>
              <w:left w:val="single" w:sz="2" w:space="0" w:color="auto"/>
              <w:bottom w:val="single" w:sz="2" w:space="0" w:color="auto"/>
              <w:right w:val="single" w:sz="2" w:space="0" w:color="auto"/>
            </w:tcBorders>
            <w:vAlign w:val="center"/>
          </w:tcPr>
          <w:p w14:paraId="5969ACEA" w14:textId="77777777" w:rsidR="007B3DB2" w:rsidRPr="0063248C" w:rsidRDefault="00000000">
            <w:pPr>
              <w:spacing w:line="240" w:lineRule="exact"/>
              <w:jc w:val="right"/>
              <w:rPr>
                <w:rFonts w:cs="宋体"/>
                <w:sz w:val="18"/>
                <w:szCs w:val="18"/>
              </w:rPr>
            </w:pPr>
            <w:r w:rsidRPr="0063248C">
              <w:rPr>
                <w:rFonts w:cs="宋体"/>
                <w:sz w:val="18"/>
                <w:szCs w:val="18"/>
              </w:rPr>
              <w:t>911,772,310.66</w:t>
            </w:r>
          </w:p>
        </w:tc>
        <w:tc>
          <w:tcPr>
            <w:tcW w:w="2410" w:type="dxa"/>
            <w:tcBorders>
              <w:top w:val="single" w:sz="2" w:space="0" w:color="auto"/>
              <w:left w:val="single" w:sz="2" w:space="0" w:color="auto"/>
              <w:bottom w:val="single" w:sz="2" w:space="0" w:color="auto"/>
              <w:right w:val="single" w:sz="2" w:space="0" w:color="auto"/>
            </w:tcBorders>
            <w:vAlign w:val="center"/>
          </w:tcPr>
          <w:p w14:paraId="461B84E5" w14:textId="77777777" w:rsidR="007B3DB2" w:rsidRPr="0063248C" w:rsidRDefault="007B3DB2">
            <w:pPr>
              <w:spacing w:line="240" w:lineRule="exact"/>
              <w:rPr>
                <w:rFonts w:cs="宋体"/>
                <w:sz w:val="18"/>
                <w:szCs w:val="18"/>
              </w:rPr>
            </w:pPr>
          </w:p>
        </w:tc>
      </w:tr>
      <w:tr w:rsidR="007B3DB2" w:rsidRPr="0063248C" w14:paraId="6E4E615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1796068" w14:textId="77777777" w:rsidR="007B3DB2" w:rsidRPr="0063248C" w:rsidRDefault="00000000">
            <w:pPr>
              <w:spacing w:line="240" w:lineRule="exact"/>
              <w:rPr>
                <w:rFonts w:cs="宋体"/>
                <w:sz w:val="18"/>
                <w:szCs w:val="18"/>
              </w:rPr>
            </w:pPr>
            <w:r w:rsidRPr="0063248C">
              <w:rPr>
                <w:rFonts w:cs="宋体"/>
                <w:sz w:val="18"/>
                <w:szCs w:val="18"/>
              </w:rPr>
              <w:t>2029</w:t>
            </w:r>
            <w:r w:rsidRPr="0063248C">
              <w:rPr>
                <w:rFonts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38746726" w14:textId="77777777" w:rsidR="007B3DB2" w:rsidRPr="0063248C" w:rsidRDefault="00000000">
            <w:pPr>
              <w:spacing w:line="240" w:lineRule="exact"/>
              <w:jc w:val="right"/>
              <w:rPr>
                <w:rFonts w:cs="宋体"/>
                <w:sz w:val="18"/>
                <w:szCs w:val="18"/>
              </w:rPr>
            </w:pPr>
            <w:r w:rsidRPr="0063248C">
              <w:rPr>
                <w:rFonts w:cs="宋体"/>
                <w:sz w:val="18"/>
                <w:szCs w:val="18"/>
              </w:rPr>
              <w:t>171,208,731.27</w:t>
            </w:r>
          </w:p>
        </w:tc>
        <w:tc>
          <w:tcPr>
            <w:tcW w:w="2410" w:type="dxa"/>
            <w:tcBorders>
              <w:top w:val="single" w:sz="2" w:space="0" w:color="auto"/>
              <w:left w:val="single" w:sz="2" w:space="0" w:color="auto"/>
              <w:bottom w:val="single" w:sz="2" w:space="0" w:color="auto"/>
              <w:right w:val="single" w:sz="2" w:space="0" w:color="auto"/>
            </w:tcBorders>
            <w:vAlign w:val="center"/>
          </w:tcPr>
          <w:p w14:paraId="64A5EFD3"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CEE5562" w14:textId="77777777" w:rsidR="007B3DB2" w:rsidRPr="0063248C" w:rsidRDefault="007B3DB2">
            <w:pPr>
              <w:spacing w:line="240" w:lineRule="exact"/>
              <w:rPr>
                <w:rFonts w:cs="宋体"/>
                <w:sz w:val="18"/>
                <w:szCs w:val="18"/>
              </w:rPr>
            </w:pPr>
          </w:p>
        </w:tc>
      </w:tr>
      <w:tr w:rsidR="007B3DB2" w:rsidRPr="0063248C" w14:paraId="66E42C2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FFA725F"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56027FE6" w14:textId="77777777" w:rsidR="007B3DB2" w:rsidRPr="0063248C" w:rsidRDefault="00000000">
            <w:pPr>
              <w:spacing w:line="240" w:lineRule="exact"/>
              <w:jc w:val="right"/>
              <w:rPr>
                <w:rFonts w:cs="宋体"/>
                <w:sz w:val="18"/>
                <w:szCs w:val="18"/>
              </w:rPr>
            </w:pPr>
            <w:r w:rsidRPr="0063248C">
              <w:rPr>
                <w:rFonts w:cs="宋体"/>
                <w:sz w:val="18"/>
                <w:szCs w:val="18"/>
              </w:rPr>
              <w:t>1,829,741,247.76</w:t>
            </w:r>
          </w:p>
        </w:tc>
        <w:tc>
          <w:tcPr>
            <w:tcW w:w="2410" w:type="dxa"/>
            <w:tcBorders>
              <w:top w:val="single" w:sz="2" w:space="0" w:color="auto"/>
              <w:left w:val="single" w:sz="2" w:space="0" w:color="auto"/>
              <w:bottom w:val="single" w:sz="2" w:space="0" w:color="auto"/>
              <w:right w:val="single" w:sz="2" w:space="0" w:color="auto"/>
            </w:tcBorders>
            <w:vAlign w:val="center"/>
          </w:tcPr>
          <w:p w14:paraId="38F18F25" w14:textId="77777777" w:rsidR="007B3DB2" w:rsidRPr="0063248C" w:rsidRDefault="00000000">
            <w:pPr>
              <w:spacing w:line="240" w:lineRule="exact"/>
              <w:jc w:val="right"/>
              <w:rPr>
                <w:rFonts w:cs="宋体"/>
                <w:sz w:val="18"/>
                <w:szCs w:val="18"/>
              </w:rPr>
            </w:pPr>
            <w:r w:rsidRPr="0063248C">
              <w:rPr>
                <w:rFonts w:cs="宋体"/>
                <w:sz w:val="18"/>
                <w:szCs w:val="18"/>
              </w:rPr>
              <w:t>1,764,130,623.96</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0D4A32" w14:textId="77777777" w:rsidR="007B3DB2" w:rsidRPr="0063248C" w:rsidRDefault="007B3DB2"/>
        </w:tc>
      </w:tr>
    </w:tbl>
    <w:p w14:paraId="5A7E41F6"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38B54EE3" w14:textId="77777777" w:rsidR="00517D34" w:rsidRPr="0063248C" w:rsidRDefault="00000000">
      <w:pPr>
        <w:pStyle w:val="a3"/>
        <w:divId w:val="1259170036"/>
        <w:rPr>
          <w:rFonts w:ascii="Times New Roman" w:hAnsi="Times New Roman"/>
          <w:sz w:val="18"/>
          <w:szCs w:val="18"/>
        </w:rPr>
      </w:pPr>
      <w:r w:rsidRPr="0063248C">
        <w:rPr>
          <w:rFonts w:ascii="Times New Roman" w:hAnsi="Times New Roman" w:hint="eastAsia"/>
          <w:sz w:val="18"/>
          <w:szCs w:val="18"/>
        </w:rPr>
        <w:t>无</w:t>
      </w:r>
    </w:p>
    <w:p w14:paraId="1EA0301C" w14:textId="77777777" w:rsidR="007B3DB2" w:rsidRPr="0063248C" w:rsidRDefault="00000000">
      <w:pPr>
        <w:pStyle w:val="3"/>
        <w:spacing w:line="280" w:lineRule="exact"/>
        <w:jc w:val="left"/>
        <w:rPr>
          <w:rFonts w:cs="宋体"/>
          <w:b/>
          <w:bCs/>
        </w:rPr>
      </w:pPr>
      <w:bookmarkStart w:id="307" w:name="_Toc989196"/>
      <w:r w:rsidRPr="0063248C">
        <w:rPr>
          <w:rFonts w:cs="宋体"/>
          <w:b/>
          <w:bCs/>
        </w:rPr>
        <w:t>30</w:t>
      </w:r>
      <w:r w:rsidRPr="0063248C">
        <w:rPr>
          <w:rFonts w:cs="宋体"/>
          <w:b/>
          <w:bCs/>
        </w:rPr>
        <w:t>、其他非流动资产</w:t>
      </w:r>
      <w:bookmarkEnd w:id="307"/>
    </w:p>
    <w:p w14:paraId="02626D41"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560"/>
        <w:gridCol w:w="1417"/>
        <w:gridCol w:w="1154"/>
        <w:gridCol w:w="1377"/>
        <w:gridCol w:w="1377"/>
        <w:gridCol w:w="1377"/>
        <w:gridCol w:w="1377"/>
      </w:tblGrid>
      <w:tr w:rsidR="007B3DB2" w:rsidRPr="0063248C" w14:paraId="662D7EC0" w14:textId="77777777" w:rsidTr="00760A54">
        <w:trPr>
          <w:trHeight w:val="240"/>
        </w:trPr>
        <w:tc>
          <w:tcPr>
            <w:tcW w:w="15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5060A3E"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94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3C3A5C6"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3BB5EB8"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52CF0089" w14:textId="77777777" w:rsidTr="00760A54">
        <w:trPr>
          <w:trHeight w:val="240"/>
        </w:trPr>
        <w:tc>
          <w:tcPr>
            <w:tcW w:w="156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A6477A5" w14:textId="77777777" w:rsidR="007B3DB2" w:rsidRPr="0063248C" w:rsidRDefault="007B3DB2"/>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7B4EE45B"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154" w:type="dxa"/>
            <w:tcBorders>
              <w:top w:val="single" w:sz="2" w:space="0" w:color="auto"/>
              <w:left w:val="single" w:sz="2" w:space="0" w:color="auto"/>
              <w:bottom w:val="single" w:sz="2" w:space="0" w:color="auto"/>
              <w:right w:val="single" w:sz="2" w:space="0" w:color="auto"/>
            </w:tcBorders>
            <w:shd w:val="clear" w:color="auto" w:fill="D3D3D3"/>
            <w:vAlign w:val="center"/>
          </w:tcPr>
          <w:p w14:paraId="1C9B7B29"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3D0905D"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33F09AA"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4629C57"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14B0CA"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r>
      <w:tr w:rsidR="007B3DB2" w:rsidRPr="0063248C" w14:paraId="41CF5EC5" w14:textId="77777777" w:rsidTr="00760A54">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6A5468B9" w14:textId="77777777" w:rsidR="007B3DB2" w:rsidRPr="0063248C" w:rsidRDefault="00000000">
            <w:pPr>
              <w:spacing w:line="240" w:lineRule="exact"/>
              <w:rPr>
                <w:rFonts w:cs="宋体"/>
                <w:sz w:val="18"/>
                <w:szCs w:val="18"/>
              </w:rPr>
            </w:pPr>
            <w:r w:rsidRPr="0063248C">
              <w:rPr>
                <w:rFonts w:cs="宋体"/>
                <w:sz w:val="18"/>
                <w:szCs w:val="18"/>
              </w:rPr>
              <w:t>预付设备工程款</w:t>
            </w:r>
          </w:p>
        </w:tc>
        <w:tc>
          <w:tcPr>
            <w:tcW w:w="1417" w:type="dxa"/>
            <w:tcBorders>
              <w:top w:val="single" w:sz="2" w:space="0" w:color="auto"/>
              <w:left w:val="single" w:sz="2" w:space="0" w:color="auto"/>
              <w:bottom w:val="single" w:sz="2" w:space="0" w:color="auto"/>
              <w:right w:val="single" w:sz="2" w:space="0" w:color="auto"/>
            </w:tcBorders>
            <w:vAlign w:val="center"/>
          </w:tcPr>
          <w:p w14:paraId="4342830F" w14:textId="77777777" w:rsidR="007B3DB2" w:rsidRPr="0063248C" w:rsidRDefault="00000000">
            <w:pPr>
              <w:spacing w:line="240" w:lineRule="exact"/>
              <w:jc w:val="right"/>
              <w:rPr>
                <w:rFonts w:cs="宋体"/>
                <w:sz w:val="18"/>
                <w:szCs w:val="18"/>
              </w:rPr>
            </w:pPr>
            <w:r w:rsidRPr="0063248C">
              <w:rPr>
                <w:rFonts w:cs="宋体"/>
                <w:sz w:val="18"/>
                <w:szCs w:val="18"/>
              </w:rPr>
              <w:t>19,414,425.27</w:t>
            </w:r>
          </w:p>
        </w:tc>
        <w:tc>
          <w:tcPr>
            <w:tcW w:w="1154" w:type="dxa"/>
            <w:tcBorders>
              <w:top w:val="single" w:sz="2" w:space="0" w:color="auto"/>
              <w:left w:val="single" w:sz="2" w:space="0" w:color="auto"/>
              <w:bottom w:val="single" w:sz="2" w:space="0" w:color="auto"/>
              <w:right w:val="single" w:sz="2" w:space="0" w:color="auto"/>
            </w:tcBorders>
            <w:vAlign w:val="center"/>
          </w:tcPr>
          <w:p w14:paraId="69AAA7F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FAC6E9" w14:textId="77777777" w:rsidR="007B3DB2" w:rsidRPr="0063248C" w:rsidRDefault="00000000">
            <w:pPr>
              <w:spacing w:line="240" w:lineRule="exact"/>
              <w:jc w:val="right"/>
              <w:rPr>
                <w:rFonts w:cs="宋体"/>
                <w:sz w:val="18"/>
                <w:szCs w:val="18"/>
              </w:rPr>
            </w:pPr>
            <w:r w:rsidRPr="0063248C">
              <w:rPr>
                <w:rFonts w:cs="宋体"/>
                <w:sz w:val="18"/>
                <w:szCs w:val="18"/>
              </w:rPr>
              <w:t>19,414,425.27</w:t>
            </w:r>
          </w:p>
        </w:tc>
        <w:tc>
          <w:tcPr>
            <w:tcW w:w="1377" w:type="dxa"/>
            <w:tcBorders>
              <w:top w:val="single" w:sz="2" w:space="0" w:color="auto"/>
              <w:left w:val="single" w:sz="2" w:space="0" w:color="auto"/>
              <w:bottom w:val="single" w:sz="2" w:space="0" w:color="auto"/>
              <w:right w:val="single" w:sz="2" w:space="0" w:color="auto"/>
            </w:tcBorders>
            <w:vAlign w:val="center"/>
          </w:tcPr>
          <w:p w14:paraId="79ADAF1C" w14:textId="77777777" w:rsidR="007B3DB2" w:rsidRPr="0063248C" w:rsidRDefault="00000000">
            <w:pPr>
              <w:spacing w:line="240" w:lineRule="exact"/>
              <w:jc w:val="right"/>
              <w:rPr>
                <w:rFonts w:cs="宋体"/>
                <w:sz w:val="18"/>
                <w:szCs w:val="18"/>
              </w:rPr>
            </w:pPr>
            <w:r w:rsidRPr="0063248C">
              <w:rPr>
                <w:rFonts w:cs="宋体"/>
                <w:sz w:val="18"/>
                <w:szCs w:val="18"/>
              </w:rPr>
              <w:t>18,588,707.98</w:t>
            </w:r>
          </w:p>
        </w:tc>
        <w:tc>
          <w:tcPr>
            <w:tcW w:w="1377" w:type="dxa"/>
            <w:tcBorders>
              <w:top w:val="single" w:sz="2" w:space="0" w:color="auto"/>
              <w:left w:val="single" w:sz="2" w:space="0" w:color="auto"/>
              <w:bottom w:val="single" w:sz="2" w:space="0" w:color="auto"/>
              <w:right w:val="single" w:sz="2" w:space="0" w:color="auto"/>
            </w:tcBorders>
            <w:vAlign w:val="center"/>
          </w:tcPr>
          <w:p w14:paraId="1723B68B"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01E9F3A" w14:textId="77777777" w:rsidR="007B3DB2" w:rsidRPr="0063248C" w:rsidRDefault="00000000">
            <w:pPr>
              <w:spacing w:line="240" w:lineRule="exact"/>
              <w:jc w:val="right"/>
              <w:rPr>
                <w:rFonts w:cs="宋体"/>
                <w:sz w:val="18"/>
                <w:szCs w:val="18"/>
              </w:rPr>
            </w:pPr>
            <w:r w:rsidRPr="0063248C">
              <w:rPr>
                <w:rFonts w:cs="宋体"/>
                <w:sz w:val="18"/>
                <w:szCs w:val="18"/>
              </w:rPr>
              <w:t>18,588,707.98</w:t>
            </w:r>
          </w:p>
        </w:tc>
      </w:tr>
      <w:tr w:rsidR="007B3DB2" w:rsidRPr="0063248C" w14:paraId="71CE5478" w14:textId="77777777" w:rsidTr="00760A54">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4B737838" w14:textId="77777777" w:rsidR="007B3DB2" w:rsidRPr="0063248C" w:rsidRDefault="00000000">
            <w:pPr>
              <w:spacing w:line="240" w:lineRule="exact"/>
              <w:rPr>
                <w:rFonts w:cs="宋体"/>
                <w:sz w:val="18"/>
                <w:szCs w:val="18"/>
              </w:rPr>
            </w:pPr>
            <w:r w:rsidRPr="0063248C">
              <w:rPr>
                <w:rFonts w:cs="宋体"/>
                <w:sz w:val="18"/>
                <w:szCs w:val="18"/>
              </w:rPr>
              <w:t>增值税留抵税额</w:t>
            </w:r>
          </w:p>
        </w:tc>
        <w:tc>
          <w:tcPr>
            <w:tcW w:w="1417" w:type="dxa"/>
            <w:tcBorders>
              <w:top w:val="single" w:sz="2" w:space="0" w:color="auto"/>
              <w:left w:val="single" w:sz="2" w:space="0" w:color="auto"/>
              <w:bottom w:val="single" w:sz="2" w:space="0" w:color="auto"/>
              <w:right w:val="single" w:sz="2" w:space="0" w:color="auto"/>
            </w:tcBorders>
            <w:vAlign w:val="center"/>
          </w:tcPr>
          <w:p w14:paraId="27D7CF37" w14:textId="77777777" w:rsidR="007B3DB2" w:rsidRPr="0063248C" w:rsidRDefault="00000000">
            <w:pPr>
              <w:spacing w:line="240" w:lineRule="exact"/>
              <w:jc w:val="right"/>
              <w:rPr>
                <w:rFonts w:cs="宋体"/>
                <w:sz w:val="18"/>
                <w:szCs w:val="18"/>
              </w:rPr>
            </w:pPr>
            <w:r w:rsidRPr="0063248C">
              <w:rPr>
                <w:rFonts w:cs="宋体"/>
                <w:sz w:val="18"/>
                <w:szCs w:val="18"/>
              </w:rPr>
              <w:t>468,340,939.55</w:t>
            </w:r>
          </w:p>
        </w:tc>
        <w:tc>
          <w:tcPr>
            <w:tcW w:w="1154" w:type="dxa"/>
            <w:tcBorders>
              <w:top w:val="single" w:sz="2" w:space="0" w:color="auto"/>
              <w:left w:val="single" w:sz="2" w:space="0" w:color="auto"/>
              <w:bottom w:val="single" w:sz="2" w:space="0" w:color="auto"/>
              <w:right w:val="single" w:sz="2" w:space="0" w:color="auto"/>
            </w:tcBorders>
            <w:vAlign w:val="center"/>
          </w:tcPr>
          <w:p w14:paraId="1D3546C7"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FE8F2F2" w14:textId="77777777" w:rsidR="007B3DB2" w:rsidRPr="0063248C" w:rsidRDefault="00000000">
            <w:pPr>
              <w:spacing w:line="240" w:lineRule="exact"/>
              <w:jc w:val="right"/>
              <w:rPr>
                <w:rFonts w:cs="宋体"/>
                <w:sz w:val="18"/>
                <w:szCs w:val="18"/>
              </w:rPr>
            </w:pPr>
            <w:r w:rsidRPr="0063248C">
              <w:rPr>
                <w:rFonts w:cs="宋体"/>
                <w:sz w:val="18"/>
                <w:szCs w:val="18"/>
              </w:rPr>
              <w:t>468,340,939.55</w:t>
            </w:r>
          </w:p>
        </w:tc>
        <w:tc>
          <w:tcPr>
            <w:tcW w:w="1377" w:type="dxa"/>
            <w:tcBorders>
              <w:top w:val="single" w:sz="2" w:space="0" w:color="auto"/>
              <w:left w:val="single" w:sz="2" w:space="0" w:color="auto"/>
              <w:bottom w:val="single" w:sz="2" w:space="0" w:color="auto"/>
              <w:right w:val="single" w:sz="2" w:space="0" w:color="auto"/>
            </w:tcBorders>
            <w:vAlign w:val="center"/>
          </w:tcPr>
          <w:p w14:paraId="46BCFFA9" w14:textId="77777777" w:rsidR="007B3DB2" w:rsidRPr="0063248C" w:rsidRDefault="00000000">
            <w:pPr>
              <w:spacing w:line="240" w:lineRule="exact"/>
              <w:jc w:val="right"/>
              <w:rPr>
                <w:rFonts w:cs="宋体"/>
                <w:sz w:val="18"/>
                <w:szCs w:val="18"/>
              </w:rPr>
            </w:pPr>
            <w:r w:rsidRPr="0063248C">
              <w:rPr>
                <w:rFonts w:cs="宋体"/>
                <w:sz w:val="18"/>
                <w:szCs w:val="18"/>
              </w:rPr>
              <w:t>488,856,766.70</w:t>
            </w:r>
          </w:p>
        </w:tc>
        <w:tc>
          <w:tcPr>
            <w:tcW w:w="1377" w:type="dxa"/>
            <w:tcBorders>
              <w:top w:val="single" w:sz="2" w:space="0" w:color="auto"/>
              <w:left w:val="single" w:sz="2" w:space="0" w:color="auto"/>
              <w:bottom w:val="single" w:sz="2" w:space="0" w:color="auto"/>
              <w:right w:val="single" w:sz="2" w:space="0" w:color="auto"/>
            </w:tcBorders>
            <w:vAlign w:val="center"/>
          </w:tcPr>
          <w:p w14:paraId="5BA8D6C0"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7437437" w14:textId="77777777" w:rsidR="007B3DB2" w:rsidRPr="0063248C" w:rsidRDefault="00000000">
            <w:pPr>
              <w:spacing w:line="240" w:lineRule="exact"/>
              <w:jc w:val="right"/>
              <w:rPr>
                <w:rFonts w:cs="宋体"/>
                <w:sz w:val="18"/>
                <w:szCs w:val="18"/>
              </w:rPr>
            </w:pPr>
            <w:r w:rsidRPr="0063248C">
              <w:rPr>
                <w:rFonts w:cs="宋体"/>
                <w:sz w:val="18"/>
                <w:szCs w:val="18"/>
              </w:rPr>
              <w:t>488,856,766.70</w:t>
            </w:r>
          </w:p>
        </w:tc>
      </w:tr>
      <w:tr w:rsidR="007B3DB2" w:rsidRPr="0063248C" w14:paraId="07B1A74A" w14:textId="77777777" w:rsidTr="00760A54">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138B6E6A"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合计</w:t>
            </w:r>
          </w:p>
        </w:tc>
        <w:tc>
          <w:tcPr>
            <w:tcW w:w="1417" w:type="dxa"/>
            <w:tcBorders>
              <w:top w:val="single" w:sz="2" w:space="0" w:color="auto"/>
              <w:left w:val="single" w:sz="2" w:space="0" w:color="auto"/>
              <w:bottom w:val="single" w:sz="2" w:space="0" w:color="auto"/>
              <w:right w:val="single" w:sz="2" w:space="0" w:color="auto"/>
            </w:tcBorders>
            <w:vAlign w:val="center"/>
          </w:tcPr>
          <w:p w14:paraId="6717A4DC" w14:textId="77777777" w:rsidR="007B3DB2" w:rsidRPr="0063248C" w:rsidRDefault="00000000">
            <w:pPr>
              <w:spacing w:line="240" w:lineRule="exact"/>
              <w:jc w:val="right"/>
              <w:rPr>
                <w:rFonts w:cs="宋体"/>
                <w:sz w:val="18"/>
                <w:szCs w:val="18"/>
              </w:rPr>
            </w:pPr>
            <w:r w:rsidRPr="0063248C">
              <w:rPr>
                <w:rFonts w:cs="宋体"/>
                <w:sz w:val="18"/>
                <w:szCs w:val="18"/>
              </w:rPr>
              <w:t>487,755,364.82</w:t>
            </w:r>
          </w:p>
        </w:tc>
        <w:tc>
          <w:tcPr>
            <w:tcW w:w="1154" w:type="dxa"/>
            <w:tcBorders>
              <w:top w:val="single" w:sz="2" w:space="0" w:color="auto"/>
              <w:left w:val="single" w:sz="2" w:space="0" w:color="auto"/>
              <w:bottom w:val="single" w:sz="2" w:space="0" w:color="auto"/>
              <w:right w:val="single" w:sz="2" w:space="0" w:color="auto"/>
            </w:tcBorders>
            <w:vAlign w:val="center"/>
          </w:tcPr>
          <w:p w14:paraId="111C694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9FFD570" w14:textId="77777777" w:rsidR="007B3DB2" w:rsidRPr="0063248C" w:rsidRDefault="00000000">
            <w:pPr>
              <w:spacing w:line="240" w:lineRule="exact"/>
              <w:jc w:val="right"/>
              <w:rPr>
                <w:rFonts w:cs="宋体"/>
                <w:sz w:val="18"/>
                <w:szCs w:val="18"/>
              </w:rPr>
            </w:pPr>
            <w:r w:rsidRPr="0063248C">
              <w:rPr>
                <w:rFonts w:cs="宋体"/>
                <w:sz w:val="18"/>
                <w:szCs w:val="18"/>
              </w:rPr>
              <w:t>487,755,364.82</w:t>
            </w:r>
          </w:p>
        </w:tc>
        <w:tc>
          <w:tcPr>
            <w:tcW w:w="1377" w:type="dxa"/>
            <w:tcBorders>
              <w:top w:val="single" w:sz="2" w:space="0" w:color="auto"/>
              <w:left w:val="single" w:sz="2" w:space="0" w:color="auto"/>
              <w:bottom w:val="single" w:sz="2" w:space="0" w:color="auto"/>
              <w:right w:val="single" w:sz="2" w:space="0" w:color="auto"/>
            </w:tcBorders>
            <w:vAlign w:val="center"/>
          </w:tcPr>
          <w:p w14:paraId="36ABDAD7" w14:textId="77777777" w:rsidR="007B3DB2" w:rsidRPr="0063248C" w:rsidRDefault="00000000">
            <w:pPr>
              <w:spacing w:line="240" w:lineRule="exact"/>
              <w:jc w:val="right"/>
              <w:rPr>
                <w:rFonts w:cs="宋体"/>
                <w:sz w:val="18"/>
                <w:szCs w:val="18"/>
              </w:rPr>
            </w:pPr>
            <w:r w:rsidRPr="0063248C">
              <w:rPr>
                <w:rFonts w:cs="宋体"/>
                <w:sz w:val="18"/>
                <w:szCs w:val="18"/>
              </w:rPr>
              <w:t>507,445,474.68</w:t>
            </w:r>
          </w:p>
        </w:tc>
        <w:tc>
          <w:tcPr>
            <w:tcW w:w="1377" w:type="dxa"/>
            <w:tcBorders>
              <w:top w:val="single" w:sz="2" w:space="0" w:color="auto"/>
              <w:left w:val="single" w:sz="2" w:space="0" w:color="auto"/>
              <w:bottom w:val="single" w:sz="2" w:space="0" w:color="auto"/>
              <w:right w:val="single" w:sz="2" w:space="0" w:color="auto"/>
            </w:tcBorders>
            <w:vAlign w:val="center"/>
          </w:tcPr>
          <w:p w14:paraId="79F749E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EDC623E" w14:textId="77777777" w:rsidR="007B3DB2" w:rsidRPr="0063248C" w:rsidRDefault="00000000">
            <w:pPr>
              <w:spacing w:line="240" w:lineRule="exact"/>
              <w:jc w:val="right"/>
              <w:rPr>
                <w:rFonts w:cs="宋体"/>
                <w:sz w:val="18"/>
                <w:szCs w:val="18"/>
              </w:rPr>
            </w:pPr>
            <w:r w:rsidRPr="0063248C">
              <w:rPr>
                <w:rFonts w:cs="宋体"/>
                <w:sz w:val="18"/>
                <w:szCs w:val="18"/>
              </w:rPr>
              <w:t>507,445,474.68</w:t>
            </w:r>
          </w:p>
        </w:tc>
      </w:tr>
    </w:tbl>
    <w:p w14:paraId="456B6F4A"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45994692" w14:textId="77777777" w:rsidR="00517D34" w:rsidRPr="0063248C" w:rsidRDefault="00000000">
      <w:pPr>
        <w:pStyle w:val="a3"/>
        <w:divId w:val="1971393894"/>
        <w:rPr>
          <w:rFonts w:ascii="Times New Roman" w:hAnsi="Times New Roman"/>
          <w:sz w:val="18"/>
          <w:szCs w:val="18"/>
        </w:rPr>
      </w:pPr>
      <w:r w:rsidRPr="0063248C">
        <w:rPr>
          <w:rFonts w:ascii="Times New Roman" w:hAnsi="Times New Roman" w:hint="eastAsia"/>
          <w:sz w:val="18"/>
          <w:szCs w:val="18"/>
        </w:rPr>
        <w:t>无</w:t>
      </w:r>
    </w:p>
    <w:p w14:paraId="24351CF7" w14:textId="77777777" w:rsidR="007B3DB2" w:rsidRPr="0063248C" w:rsidRDefault="00000000">
      <w:pPr>
        <w:pStyle w:val="3"/>
        <w:spacing w:line="280" w:lineRule="exact"/>
        <w:jc w:val="left"/>
        <w:rPr>
          <w:rFonts w:cs="宋体"/>
          <w:b/>
          <w:bCs/>
        </w:rPr>
      </w:pPr>
      <w:bookmarkStart w:id="308" w:name="_Toc989197"/>
      <w:r w:rsidRPr="0063248C">
        <w:rPr>
          <w:rFonts w:cs="宋体"/>
          <w:b/>
          <w:bCs/>
        </w:rPr>
        <w:t>31</w:t>
      </w:r>
      <w:r w:rsidRPr="0063248C">
        <w:rPr>
          <w:rFonts w:cs="宋体"/>
          <w:b/>
          <w:bCs/>
        </w:rPr>
        <w:t>、所有权或使用权受到限制的资产</w:t>
      </w:r>
      <w:bookmarkEnd w:id="308"/>
    </w:p>
    <w:p w14:paraId="24A505FA"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942"/>
        <w:gridCol w:w="1275"/>
        <w:gridCol w:w="1560"/>
        <w:gridCol w:w="507"/>
        <w:gridCol w:w="910"/>
        <w:gridCol w:w="1418"/>
        <w:gridCol w:w="1417"/>
        <w:gridCol w:w="539"/>
        <w:gridCol w:w="1071"/>
      </w:tblGrid>
      <w:tr w:rsidR="007B3DB2" w:rsidRPr="0063248C" w14:paraId="5F027B2E" w14:textId="77777777" w:rsidTr="00760A54">
        <w:trPr>
          <w:trHeight w:val="240"/>
        </w:trPr>
        <w:tc>
          <w:tcPr>
            <w:tcW w:w="9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9E2FDEB"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425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433FFC1"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w:t>
            </w:r>
          </w:p>
        </w:tc>
        <w:tc>
          <w:tcPr>
            <w:tcW w:w="444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9E771B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w:t>
            </w:r>
          </w:p>
        </w:tc>
      </w:tr>
      <w:tr w:rsidR="007B3DB2" w:rsidRPr="0063248C" w14:paraId="6222F1BC" w14:textId="77777777" w:rsidTr="00760A54">
        <w:trPr>
          <w:trHeight w:val="240"/>
        </w:trPr>
        <w:tc>
          <w:tcPr>
            <w:tcW w:w="94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D3C7DA8" w14:textId="77777777" w:rsidR="007B3DB2" w:rsidRPr="0063248C" w:rsidRDefault="007B3DB2"/>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14AD9018"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617D9826"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507" w:type="dxa"/>
            <w:tcBorders>
              <w:top w:val="single" w:sz="2" w:space="0" w:color="auto"/>
              <w:left w:val="single" w:sz="2" w:space="0" w:color="auto"/>
              <w:bottom w:val="single" w:sz="2" w:space="0" w:color="auto"/>
              <w:right w:val="single" w:sz="2" w:space="0" w:color="auto"/>
            </w:tcBorders>
            <w:shd w:val="clear" w:color="auto" w:fill="D3D3D3"/>
            <w:vAlign w:val="center"/>
          </w:tcPr>
          <w:p w14:paraId="2A42C2D2" w14:textId="77777777" w:rsidR="007B3DB2" w:rsidRPr="0063248C" w:rsidRDefault="00000000">
            <w:pPr>
              <w:spacing w:before="40" w:after="40" w:line="240" w:lineRule="exact"/>
              <w:jc w:val="center"/>
              <w:rPr>
                <w:rFonts w:cs="宋体"/>
                <w:sz w:val="18"/>
                <w:szCs w:val="18"/>
              </w:rPr>
            </w:pPr>
            <w:r w:rsidRPr="0063248C">
              <w:rPr>
                <w:rFonts w:cs="宋体"/>
                <w:sz w:val="18"/>
                <w:szCs w:val="18"/>
              </w:rPr>
              <w:t>受限类型</w:t>
            </w:r>
          </w:p>
        </w:tc>
        <w:tc>
          <w:tcPr>
            <w:tcW w:w="910" w:type="dxa"/>
            <w:tcBorders>
              <w:top w:val="single" w:sz="2" w:space="0" w:color="auto"/>
              <w:left w:val="single" w:sz="2" w:space="0" w:color="auto"/>
              <w:bottom w:val="single" w:sz="2" w:space="0" w:color="auto"/>
              <w:right w:val="single" w:sz="2" w:space="0" w:color="auto"/>
            </w:tcBorders>
            <w:shd w:val="clear" w:color="auto" w:fill="D3D3D3"/>
            <w:vAlign w:val="center"/>
          </w:tcPr>
          <w:p w14:paraId="5E38C409" w14:textId="77777777" w:rsidR="007B3DB2" w:rsidRPr="0063248C" w:rsidRDefault="00000000">
            <w:pPr>
              <w:spacing w:before="40" w:after="40" w:line="240" w:lineRule="exact"/>
              <w:jc w:val="center"/>
              <w:rPr>
                <w:rFonts w:cs="宋体"/>
                <w:sz w:val="18"/>
                <w:szCs w:val="18"/>
              </w:rPr>
            </w:pPr>
            <w:r w:rsidRPr="0063248C">
              <w:rPr>
                <w:rFonts w:cs="宋体"/>
                <w:sz w:val="18"/>
                <w:szCs w:val="18"/>
              </w:rPr>
              <w:t>受限情况</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42C56DA1"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2B0B8398"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539" w:type="dxa"/>
            <w:tcBorders>
              <w:top w:val="single" w:sz="2" w:space="0" w:color="auto"/>
              <w:left w:val="single" w:sz="2" w:space="0" w:color="auto"/>
              <w:bottom w:val="single" w:sz="2" w:space="0" w:color="auto"/>
              <w:right w:val="single" w:sz="2" w:space="0" w:color="auto"/>
            </w:tcBorders>
            <w:shd w:val="clear" w:color="auto" w:fill="D3D3D3"/>
            <w:vAlign w:val="center"/>
          </w:tcPr>
          <w:p w14:paraId="73C42A58" w14:textId="77777777" w:rsidR="007B3DB2" w:rsidRPr="0063248C" w:rsidRDefault="00000000">
            <w:pPr>
              <w:spacing w:before="40" w:after="40" w:line="240" w:lineRule="exact"/>
              <w:jc w:val="center"/>
              <w:rPr>
                <w:rFonts w:cs="宋体"/>
                <w:sz w:val="18"/>
                <w:szCs w:val="18"/>
              </w:rPr>
            </w:pPr>
            <w:r w:rsidRPr="0063248C">
              <w:rPr>
                <w:rFonts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79960CA" w14:textId="77777777" w:rsidR="007B3DB2" w:rsidRPr="0063248C" w:rsidRDefault="00000000">
            <w:pPr>
              <w:spacing w:before="40" w:after="40" w:line="240" w:lineRule="exact"/>
              <w:jc w:val="center"/>
              <w:rPr>
                <w:rFonts w:cs="宋体"/>
                <w:sz w:val="18"/>
                <w:szCs w:val="18"/>
              </w:rPr>
            </w:pPr>
            <w:r w:rsidRPr="0063248C">
              <w:rPr>
                <w:rFonts w:cs="宋体"/>
                <w:sz w:val="18"/>
                <w:szCs w:val="18"/>
              </w:rPr>
              <w:t>受限情况</w:t>
            </w:r>
          </w:p>
        </w:tc>
      </w:tr>
      <w:tr w:rsidR="007B3DB2" w:rsidRPr="0063248C" w14:paraId="590E2C1B" w14:textId="77777777" w:rsidTr="00760A54">
        <w:trPr>
          <w:trHeight w:val="240"/>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71A096A8" w14:textId="77777777" w:rsidR="007B3DB2" w:rsidRPr="0063248C" w:rsidRDefault="00000000">
            <w:pPr>
              <w:spacing w:before="40" w:after="40" w:line="240" w:lineRule="exact"/>
              <w:rPr>
                <w:rFonts w:cs="宋体"/>
                <w:sz w:val="18"/>
                <w:szCs w:val="18"/>
              </w:rPr>
            </w:pPr>
            <w:r w:rsidRPr="0063248C">
              <w:rPr>
                <w:rFonts w:cs="宋体"/>
                <w:sz w:val="18"/>
                <w:szCs w:val="18"/>
              </w:rPr>
              <w:t>货币资金</w:t>
            </w:r>
          </w:p>
        </w:tc>
        <w:tc>
          <w:tcPr>
            <w:tcW w:w="1275" w:type="dxa"/>
            <w:tcBorders>
              <w:top w:val="single" w:sz="2" w:space="0" w:color="auto"/>
              <w:left w:val="single" w:sz="2" w:space="0" w:color="auto"/>
              <w:bottom w:val="single" w:sz="2" w:space="0" w:color="auto"/>
              <w:right w:val="single" w:sz="2" w:space="0" w:color="auto"/>
            </w:tcBorders>
            <w:vAlign w:val="center"/>
          </w:tcPr>
          <w:p w14:paraId="38C0914F" w14:textId="77777777" w:rsidR="007B3DB2" w:rsidRPr="0063248C" w:rsidRDefault="00000000">
            <w:pPr>
              <w:spacing w:line="240" w:lineRule="exact"/>
              <w:jc w:val="right"/>
              <w:rPr>
                <w:rFonts w:cs="宋体"/>
                <w:sz w:val="18"/>
                <w:szCs w:val="18"/>
              </w:rPr>
            </w:pPr>
            <w:r w:rsidRPr="0063248C">
              <w:rPr>
                <w:rFonts w:cs="宋体"/>
                <w:sz w:val="18"/>
                <w:szCs w:val="18"/>
              </w:rPr>
              <w:t>355,030,160.05</w:t>
            </w:r>
          </w:p>
        </w:tc>
        <w:tc>
          <w:tcPr>
            <w:tcW w:w="1560" w:type="dxa"/>
            <w:tcBorders>
              <w:top w:val="single" w:sz="2" w:space="0" w:color="auto"/>
              <w:left w:val="single" w:sz="2" w:space="0" w:color="auto"/>
              <w:bottom w:val="single" w:sz="2" w:space="0" w:color="auto"/>
              <w:right w:val="single" w:sz="2" w:space="0" w:color="auto"/>
            </w:tcBorders>
            <w:vAlign w:val="center"/>
          </w:tcPr>
          <w:p w14:paraId="4E935B4A" w14:textId="77777777" w:rsidR="007B3DB2" w:rsidRPr="0063248C" w:rsidRDefault="00000000">
            <w:pPr>
              <w:spacing w:line="240" w:lineRule="exact"/>
              <w:jc w:val="right"/>
              <w:rPr>
                <w:rFonts w:cs="宋体"/>
                <w:sz w:val="18"/>
                <w:szCs w:val="18"/>
              </w:rPr>
            </w:pPr>
            <w:r w:rsidRPr="0063248C">
              <w:rPr>
                <w:rFonts w:cs="宋体"/>
                <w:sz w:val="18"/>
                <w:szCs w:val="18"/>
              </w:rPr>
              <w:t>355,030,160.05</w:t>
            </w:r>
          </w:p>
        </w:tc>
        <w:tc>
          <w:tcPr>
            <w:tcW w:w="507" w:type="dxa"/>
            <w:tcBorders>
              <w:top w:val="single" w:sz="2" w:space="0" w:color="auto"/>
              <w:left w:val="single" w:sz="2" w:space="0" w:color="auto"/>
              <w:bottom w:val="single" w:sz="2" w:space="0" w:color="auto"/>
              <w:right w:val="single" w:sz="2" w:space="0" w:color="auto"/>
            </w:tcBorders>
            <w:vAlign w:val="center"/>
          </w:tcPr>
          <w:p w14:paraId="06220CB0" w14:textId="77777777" w:rsidR="007B3DB2" w:rsidRPr="0063248C" w:rsidRDefault="00000000">
            <w:pPr>
              <w:spacing w:line="240" w:lineRule="exact"/>
              <w:rPr>
                <w:rFonts w:cs="宋体"/>
                <w:sz w:val="18"/>
                <w:szCs w:val="18"/>
              </w:rPr>
            </w:pPr>
            <w:r w:rsidRPr="0063248C">
              <w:rPr>
                <w:rFonts w:cs="宋体"/>
                <w:sz w:val="18"/>
                <w:szCs w:val="18"/>
              </w:rPr>
              <w:t>保证金</w:t>
            </w:r>
          </w:p>
        </w:tc>
        <w:tc>
          <w:tcPr>
            <w:tcW w:w="910" w:type="dxa"/>
            <w:tcBorders>
              <w:top w:val="single" w:sz="2" w:space="0" w:color="auto"/>
              <w:left w:val="single" w:sz="2" w:space="0" w:color="auto"/>
              <w:bottom w:val="single" w:sz="2" w:space="0" w:color="auto"/>
              <w:right w:val="single" w:sz="2" w:space="0" w:color="auto"/>
            </w:tcBorders>
            <w:vAlign w:val="center"/>
          </w:tcPr>
          <w:p w14:paraId="634D7781" w14:textId="77777777" w:rsidR="007B3DB2" w:rsidRPr="0063248C" w:rsidRDefault="00000000">
            <w:pPr>
              <w:spacing w:line="240" w:lineRule="exact"/>
              <w:rPr>
                <w:rFonts w:cs="宋体"/>
                <w:sz w:val="18"/>
                <w:szCs w:val="18"/>
              </w:rPr>
            </w:pPr>
            <w:r w:rsidRPr="0063248C">
              <w:rPr>
                <w:rFonts w:cs="宋体"/>
                <w:sz w:val="18"/>
                <w:szCs w:val="18"/>
              </w:rPr>
              <w:t>汇票及信用证保证金等</w:t>
            </w:r>
          </w:p>
        </w:tc>
        <w:tc>
          <w:tcPr>
            <w:tcW w:w="1418" w:type="dxa"/>
            <w:tcBorders>
              <w:top w:val="single" w:sz="2" w:space="0" w:color="auto"/>
              <w:left w:val="single" w:sz="2" w:space="0" w:color="auto"/>
              <w:bottom w:val="single" w:sz="2" w:space="0" w:color="auto"/>
              <w:right w:val="single" w:sz="2" w:space="0" w:color="auto"/>
            </w:tcBorders>
            <w:vAlign w:val="center"/>
          </w:tcPr>
          <w:p w14:paraId="2DEE7937" w14:textId="77777777" w:rsidR="007B3DB2" w:rsidRPr="0063248C" w:rsidRDefault="00000000">
            <w:pPr>
              <w:spacing w:line="240" w:lineRule="exact"/>
              <w:jc w:val="right"/>
              <w:rPr>
                <w:rFonts w:cs="宋体"/>
                <w:sz w:val="18"/>
                <w:szCs w:val="18"/>
              </w:rPr>
            </w:pPr>
            <w:r w:rsidRPr="0063248C">
              <w:rPr>
                <w:rFonts w:cs="宋体"/>
                <w:sz w:val="18"/>
                <w:szCs w:val="18"/>
              </w:rPr>
              <w:t>489,257,520.12</w:t>
            </w:r>
          </w:p>
        </w:tc>
        <w:tc>
          <w:tcPr>
            <w:tcW w:w="1417" w:type="dxa"/>
            <w:tcBorders>
              <w:top w:val="single" w:sz="2" w:space="0" w:color="auto"/>
              <w:left w:val="single" w:sz="2" w:space="0" w:color="auto"/>
              <w:bottom w:val="single" w:sz="2" w:space="0" w:color="auto"/>
              <w:right w:val="single" w:sz="2" w:space="0" w:color="auto"/>
            </w:tcBorders>
            <w:vAlign w:val="center"/>
          </w:tcPr>
          <w:p w14:paraId="30ACF54B" w14:textId="77777777" w:rsidR="007B3DB2" w:rsidRPr="0063248C" w:rsidRDefault="00000000">
            <w:pPr>
              <w:spacing w:line="240" w:lineRule="exact"/>
              <w:jc w:val="right"/>
              <w:rPr>
                <w:rFonts w:cs="宋体"/>
                <w:sz w:val="18"/>
                <w:szCs w:val="18"/>
              </w:rPr>
            </w:pPr>
            <w:r w:rsidRPr="0063248C">
              <w:rPr>
                <w:rFonts w:cs="宋体"/>
                <w:sz w:val="18"/>
                <w:szCs w:val="18"/>
              </w:rPr>
              <w:t>489,257,520.12</w:t>
            </w:r>
          </w:p>
        </w:tc>
        <w:tc>
          <w:tcPr>
            <w:tcW w:w="539" w:type="dxa"/>
            <w:tcBorders>
              <w:top w:val="single" w:sz="2" w:space="0" w:color="auto"/>
              <w:left w:val="single" w:sz="2" w:space="0" w:color="auto"/>
              <w:bottom w:val="single" w:sz="2" w:space="0" w:color="auto"/>
              <w:right w:val="single" w:sz="2" w:space="0" w:color="auto"/>
            </w:tcBorders>
            <w:vAlign w:val="center"/>
          </w:tcPr>
          <w:p w14:paraId="764B0E91" w14:textId="77777777" w:rsidR="007B3DB2" w:rsidRPr="0063248C" w:rsidRDefault="00000000">
            <w:pPr>
              <w:spacing w:line="240" w:lineRule="exact"/>
              <w:rPr>
                <w:rFonts w:cs="宋体"/>
                <w:sz w:val="18"/>
                <w:szCs w:val="18"/>
              </w:rPr>
            </w:pPr>
            <w:r w:rsidRPr="0063248C">
              <w:rPr>
                <w:rFonts w:cs="宋体"/>
                <w:sz w:val="18"/>
                <w:szCs w:val="18"/>
              </w:rPr>
              <w:t>保证金</w:t>
            </w:r>
          </w:p>
        </w:tc>
        <w:tc>
          <w:tcPr>
            <w:tcW w:w="1071" w:type="dxa"/>
            <w:tcBorders>
              <w:top w:val="single" w:sz="2" w:space="0" w:color="auto"/>
              <w:left w:val="single" w:sz="2" w:space="0" w:color="auto"/>
              <w:bottom w:val="single" w:sz="2" w:space="0" w:color="auto"/>
              <w:right w:val="single" w:sz="2" w:space="0" w:color="auto"/>
            </w:tcBorders>
            <w:vAlign w:val="center"/>
          </w:tcPr>
          <w:p w14:paraId="387AC617" w14:textId="77777777" w:rsidR="007B3DB2" w:rsidRPr="0063248C" w:rsidRDefault="00000000">
            <w:pPr>
              <w:spacing w:line="240" w:lineRule="exact"/>
              <w:rPr>
                <w:rFonts w:cs="宋体"/>
                <w:sz w:val="18"/>
                <w:szCs w:val="18"/>
              </w:rPr>
            </w:pPr>
            <w:r w:rsidRPr="0063248C">
              <w:rPr>
                <w:rFonts w:cs="宋体"/>
                <w:sz w:val="18"/>
                <w:szCs w:val="18"/>
              </w:rPr>
              <w:t>汇票及信用证保证金等</w:t>
            </w:r>
          </w:p>
        </w:tc>
      </w:tr>
      <w:tr w:rsidR="007B3DB2" w:rsidRPr="0063248C" w14:paraId="66B14230" w14:textId="77777777" w:rsidTr="00760A54">
        <w:trPr>
          <w:trHeight w:val="240"/>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0FBEFA27" w14:textId="77777777" w:rsidR="007B3DB2" w:rsidRPr="0063248C" w:rsidRDefault="00000000">
            <w:pPr>
              <w:spacing w:before="40" w:after="40" w:line="240" w:lineRule="exact"/>
              <w:rPr>
                <w:rFonts w:cs="宋体"/>
                <w:sz w:val="18"/>
                <w:szCs w:val="18"/>
              </w:rPr>
            </w:pPr>
            <w:r w:rsidRPr="0063248C">
              <w:rPr>
                <w:rFonts w:cs="宋体"/>
                <w:sz w:val="18"/>
                <w:szCs w:val="18"/>
              </w:rPr>
              <w:t>固定资产</w:t>
            </w:r>
          </w:p>
        </w:tc>
        <w:tc>
          <w:tcPr>
            <w:tcW w:w="1275" w:type="dxa"/>
            <w:tcBorders>
              <w:top w:val="single" w:sz="2" w:space="0" w:color="auto"/>
              <w:left w:val="single" w:sz="2" w:space="0" w:color="auto"/>
              <w:bottom w:val="single" w:sz="2" w:space="0" w:color="auto"/>
              <w:right w:val="single" w:sz="2" w:space="0" w:color="auto"/>
            </w:tcBorders>
            <w:vAlign w:val="center"/>
          </w:tcPr>
          <w:p w14:paraId="2C8F64B0" w14:textId="77777777" w:rsidR="007B3DB2" w:rsidRPr="0063248C" w:rsidRDefault="00000000">
            <w:pPr>
              <w:spacing w:line="240" w:lineRule="exact"/>
              <w:jc w:val="right"/>
              <w:rPr>
                <w:rFonts w:cs="宋体"/>
                <w:sz w:val="18"/>
                <w:szCs w:val="18"/>
              </w:rPr>
            </w:pPr>
            <w:r w:rsidRPr="0063248C">
              <w:rPr>
                <w:rFonts w:cs="宋体"/>
                <w:sz w:val="18"/>
                <w:szCs w:val="18"/>
              </w:rPr>
              <w:t>386,705,399.58</w:t>
            </w:r>
          </w:p>
        </w:tc>
        <w:tc>
          <w:tcPr>
            <w:tcW w:w="1560" w:type="dxa"/>
            <w:tcBorders>
              <w:top w:val="single" w:sz="2" w:space="0" w:color="auto"/>
              <w:left w:val="single" w:sz="2" w:space="0" w:color="auto"/>
              <w:bottom w:val="single" w:sz="2" w:space="0" w:color="auto"/>
              <w:right w:val="single" w:sz="2" w:space="0" w:color="auto"/>
            </w:tcBorders>
            <w:vAlign w:val="center"/>
          </w:tcPr>
          <w:p w14:paraId="14168876" w14:textId="77777777" w:rsidR="007B3DB2" w:rsidRPr="0063248C" w:rsidRDefault="00000000">
            <w:pPr>
              <w:spacing w:line="240" w:lineRule="exact"/>
              <w:jc w:val="right"/>
              <w:rPr>
                <w:rFonts w:cs="宋体"/>
                <w:sz w:val="18"/>
                <w:szCs w:val="18"/>
              </w:rPr>
            </w:pPr>
            <w:r w:rsidRPr="0063248C">
              <w:rPr>
                <w:rFonts w:cs="宋体"/>
                <w:sz w:val="18"/>
                <w:szCs w:val="18"/>
              </w:rPr>
              <w:t>386,705,399.58</w:t>
            </w:r>
          </w:p>
        </w:tc>
        <w:tc>
          <w:tcPr>
            <w:tcW w:w="507" w:type="dxa"/>
            <w:tcBorders>
              <w:top w:val="single" w:sz="2" w:space="0" w:color="auto"/>
              <w:left w:val="single" w:sz="2" w:space="0" w:color="auto"/>
              <w:bottom w:val="single" w:sz="2" w:space="0" w:color="auto"/>
              <w:right w:val="single" w:sz="2" w:space="0" w:color="auto"/>
            </w:tcBorders>
            <w:vAlign w:val="center"/>
          </w:tcPr>
          <w:p w14:paraId="3F7DC626" w14:textId="77777777" w:rsidR="007B3DB2" w:rsidRPr="0063248C" w:rsidRDefault="00000000">
            <w:pPr>
              <w:spacing w:line="240" w:lineRule="exact"/>
              <w:rPr>
                <w:rFonts w:cs="宋体"/>
                <w:sz w:val="18"/>
                <w:szCs w:val="18"/>
              </w:rPr>
            </w:pPr>
            <w:r w:rsidRPr="0063248C">
              <w:rPr>
                <w:rFonts w:cs="宋体"/>
                <w:sz w:val="18"/>
                <w:szCs w:val="18"/>
              </w:rPr>
              <w:t>抵押</w:t>
            </w:r>
          </w:p>
        </w:tc>
        <w:tc>
          <w:tcPr>
            <w:tcW w:w="910" w:type="dxa"/>
            <w:tcBorders>
              <w:top w:val="single" w:sz="2" w:space="0" w:color="auto"/>
              <w:left w:val="single" w:sz="2" w:space="0" w:color="auto"/>
              <w:bottom w:val="single" w:sz="2" w:space="0" w:color="auto"/>
              <w:right w:val="single" w:sz="2" w:space="0" w:color="auto"/>
            </w:tcBorders>
            <w:vAlign w:val="center"/>
          </w:tcPr>
          <w:p w14:paraId="57276AE2" w14:textId="77777777" w:rsidR="007B3DB2" w:rsidRPr="0063248C" w:rsidRDefault="00000000">
            <w:pPr>
              <w:spacing w:line="240" w:lineRule="exact"/>
              <w:rPr>
                <w:rFonts w:cs="宋体"/>
                <w:sz w:val="18"/>
                <w:szCs w:val="18"/>
              </w:rPr>
            </w:pPr>
            <w:r w:rsidRPr="0063248C">
              <w:rPr>
                <w:rFonts w:cs="宋体"/>
                <w:sz w:val="18"/>
                <w:szCs w:val="18"/>
              </w:rPr>
              <w:t>借款抵押</w:t>
            </w:r>
          </w:p>
        </w:tc>
        <w:tc>
          <w:tcPr>
            <w:tcW w:w="1418" w:type="dxa"/>
            <w:tcBorders>
              <w:top w:val="single" w:sz="2" w:space="0" w:color="auto"/>
              <w:left w:val="single" w:sz="2" w:space="0" w:color="auto"/>
              <w:bottom w:val="single" w:sz="2" w:space="0" w:color="auto"/>
              <w:right w:val="single" w:sz="2" w:space="0" w:color="auto"/>
            </w:tcBorders>
            <w:vAlign w:val="center"/>
          </w:tcPr>
          <w:p w14:paraId="1E3C3A18" w14:textId="77777777" w:rsidR="007B3DB2" w:rsidRPr="0063248C" w:rsidRDefault="00000000">
            <w:pPr>
              <w:spacing w:line="240" w:lineRule="exact"/>
              <w:jc w:val="right"/>
              <w:rPr>
                <w:rFonts w:cs="宋体"/>
                <w:sz w:val="18"/>
                <w:szCs w:val="18"/>
              </w:rPr>
            </w:pPr>
            <w:r w:rsidRPr="0063248C">
              <w:rPr>
                <w:rFonts w:cs="宋体"/>
                <w:sz w:val="18"/>
                <w:szCs w:val="18"/>
              </w:rPr>
              <w:t>397,921,345.71</w:t>
            </w:r>
          </w:p>
        </w:tc>
        <w:tc>
          <w:tcPr>
            <w:tcW w:w="1417" w:type="dxa"/>
            <w:tcBorders>
              <w:top w:val="single" w:sz="2" w:space="0" w:color="auto"/>
              <w:left w:val="single" w:sz="2" w:space="0" w:color="auto"/>
              <w:bottom w:val="single" w:sz="2" w:space="0" w:color="auto"/>
              <w:right w:val="single" w:sz="2" w:space="0" w:color="auto"/>
            </w:tcBorders>
            <w:vAlign w:val="center"/>
          </w:tcPr>
          <w:p w14:paraId="078D63F8" w14:textId="77777777" w:rsidR="007B3DB2" w:rsidRPr="0063248C" w:rsidRDefault="00000000">
            <w:pPr>
              <w:spacing w:line="240" w:lineRule="exact"/>
              <w:jc w:val="right"/>
              <w:rPr>
                <w:rFonts w:cs="宋体"/>
                <w:sz w:val="18"/>
                <w:szCs w:val="18"/>
              </w:rPr>
            </w:pPr>
            <w:r w:rsidRPr="0063248C">
              <w:rPr>
                <w:rFonts w:cs="宋体"/>
                <w:sz w:val="18"/>
                <w:szCs w:val="18"/>
              </w:rPr>
              <w:t>397,921,345.71</w:t>
            </w:r>
          </w:p>
        </w:tc>
        <w:tc>
          <w:tcPr>
            <w:tcW w:w="539" w:type="dxa"/>
            <w:tcBorders>
              <w:top w:val="single" w:sz="2" w:space="0" w:color="auto"/>
              <w:left w:val="single" w:sz="2" w:space="0" w:color="auto"/>
              <w:bottom w:val="single" w:sz="2" w:space="0" w:color="auto"/>
              <w:right w:val="single" w:sz="2" w:space="0" w:color="auto"/>
            </w:tcBorders>
            <w:vAlign w:val="center"/>
          </w:tcPr>
          <w:p w14:paraId="5640CBE0" w14:textId="77777777" w:rsidR="007B3DB2" w:rsidRPr="0063248C" w:rsidRDefault="00000000">
            <w:pPr>
              <w:spacing w:line="240" w:lineRule="exact"/>
              <w:rPr>
                <w:rFonts w:cs="宋体"/>
                <w:sz w:val="18"/>
                <w:szCs w:val="18"/>
              </w:rPr>
            </w:pPr>
            <w:r w:rsidRPr="0063248C">
              <w:rPr>
                <w:rFonts w:cs="宋体"/>
                <w:sz w:val="18"/>
                <w:szCs w:val="18"/>
              </w:rPr>
              <w:t>抵押</w:t>
            </w:r>
          </w:p>
        </w:tc>
        <w:tc>
          <w:tcPr>
            <w:tcW w:w="1071" w:type="dxa"/>
            <w:tcBorders>
              <w:top w:val="single" w:sz="2" w:space="0" w:color="auto"/>
              <w:left w:val="single" w:sz="2" w:space="0" w:color="auto"/>
              <w:bottom w:val="single" w:sz="2" w:space="0" w:color="auto"/>
              <w:right w:val="single" w:sz="2" w:space="0" w:color="auto"/>
            </w:tcBorders>
            <w:vAlign w:val="center"/>
          </w:tcPr>
          <w:p w14:paraId="0EDA45B7" w14:textId="77777777" w:rsidR="007B3DB2" w:rsidRPr="0063248C" w:rsidRDefault="00000000">
            <w:pPr>
              <w:spacing w:line="240" w:lineRule="exact"/>
              <w:rPr>
                <w:rFonts w:cs="宋体"/>
                <w:sz w:val="18"/>
                <w:szCs w:val="18"/>
              </w:rPr>
            </w:pPr>
            <w:r w:rsidRPr="0063248C">
              <w:rPr>
                <w:rFonts w:cs="宋体"/>
                <w:sz w:val="18"/>
                <w:szCs w:val="18"/>
              </w:rPr>
              <w:t>借款抵押</w:t>
            </w:r>
          </w:p>
        </w:tc>
      </w:tr>
      <w:tr w:rsidR="007B3DB2" w:rsidRPr="0063248C" w14:paraId="75EFB984" w14:textId="77777777" w:rsidTr="00760A54">
        <w:trPr>
          <w:trHeight w:val="240"/>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39451AEE" w14:textId="77777777" w:rsidR="007B3DB2" w:rsidRPr="0063248C" w:rsidRDefault="00000000">
            <w:pPr>
              <w:spacing w:before="40" w:after="40" w:line="240" w:lineRule="exact"/>
              <w:rPr>
                <w:rFonts w:cs="宋体"/>
                <w:sz w:val="18"/>
                <w:szCs w:val="18"/>
              </w:rPr>
            </w:pPr>
            <w:r w:rsidRPr="0063248C">
              <w:rPr>
                <w:rFonts w:cs="宋体"/>
                <w:sz w:val="18"/>
                <w:szCs w:val="18"/>
              </w:rPr>
              <w:t>无形资产</w:t>
            </w:r>
          </w:p>
        </w:tc>
        <w:tc>
          <w:tcPr>
            <w:tcW w:w="1275" w:type="dxa"/>
            <w:tcBorders>
              <w:top w:val="single" w:sz="2" w:space="0" w:color="auto"/>
              <w:left w:val="single" w:sz="2" w:space="0" w:color="auto"/>
              <w:bottom w:val="single" w:sz="2" w:space="0" w:color="auto"/>
              <w:right w:val="single" w:sz="2" w:space="0" w:color="auto"/>
            </w:tcBorders>
            <w:vAlign w:val="center"/>
          </w:tcPr>
          <w:p w14:paraId="2B270117" w14:textId="77777777" w:rsidR="007B3DB2" w:rsidRPr="0063248C" w:rsidRDefault="00000000">
            <w:pPr>
              <w:spacing w:line="240" w:lineRule="exact"/>
              <w:jc w:val="right"/>
              <w:rPr>
                <w:rFonts w:cs="宋体"/>
                <w:sz w:val="18"/>
                <w:szCs w:val="18"/>
              </w:rPr>
            </w:pPr>
            <w:r w:rsidRPr="0063248C">
              <w:rPr>
                <w:rFonts w:cs="宋体"/>
                <w:sz w:val="18"/>
                <w:szCs w:val="18"/>
              </w:rPr>
              <w:t>44,404,765.14</w:t>
            </w:r>
          </w:p>
        </w:tc>
        <w:tc>
          <w:tcPr>
            <w:tcW w:w="1560" w:type="dxa"/>
            <w:tcBorders>
              <w:top w:val="single" w:sz="2" w:space="0" w:color="auto"/>
              <w:left w:val="single" w:sz="2" w:space="0" w:color="auto"/>
              <w:bottom w:val="single" w:sz="2" w:space="0" w:color="auto"/>
              <w:right w:val="single" w:sz="2" w:space="0" w:color="auto"/>
            </w:tcBorders>
            <w:vAlign w:val="center"/>
          </w:tcPr>
          <w:p w14:paraId="1261A706" w14:textId="77777777" w:rsidR="007B3DB2" w:rsidRPr="0063248C" w:rsidRDefault="00000000">
            <w:pPr>
              <w:spacing w:line="240" w:lineRule="exact"/>
              <w:jc w:val="right"/>
              <w:rPr>
                <w:rFonts w:cs="宋体"/>
                <w:sz w:val="18"/>
                <w:szCs w:val="18"/>
              </w:rPr>
            </w:pPr>
            <w:r w:rsidRPr="0063248C">
              <w:rPr>
                <w:rFonts w:cs="宋体"/>
                <w:sz w:val="18"/>
                <w:szCs w:val="18"/>
              </w:rPr>
              <w:t>44,404,765.14</w:t>
            </w:r>
          </w:p>
        </w:tc>
        <w:tc>
          <w:tcPr>
            <w:tcW w:w="507" w:type="dxa"/>
            <w:tcBorders>
              <w:top w:val="single" w:sz="2" w:space="0" w:color="auto"/>
              <w:left w:val="single" w:sz="2" w:space="0" w:color="auto"/>
              <w:bottom w:val="single" w:sz="2" w:space="0" w:color="auto"/>
              <w:right w:val="single" w:sz="2" w:space="0" w:color="auto"/>
            </w:tcBorders>
            <w:vAlign w:val="center"/>
          </w:tcPr>
          <w:p w14:paraId="47515896" w14:textId="77777777" w:rsidR="007B3DB2" w:rsidRPr="0063248C" w:rsidRDefault="00000000">
            <w:pPr>
              <w:spacing w:line="240" w:lineRule="exact"/>
              <w:rPr>
                <w:rFonts w:cs="宋体"/>
                <w:sz w:val="18"/>
                <w:szCs w:val="18"/>
              </w:rPr>
            </w:pPr>
            <w:r w:rsidRPr="0063248C">
              <w:rPr>
                <w:rFonts w:cs="宋体"/>
                <w:sz w:val="18"/>
                <w:szCs w:val="18"/>
              </w:rPr>
              <w:t>抵押</w:t>
            </w:r>
          </w:p>
        </w:tc>
        <w:tc>
          <w:tcPr>
            <w:tcW w:w="910" w:type="dxa"/>
            <w:tcBorders>
              <w:top w:val="single" w:sz="2" w:space="0" w:color="auto"/>
              <w:left w:val="single" w:sz="2" w:space="0" w:color="auto"/>
              <w:bottom w:val="single" w:sz="2" w:space="0" w:color="auto"/>
              <w:right w:val="single" w:sz="2" w:space="0" w:color="auto"/>
            </w:tcBorders>
            <w:vAlign w:val="center"/>
          </w:tcPr>
          <w:p w14:paraId="16C0504E" w14:textId="77777777" w:rsidR="007B3DB2" w:rsidRPr="0063248C" w:rsidRDefault="00000000">
            <w:pPr>
              <w:spacing w:line="240" w:lineRule="exact"/>
              <w:rPr>
                <w:rFonts w:cs="宋体"/>
                <w:sz w:val="18"/>
                <w:szCs w:val="18"/>
              </w:rPr>
            </w:pPr>
            <w:r w:rsidRPr="0063248C">
              <w:rPr>
                <w:rFonts w:cs="宋体"/>
                <w:sz w:val="18"/>
                <w:szCs w:val="18"/>
              </w:rPr>
              <w:t>借款抵押</w:t>
            </w:r>
          </w:p>
        </w:tc>
        <w:tc>
          <w:tcPr>
            <w:tcW w:w="1418" w:type="dxa"/>
            <w:tcBorders>
              <w:top w:val="single" w:sz="2" w:space="0" w:color="auto"/>
              <w:left w:val="single" w:sz="2" w:space="0" w:color="auto"/>
              <w:bottom w:val="single" w:sz="2" w:space="0" w:color="auto"/>
              <w:right w:val="single" w:sz="2" w:space="0" w:color="auto"/>
            </w:tcBorders>
            <w:vAlign w:val="center"/>
          </w:tcPr>
          <w:p w14:paraId="6AD583B2" w14:textId="77777777" w:rsidR="007B3DB2" w:rsidRPr="0063248C" w:rsidRDefault="00000000">
            <w:pPr>
              <w:spacing w:line="240" w:lineRule="exact"/>
              <w:jc w:val="right"/>
              <w:rPr>
                <w:rFonts w:cs="宋体"/>
                <w:sz w:val="18"/>
                <w:szCs w:val="18"/>
              </w:rPr>
            </w:pPr>
            <w:r w:rsidRPr="0063248C">
              <w:rPr>
                <w:rFonts w:cs="宋体"/>
                <w:sz w:val="18"/>
                <w:szCs w:val="18"/>
              </w:rPr>
              <w:t>44,956,401.00</w:t>
            </w:r>
          </w:p>
        </w:tc>
        <w:tc>
          <w:tcPr>
            <w:tcW w:w="1417" w:type="dxa"/>
            <w:tcBorders>
              <w:top w:val="single" w:sz="2" w:space="0" w:color="auto"/>
              <w:left w:val="single" w:sz="2" w:space="0" w:color="auto"/>
              <w:bottom w:val="single" w:sz="2" w:space="0" w:color="auto"/>
              <w:right w:val="single" w:sz="2" w:space="0" w:color="auto"/>
            </w:tcBorders>
            <w:vAlign w:val="center"/>
          </w:tcPr>
          <w:p w14:paraId="1C2A28D2" w14:textId="77777777" w:rsidR="007B3DB2" w:rsidRPr="0063248C" w:rsidRDefault="00000000">
            <w:pPr>
              <w:spacing w:line="240" w:lineRule="exact"/>
              <w:jc w:val="right"/>
              <w:rPr>
                <w:rFonts w:cs="宋体"/>
                <w:sz w:val="18"/>
                <w:szCs w:val="18"/>
              </w:rPr>
            </w:pPr>
            <w:r w:rsidRPr="0063248C">
              <w:rPr>
                <w:rFonts w:cs="宋体"/>
                <w:sz w:val="18"/>
                <w:szCs w:val="18"/>
              </w:rPr>
              <w:t>44,956,401.00</w:t>
            </w:r>
          </w:p>
        </w:tc>
        <w:tc>
          <w:tcPr>
            <w:tcW w:w="539" w:type="dxa"/>
            <w:tcBorders>
              <w:top w:val="single" w:sz="2" w:space="0" w:color="auto"/>
              <w:left w:val="single" w:sz="2" w:space="0" w:color="auto"/>
              <w:bottom w:val="single" w:sz="2" w:space="0" w:color="auto"/>
              <w:right w:val="single" w:sz="2" w:space="0" w:color="auto"/>
            </w:tcBorders>
            <w:vAlign w:val="center"/>
          </w:tcPr>
          <w:p w14:paraId="186CBC29" w14:textId="77777777" w:rsidR="007B3DB2" w:rsidRPr="0063248C" w:rsidRDefault="00000000">
            <w:pPr>
              <w:spacing w:line="240" w:lineRule="exact"/>
              <w:rPr>
                <w:rFonts w:cs="宋体"/>
                <w:sz w:val="18"/>
                <w:szCs w:val="18"/>
              </w:rPr>
            </w:pPr>
            <w:r w:rsidRPr="0063248C">
              <w:rPr>
                <w:rFonts w:cs="宋体"/>
                <w:sz w:val="18"/>
                <w:szCs w:val="18"/>
              </w:rPr>
              <w:t>抵押</w:t>
            </w:r>
          </w:p>
        </w:tc>
        <w:tc>
          <w:tcPr>
            <w:tcW w:w="1071" w:type="dxa"/>
            <w:tcBorders>
              <w:top w:val="single" w:sz="2" w:space="0" w:color="auto"/>
              <w:left w:val="single" w:sz="2" w:space="0" w:color="auto"/>
              <w:bottom w:val="single" w:sz="2" w:space="0" w:color="auto"/>
              <w:right w:val="single" w:sz="2" w:space="0" w:color="auto"/>
            </w:tcBorders>
            <w:vAlign w:val="center"/>
          </w:tcPr>
          <w:p w14:paraId="1E7B2965" w14:textId="77777777" w:rsidR="007B3DB2" w:rsidRPr="0063248C" w:rsidRDefault="00000000">
            <w:pPr>
              <w:spacing w:line="240" w:lineRule="exact"/>
              <w:rPr>
                <w:rFonts w:cs="宋体"/>
                <w:sz w:val="18"/>
                <w:szCs w:val="18"/>
              </w:rPr>
            </w:pPr>
            <w:r w:rsidRPr="0063248C">
              <w:rPr>
                <w:rFonts w:cs="宋体"/>
                <w:sz w:val="18"/>
                <w:szCs w:val="18"/>
              </w:rPr>
              <w:t>借款抵押</w:t>
            </w:r>
          </w:p>
        </w:tc>
      </w:tr>
      <w:tr w:rsidR="007B3DB2" w:rsidRPr="0063248C" w14:paraId="47C2D9DC" w14:textId="77777777" w:rsidTr="00760A54">
        <w:trPr>
          <w:trHeight w:val="286"/>
        </w:trPr>
        <w:tc>
          <w:tcPr>
            <w:tcW w:w="942" w:type="dxa"/>
            <w:tcBorders>
              <w:top w:val="single" w:sz="2" w:space="0" w:color="auto"/>
              <w:left w:val="single" w:sz="2" w:space="0" w:color="auto"/>
              <w:bottom w:val="single" w:sz="2" w:space="0" w:color="auto"/>
              <w:right w:val="single" w:sz="2" w:space="0" w:color="auto"/>
            </w:tcBorders>
            <w:vAlign w:val="center"/>
          </w:tcPr>
          <w:p w14:paraId="08ACF524" w14:textId="77777777" w:rsidR="007B3DB2" w:rsidRPr="0063248C" w:rsidRDefault="00000000">
            <w:pPr>
              <w:spacing w:line="240" w:lineRule="exact"/>
              <w:rPr>
                <w:rFonts w:cs="宋体"/>
                <w:sz w:val="18"/>
                <w:szCs w:val="18"/>
              </w:rPr>
            </w:pPr>
            <w:r w:rsidRPr="0063248C">
              <w:rPr>
                <w:rFonts w:cs="宋体"/>
                <w:sz w:val="18"/>
                <w:szCs w:val="18"/>
              </w:rPr>
              <w:t>在建工程</w:t>
            </w:r>
          </w:p>
        </w:tc>
        <w:tc>
          <w:tcPr>
            <w:tcW w:w="1275" w:type="dxa"/>
            <w:tcBorders>
              <w:top w:val="single" w:sz="2" w:space="0" w:color="auto"/>
              <w:left w:val="single" w:sz="2" w:space="0" w:color="auto"/>
              <w:bottom w:val="single" w:sz="2" w:space="0" w:color="auto"/>
              <w:right w:val="single" w:sz="2" w:space="0" w:color="auto"/>
            </w:tcBorders>
            <w:vAlign w:val="center"/>
          </w:tcPr>
          <w:p w14:paraId="6E45270A" w14:textId="77777777" w:rsidR="007B3DB2" w:rsidRPr="0063248C" w:rsidRDefault="00000000">
            <w:pPr>
              <w:spacing w:line="240" w:lineRule="exact"/>
              <w:jc w:val="right"/>
              <w:rPr>
                <w:rFonts w:cs="宋体"/>
                <w:sz w:val="18"/>
                <w:szCs w:val="18"/>
              </w:rPr>
            </w:pPr>
            <w:r w:rsidRPr="0063248C">
              <w:rPr>
                <w:rFonts w:cs="宋体"/>
                <w:sz w:val="18"/>
                <w:szCs w:val="18"/>
              </w:rPr>
              <w:t>149,444,486.18</w:t>
            </w:r>
          </w:p>
        </w:tc>
        <w:tc>
          <w:tcPr>
            <w:tcW w:w="1560" w:type="dxa"/>
            <w:tcBorders>
              <w:top w:val="single" w:sz="2" w:space="0" w:color="auto"/>
              <w:left w:val="single" w:sz="2" w:space="0" w:color="auto"/>
              <w:bottom w:val="single" w:sz="2" w:space="0" w:color="auto"/>
              <w:right w:val="single" w:sz="2" w:space="0" w:color="auto"/>
            </w:tcBorders>
            <w:vAlign w:val="center"/>
          </w:tcPr>
          <w:p w14:paraId="6DF796FA" w14:textId="77777777" w:rsidR="007B3DB2" w:rsidRPr="0063248C" w:rsidRDefault="00000000">
            <w:pPr>
              <w:spacing w:line="240" w:lineRule="exact"/>
              <w:jc w:val="right"/>
              <w:rPr>
                <w:rFonts w:cs="宋体"/>
                <w:sz w:val="18"/>
                <w:szCs w:val="18"/>
              </w:rPr>
            </w:pPr>
            <w:r w:rsidRPr="0063248C">
              <w:rPr>
                <w:rFonts w:cs="宋体"/>
                <w:sz w:val="18"/>
                <w:szCs w:val="18"/>
              </w:rPr>
              <w:t>149,444,486.18</w:t>
            </w:r>
          </w:p>
        </w:tc>
        <w:tc>
          <w:tcPr>
            <w:tcW w:w="507" w:type="dxa"/>
            <w:tcBorders>
              <w:top w:val="single" w:sz="2" w:space="0" w:color="auto"/>
              <w:left w:val="single" w:sz="2" w:space="0" w:color="auto"/>
              <w:bottom w:val="single" w:sz="2" w:space="0" w:color="auto"/>
              <w:right w:val="single" w:sz="2" w:space="0" w:color="auto"/>
            </w:tcBorders>
            <w:vAlign w:val="center"/>
          </w:tcPr>
          <w:p w14:paraId="4E67E7D6" w14:textId="77777777" w:rsidR="007B3DB2" w:rsidRPr="0063248C" w:rsidRDefault="00000000">
            <w:pPr>
              <w:spacing w:line="240" w:lineRule="exact"/>
              <w:rPr>
                <w:rFonts w:cs="宋体"/>
                <w:sz w:val="18"/>
                <w:szCs w:val="18"/>
              </w:rPr>
            </w:pPr>
            <w:r w:rsidRPr="0063248C">
              <w:rPr>
                <w:rFonts w:cs="宋体"/>
                <w:sz w:val="18"/>
                <w:szCs w:val="18"/>
              </w:rPr>
              <w:t>抵押</w:t>
            </w:r>
          </w:p>
        </w:tc>
        <w:tc>
          <w:tcPr>
            <w:tcW w:w="910" w:type="dxa"/>
            <w:tcBorders>
              <w:top w:val="single" w:sz="2" w:space="0" w:color="auto"/>
              <w:left w:val="single" w:sz="2" w:space="0" w:color="auto"/>
              <w:bottom w:val="single" w:sz="2" w:space="0" w:color="auto"/>
              <w:right w:val="single" w:sz="2" w:space="0" w:color="auto"/>
            </w:tcBorders>
            <w:vAlign w:val="center"/>
          </w:tcPr>
          <w:p w14:paraId="0335CFB1" w14:textId="77777777" w:rsidR="007B3DB2" w:rsidRPr="0063248C" w:rsidRDefault="00000000">
            <w:pPr>
              <w:spacing w:line="240" w:lineRule="exact"/>
              <w:rPr>
                <w:rFonts w:cs="宋体"/>
                <w:sz w:val="18"/>
                <w:szCs w:val="18"/>
              </w:rPr>
            </w:pPr>
            <w:r w:rsidRPr="0063248C">
              <w:rPr>
                <w:rFonts w:cs="宋体"/>
                <w:sz w:val="18"/>
                <w:szCs w:val="18"/>
              </w:rPr>
              <w:t>借款抵押</w:t>
            </w:r>
          </w:p>
        </w:tc>
        <w:tc>
          <w:tcPr>
            <w:tcW w:w="1418" w:type="dxa"/>
            <w:tcBorders>
              <w:top w:val="single" w:sz="2" w:space="0" w:color="auto"/>
              <w:left w:val="single" w:sz="2" w:space="0" w:color="auto"/>
              <w:bottom w:val="single" w:sz="2" w:space="0" w:color="auto"/>
              <w:right w:val="single" w:sz="2" w:space="0" w:color="auto"/>
            </w:tcBorders>
            <w:vAlign w:val="center"/>
          </w:tcPr>
          <w:p w14:paraId="426D6FB3" w14:textId="77777777" w:rsidR="007B3DB2" w:rsidRPr="0063248C" w:rsidRDefault="00000000">
            <w:pPr>
              <w:spacing w:line="240" w:lineRule="exact"/>
              <w:jc w:val="right"/>
              <w:rPr>
                <w:rFonts w:cs="宋体"/>
                <w:sz w:val="18"/>
                <w:szCs w:val="18"/>
              </w:rPr>
            </w:pPr>
            <w:r w:rsidRPr="0063248C">
              <w:rPr>
                <w:rFonts w:cs="宋体"/>
                <w:sz w:val="18"/>
                <w:szCs w:val="18"/>
              </w:rPr>
              <w:t>117,578,983.61</w:t>
            </w:r>
          </w:p>
        </w:tc>
        <w:tc>
          <w:tcPr>
            <w:tcW w:w="1417" w:type="dxa"/>
            <w:tcBorders>
              <w:top w:val="single" w:sz="2" w:space="0" w:color="auto"/>
              <w:left w:val="single" w:sz="2" w:space="0" w:color="auto"/>
              <w:bottom w:val="single" w:sz="2" w:space="0" w:color="auto"/>
              <w:right w:val="single" w:sz="2" w:space="0" w:color="auto"/>
            </w:tcBorders>
            <w:vAlign w:val="center"/>
          </w:tcPr>
          <w:p w14:paraId="7B62FAEC" w14:textId="77777777" w:rsidR="007B3DB2" w:rsidRPr="0063248C" w:rsidRDefault="00000000">
            <w:pPr>
              <w:spacing w:line="240" w:lineRule="exact"/>
              <w:jc w:val="right"/>
              <w:rPr>
                <w:rFonts w:cs="宋体"/>
                <w:sz w:val="18"/>
                <w:szCs w:val="18"/>
              </w:rPr>
            </w:pPr>
            <w:r w:rsidRPr="0063248C">
              <w:rPr>
                <w:rFonts w:cs="宋体"/>
                <w:sz w:val="18"/>
                <w:szCs w:val="18"/>
              </w:rPr>
              <w:t>117,578,983.61</w:t>
            </w:r>
          </w:p>
        </w:tc>
        <w:tc>
          <w:tcPr>
            <w:tcW w:w="539" w:type="dxa"/>
            <w:tcBorders>
              <w:top w:val="single" w:sz="2" w:space="0" w:color="auto"/>
              <w:left w:val="single" w:sz="2" w:space="0" w:color="auto"/>
              <w:bottom w:val="single" w:sz="2" w:space="0" w:color="auto"/>
              <w:right w:val="single" w:sz="2" w:space="0" w:color="auto"/>
            </w:tcBorders>
            <w:vAlign w:val="center"/>
          </w:tcPr>
          <w:p w14:paraId="1F4118DC" w14:textId="77777777" w:rsidR="007B3DB2" w:rsidRPr="0063248C" w:rsidRDefault="00000000">
            <w:pPr>
              <w:spacing w:line="240" w:lineRule="exact"/>
              <w:rPr>
                <w:rFonts w:cs="宋体"/>
                <w:sz w:val="18"/>
                <w:szCs w:val="18"/>
              </w:rPr>
            </w:pPr>
            <w:r w:rsidRPr="0063248C">
              <w:rPr>
                <w:rFonts w:cs="宋体"/>
                <w:sz w:val="18"/>
                <w:szCs w:val="18"/>
              </w:rPr>
              <w:t>抵押</w:t>
            </w:r>
          </w:p>
        </w:tc>
        <w:tc>
          <w:tcPr>
            <w:tcW w:w="1071" w:type="dxa"/>
            <w:tcBorders>
              <w:top w:val="single" w:sz="2" w:space="0" w:color="auto"/>
              <w:left w:val="single" w:sz="2" w:space="0" w:color="auto"/>
              <w:bottom w:val="single" w:sz="2" w:space="0" w:color="auto"/>
              <w:right w:val="single" w:sz="2" w:space="0" w:color="auto"/>
            </w:tcBorders>
            <w:vAlign w:val="center"/>
          </w:tcPr>
          <w:p w14:paraId="1F6383C5" w14:textId="77777777" w:rsidR="007B3DB2" w:rsidRPr="0063248C" w:rsidRDefault="00000000">
            <w:pPr>
              <w:spacing w:line="240" w:lineRule="exact"/>
              <w:rPr>
                <w:rFonts w:cs="宋体"/>
                <w:sz w:val="18"/>
                <w:szCs w:val="18"/>
              </w:rPr>
            </w:pPr>
            <w:r w:rsidRPr="0063248C">
              <w:rPr>
                <w:rFonts w:cs="宋体"/>
                <w:sz w:val="18"/>
                <w:szCs w:val="18"/>
              </w:rPr>
              <w:t>借款抵押</w:t>
            </w:r>
          </w:p>
        </w:tc>
      </w:tr>
      <w:tr w:rsidR="007B3DB2" w:rsidRPr="0063248C" w14:paraId="29D39C28" w14:textId="77777777" w:rsidTr="00760A54">
        <w:trPr>
          <w:trHeight w:val="240"/>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192C96BB"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275" w:type="dxa"/>
            <w:tcBorders>
              <w:top w:val="single" w:sz="2" w:space="0" w:color="auto"/>
              <w:left w:val="single" w:sz="2" w:space="0" w:color="auto"/>
              <w:bottom w:val="single" w:sz="2" w:space="0" w:color="auto"/>
              <w:right w:val="single" w:sz="2" w:space="0" w:color="auto"/>
            </w:tcBorders>
            <w:vAlign w:val="center"/>
          </w:tcPr>
          <w:p w14:paraId="5E9F3430" w14:textId="77777777" w:rsidR="007B3DB2" w:rsidRPr="0063248C" w:rsidRDefault="00000000">
            <w:pPr>
              <w:spacing w:line="240" w:lineRule="exact"/>
              <w:jc w:val="right"/>
              <w:rPr>
                <w:rFonts w:cs="宋体"/>
                <w:sz w:val="18"/>
                <w:szCs w:val="18"/>
              </w:rPr>
            </w:pPr>
            <w:r w:rsidRPr="0063248C">
              <w:rPr>
                <w:rFonts w:cs="宋体"/>
                <w:sz w:val="18"/>
                <w:szCs w:val="18"/>
              </w:rPr>
              <w:t>935,584,810.95</w:t>
            </w:r>
          </w:p>
        </w:tc>
        <w:tc>
          <w:tcPr>
            <w:tcW w:w="1560" w:type="dxa"/>
            <w:tcBorders>
              <w:top w:val="single" w:sz="2" w:space="0" w:color="auto"/>
              <w:left w:val="single" w:sz="2" w:space="0" w:color="auto"/>
              <w:bottom w:val="single" w:sz="2" w:space="0" w:color="auto"/>
              <w:right w:val="single" w:sz="2" w:space="0" w:color="auto"/>
            </w:tcBorders>
            <w:vAlign w:val="center"/>
          </w:tcPr>
          <w:p w14:paraId="1CA1EE61" w14:textId="77777777" w:rsidR="007B3DB2" w:rsidRPr="0063248C" w:rsidRDefault="00000000">
            <w:pPr>
              <w:spacing w:line="240" w:lineRule="exact"/>
              <w:jc w:val="right"/>
              <w:rPr>
                <w:rFonts w:cs="宋体"/>
                <w:sz w:val="18"/>
                <w:szCs w:val="18"/>
              </w:rPr>
            </w:pPr>
            <w:r w:rsidRPr="0063248C">
              <w:rPr>
                <w:rFonts w:cs="宋体"/>
                <w:sz w:val="18"/>
                <w:szCs w:val="18"/>
              </w:rPr>
              <w:t>935,584,810.95</w:t>
            </w:r>
          </w:p>
        </w:tc>
        <w:tc>
          <w:tcPr>
            <w:tcW w:w="507" w:type="dxa"/>
            <w:tcBorders>
              <w:top w:val="single" w:sz="2" w:space="0" w:color="auto"/>
              <w:left w:val="single" w:sz="2" w:space="0" w:color="auto"/>
              <w:bottom w:val="single" w:sz="2" w:space="0" w:color="auto"/>
              <w:right w:val="single" w:sz="2" w:space="0" w:color="auto"/>
            </w:tcBorders>
            <w:shd w:val="clear" w:color="auto" w:fill="D3D3D3"/>
            <w:vAlign w:val="center"/>
          </w:tcPr>
          <w:p w14:paraId="0B42CA05" w14:textId="77777777" w:rsidR="007B3DB2" w:rsidRPr="0063248C" w:rsidRDefault="007B3DB2"/>
        </w:tc>
        <w:tc>
          <w:tcPr>
            <w:tcW w:w="910" w:type="dxa"/>
            <w:tcBorders>
              <w:top w:val="single" w:sz="2" w:space="0" w:color="auto"/>
              <w:left w:val="single" w:sz="2" w:space="0" w:color="auto"/>
              <w:bottom w:val="single" w:sz="2" w:space="0" w:color="auto"/>
              <w:right w:val="single" w:sz="2" w:space="0" w:color="auto"/>
            </w:tcBorders>
            <w:shd w:val="clear" w:color="auto" w:fill="D3D3D3"/>
            <w:vAlign w:val="center"/>
          </w:tcPr>
          <w:p w14:paraId="1C4CDFEF" w14:textId="77777777" w:rsidR="007B3DB2" w:rsidRPr="0063248C" w:rsidRDefault="007B3DB2"/>
        </w:tc>
        <w:tc>
          <w:tcPr>
            <w:tcW w:w="1418" w:type="dxa"/>
            <w:tcBorders>
              <w:top w:val="single" w:sz="2" w:space="0" w:color="auto"/>
              <w:left w:val="single" w:sz="2" w:space="0" w:color="auto"/>
              <w:bottom w:val="single" w:sz="2" w:space="0" w:color="auto"/>
              <w:right w:val="single" w:sz="2" w:space="0" w:color="auto"/>
            </w:tcBorders>
            <w:vAlign w:val="center"/>
          </w:tcPr>
          <w:p w14:paraId="4C379D8E" w14:textId="77777777" w:rsidR="007B3DB2" w:rsidRPr="0063248C" w:rsidRDefault="00000000">
            <w:pPr>
              <w:spacing w:line="240" w:lineRule="exact"/>
              <w:jc w:val="right"/>
              <w:rPr>
                <w:rFonts w:cs="宋体"/>
                <w:sz w:val="18"/>
                <w:szCs w:val="18"/>
              </w:rPr>
            </w:pPr>
            <w:r w:rsidRPr="0063248C">
              <w:rPr>
                <w:rFonts w:cs="宋体"/>
                <w:sz w:val="18"/>
                <w:szCs w:val="18"/>
              </w:rPr>
              <w:t>1,049,714,250.44</w:t>
            </w:r>
          </w:p>
        </w:tc>
        <w:tc>
          <w:tcPr>
            <w:tcW w:w="1417" w:type="dxa"/>
            <w:tcBorders>
              <w:top w:val="single" w:sz="2" w:space="0" w:color="auto"/>
              <w:left w:val="single" w:sz="2" w:space="0" w:color="auto"/>
              <w:bottom w:val="single" w:sz="2" w:space="0" w:color="auto"/>
              <w:right w:val="single" w:sz="2" w:space="0" w:color="auto"/>
            </w:tcBorders>
            <w:vAlign w:val="center"/>
          </w:tcPr>
          <w:p w14:paraId="0CA4203D" w14:textId="77777777" w:rsidR="007B3DB2" w:rsidRPr="0063248C" w:rsidRDefault="00000000">
            <w:pPr>
              <w:spacing w:line="240" w:lineRule="exact"/>
              <w:jc w:val="right"/>
              <w:rPr>
                <w:rFonts w:cs="宋体"/>
                <w:sz w:val="18"/>
                <w:szCs w:val="18"/>
              </w:rPr>
            </w:pPr>
            <w:r w:rsidRPr="0063248C">
              <w:rPr>
                <w:rFonts w:cs="宋体"/>
                <w:sz w:val="18"/>
                <w:szCs w:val="18"/>
              </w:rPr>
              <w:t>1,049,714,250.44</w:t>
            </w:r>
          </w:p>
        </w:tc>
        <w:tc>
          <w:tcPr>
            <w:tcW w:w="539" w:type="dxa"/>
            <w:tcBorders>
              <w:top w:val="single" w:sz="2" w:space="0" w:color="auto"/>
              <w:left w:val="single" w:sz="2" w:space="0" w:color="auto"/>
              <w:bottom w:val="single" w:sz="2" w:space="0" w:color="auto"/>
              <w:right w:val="single" w:sz="2" w:space="0" w:color="auto"/>
            </w:tcBorders>
            <w:shd w:val="clear" w:color="auto" w:fill="D3D3D3"/>
            <w:vAlign w:val="center"/>
          </w:tcPr>
          <w:p w14:paraId="0F757ADC" w14:textId="77777777" w:rsidR="007B3DB2" w:rsidRPr="0063248C" w:rsidRDefault="007B3DB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8F71454" w14:textId="77777777" w:rsidR="007B3DB2" w:rsidRPr="0063248C" w:rsidRDefault="007B3DB2"/>
        </w:tc>
      </w:tr>
    </w:tbl>
    <w:p w14:paraId="361A6281"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2D41BCA4" w14:textId="77777777" w:rsidR="00517D34" w:rsidRPr="0063248C" w:rsidRDefault="00000000">
      <w:pPr>
        <w:pStyle w:val="a3"/>
        <w:divId w:val="1901400886"/>
        <w:rPr>
          <w:rFonts w:ascii="Times New Roman" w:hAnsi="Times New Roman"/>
          <w:sz w:val="18"/>
          <w:szCs w:val="18"/>
        </w:rPr>
      </w:pPr>
      <w:r w:rsidRPr="0063248C">
        <w:rPr>
          <w:rFonts w:ascii="Times New Roman" w:hAnsi="Times New Roman" w:hint="eastAsia"/>
          <w:sz w:val="18"/>
          <w:szCs w:val="18"/>
        </w:rPr>
        <w:t>无</w:t>
      </w:r>
    </w:p>
    <w:p w14:paraId="4DEEA7E2" w14:textId="77777777" w:rsidR="007B3DB2" w:rsidRPr="0063248C" w:rsidRDefault="00000000">
      <w:pPr>
        <w:pStyle w:val="3"/>
        <w:spacing w:line="280" w:lineRule="exact"/>
        <w:jc w:val="left"/>
        <w:rPr>
          <w:rFonts w:cs="宋体"/>
          <w:b/>
          <w:bCs/>
        </w:rPr>
      </w:pPr>
      <w:bookmarkStart w:id="309" w:name="_Toc989198"/>
      <w:r w:rsidRPr="0063248C">
        <w:rPr>
          <w:rFonts w:cs="宋体"/>
          <w:b/>
          <w:bCs/>
        </w:rPr>
        <w:t>32</w:t>
      </w:r>
      <w:r w:rsidRPr="0063248C">
        <w:rPr>
          <w:rFonts w:cs="宋体"/>
          <w:b/>
          <w:bCs/>
        </w:rPr>
        <w:t>、短期借款</w:t>
      </w:r>
      <w:bookmarkEnd w:id="309"/>
    </w:p>
    <w:p w14:paraId="57AB6DCE" w14:textId="77777777" w:rsidR="007B3DB2" w:rsidRPr="0063248C" w:rsidRDefault="00000000">
      <w:pPr>
        <w:keepNext/>
        <w:keepLines/>
        <w:spacing w:before="300" w:after="300" w:line="280" w:lineRule="exact"/>
        <w:outlineLvl w:val="3"/>
        <w:rPr>
          <w:rFonts w:cs="宋体"/>
          <w:b/>
          <w:bCs/>
          <w:szCs w:val="21"/>
        </w:rPr>
      </w:pPr>
      <w:bookmarkStart w:id="310" w:name="_Toc989199"/>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短期借款分类</w:t>
      </w:r>
      <w:bookmarkEnd w:id="310"/>
    </w:p>
    <w:p w14:paraId="66A05678"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56696F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22233E"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AEDFB6"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C908F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2D268D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E9582E" w14:textId="77777777" w:rsidR="007B3DB2" w:rsidRPr="0063248C" w:rsidRDefault="00000000">
            <w:pPr>
              <w:spacing w:before="40" w:after="40" w:line="240" w:lineRule="exact"/>
              <w:rPr>
                <w:rFonts w:cs="宋体"/>
                <w:sz w:val="18"/>
                <w:szCs w:val="18"/>
              </w:rPr>
            </w:pPr>
            <w:r w:rsidRPr="0063248C">
              <w:rPr>
                <w:rFonts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14:paraId="03E89C08"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14:paraId="0DB67EAE" w14:textId="77777777" w:rsidR="007B3DB2" w:rsidRPr="0063248C" w:rsidRDefault="00000000">
            <w:pPr>
              <w:spacing w:line="240" w:lineRule="exact"/>
              <w:jc w:val="right"/>
              <w:rPr>
                <w:rFonts w:cs="宋体"/>
                <w:sz w:val="18"/>
                <w:szCs w:val="18"/>
              </w:rPr>
            </w:pPr>
            <w:r w:rsidRPr="0063248C">
              <w:rPr>
                <w:rFonts w:cs="宋体"/>
                <w:sz w:val="18"/>
                <w:szCs w:val="18"/>
              </w:rPr>
              <w:t>76,250,000.00</w:t>
            </w:r>
          </w:p>
        </w:tc>
      </w:tr>
      <w:tr w:rsidR="007B3DB2" w:rsidRPr="0063248C" w14:paraId="226EB5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070C93" w14:textId="77777777" w:rsidR="007B3DB2" w:rsidRPr="0063248C" w:rsidRDefault="00000000">
            <w:pPr>
              <w:spacing w:before="40" w:after="40" w:line="240" w:lineRule="exact"/>
              <w:rPr>
                <w:rFonts w:cs="宋体"/>
                <w:sz w:val="18"/>
                <w:szCs w:val="18"/>
              </w:rPr>
            </w:pPr>
            <w:r w:rsidRPr="0063248C">
              <w:rPr>
                <w:rFonts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14:paraId="187A4230" w14:textId="77777777" w:rsidR="007B3DB2" w:rsidRPr="0063248C" w:rsidRDefault="00000000">
            <w:pPr>
              <w:spacing w:line="240" w:lineRule="exact"/>
              <w:jc w:val="right"/>
              <w:rPr>
                <w:rFonts w:cs="宋体"/>
                <w:sz w:val="18"/>
                <w:szCs w:val="18"/>
              </w:rPr>
            </w:pPr>
            <w:r w:rsidRPr="0063248C">
              <w:rPr>
                <w:rFonts w:cs="宋体"/>
                <w:sz w:val="18"/>
                <w:szCs w:val="18"/>
              </w:rPr>
              <w:t>350,000,000.00</w:t>
            </w:r>
          </w:p>
        </w:tc>
        <w:tc>
          <w:tcPr>
            <w:tcW w:w="3213" w:type="dxa"/>
            <w:tcBorders>
              <w:top w:val="single" w:sz="2" w:space="0" w:color="auto"/>
              <w:left w:val="single" w:sz="2" w:space="0" w:color="auto"/>
              <w:bottom w:val="single" w:sz="2" w:space="0" w:color="auto"/>
              <w:right w:val="single" w:sz="2" w:space="0" w:color="auto"/>
            </w:tcBorders>
            <w:vAlign w:val="center"/>
          </w:tcPr>
          <w:p w14:paraId="2549FCA9" w14:textId="77777777" w:rsidR="007B3DB2" w:rsidRPr="0063248C" w:rsidRDefault="00000000">
            <w:pPr>
              <w:spacing w:line="240" w:lineRule="exact"/>
              <w:jc w:val="right"/>
              <w:rPr>
                <w:rFonts w:cs="宋体"/>
                <w:sz w:val="18"/>
                <w:szCs w:val="18"/>
              </w:rPr>
            </w:pPr>
            <w:r w:rsidRPr="0063248C">
              <w:rPr>
                <w:rFonts w:cs="宋体"/>
                <w:sz w:val="18"/>
                <w:szCs w:val="18"/>
              </w:rPr>
              <w:t>350,000,000.00</w:t>
            </w:r>
          </w:p>
        </w:tc>
      </w:tr>
      <w:tr w:rsidR="007B3DB2" w:rsidRPr="0063248C" w14:paraId="5614ED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2F8B32" w14:textId="77777777" w:rsidR="007B3DB2" w:rsidRPr="0063248C" w:rsidRDefault="00000000">
            <w:pPr>
              <w:spacing w:before="40" w:after="40" w:line="240" w:lineRule="exact"/>
              <w:rPr>
                <w:rFonts w:cs="宋体"/>
                <w:sz w:val="18"/>
                <w:szCs w:val="18"/>
              </w:rPr>
            </w:pPr>
            <w:r w:rsidRPr="0063248C">
              <w:rPr>
                <w:rFonts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14:paraId="16FBC6AC" w14:textId="77777777" w:rsidR="007B3DB2" w:rsidRPr="0063248C" w:rsidRDefault="00000000">
            <w:pPr>
              <w:spacing w:line="240" w:lineRule="exact"/>
              <w:jc w:val="right"/>
              <w:rPr>
                <w:rFonts w:cs="宋体"/>
                <w:sz w:val="18"/>
                <w:szCs w:val="18"/>
              </w:rPr>
            </w:pPr>
            <w:r w:rsidRPr="0063248C">
              <w:rPr>
                <w:rFonts w:cs="宋体"/>
                <w:sz w:val="18"/>
                <w:szCs w:val="18"/>
              </w:rPr>
              <w:t>649,130,000.00</w:t>
            </w:r>
          </w:p>
        </w:tc>
        <w:tc>
          <w:tcPr>
            <w:tcW w:w="3213" w:type="dxa"/>
            <w:tcBorders>
              <w:top w:val="single" w:sz="2" w:space="0" w:color="auto"/>
              <w:left w:val="single" w:sz="2" w:space="0" w:color="auto"/>
              <w:bottom w:val="single" w:sz="2" w:space="0" w:color="auto"/>
              <w:right w:val="single" w:sz="2" w:space="0" w:color="auto"/>
            </w:tcBorders>
            <w:vAlign w:val="center"/>
          </w:tcPr>
          <w:p w14:paraId="54016F3A" w14:textId="77777777" w:rsidR="007B3DB2" w:rsidRPr="0063248C" w:rsidRDefault="00000000">
            <w:pPr>
              <w:spacing w:line="240" w:lineRule="exact"/>
              <w:jc w:val="right"/>
              <w:rPr>
                <w:rFonts w:cs="宋体"/>
                <w:sz w:val="18"/>
                <w:szCs w:val="18"/>
              </w:rPr>
            </w:pPr>
            <w:r w:rsidRPr="0063248C">
              <w:rPr>
                <w:rFonts w:cs="宋体"/>
                <w:sz w:val="18"/>
                <w:szCs w:val="18"/>
              </w:rPr>
              <w:t>732,000,000.00</w:t>
            </w:r>
          </w:p>
        </w:tc>
      </w:tr>
      <w:tr w:rsidR="007B3DB2" w:rsidRPr="0063248C" w14:paraId="38F815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E7EA6A" w14:textId="77777777" w:rsidR="007B3DB2" w:rsidRPr="0063248C" w:rsidRDefault="00000000">
            <w:pPr>
              <w:spacing w:before="40" w:after="40" w:line="240" w:lineRule="exact"/>
              <w:rPr>
                <w:rFonts w:cs="宋体"/>
                <w:sz w:val="18"/>
                <w:szCs w:val="18"/>
              </w:rPr>
            </w:pPr>
            <w:r w:rsidRPr="0063248C">
              <w:rPr>
                <w:rFonts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14:paraId="0B18D714" w14:textId="77777777" w:rsidR="007B3DB2" w:rsidRPr="0063248C" w:rsidRDefault="00000000">
            <w:pPr>
              <w:spacing w:line="240" w:lineRule="exact"/>
              <w:jc w:val="right"/>
              <w:rPr>
                <w:rFonts w:cs="宋体"/>
                <w:sz w:val="18"/>
                <w:szCs w:val="18"/>
              </w:rPr>
            </w:pPr>
            <w:r w:rsidRPr="0063248C">
              <w:rPr>
                <w:rFonts w:cs="宋体"/>
                <w:sz w:val="18"/>
                <w:szCs w:val="18"/>
              </w:rPr>
              <w:t>3,000,000.00</w:t>
            </w:r>
          </w:p>
        </w:tc>
        <w:tc>
          <w:tcPr>
            <w:tcW w:w="3213" w:type="dxa"/>
            <w:tcBorders>
              <w:top w:val="single" w:sz="2" w:space="0" w:color="auto"/>
              <w:left w:val="single" w:sz="2" w:space="0" w:color="auto"/>
              <w:bottom w:val="single" w:sz="2" w:space="0" w:color="auto"/>
              <w:right w:val="single" w:sz="2" w:space="0" w:color="auto"/>
            </w:tcBorders>
            <w:vAlign w:val="center"/>
          </w:tcPr>
          <w:p w14:paraId="52FFC367" w14:textId="77777777" w:rsidR="007B3DB2" w:rsidRPr="0063248C" w:rsidRDefault="00000000">
            <w:pPr>
              <w:spacing w:line="240" w:lineRule="exact"/>
              <w:jc w:val="right"/>
              <w:rPr>
                <w:rFonts w:cs="宋体"/>
                <w:sz w:val="18"/>
                <w:szCs w:val="18"/>
              </w:rPr>
            </w:pPr>
            <w:r w:rsidRPr="0063248C">
              <w:rPr>
                <w:rFonts w:cs="宋体"/>
                <w:sz w:val="18"/>
                <w:szCs w:val="18"/>
              </w:rPr>
              <w:t>3,000,000.00</w:t>
            </w:r>
          </w:p>
        </w:tc>
      </w:tr>
      <w:tr w:rsidR="007B3DB2" w:rsidRPr="0063248C" w14:paraId="1D48E4D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05F4825" w14:textId="77777777" w:rsidR="007B3DB2" w:rsidRPr="0063248C" w:rsidRDefault="00000000">
            <w:pPr>
              <w:spacing w:line="240" w:lineRule="exact"/>
              <w:rPr>
                <w:rFonts w:cs="宋体"/>
                <w:sz w:val="18"/>
                <w:szCs w:val="18"/>
              </w:rPr>
            </w:pPr>
            <w:r w:rsidRPr="0063248C">
              <w:rPr>
                <w:rFonts w:cs="宋体"/>
                <w:sz w:val="18"/>
                <w:szCs w:val="18"/>
              </w:rPr>
              <w:t>应收票据贴现借款</w:t>
            </w:r>
          </w:p>
        </w:tc>
        <w:tc>
          <w:tcPr>
            <w:tcW w:w="3213" w:type="dxa"/>
            <w:tcBorders>
              <w:top w:val="single" w:sz="2" w:space="0" w:color="auto"/>
              <w:left w:val="single" w:sz="2" w:space="0" w:color="auto"/>
              <w:bottom w:val="single" w:sz="2" w:space="0" w:color="auto"/>
              <w:right w:val="single" w:sz="2" w:space="0" w:color="auto"/>
            </w:tcBorders>
            <w:vAlign w:val="center"/>
          </w:tcPr>
          <w:p w14:paraId="025F7455" w14:textId="77777777" w:rsidR="007B3DB2" w:rsidRPr="0063248C" w:rsidRDefault="00000000">
            <w:pPr>
              <w:spacing w:line="240" w:lineRule="exact"/>
              <w:jc w:val="right"/>
              <w:rPr>
                <w:rFonts w:cs="宋体"/>
                <w:sz w:val="18"/>
                <w:szCs w:val="18"/>
              </w:rPr>
            </w:pPr>
            <w:r w:rsidRPr="0063248C">
              <w:rPr>
                <w:rFonts w:cs="宋体"/>
                <w:sz w:val="18"/>
                <w:szCs w:val="18"/>
              </w:rPr>
              <w:t>613,552,708.46</w:t>
            </w:r>
          </w:p>
        </w:tc>
        <w:tc>
          <w:tcPr>
            <w:tcW w:w="3213" w:type="dxa"/>
            <w:tcBorders>
              <w:top w:val="single" w:sz="2" w:space="0" w:color="auto"/>
              <w:left w:val="single" w:sz="2" w:space="0" w:color="auto"/>
              <w:bottom w:val="single" w:sz="2" w:space="0" w:color="auto"/>
              <w:right w:val="single" w:sz="2" w:space="0" w:color="auto"/>
            </w:tcBorders>
            <w:vAlign w:val="center"/>
          </w:tcPr>
          <w:p w14:paraId="22FE9FE5" w14:textId="77777777" w:rsidR="007B3DB2" w:rsidRPr="0063248C" w:rsidRDefault="00000000">
            <w:pPr>
              <w:spacing w:line="240" w:lineRule="exact"/>
              <w:jc w:val="right"/>
              <w:rPr>
                <w:rFonts w:cs="宋体"/>
                <w:sz w:val="18"/>
                <w:szCs w:val="18"/>
              </w:rPr>
            </w:pPr>
            <w:r w:rsidRPr="0063248C">
              <w:rPr>
                <w:rFonts w:cs="宋体"/>
                <w:sz w:val="18"/>
                <w:szCs w:val="18"/>
              </w:rPr>
              <w:t>691,906,863.13</w:t>
            </w:r>
          </w:p>
        </w:tc>
      </w:tr>
      <w:tr w:rsidR="007B3DB2" w:rsidRPr="0063248C" w14:paraId="2AE08F1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07F017E" w14:textId="77777777" w:rsidR="007B3DB2" w:rsidRPr="0063248C" w:rsidRDefault="00000000">
            <w:pPr>
              <w:spacing w:line="240" w:lineRule="exact"/>
              <w:rPr>
                <w:rFonts w:cs="宋体"/>
                <w:sz w:val="18"/>
                <w:szCs w:val="18"/>
              </w:rPr>
            </w:pPr>
            <w:r w:rsidRPr="0063248C">
              <w:rPr>
                <w:rFonts w:cs="宋体"/>
                <w:sz w:val="18"/>
                <w:szCs w:val="18"/>
              </w:rPr>
              <w:t>应付短期借款利息</w:t>
            </w:r>
          </w:p>
        </w:tc>
        <w:tc>
          <w:tcPr>
            <w:tcW w:w="3213" w:type="dxa"/>
            <w:tcBorders>
              <w:top w:val="single" w:sz="2" w:space="0" w:color="auto"/>
              <w:left w:val="single" w:sz="2" w:space="0" w:color="auto"/>
              <w:bottom w:val="single" w:sz="2" w:space="0" w:color="auto"/>
              <w:right w:val="single" w:sz="2" w:space="0" w:color="auto"/>
            </w:tcBorders>
            <w:vAlign w:val="center"/>
          </w:tcPr>
          <w:p w14:paraId="7368F0E6" w14:textId="77777777" w:rsidR="007B3DB2" w:rsidRPr="0063248C" w:rsidRDefault="00000000">
            <w:pPr>
              <w:spacing w:line="240" w:lineRule="exact"/>
              <w:jc w:val="right"/>
              <w:rPr>
                <w:rFonts w:cs="宋体"/>
                <w:sz w:val="18"/>
                <w:szCs w:val="18"/>
              </w:rPr>
            </w:pPr>
            <w:r w:rsidRPr="0063248C">
              <w:rPr>
                <w:rFonts w:cs="宋体"/>
                <w:sz w:val="18"/>
                <w:szCs w:val="18"/>
              </w:rPr>
              <w:t>1,108,170.50</w:t>
            </w:r>
          </w:p>
        </w:tc>
        <w:tc>
          <w:tcPr>
            <w:tcW w:w="3213" w:type="dxa"/>
            <w:tcBorders>
              <w:top w:val="single" w:sz="2" w:space="0" w:color="auto"/>
              <w:left w:val="single" w:sz="2" w:space="0" w:color="auto"/>
              <w:bottom w:val="single" w:sz="2" w:space="0" w:color="auto"/>
              <w:right w:val="single" w:sz="2" w:space="0" w:color="auto"/>
            </w:tcBorders>
            <w:vAlign w:val="center"/>
          </w:tcPr>
          <w:p w14:paraId="1BEE9541" w14:textId="77777777" w:rsidR="007B3DB2" w:rsidRPr="0063248C" w:rsidRDefault="00000000">
            <w:pPr>
              <w:spacing w:line="240" w:lineRule="exact"/>
              <w:jc w:val="right"/>
              <w:rPr>
                <w:rFonts w:cs="宋体"/>
                <w:sz w:val="18"/>
                <w:szCs w:val="18"/>
              </w:rPr>
            </w:pPr>
            <w:r w:rsidRPr="0063248C">
              <w:rPr>
                <w:rFonts w:cs="宋体"/>
                <w:sz w:val="18"/>
                <w:szCs w:val="18"/>
              </w:rPr>
              <w:t>1,610,615.58</w:t>
            </w:r>
          </w:p>
        </w:tc>
      </w:tr>
      <w:tr w:rsidR="007B3DB2" w:rsidRPr="0063248C" w14:paraId="69B12D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DE5334"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32AB04F" w14:textId="77777777" w:rsidR="007B3DB2" w:rsidRPr="0063248C" w:rsidRDefault="00000000">
            <w:pPr>
              <w:spacing w:line="240" w:lineRule="exact"/>
              <w:jc w:val="right"/>
              <w:rPr>
                <w:rFonts w:cs="宋体"/>
                <w:sz w:val="18"/>
                <w:szCs w:val="18"/>
              </w:rPr>
            </w:pPr>
            <w:r w:rsidRPr="0063248C">
              <w:rPr>
                <w:rFonts w:cs="宋体"/>
                <w:sz w:val="18"/>
                <w:szCs w:val="18"/>
              </w:rPr>
              <w:t>1,636,790,878.96</w:t>
            </w:r>
          </w:p>
        </w:tc>
        <w:tc>
          <w:tcPr>
            <w:tcW w:w="3213" w:type="dxa"/>
            <w:tcBorders>
              <w:top w:val="single" w:sz="2" w:space="0" w:color="auto"/>
              <w:left w:val="single" w:sz="2" w:space="0" w:color="auto"/>
              <w:bottom w:val="single" w:sz="2" w:space="0" w:color="auto"/>
              <w:right w:val="single" w:sz="2" w:space="0" w:color="auto"/>
            </w:tcBorders>
            <w:vAlign w:val="center"/>
          </w:tcPr>
          <w:p w14:paraId="17BA85F1" w14:textId="77777777" w:rsidR="007B3DB2" w:rsidRPr="0063248C" w:rsidRDefault="00000000">
            <w:pPr>
              <w:spacing w:line="240" w:lineRule="exact"/>
              <w:jc w:val="right"/>
              <w:rPr>
                <w:rFonts w:cs="宋体"/>
                <w:sz w:val="18"/>
                <w:szCs w:val="18"/>
              </w:rPr>
            </w:pPr>
            <w:r w:rsidRPr="0063248C">
              <w:rPr>
                <w:rFonts w:cs="宋体"/>
                <w:sz w:val="18"/>
                <w:szCs w:val="18"/>
              </w:rPr>
              <w:t>1,854,767,478.71</w:t>
            </w:r>
          </w:p>
        </w:tc>
      </w:tr>
    </w:tbl>
    <w:p w14:paraId="4D33BB0B" w14:textId="77777777" w:rsidR="007B3DB2" w:rsidRPr="0063248C" w:rsidRDefault="00000000">
      <w:pPr>
        <w:spacing w:before="100" w:after="100" w:line="240" w:lineRule="exact"/>
        <w:rPr>
          <w:rFonts w:cs="宋体"/>
          <w:sz w:val="18"/>
          <w:szCs w:val="18"/>
        </w:rPr>
      </w:pPr>
      <w:r w:rsidRPr="0063248C">
        <w:rPr>
          <w:rFonts w:cs="宋体"/>
          <w:sz w:val="18"/>
          <w:szCs w:val="18"/>
        </w:rPr>
        <w:t>短期借款分类的说明：</w:t>
      </w:r>
    </w:p>
    <w:p w14:paraId="549B6E9C" w14:textId="77777777" w:rsidR="00517D34" w:rsidRPr="0063248C" w:rsidRDefault="00000000">
      <w:pPr>
        <w:pStyle w:val="a3"/>
        <w:divId w:val="121075275"/>
        <w:rPr>
          <w:rFonts w:ascii="Times New Roman" w:hAnsi="Times New Roman"/>
          <w:sz w:val="18"/>
          <w:szCs w:val="18"/>
        </w:rPr>
      </w:pPr>
      <w:r w:rsidRPr="0063248C">
        <w:rPr>
          <w:rFonts w:ascii="Times New Roman" w:hAnsi="Times New Roman" w:hint="eastAsia"/>
          <w:sz w:val="18"/>
          <w:szCs w:val="18"/>
        </w:rPr>
        <w:t>无</w:t>
      </w:r>
    </w:p>
    <w:p w14:paraId="69EF39CD" w14:textId="77777777" w:rsidR="007B3DB2" w:rsidRPr="0063248C" w:rsidRDefault="00000000">
      <w:pPr>
        <w:keepNext/>
        <w:keepLines/>
        <w:spacing w:before="300" w:after="300" w:line="280" w:lineRule="exact"/>
        <w:outlineLvl w:val="3"/>
        <w:rPr>
          <w:rFonts w:cs="宋体"/>
          <w:b/>
          <w:bCs/>
          <w:szCs w:val="21"/>
        </w:rPr>
      </w:pPr>
      <w:bookmarkStart w:id="311" w:name="_Toc989200"/>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已逾期</w:t>
      </w:r>
      <w:proofErr w:type="gramStart"/>
      <w:r w:rsidRPr="0063248C">
        <w:rPr>
          <w:rFonts w:cs="宋体"/>
          <w:b/>
          <w:bCs/>
          <w:szCs w:val="21"/>
        </w:rPr>
        <w:t>未偿</w:t>
      </w:r>
      <w:proofErr w:type="gramEnd"/>
      <w:r w:rsidRPr="0063248C">
        <w:rPr>
          <w:rFonts w:cs="宋体"/>
          <w:b/>
          <w:bCs/>
          <w:szCs w:val="21"/>
        </w:rPr>
        <w:t>还的短期借款情况</w:t>
      </w:r>
      <w:bookmarkEnd w:id="311"/>
    </w:p>
    <w:p w14:paraId="12D7E93D" w14:textId="77777777" w:rsidR="00517D34" w:rsidRPr="0063248C" w:rsidRDefault="00000000">
      <w:pPr>
        <w:pStyle w:val="a3"/>
        <w:divId w:val="1485660441"/>
        <w:rPr>
          <w:rFonts w:ascii="Times New Roman" w:hAnsi="Times New Roman"/>
          <w:sz w:val="18"/>
          <w:szCs w:val="18"/>
        </w:rPr>
      </w:pPr>
      <w:r w:rsidRPr="0063248C">
        <w:rPr>
          <w:rFonts w:ascii="Times New Roman" w:hAnsi="Times New Roman" w:hint="eastAsia"/>
          <w:sz w:val="18"/>
          <w:szCs w:val="18"/>
        </w:rPr>
        <w:t>无</w:t>
      </w:r>
    </w:p>
    <w:p w14:paraId="001B82EF" w14:textId="77777777" w:rsidR="007B3DB2" w:rsidRPr="0063248C" w:rsidRDefault="00000000">
      <w:pPr>
        <w:pStyle w:val="3"/>
        <w:spacing w:line="280" w:lineRule="exact"/>
        <w:jc w:val="left"/>
        <w:rPr>
          <w:rFonts w:cs="宋体"/>
          <w:b/>
          <w:bCs/>
        </w:rPr>
      </w:pPr>
      <w:bookmarkStart w:id="312" w:name="_Toc989201"/>
      <w:r w:rsidRPr="0063248C">
        <w:rPr>
          <w:rFonts w:cs="宋体"/>
          <w:b/>
          <w:bCs/>
        </w:rPr>
        <w:t>33</w:t>
      </w:r>
      <w:r w:rsidRPr="0063248C">
        <w:rPr>
          <w:rFonts w:cs="宋体"/>
          <w:b/>
          <w:bCs/>
        </w:rPr>
        <w:t>、交易性金融负债</w:t>
      </w:r>
      <w:bookmarkEnd w:id="312"/>
    </w:p>
    <w:p w14:paraId="16000C76" w14:textId="77777777" w:rsidR="00517D34" w:rsidRPr="0063248C" w:rsidRDefault="00000000">
      <w:pPr>
        <w:pStyle w:val="a3"/>
        <w:divId w:val="770048105"/>
        <w:rPr>
          <w:rFonts w:ascii="Times New Roman" w:hAnsi="Times New Roman"/>
          <w:sz w:val="18"/>
          <w:szCs w:val="18"/>
        </w:rPr>
      </w:pPr>
      <w:r w:rsidRPr="0063248C">
        <w:rPr>
          <w:rFonts w:ascii="Times New Roman" w:hAnsi="Times New Roman" w:hint="eastAsia"/>
          <w:sz w:val="18"/>
          <w:szCs w:val="18"/>
        </w:rPr>
        <w:t>无</w:t>
      </w:r>
    </w:p>
    <w:p w14:paraId="1AEABE7F" w14:textId="77777777" w:rsidR="007B3DB2" w:rsidRPr="0063248C" w:rsidRDefault="00000000">
      <w:pPr>
        <w:pStyle w:val="3"/>
        <w:spacing w:line="280" w:lineRule="exact"/>
        <w:jc w:val="left"/>
        <w:rPr>
          <w:rFonts w:cs="宋体"/>
          <w:b/>
          <w:bCs/>
        </w:rPr>
      </w:pPr>
      <w:bookmarkStart w:id="313" w:name="_Toc989202"/>
      <w:r w:rsidRPr="0063248C">
        <w:rPr>
          <w:rFonts w:cs="宋体"/>
          <w:b/>
          <w:bCs/>
        </w:rPr>
        <w:lastRenderedPageBreak/>
        <w:t>34</w:t>
      </w:r>
      <w:r w:rsidRPr="0063248C">
        <w:rPr>
          <w:rFonts w:cs="宋体"/>
          <w:b/>
          <w:bCs/>
        </w:rPr>
        <w:t>、衍生金融负债</w:t>
      </w:r>
      <w:bookmarkEnd w:id="313"/>
    </w:p>
    <w:p w14:paraId="5A0E4C8B" w14:textId="77777777" w:rsidR="00517D34" w:rsidRPr="0063248C" w:rsidRDefault="00000000">
      <w:pPr>
        <w:pStyle w:val="a3"/>
        <w:divId w:val="1431395018"/>
        <w:rPr>
          <w:rFonts w:ascii="Times New Roman" w:hAnsi="Times New Roman"/>
          <w:sz w:val="18"/>
          <w:szCs w:val="18"/>
        </w:rPr>
      </w:pPr>
      <w:r w:rsidRPr="0063248C">
        <w:rPr>
          <w:rFonts w:ascii="Times New Roman" w:hAnsi="Times New Roman" w:hint="eastAsia"/>
          <w:sz w:val="18"/>
          <w:szCs w:val="18"/>
        </w:rPr>
        <w:t>无</w:t>
      </w:r>
    </w:p>
    <w:p w14:paraId="719B653C" w14:textId="77777777" w:rsidR="007B3DB2" w:rsidRPr="0063248C" w:rsidRDefault="00000000">
      <w:pPr>
        <w:pStyle w:val="3"/>
        <w:spacing w:line="280" w:lineRule="exact"/>
        <w:jc w:val="left"/>
        <w:rPr>
          <w:rFonts w:cs="宋体"/>
          <w:b/>
          <w:bCs/>
        </w:rPr>
      </w:pPr>
      <w:bookmarkStart w:id="314" w:name="_Toc989203"/>
      <w:r w:rsidRPr="0063248C">
        <w:rPr>
          <w:rFonts w:cs="宋体"/>
          <w:b/>
          <w:bCs/>
        </w:rPr>
        <w:t>35</w:t>
      </w:r>
      <w:r w:rsidRPr="0063248C">
        <w:rPr>
          <w:rFonts w:cs="宋体"/>
          <w:b/>
          <w:bCs/>
        </w:rPr>
        <w:t>、应付票据</w:t>
      </w:r>
      <w:bookmarkEnd w:id="314"/>
    </w:p>
    <w:p w14:paraId="718793F3"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639563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43B381" w14:textId="77777777" w:rsidR="007B3DB2" w:rsidRPr="0063248C" w:rsidRDefault="00000000">
            <w:pPr>
              <w:spacing w:before="40" w:after="40" w:line="240" w:lineRule="exact"/>
              <w:jc w:val="center"/>
              <w:rPr>
                <w:rFonts w:cs="宋体"/>
                <w:sz w:val="18"/>
                <w:szCs w:val="18"/>
              </w:rPr>
            </w:pPr>
            <w:r w:rsidRPr="0063248C">
              <w:rPr>
                <w:rFonts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4A612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7E4122"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0DBA4C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1D079C" w14:textId="77777777" w:rsidR="007B3DB2" w:rsidRPr="0063248C" w:rsidRDefault="00000000">
            <w:pPr>
              <w:spacing w:before="40" w:after="40" w:line="240" w:lineRule="exact"/>
              <w:rPr>
                <w:rFonts w:cs="宋体"/>
                <w:sz w:val="18"/>
                <w:szCs w:val="18"/>
              </w:rPr>
            </w:pPr>
            <w:r w:rsidRPr="0063248C">
              <w:rPr>
                <w:rFonts w:cs="宋体"/>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vAlign w:val="center"/>
          </w:tcPr>
          <w:p w14:paraId="75B9E055" w14:textId="77777777" w:rsidR="007B3DB2" w:rsidRPr="0063248C" w:rsidRDefault="00000000">
            <w:pPr>
              <w:spacing w:line="240" w:lineRule="exact"/>
              <w:jc w:val="right"/>
              <w:rPr>
                <w:rFonts w:cs="宋体"/>
                <w:sz w:val="18"/>
                <w:szCs w:val="18"/>
              </w:rPr>
            </w:pPr>
            <w:r w:rsidRPr="0063248C">
              <w:rPr>
                <w:rFonts w:cs="宋体"/>
                <w:sz w:val="18"/>
                <w:szCs w:val="18"/>
              </w:rPr>
              <w:t>4,231,002.73</w:t>
            </w:r>
          </w:p>
        </w:tc>
        <w:tc>
          <w:tcPr>
            <w:tcW w:w="3213" w:type="dxa"/>
            <w:tcBorders>
              <w:top w:val="single" w:sz="2" w:space="0" w:color="auto"/>
              <w:left w:val="single" w:sz="2" w:space="0" w:color="auto"/>
              <w:bottom w:val="single" w:sz="2" w:space="0" w:color="auto"/>
              <w:right w:val="single" w:sz="2" w:space="0" w:color="auto"/>
            </w:tcBorders>
            <w:vAlign w:val="center"/>
          </w:tcPr>
          <w:p w14:paraId="76E01609" w14:textId="77777777" w:rsidR="007B3DB2" w:rsidRPr="0063248C" w:rsidRDefault="007B3DB2">
            <w:pPr>
              <w:spacing w:line="240" w:lineRule="exact"/>
              <w:jc w:val="right"/>
              <w:rPr>
                <w:rFonts w:cs="宋体"/>
                <w:sz w:val="18"/>
                <w:szCs w:val="18"/>
              </w:rPr>
            </w:pPr>
          </w:p>
        </w:tc>
      </w:tr>
      <w:tr w:rsidR="007B3DB2" w:rsidRPr="0063248C" w14:paraId="0DD8E3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16E196" w14:textId="77777777" w:rsidR="007B3DB2" w:rsidRPr="0063248C" w:rsidRDefault="00000000">
            <w:pPr>
              <w:spacing w:before="40" w:after="40" w:line="240" w:lineRule="exact"/>
              <w:rPr>
                <w:rFonts w:cs="宋体"/>
                <w:sz w:val="18"/>
                <w:szCs w:val="18"/>
              </w:rPr>
            </w:pPr>
            <w:r w:rsidRPr="0063248C">
              <w:rPr>
                <w:rFonts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14:paraId="6BD90BB6" w14:textId="77777777" w:rsidR="007B3DB2" w:rsidRPr="0063248C" w:rsidRDefault="00000000">
            <w:pPr>
              <w:spacing w:line="240" w:lineRule="exact"/>
              <w:jc w:val="right"/>
              <w:rPr>
                <w:rFonts w:cs="宋体"/>
                <w:sz w:val="18"/>
                <w:szCs w:val="18"/>
              </w:rPr>
            </w:pPr>
            <w:r w:rsidRPr="0063248C">
              <w:rPr>
                <w:rFonts w:cs="宋体"/>
                <w:sz w:val="18"/>
                <w:szCs w:val="18"/>
              </w:rPr>
              <w:t>251,748,943.74</w:t>
            </w:r>
          </w:p>
        </w:tc>
        <w:tc>
          <w:tcPr>
            <w:tcW w:w="3213" w:type="dxa"/>
            <w:tcBorders>
              <w:top w:val="single" w:sz="2" w:space="0" w:color="auto"/>
              <w:left w:val="single" w:sz="2" w:space="0" w:color="auto"/>
              <w:bottom w:val="single" w:sz="2" w:space="0" w:color="auto"/>
              <w:right w:val="single" w:sz="2" w:space="0" w:color="auto"/>
            </w:tcBorders>
            <w:vAlign w:val="center"/>
          </w:tcPr>
          <w:p w14:paraId="00A32541" w14:textId="77777777" w:rsidR="007B3DB2" w:rsidRPr="0063248C" w:rsidRDefault="00000000">
            <w:pPr>
              <w:spacing w:line="240" w:lineRule="exact"/>
              <w:jc w:val="right"/>
              <w:rPr>
                <w:rFonts w:cs="宋体"/>
                <w:sz w:val="18"/>
                <w:szCs w:val="18"/>
              </w:rPr>
            </w:pPr>
            <w:r w:rsidRPr="0063248C">
              <w:rPr>
                <w:rFonts w:cs="宋体"/>
                <w:sz w:val="18"/>
                <w:szCs w:val="18"/>
              </w:rPr>
              <w:t>420,625,801.99</w:t>
            </w:r>
          </w:p>
        </w:tc>
      </w:tr>
      <w:tr w:rsidR="007B3DB2" w:rsidRPr="0063248C" w14:paraId="660A43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AB5AEC"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CCC04CF" w14:textId="77777777" w:rsidR="007B3DB2" w:rsidRPr="0063248C" w:rsidRDefault="00000000">
            <w:pPr>
              <w:spacing w:line="240" w:lineRule="exact"/>
              <w:jc w:val="right"/>
              <w:rPr>
                <w:rFonts w:cs="宋体"/>
                <w:sz w:val="18"/>
                <w:szCs w:val="18"/>
              </w:rPr>
            </w:pPr>
            <w:r w:rsidRPr="0063248C">
              <w:rPr>
                <w:rFonts w:cs="宋体"/>
                <w:sz w:val="18"/>
                <w:szCs w:val="18"/>
              </w:rPr>
              <w:t>255,979,946.47</w:t>
            </w:r>
          </w:p>
        </w:tc>
        <w:tc>
          <w:tcPr>
            <w:tcW w:w="3213" w:type="dxa"/>
            <w:tcBorders>
              <w:top w:val="single" w:sz="2" w:space="0" w:color="auto"/>
              <w:left w:val="single" w:sz="2" w:space="0" w:color="auto"/>
              <w:bottom w:val="single" w:sz="2" w:space="0" w:color="auto"/>
              <w:right w:val="single" w:sz="2" w:space="0" w:color="auto"/>
            </w:tcBorders>
            <w:vAlign w:val="center"/>
          </w:tcPr>
          <w:p w14:paraId="49E15F1A" w14:textId="77777777" w:rsidR="007B3DB2" w:rsidRPr="0063248C" w:rsidRDefault="00000000">
            <w:pPr>
              <w:spacing w:line="240" w:lineRule="exact"/>
              <w:jc w:val="right"/>
              <w:rPr>
                <w:rFonts w:cs="宋体"/>
                <w:sz w:val="18"/>
                <w:szCs w:val="18"/>
              </w:rPr>
            </w:pPr>
            <w:r w:rsidRPr="0063248C">
              <w:rPr>
                <w:rFonts w:cs="宋体"/>
                <w:sz w:val="18"/>
                <w:szCs w:val="18"/>
              </w:rPr>
              <w:t>420,625,801.99</w:t>
            </w:r>
          </w:p>
        </w:tc>
      </w:tr>
    </w:tbl>
    <w:p w14:paraId="32CBBA20" w14:textId="39180813" w:rsidR="007B3DB2" w:rsidRPr="0063248C" w:rsidRDefault="00000000">
      <w:pPr>
        <w:spacing w:before="100" w:after="100" w:line="240" w:lineRule="exact"/>
        <w:rPr>
          <w:rFonts w:cs="宋体"/>
          <w:sz w:val="18"/>
          <w:szCs w:val="18"/>
        </w:rPr>
      </w:pPr>
      <w:r w:rsidRPr="0063248C">
        <w:rPr>
          <w:rFonts w:cs="宋体"/>
          <w:sz w:val="18"/>
          <w:szCs w:val="18"/>
        </w:rPr>
        <w:t>本</w:t>
      </w:r>
      <w:proofErr w:type="gramStart"/>
      <w:r w:rsidRPr="0063248C">
        <w:rPr>
          <w:rFonts w:cs="宋体"/>
          <w:sz w:val="18"/>
          <w:szCs w:val="18"/>
        </w:rPr>
        <w:t>期末已</w:t>
      </w:r>
      <w:proofErr w:type="gramEnd"/>
      <w:r w:rsidRPr="0063248C">
        <w:rPr>
          <w:rFonts w:cs="宋体"/>
          <w:sz w:val="18"/>
          <w:szCs w:val="18"/>
        </w:rPr>
        <w:t>到期未支付的应付票据总额为</w:t>
      </w:r>
      <w:r w:rsidRPr="0063248C">
        <w:rPr>
          <w:rFonts w:cs="宋体"/>
          <w:sz w:val="18"/>
          <w:szCs w:val="18"/>
        </w:rPr>
        <w:t>0.00</w:t>
      </w:r>
      <w:r w:rsidRPr="0063248C">
        <w:rPr>
          <w:rFonts w:cs="宋体"/>
          <w:sz w:val="18"/>
          <w:szCs w:val="18"/>
        </w:rPr>
        <w:t>元。</w:t>
      </w:r>
    </w:p>
    <w:p w14:paraId="4CB01B71" w14:textId="77777777" w:rsidR="007B3DB2" w:rsidRPr="0063248C" w:rsidRDefault="00000000">
      <w:pPr>
        <w:pStyle w:val="3"/>
        <w:spacing w:line="280" w:lineRule="exact"/>
        <w:jc w:val="left"/>
        <w:rPr>
          <w:rFonts w:cs="宋体"/>
          <w:b/>
          <w:bCs/>
        </w:rPr>
      </w:pPr>
      <w:bookmarkStart w:id="315" w:name="_Toc989204"/>
      <w:r w:rsidRPr="0063248C">
        <w:rPr>
          <w:rFonts w:cs="宋体"/>
          <w:b/>
          <w:bCs/>
        </w:rPr>
        <w:t>36</w:t>
      </w:r>
      <w:r w:rsidRPr="0063248C">
        <w:rPr>
          <w:rFonts w:cs="宋体"/>
          <w:b/>
          <w:bCs/>
        </w:rPr>
        <w:t>、应付账款</w:t>
      </w:r>
      <w:bookmarkEnd w:id="315"/>
    </w:p>
    <w:p w14:paraId="1B199246" w14:textId="77777777" w:rsidR="007B3DB2" w:rsidRPr="0063248C" w:rsidRDefault="00000000">
      <w:pPr>
        <w:keepNext/>
        <w:keepLines/>
        <w:spacing w:before="300" w:after="300" w:line="280" w:lineRule="exact"/>
        <w:outlineLvl w:val="3"/>
        <w:rPr>
          <w:rFonts w:cs="宋体"/>
          <w:b/>
          <w:bCs/>
          <w:sz w:val="18"/>
          <w:szCs w:val="18"/>
        </w:rPr>
      </w:pPr>
      <w:bookmarkStart w:id="316" w:name="_Toc989205"/>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应付账款列示</w:t>
      </w:r>
      <w:bookmarkEnd w:id="316"/>
    </w:p>
    <w:p w14:paraId="3F0D4133"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2A9E48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8B1D16"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E7D3D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B6F33D"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189A3A5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5623BD2" w14:textId="77777777" w:rsidR="007B3DB2" w:rsidRPr="0063248C" w:rsidRDefault="00000000">
            <w:pPr>
              <w:spacing w:line="240" w:lineRule="exact"/>
              <w:rPr>
                <w:rFonts w:cs="宋体"/>
                <w:sz w:val="18"/>
                <w:szCs w:val="18"/>
              </w:rPr>
            </w:pPr>
            <w:r w:rsidRPr="0063248C">
              <w:rPr>
                <w:rFonts w:cs="宋体"/>
                <w:sz w:val="18"/>
                <w:szCs w:val="18"/>
              </w:rPr>
              <w:t>应付材料</w:t>
            </w:r>
            <w:proofErr w:type="gramStart"/>
            <w:r w:rsidRPr="0063248C">
              <w:rPr>
                <w:rFonts w:cs="宋体"/>
                <w:sz w:val="18"/>
                <w:szCs w:val="18"/>
              </w:rPr>
              <w:t>采购款</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14:paraId="749DA613" w14:textId="77777777" w:rsidR="007B3DB2" w:rsidRPr="0063248C" w:rsidRDefault="00000000">
            <w:pPr>
              <w:spacing w:line="240" w:lineRule="exact"/>
              <w:jc w:val="right"/>
              <w:rPr>
                <w:rFonts w:cs="宋体"/>
                <w:sz w:val="18"/>
                <w:szCs w:val="18"/>
              </w:rPr>
            </w:pPr>
            <w:r w:rsidRPr="0063248C">
              <w:rPr>
                <w:rFonts w:cs="宋体"/>
                <w:sz w:val="18"/>
                <w:szCs w:val="18"/>
              </w:rPr>
              <w:t>313,461,783.27</w:t>
            </w:r>
          </w:p>
        </w:tc>
        <w:tc>
          <w:tcPr>
            <w:tcW w:w="3213" w:type="dxa"/>
            <w:tcBorders>
              <w:top w:val="single" w:sz="2" w:space="0" w:color="auto"/>
              <w:left w:val="single" w:sz="2" w:space="0" w:color="auto"/>
              <w:bottom w:val="single" w:sz="2" w:space="0" w:color="auto"/>
              <w:right w:val="single" w:sz="2" w:space="0" w:color="auto"/>
            </w:tcBorders>
            <w:vAlign w:val="center"/>
          </w:tcPr>
          <w:p w14:paraId="5EF92F58" w14:textId="77777777" w:rsidR="007B3DB2" w:rsidRPr="0063248C" w:rsidRDefault="00000000">
            <w:pPr>
              <w:spacing w:line="240" w:lineRule="exact"/>
              <w:jc w:val="right"/>
              <w:rPr>
                <w:rFonts w:cs="宋体"/>
                <w:sz w:val="18"/>
                <w:szCs w:val="18"/>
              </w:rPr>
            </w:pPr>
            <w:r w:rsidRPr="0063248C">
              <w:rPr>
                <w:rFonts w:cs="宋体"/>
                <w:sz w:val="18"/>
                <w:szCs w:val="18"/>
              </w:rPr>
              <w:t>321,573,682.53</w:t>
            </w:r>
          </w:p>
        </w:tc>
      </w:tr>
      <w:tr w:rsidR="007B3DB2" w:rsidRPr="0063248C" w14:paraId="54AB73F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FBC8FEA" w14:textId="77777777" w:rsidR="007B3DB2" w:rsidRPr="0063248C" w:rsidRDefault="00000000">
            <w:pPr>
              <w:spacing w:line="240" w:lineRule="exact"/>
              <w:rPr>
                <w:rFonts w:cs="宋体"/>
                <w:sz w:val="18"/>
                <w:szCs w:val="18"/>
              </w:rPr>
            </w:pPr>
            <w:r w:rsidRPr="0063248C">
              <w:rPr>
                <w:rFonts w:cs="宋体"/>
                <w:sz w:val="18"/>
                <w:szCs w:val="18"/>
              </w:rPr>
              <w:t>应付固定资产</w:t>
            </w:r>
            <w:proofErr w:type="gramStart"/>
            <w:r w:rsidRPr="0063248C">
              <w:rPr>
                <w:rFonts w:cs="宋体"/>
                <w:sz w:val="18"/>
                <w:szCs w:val="18"/>
              </w:rPr>
              <w:t>采购款</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14:paraId="2FE9F753" w14:textId="77777777" w:rsidR="007B3DB2" w:rsidRPr="0063248C" w:rsidRDefault="00000000">
            <w:pPr>
              <w:spacing w:line="240" w:lineRule="exact"/>
              <w:jc w:val="right"/>
              <w:rPr>
                <w:rFonts w:cs="宋体"/>
                <w:sz w:val="18"/>
                <w:szCs w:val="18"/>
              </w:rPr>
            </w:pPr>
            <w:r w:rsidRPr="0063248C">
              <w:rPr>
                <w:rFonts w:cs="宋体"/>
                <w:sz w:val="18"/>
                <w:szCs w:val="18"/>
              </w:rPr>
              <w:t>96,625,857.05</w:t>
            </w:r>
          </w:p>
        </w:tc>
        <w:tc>
          <w:tcPr>
            <w:tcW w:w="3213" w:type="dxa"/>
            <w:tcBorders>
              <w:top w:val="single" w:sz="2" w:space="0" w:color="auto"/>
              <w:left w:val="single" w:sz="2" w:space="0" w:color="auto"/>
              <w:bottom w:val="single" w:sz="2" w:space="0" w:color="auto"/>
              <w:right w:val="single" w:sz="2" w:space="0" w:color="auto"/>
            </w:tcBorders>
            <w:vAlign w:val="center"/>
          </w:tcPr>
          <w:p w14:paraId="3DC1F39C" w14:textId="77777777" w:rsidR="007B3DB2" w:rsidRPr="0063248C" w:rsidRDefault="00000000">
            <w:pPr>
              <w:spacing w:line="240" w:lineRule="exact"/>
              <w:jc w:val="right"/>
              <w:rPr>
                <w:rFonts w:cs="宋体"/>
                <w:sz w:val="18"/>
                <w:szCs w:val="18"/>
              </w:rPr>
            </w:pPr>
            <w:r w:rsidRPr="0063248C">
              <w:rPr>
                <w:rFonts w:cs="宋体"/>
                <w:sz w:val="18"/>
                <w:szCs w:val="18"/>
              </w:rPr>
              <w:t>100,265,719.46</w:t>
            </w:r>
          </w:p>
        </w:tc>
      </w:tr>
      <w:tr w:rsidR="007B3DB2" w:rsidRPr="0063248C" w14:paraId="4B9C79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8C07AB"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70F1585" w14:textId="77777777" w:rsidR="007B3DB2" w:rsidRPr="0063248C" w:rsidRDefault="00000000">
            <w:pPr>
              <w:spacing w:line="240" w:lineRule="exact"/>
              <w:jc w:val="right"/>
              <w:rPr>
                <w:rFonts w:cs="宋体"/>
                <w:sz w:val="18"/>
                <w:szCs w:val="18"/>
              </w:rPr>
            </w:pPr>
            <w:r w:rsidRPr="0063248C">
              <w:rPr>
                <w:rFonts w:cs="宋体"/>
                <w:sz w:val="18"/>
                <w:szCs w:val="18"/>
              </w:rPr>
              <w:t>410,087,640.32</w:t>
            </w:r>
          </w:p>
        </w:tc>
        <w:tc>
          <w:tcPr>
            <w:tcW w:w="3213" w:type="dxa"/>
            <w:tcBorders>
              <w:top w:val="single" w:sz="2" w:space="0" w:color="auto"/>
              <w:left w:val="single" w:sz="2" w:space="0" w:color="auto"/>
              <w:bottom w:val="single" w:sz="2" w:space="0" w:color="auto"/>
              <w:right w:val="single" w:sz="2" w:space="0" w:color="auto"/>
            </w:tcBorders>
            <w:vAlign w:val="center"/>
          </w:tcPr>
          <w:p w14:paraId="08B96676" w14:textId="77777777" w:rsidR="007B3DB2" w:rsidRPr="0063248C" w:rsidRDefault="00000000">
            <w:pPr>
              <w:spacing w:line="240" w:lineRule="exact"/>
              <w:jc w:val="right"/>
              <w:rPr>
                <w:rFonts w:cs="宋体"/>
                <w:sz w:val="18"/>
                <w:szCs w:val="18"/>
              </w:rPr>
            </w:pPr>
            <w:r w:rsidRPr="0063248C">
              <w:rPr>
                <w:rFonts w:cs="宋体"/>
                <w:sz w:val="18"/>
                <w:szCs w:val="18"/>
              </w:rPr>
              <w:t>421,839,401.99</w:t>
            </w:r>
          </w:p>
        </w:tc>
      </w:tr>
    </w:tbl>
    <w:p w14:paraId="4CFBC137" w14:textId="77777777" w:rsidR="007B3DB2" w:rsidRPr="0063248C" w:rsidRDefault="00000000">
      <w:pPr>
        <w:keepNext/>
        <w:keepLines/>
        <w:spacing w:before="300" w:after="300" w:line="280" w:lineRule="exact"/>
        <w:outlineLvl w:val="3"/>
        <w:rPr>
          <w:rFonts w:cs="宋体"/>
          <w:b/>
          <w:bCs/>
          <w:sz w:val="18"/>
          <w:szCs w:val="18"/>
        </w:rPr>
      </w:pPr>
      <w:bookmarkStart w:id="317" w:name="_Toc989206"/>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账龄超过</w:t>
      </w:r>
      <w:r w:rsidRPr="0063248C">
        <w:rPr>
          <w:rFonts w:cs="宋体"/>
          <w:b/>
          <w:bCs/>
          <w:sz w:val="18"/>
          <w:szCs w:val="18"/>
        </w:rPr>
        <w:t>1</w:t>
      </w:r>
      <w:r w:rsidRPr="0063248C">
        <w:rPr>
          <w:rFonts w:cs="宋体"/>
          <w:b/>
          <w:bCs/>
          <w:sz w:val="18"/>
          <w:szCs w:val="18"/>
        </w:rPr>
        <w:t>年或逾期的重要应付账款</w:t>
      </w:r>
      <w:bookmarkEnd w:id="317"/>
    </w:p>
    <w:p w14:paraId="4D868376" w14:textId="77777777" w:rsidR="00517D34" w:rsidRPr="0063248C" w:rsidRDefault="00000000">
      <w:pPr>
        <w:pStyle w:val="a3"/>
        <w:divId w:val="484978483"/>
        <w:rPr>
          <w:rFonts w:ascii="Times New Roman" w:hAnsi="Times New Roman"/>
          <w:sz w:val="18"/>
          <w:szCs w:val="18"/>
        </w:rPr>
      </w:pPr>
      <w:r w:rsidRPr="0063248C">
        <w:rPr>
          <w:rFonts w:ascii="Times New Roman" w:hAnsi="Times New Roman" w:hint="eastAsia"/>
          <w:sz w:val="18"/>
          <w:szCs w:val="18"/>
        </w:rPr>
        <w:t>无</w:t>
      </w:r>
    </w:p>
    <w:p w14:paraId="3C6E22EE" w14:textId="77777777" w:rsidR="007B3DB2" w:rsidRPr="0063248C" w:rsidRDefault="00000000">
      <w:pPr>
        <w:pStyle w:val="3"/>
        <w:spacing w:line="280" w:lineRule="exact"/>
        <w:jc w:val="left"/>
        <w:rPr>
          <w:rFonts w:cs="宋体"/>
          <w:b/>
          <w:bCs/>
        </w:rPr>
      </w:pPr>
      <w:bookmarkStart w:id="318" w:name="_Toc989207"/>
      <w:r w:rsidRPr="0063248C">
        <w:rPr>
          <w:rFonts w:cs="宋体"/>
          <w:b/>
          <w:bCs/>
        </w:rPr>
        <w:t>37</w:t>
      </w:r>
      <w:r w:rsidRPr="0063248C">
        <w:rPr>
          <w:rFonts w:cs="宋体"/>
          <w:b/>
          <w:bCs/>
        </w:rPr>
        <w:t>、其他应付款</w:t>
      </w:r>
      <w:bookmarkEnd w:id="318"/>
    </w:p>
    <w:p w14:paraId="683ECEDD"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59CB78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92DC4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19BADB"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223156"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0A2C80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DC778F" w14:textId="77777777" w:rsidR="007B3DB2" w:rsidRPr="0063248C" w:rsidRDefault="00000000">
            <w:pPr>
              <w:spacing w:before="40" w:after="40" w:line="240" w:lineRule="exact"/>
              <w:rPr>
                <w:rFonts w:cs="宋体"/>
                <w:sz w:val="18"/>
                <w:szCs w:val="18"/>
              </w:rPr>
            </w:pPr>
            <w:r w:rsidRPr="0063248C">
              <w:rPr>
                <w:rFonts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3DE3ADF3" w14:textId="77777777" w:rsidR="007B3DB2" w:rsidRPr="0063248C" w:rsidRDefault="00000000">
            <w:pPr>
              <w:spacing w:line="240" w:lineRule="exact"/>
              <w:jc w:val="right"/>
              <w:rPr>
                <w:rFonts w:cs="宋体"/>
                <w:sz w:val="18"/>
                <w:szCs w:val="18"/>
              </w:rPr>
            </w:pPr>
            <w:r w:rsidRPr="0063248C">
              <w:rPr>
                <w:rFonts w:cs="宋体"/>
                <w:sz w:val="18"/>
                <w:szCs w:val="18"/>
              </w:rPr>
              <w:t>209,702,682.25</w:t>
            </w:r>
          </w:p>
        </w:tc>
        <w:tc>
          <w:tcPr>
            <w:tcW w:w="3213" w:type="dxa"/>
            <w:tcBorders>
              <w:top w:val="single" w:sz="2" w:space="0" w:color="auto"/>
              <w:left w:val="single" w:sz="2" w:space="0" w:color="auto"/>
              <w:bottom w:val="single" w:sz="2" w:space="0" w:color="auto"/>
              <w:right w:val="single" w:sz="2" w:space="0" w:color="auto"/>
            </w:tcBorders>
            <w:vAlign w:val="center"/>
          </w:tcPr>
          <w:p w14:paraId="629506A3" w14:textId="77777777" w:rsidR="007B3DB2" w:rsidRPr="0063248C" w:rsidRDefault="00000000">
            <w:pPr>
              <w:spacing w:line="240" w:lineRule="exact"/>
              <w:jc w:val="right"/>
              <w:rPr>
                <w:rFonts w:cs="宋体"/>
                <w:sz w:val="18"/>
                <w:szCs w:val="18"/>
              </w:rPr>
            </w:pPr>
            <w:r w:rsidRPr="0063248C">
              <w:rPr>
                <w:rFonts w:cs="宋体"/>
                <w:sz w:val="18"/>
                <w:szCs w:val="18"/>
              </w:rPr>
              <w:t>264,150,919.18</w:t>
            </w:r>
          </w:p>
        </w:tc>
      </w:tr>
      <w:tr w:rsidR="007B3DB2" w:rsidRPr="0063248C" w14:paraId="335789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45783A"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C22405B" w14:textId="77777777" w:rsidR="007B3DB2" w:rsidRPr="0063248C" w:rsidRDefault="00000000">
            <w:pPr>
              <w:spacing w:line="240" w:lineRule="exact"/>
              <w:jc w:val="right"/>
              <w:rPr>
                <w:rFonts w:cs="宋体"/>
                <w:sz w:val="18"/>
                <w:szCs w:val="18"/>
              </w:rPr>
            </w:pPr>
            <w:r w:rsidRPr="0063248C">
              <w:rPr>
                <w:rFonts w:cs="宋体"/>
                <w:sz w:val="18"/>
                <w:szCs w:val="18"/>
              </w:rPr>
              <w:t>209,702,682.25</w:t>
            </w:r>
          </w:p>
        </w:tc>
        <w:tc>
          <w:tcPr>
            <w:tcW w:w="3213" w:type="dxa"/>
            <w:tcBorders>
              <w:top w:val="single" w:sz="2" w:space="0" w:color="auto"/>
              <w:left w:val="single" w:sz="2" w:space="0" w:color="auto"/>
              <w:bottom w:val="single" w:sz="2" w:space="0" w:color="auto"/>
              <w:right w:val="single" w:sz="2" w:space="0" w:color="auto"/>
            </w:tcBorders>
            <w:vAlign w:val="center"/>
          </w:tcPr>
          <w:p w14:paraId="590BC37D" w14:textId="77777777" w:rsidR="007B3DB2" w:rsidRPr="0063248C" w:rsidRDefault="00000000">
            <w:pPr>
              <w:spacing w:line="240" w:lineRule="exact"/>
              <w:jc w:val="right"/>
              <w:rPr>
                <w:rFonts w:cs="宋体"/>
                <w:sz w:val="18"/>
                <w:szCs w:val="18"/>
              </w:rPr>
            </w:pPr>
            <w:r w:rsidRPr="0063248C">
              <w:rPr>
                <w:rFonts w:cs="宋体"/>
                <w:sz w:val="18"/>
                <w:szCs w:val="18"/>
              </w:rPr>
              <w:t>264,150,919.18</w:t>
            </w:r>
          </w:p>
        </w:tc>
      </w:tr>
    </w:tbl>
    <w:p w14:paraId="405011D7" w14:textId="77777777" w:rsidR="007B3DB2" w:rsidRPr="0063248C" w:rsidRDefault="00000000">
      <w:pPr>
        <w:keepNext/>
        <w:keepLines/>
        <w:spacing w:before="300" w:after="300" w:line="280" w:lineRule="exact"/>
        <w:outlineLvl w:val="3"/>
        <w:rPr>
          <w:rFonts w:cs="宋体"/>
          <w:b/>
          <w:bCs/>
          <w:szCs w:val="21"/>
        </w:rPr>
      </w:pPr>
      <w:bookmarkStart w:id="319" w:name="_Toc989208"/>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应付利息</w:t>
      </w:r>
      <w:bookmarkEnd w:id="319"/>
    </w:p>
    <w:p w14:paraId="71B3B2FF" w14:textId="77777777" w:rsidR="00517D34" w:rsidRPr="0063248C" w:rsidRDefault="00000000">
      <w:pPr>
        <w:pStyle w:val="a3"/>
        <w:divId w:val="1051198607"/>
        <w:rPr>
          <w:rFonts w:ascii="Times New Roman" w:hAnsi="Times New Roman"/>
          <w:sz w:val="18"/>
          <w:szCs w:val="18"/>
        </w:rPr>
      </w:pPr>
      <w:r w:rsidRPr="0063248C">
        <w:rPr>
          <w:rFonts w:ascii="Times New Roman" w:hAnsi="Times New Roman" w:hint="eastAsia"/>
          <w:sz w:val="18"/>
          <w:szCs w:val="18"/>
        </w:rPr>
        <w:t>无</w:t>
      </w:r>
    </w:p>
    <w:p w14:paraId="15E6C39F" w14:textId="77777777" w:rsidR="007B3DB2" w:rsidRPr="0063248C" w:rsidRDefault="00000000">
      <w:pPr>
        <w:keepNext/>
        <w:keepLines/>
        <w:spacing w:before="300" w:after="300" w:line="280" w:lineRule="exact"/>
        <w:outlineLvl w:val="3"/>
        <w:rPr>
          <w:rFonts w:cs="宋体"/>
          <w:b/>
          <w:bCs/>
          <w:szCs w:val="21"/>
        </w:rPr>
      </w:pPr>
      <w:bookmarkStart w:id="320" w:name="_Toc989209"/>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应付股利</w:t>
      </w:r>
      <w:bookmarkEnd w:id="320"/>
    </w:p>
    <w:p w14:paraId="528BE226" w14:textId="77777777" w:rsidR="00517D34" w:rsidRPr="0063248C" w:rsidRDefault="00000000">
      <w:pPr>
        <w:pStyle w:val="a3"/>
        <w:divId w:val="1687176649"/>
        <w:rPr>
          <w:rFonts w:ascii="Times New Roman" w:hAnsi="Times New Roman"/>
          <w:sz w:val="18"/>
          <w:szCs w:val="18"/>
        </w:rPr>
      </w:pPr>
      <w:r w:rsidRPr="0063248C">
        <w:rPr>
          <w:rFonts w:ascii="Times New Roman" w:hAnsi="Times New Roman" w:hint="eastAsia"/>
          <w:sz w:val="18"/>
          <w:szCs w:val="18"/>
        </w:rPr>
        <w:t>无</w:t>
      </w:r>
    </w:p>
    <w:p w14:paraId="5B6FBCDF" w14:textId="77777777" w:rsidR="007B3DB2" w:rsidRPr="0063248C" w:rsidRDefault="00000000">
      <w:pPr>
        <w:keepNext/>
        <w:keepLines/>
        <w:spacing w:before="300" w:after="300" w:line="280" w:lineRule="exact"/>
        <w:outlineLvl w:val="3"/>
        <w:rPr>
          <w:rFonts w:cs="宋体"/>
          <w:b/>
          <w:bCs/>
          <w:szCs w:val="21"/>
        </w:rPr>
      </w:pPr>
      <w:bookmarkStart w:id="321" w:name="_Toc989210"/>
      <w:r w:rsidRPr="0063248C">
        <w:rPr>
          <w:rFonts w:cs="宋体"/>
          <w:b/>
          <w:bCs/>
          <w:szCs w:val="21"/>
        </w:rPr>
        <w:lastRenderedPageBreak/>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其他应付款</w:t>
      </w:r>
      <w:bookmarkEnd w:id="321"/>
    </w:p>
    <w:p w14:paraId="68AD9485" w14:textId="77777777" w:rsidR="007B3DB2" w:rsidRPr="0063248C" w:rsidRDefault="00000000">
      <w:pPr>
        <w:keepNext/>
        <w:keepLines/>
        <w:spacing w:before="300" w:after="300" w:line="280" w:lineRule="exact"/>
        <w:outlineLvl w:val="4"/>
        <w:rPr>
          <w:rFonts w:cs="宋体"/>
          <w:b/>
          <w:bCs/>
          <w:sz w:val="18"/>
          <w:szCs w:val="18"/>
        </w:rPr>
      </w:pPr>
      <w:bookmarkStart w:id="322" w:name="_Toc989211"/>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按款项性质列示其他应付款</w:t>
      </w:r>
      <w:bookmarkEnd w:id="322"/>
    </w:p>
    <w:p w14:paraId="6627A687"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6629F5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2C7EAF"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04B9CB"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587FC2"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1CD2824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2B2151A" w14:textId="77777777" w:rsidR="007B3DB2" w:rsidRPr="0063248C" w:rsidRDefault="00000000">
            <w:pPr>
              <w:spacing w:line="240" w:lineRule="exact"/>
              <w:rPr>
                <w:rFonts w:cs="宋体"/>
                <w:sz w:val="18"/>
                <w:szCs w:val="18"/>
              </w:rPr>
            </w:pPr>
            <w:r w:rsidRPr="0063248C">
              <w:rPr>
                <w:rFonts w:cs="宋体"/>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vAlign w:val="center"/>
          </w:tcPr>
          <w:p w14:paraId="34E06E86" w14:textId="77777777" w:rsidR="007B3DB2" w:rsidRPr="0063248C" w:rsidRDefault="00000000">
            <w:pPr>
              <w:spacing w:line="240" w:lineRule="exact"/>
              <w:jc w:val="right"/>
              <w:rPr>
                <w:rFonts w:cs="宋体"/>
                <w:sz w:val="18"/>
                <w:szCs w:val="18"/>
              </w:rPr>
            </w:pPr>
            <w:r w:rsidRPr="0063248C">
              <w:rPr>
                <w:rFonts w:cs="宋体"/>
                <w:sz w:val="18"/>
                <w:szCs w:val="18"/>
              </w:rPr>
              <w:t>93,000,207.88</w:t>
            </w:r>
          </w:p>
        </w:tc>
        <w:tc>
          <w:tcPr>
            <w:tcW w:w="3213" w:type="dxa"/>
            <w:tcBorders>
              <w:top w:val="single" w:sz="2" w:space="0" w:color="auto"/>
              <w:left w:val="single" w:sz="2" w:space="0" w:color="auto"/>
              <w:bottom w:val="single" w:sz="2" w:space="0" w:color="auto"/>
              <w:right w:val="single" w:sz="2" w:space="0" w:color="auto"/>
            </w:tcBorders>
            <w:vAlign w:val="center"/>
          </w:tcPr>
          <w:p w14:paraId="20FCC9B2" w14:textId="77777777" w:rsidR="007B3DB2" w:rsidRPr="0063248C" w:rsidRDefault="00000000">
            <w:pPr>
              <w:spacing w:line="240" w:lineRule="exact"/>
              <w:jc w:val="right"/>
              <w:rPr>
                <w:rFonts w:cs="宋体"/>
                <w:sz w:val="18"/>
                <w:szCs w:val="18"/>
              </w:rPr>
            </w:pPr>
            <w:r w:rsidRPr="0063248C">
              <w:rPr>
                <w:rFonts w:cs="宋体"/>
                <w:sz w:val="18"/>
                <w:szCs w:val="18"/>
              </w:rPr>
              <w:t>87,802,528.45</w:t>
            </w:r>
          </w:p>
        </w:tc>
      </w:tr>
      <w:tr w:rsidR="007B3DB2" w:rsidRPr="0063248C" w14:paraId="77B19FA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2DD1571" w14:textId="77777777" w:rsidR="007B3DB2" w:rsidRPr="0063248C" w:rsidRDefault="00000000">
            <w:pPr>
              <w:spacing w:line="240" w:lineRule="exact"/>
              <w:rPr>
                <w:rFonts w:cs="宋体"/>
                <w:sz w:val="18"/>
                <w:szCs w:val="18"/>
              </w:rPr>
            </w:pPr>
            <w:r w:rsidRPr="0063248C">
              <w:rPr>
                <w:rFonts w:cs="宋体"/>
                <w:sz w:val="18"/>
                <w:szCs w:val="18"/>
              </w:rPr>
              <w:t>预提费用</w:t>
            </w:r>
          </w:p>
        </w:tc>
        <w:tc>
          <w:tcPr>
            <w:tcW w:w="3213" w:type="dxa"/>
            <w:tcBorders>
              <w:top w:val="single" w:sz="2" w:space="0" w:color="auto"/>
              <w:left w:val="single" w:sz="2" w:space="0" w:color="auto"/>
              <w:bottom w:val="single" w:sz="2" w:space="0" w:color="auto"/>
              <w:right w:val="single" w:sz="2" w:space="0" w:color="auto"/>
            </w:tcBorders>
            <w:vAlign w:val="center"/>
          </w:tcPr>
          <w:p w14:paraId="068C719C" w14:textId="77777777" w:rsidR="007B3DB2" w:rsidRPr="0063248C" w:rsidRDefault="00000000">
            <w:pPr>
              <w:spacing w:line="240" w:lineRule="exact"/>
              <w:jc w:val="right"/>
              <w:rPr>
                <w:rFonts w:cs="宋体"/>
                <w:sz w:val="18"/>
                <w:szCs w:val="18"/>
              </w:rPr>
            </w:pPr>
            <w:r w:rsidRPr="0063248C">
              <w:rPr>
                <w:rFonts w:cs="宋体"/>
                <w:sz w:val="18"/>
                <w:szCs w:val="18"/>
              </w:rPr>
              <w:t>73,668,783.70</w:t>
            </w:r>
          </w:p>
        </w:tc>
        <w:tc>
          <w:tcPr>
            <w:tcW w:w="3213" w:type="dxa"/>
            <w:tcBorders>
              <w:top w:val="single" w:sz="2" w:space="0" w:color="auto"/>
              <w:left w:val="single" w:sz="2" w:space="0" w:color="auto"/>
              <w:bottom w:val="single" w:sz="2" w:space="0" w:color="auto"/>
              <w:right w:val="single" w:sz="2" w:space="0" w:color="auto"/>
            </w:tcBorders>
            <w:vAlign w:val="center"/>
          </w:tcPr>
          <w:p w14:paraId="54EF342E" w14:textId="77777777" w:rsidR="007B3DB2" w:rsidRPr="0063248C" w:rsidRDefault="00000000">
            <w:pPr>
              <w:spacing w:line="240" w:lineRule="exact"/>
              <w:jc w:val="right"/>
              <w:rPr>
                <w:rFonts w:cs="宋体"/>
                <w:sz w:val="18"/>
                <w:szCs w:val="18"/>
              </w:rPr>
            </w:pPr>
            <w:r w:rsidRPr="0063248C">
              <w:rPr>
                <w:rFonts w:cs="宋体"/>
                <w:sz w:val="18"/>
                <w:szCs w:val="18"/>
              </w:rPr>
              <w:t>105,491,439.90</w:t>
            </w:r>
          </w:p>
        </w:tc>
      </w:tr>
      <w:tr w:rsidR="007B3DB2" w:rsidRPr="0063248C" w14:paraId="0CA9392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445B1EF" w14:textId="77777777" w:rsidR="007B3DB2" w:rsidRPr="0063248C" w:rsidRDefault="00000000">
            <w:pPr>
              <w:spacing w:line="240" w:lineRule="exact"/>
              <w:rPr>
                <w:rFonts w:cs="宋体"/>
                <w:sz w:val="18"/>
                <w:szCs w:val="18"/>
              </w:rPr>
            </w:pPr>
            <w:r w:rsidRPr="0063248C">
              <w:rPr>
                <w:rFonts w:cs="宋体"/>
                <w:sz w:val="18"/>
                <w:szCs w:val="18"/>
              </w:rPr>
              <w:t>应付子公司原股东股权收购款</w:t>
            </w:r>
          </w:p>
        </w:tc>
        <w:tc>
          <w:tcPr>
            <w:tcW w:w="3213" w:type="dxa"/>
            <w:tcBorders>
              <w:top w:val="single" w:sz="2" w:space="0" w:color="auto"/>
              <w:left w:val="single" w:sz="2" w:space="0" w:color="auto"/>
              <w:bottom w:val="single" w:sz="2" w:space="0" w:color="auto"/>
              <w:right w:val="single" w:sz="2" w:space="0" w:color="auto"/>
            </w:tcBorders>
            <w:vAlign w:val="center"/>
          </w:tcPr>
          <w:p w14:paraId="30C824EC" w14:textId="77777777" w:rsidR="007B3DB2" w:rsidRPr="0063248C" w:rsidRDefault="00000000">
            <w:pPr>
              <w:spacing w:line="240" w:lineRule="exact"/>
              <w:jc w:val="right"/>
              <w:rPr>
                <w:rFonts w:cs="宋体"/>
                <w:sz w:val="18"/>
                <w:szCs w:val="18"/>
              </w:rPr>
            </w:pPr>
            <w:r w:rsidRPr="0063248C">
              <w:rPr>
                <w:rFonts w:cs="宋体"/>
                <w:sz w:val="18"/>
                <w:szCs w:val="18"/>
              </w:rPr>
              <w:t>34,300,000.00</w:t>
            </w:r>
          </w:p>
        </w:tc>
        <w:tc>
          <w:tcPr>
            <w:tcW w:w="3213" w:type="dxa"/>
            <w:tcBorders>
              <w:top w:val="single" w:sz="2" w:space="0" w:color="auto"/>
              <w:left w:val="single" w:sz="2" w:space="0" w:color="auto"/>
              <w:bottom w:val="single" w:sz="2" w:space="0" w:color="auto"/>
              <w:right w:val="single" w:sz="2" w:space="0" w:color="auto"/>
            </w:tcBorders>
            <w:vAlign w:val="center"/>
          </w:tcPr>
          <w:p w14:paraId="093D3865" w14:textId="77777777" w:rsidR="007B3DB2" w:rsidRPr="0063248C" w:rsidRDefault="00000000">
            <w:pPr>
              <w:spacing w:line="240" w:lineRule="exact"/>
              <w:jc w:val="right"/>
              <w:rPr>
                <w:rFonts w:cs="宋体"/>
                <w:sz w:val="18"/>
                <w:szCs w:val="18"/>
              </w:rPr>
            </w:pPr>
            <w:r w:rsidRPr="0063248C">
              <w:rPr>
                <w:rFonts w:cs="宋体"/>
                <w:sz w:val="18"/>
                <w:szCs w:val="18"/>
              </w:rPr>
              <w:t>61,740,000.00</w:t>
            </w:r>
          </w:p>
        </w:tc>
      </w:tr>
      <w:tr w:rsidR="007B3DB2" w:rsidRPr="0063248C" w14:paraId="3941F80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3038648" w14:textId="77777777" w:rsidR="007B3DB2" w:rsidRPr="0063248C" w:rsidRDefault="00000000">
            <w:pPr>
              <w:spacing w:line="240" w:lineRule="exact"/>
              <w:rPr>
                <w:rFonts w:cs="宋体"/>
                <w:sz w:val="18"/>
                <w:szCs w:val="18"/>
              </w:rPr>
            </w:pPr>
            <w:r w:rsidRPr="0063248C">
              <w:rPr>
                <w:rFonts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49435990" w14:textId="77777777" w:rsidR="007B3DB2" w:rsidRPr="0063248C" w:rsidRDefault="00000000">
            <w:pPr>
              <w:spacing w:line="240" w:lineRule="exact"/>
              <w:jc w:val="right"/>
              <w:rPr>
                <w:rFonts w:cs="宋体"/>
                <w:sz w:val="18"/>
                <w:szCs w:val="18"/>
              </w:rPr>
            </w:pPr>
            <w:r w:rsidRPr="0063248C">
              <w:rPr>
                <w:rFonts w:cs="宋体"/>
                <w:sz w:val="18"/>
                <w:szCs w:val="18"/>
              </w:rPr>
              <w:t>8,733,690.67</w:t>
            </w:r>
          </w:p>
        </w:tc>
        <w:tc>
          <w:tcPr>
            <w:tcW w:w="3213" w:type="dxa"/>
            <w:tcBorders>
              <w:top w:val="single" w:sz="2" w:space="0" w:color="auto"/>
              <w:left w:val="single" w:sz="2" w:space="0" w:color="auto"/>
              <w:bottom w:val="single" w:sz="2" w:space="0" w:color="auto"/>
              <w:right w:val="single" w:sz="2" w:space="0" w:color="auto"/>
            </w:tcBorders>
            <w:vAlign w:val="center"/>
          </w:tcPr>
          <w:p w14:paraId="37CFC83F" w14:textId="77777777" w:rsidR="007B3DB2" w:rsidRPr="0063248C" w:rsidRDefault="00000000">
            <w:pPr>
              <w:spacing w:line="240" w:lineRule="exact"/>
              <w:jc w:val="right"/>
              <w:rPr>
                <w:rFonts w:cs="宋体"/>
                <w:sz w:val="18"/>
                <w:szCs w:val="18"/>
              </w:rPr>
            </w:pPr>
            <w:r w:rsidRPr="0063248C">
              <w:rPr>
                <w:rFonts w:cs="宋体"/>
                <w:sz w:val="18"/>
                <w:szCs w:val="18"/>
              </w:rPr>
              <w:t>9,116,950.83</w:t>
            </w:r>
          </w:p>
        </w:tc>
      </w:tr>
      <w:tr w:rsidR="007B3DB2" w:rsidRPr="0063248C" w14:paraId="62B009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D5B210"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B1CD126" w14:textId="77777777" w:rsidR="007B3DB2" w:rsidRPr="0063248C" w:rsidRDefault="00000000">
            <w:pPr>
              <w:spacing w:line="240" w:lineRule="exact"/>
              <w:jc w:val="right"/>
              <w:rPr>
                <w:rFonts w:cs="宋体"/>
                <w:sz w:val="18"/>
                <w:szCs w:val="18"/>
              </w:rPr>
            </w:pPr>
            <w:r w:rsidRPr="0063248C">
              <w:rPr>
                <w:rFonts w:cs="宋体"/>
                <w:sz w:val="18"/>
                <w:szCs w:val="18"/>
              </w:rPr>
              <w:t>209,702,682.25</w:t>
            </w:r>
          </w:p>
        </w:tc>
        <w:tc>
          <w:tcPr>
            <w:tcW w:w="3213" w:type="dxa"/>
            <w:tcBorders>
              <w:top w:val="single" w:sz="2" w:space="0" w:color="auto"/>
              <w:left w:val="single" w:sz="2" w:space="0" w:color="auto"/>
              <w:bottom w:val="single" w:sz="2" w:space="0" w:color="auto"/>
              <w:right w:val="single" w:sz="2" w:space="0" w:color="auto"/>
            </w:tcBorders>
            <w:vAlign w:val="center"/>
          </w:tcPr>
          <w:p w14:paraId="2B9087A2" w14:textId="77777777" w:rsidR="007B3DB2" w:rsidRPr="0063248C" w:rsidRDefault="00000000">
            <w:pPr>
              <w:spacing w:line="240" w:lineRule="exact"/>
              <w:jc w:val="right"/>
              <w:rPr>
                <w:rFonts w:cs="宋体"/>
                <w:sz w:val="18"/>
                <w:szCs w:val="18"/>
              </w:rPr>
            </w:pPr>
            <w:r w:rsidRPr="0063248C">
              <w:rPr>
                <w:rFonts w:cs="宋体"/>
                <w:sz w:val="18"/>
                <w:szCs w:val="18"/>
              </w:rPr>
              <w:t>264,150,919.18</w:t>
            </w:r>
          </w:p>
        </w:tc>
      </w:tr>
    </w:tbl>
    <w:p w14:paraId="1672D18F" w14:textId="77777777" w:rsidR="007B3DB2" w:rsidRPr="0063248C" w:rsidRDefault="00000000">
      <w:pPr>
        <w:keepNext/>
        <w:keepLines/>
        <w:spacing w:before="300" w:after="300" w:line="280" w:lineRule="exact"/>
        <w:outlineLvl w:val="4"/>
        <w:rPr>
          <w:rFonts w:cs="宋体"/>
          <w:b/>
          <w:bCs/>
          <w:sz w:val="18"/>
          <w:szCs w:val="18"/>
        </w:rPr>
      </w:pPr>
      <w:bookmarkStart w:id="323" w:name="_Toc989212"/>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账龄超过</w:t>
      </w:r>
      <w:r w:rsidRPr="0063248C">
        <w:rPr>
          <w:rFonts w:cs="宋体"/>
          <w:b/>
          <w:bCs/>
          <w:sz w:val="18"/>
          <w:szCs w:val="18"/>
        </w:rPr>
        <w:t>1</w:t>
      </w:r>
      <w:r w:rsidRPr="0063248C">
        <w:rPr>
          <w:rFonts w:cs="宋体"/>
          <w:b/>
          <w:bCs/>
          <w:sz w:val="18"/>
          <w:szCs w:val="18"/>
        </w:rPr>
        <w:t>年或逾期的重要其他应付款</w:t>
      </w:r>
      <w:bookmarkEnd w:id="323"/>
    </w:p>
    <w:p w14:paraId="26D9F453" w14:textId="77777777" w:rsidR="00517D34" w:rsidRPr="0063248C" w:rsidRDefault="00000000">
      <w:pPr>
        <w:pStyle w:val="a3"/>
        <w:divId w:val="1147622667"/>
        <w:rPr>
          <w:rFonts w:ascii="Times New Roman" w:hAnsi="Times New Roman"/>
          <w:sz w:val="18"/>
          <w:szCs w:val="18"/>
        </w:rPr>
      </w:pPr>
      <w:r w:rsidRPr="0063248C">
        <w:rPr>
          <w:rFonts w:ascii="Times New Roman" w:hAnsi="Times New Roman" w:hint="eastAsia"/>
          <w:sz w:val="18"/>
          <w:szCs w:val="18"/>
        </w:rPr>
        <w:t>无</w:t>
      </w:r>
    </w:p>
    <w:p w14:paraId="127EEEBE" w14:textId="77777777" w:rsidR="007B3DB2" w:rsidRPr="0063248C" w:rsidRDefault="00000000">
      <w:pPr>
        <w:pStyle w:val="3"/>
        <w:spacing w:line="280" w:lineRule="exact"/>
        <w:jc w:val="left"/>
        <w:rPr>
          <w:rFonts w:cs="宋体"/>
          <w:b/>
          <w:bCs/>
        </w:rPr>
      </w:pPr>
      <w:bookmarkStart w:id="324" w:name="_Toc989213"/>
      <w:r w:rsidRPr="0063248C">
        <w:rPr>
          <w:rFonts w:cs="宋体"/>
          <w:b/>
          <w:bCs/>
        </w:rPr>
        <w:t>38</w:t>
      </w:r>
      <w:r w:rsidRPr="0063248C">
        <w:rPr>
          <w:rFonts w:cs="宋体"/>
          <w:b/>
          <w:bCs/>
        </w:rPr>
        <w:t>、预收款项</w:t>
      </w:r>
      <w:bookmarkEnd w:id="324"/>
    </w:p>
    <w:p w14:paraId="2A99B9A7" w14:textId="77777777" w:rsidR="007B3DB2" w:rsidRPr="0063248C" w:rsidRDefault="00000000">
      <w:pPr>
        <w:keepNext/>
        <w:keepLines/>
        <w:spacing w:before="300" w:after="300" w:line="280" w:lineRule="exact"/>
        <w:outlineLvl w:val="3"/>
        <w:rPr>
          <w:rFonts w:cs="宋体"/>
          <w:b/>
          <w:bCs/>
          <w:szCs w:val="21"/>
        </w:rPr>
      </w:pPr>
      <w:bookmarkStart w:id="325" w:name="_Toc989214"/>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预收款项列示</w:t>
      </w:r>
      <w:bookmarkEnd w:id="325"/>
    </w:p>
    <w:p w14:paraId="66741235" w14:textId="0B018ECB" w:rsidR="007B3DB2" w:rsidRPr="0063248C" w:rsidRDefault="006D579E" w:rsidP="006D579E">
      <w:pPr>
        <w:spacing w:before="40" w:after="40" w:line="240" w:lineRule="exact"/>
        <w:rPr>
          <w:rFonts w:cs="宋体"/>
          <w:sz w:val="18"/>
          <w:szCs w:val="18"/>
        </w:rPr>
      </w:pPr>
      <w:r>
        <w:rPr>
          <w:rFonts w:cs="宋体" w:hint="eastAsia"/>
          <w:sz w:val="18"/>
          <w:szCs w:val="18"/>
        </w:rPr>
        <w:t>无</w:t>
      </w:r>
    </w:p>
    <w:p w14:paraId="2567D67A" w14:textId="77777777" w:rsidR="007B3DB2" w:rsidRPr="0063248C" w:rsidRDefault="00000000">
      <w:pPr>
        <w:keepNext/>
        <w:keepLines/>
        <w:spacing w:before="300" w:after="300" w:line="280" w:lineRule="exact"/>
        <w:outlineLvl w:val="3"/>
        <w:rPr>
          <w:rFonts w:cs="宋体"/>
          <w:b/>
          <w:bCs/>
          <w:szCs w:val="21"/>
        </w:rPr>
      </w:pPr>
      <w:bookmarkStart w:id="326" w:name="_Toc989215"/>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账龄超过</w:t>
      </w:r>
      <w:r w:rsidRPr="0063248C">
        <w:rPr>
          <w:rFonts w:cs="宋体"/>
          <w:b/>
          <w:bCs/>
          <w:szCs w:val="21"/>
        </w:rPr>
        <w:t>1</w:t>
      </w:r>
      <w:r w:rsidRPr="0063248C">
        <w:rPr>
          <w:rFonts w:cs="宋体"/>
          <w:b/>
          <w:bCs/>
          <w:szCs w:val="21"/>
        </w:rPr>
        <w:t>年或逾期的重要预收款项</w:t>
      </w:r>
      <w:bookmarkEnd w:id="326"/>
    </w:p>
    <w:p w14:paraId="04662C57" w14:textId="77777777" w:rsidR="00517D34" w:rsidRPr="0063248C" w:rsidRDefault="00000000">
      <w:pPr>
        <w:pStyle w:val="a3"/>
        <w:divId w:val="568804123"/>
        <w:rPr>
          <w:rFonts w:ascii="Times New Roman" w:hAnsi="Times New Roman"/>
          <w:sz w:val="18"/>
          <w:szCs w:val="18"/>
        </w:rPr>
      </w:pPr>
      <w:r w:rsidRPr="0063248C">
        <w:rPr>
          <w:rFonts w:ascii="Times New Roman" w:hAnsi="Times New Roman" w:hint="eastAsia"/>
          <w:sz w:val="18"/>
          <w:szCs w:val="18"/>
        </w:rPr>
        <w:t>无</w:t>
      </w:r>
    </w:p>
    <w:p w14:paraId="5EBFAEBD" w14:textId="77777777" w:rsidR="007B3DB2" w:rsidRPr="0063248C" w:rsidRDefault="00000000">
      <w:pPr>
        <w:pStyle w:val="3"/>
        <w:spacing w:line="280" w:lineRule="exact"/>
        <w:jc w:val="left"/>
        <w:rPr>
          <w:rFonts w:cs="宋体"/>
          <w:b/>
          <w:bCs/>
        </w:rPr>
      </w:pPr>
      <w:bookmarkStart w:id="327" w:name="_Toc989216"/>
      <w:r w:rsidRPr="0063248C">
        <w:rPr>
          <w:rFonts w:cs="宋体"/>
          <w:b/>
          <w:bCs/>
        </w:rPr>
        <w:t>39</w:t>
      </w:r>
      <w:r w:rsidRPr="0063248C">
        <w:rPr>
          <w:rFonts w:cs="宋体"/>
          <w:b/>
          <w:bCs/>
        </w:rPr>
        <w:t>、合同负债</w:t>
      </w:r>
      <w:bookmarkEnd w:id="327"/>
    </w:p>
    <w:p w14:paraId="7A9F7E25"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693212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B74A73"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B0051B"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C0A2CB"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5EDFB27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0F2E62F" w14:textId="77777777" w:rsidR="007B3DB2" w:rsidRPr="0063248C" w:rsidRDefault="00000000">
            <w:pPr>
              <w:spacing w:line="240" w:lineRule="exact"/>
              <w:rPr>
                <w:rFonts w:cs="宋体"/>
                <w:sz w:val="18"/>
                <w:szCs w:val="18"/>
              </w:rPr>
            </w:pPr>
            <w:r w:rsidRPr="0063248C">
              <w:rPr>
                <w:rFonts w:cs="宋体"/>
                <w:sz w:val="18"/>
                <w:szCs w:val="18"/>
              </w:rPr>
              <w:t>预收货款</w:t>
            </w:r>
          </w:p>
        </w:tc>
        <w:tc>
          <w:tcPr>
            <w:tcW w:w="3213" w:type="dxa"/>
            <w:tcBorders>
              <w:top w:val="single" w:sz="2" w:space="0" w:color="auto"/>
              <w:left w:val="single" w:sz="2" w:space="0" w:color="auto"/>
              <w:bottom w:val="single" w:sz="2" w:space="0" w:color="auto"/>
              <w:right w:val="single" w:sz="2" w:space="0" w:color="auto"/>
            </w:tcBorders>
            <w:vAlign w:val="center"/>
          </w:tcPr>
          <w:p w14:paraId="4175771C" w14:textId="77777777" w:rsidR="007B3DB2" w:rsidRPr="0063248C" w:rsidRDefault="00000000">
            <w:pPr>
              <w:spacing w:line="240" w:lineRule="exact"/>
              <w:jc w:val="right"/>
              <w:rPr>
                <w:rFonts w:cs="宋体"/>
                <w:sz w:val="18"/>
                <w:szCs w:val="18"/>
              </w:rPr>
            </w:pPr>
            <w:r w:rsidRPr="0063248C">
              <w:rPr>
                <w:rFonts w:cs="宋体"/>
                <w:sz w:val="18"/>
                <w:szCs w:val="18"/>
              </w:rPr>
              <w:t>105,448,913.00</w:t>
            </w:r>
          </w:p>
        </w:tc>
        <w:tc>
          <w:tcPr>
            <w:tcW w:w="3213" w:type="dxa"/>
            <w:tcBorders>
              <w:top w:val="single" w:sz="2" w:space="0" w:color="auto"/>
              <w:left w:val="single" w:sz="2" w:space="0" w:color="auto"/>
              <w:bottom w:val="single" w:sz="2" w:space="0" w:color="auto"/>
              <w:right w:val="single" w:sz="2" w:space="0" w:color="auto"/>
            </w:tcBorders>
            <w:vAlign w:val="center"/>
          </w:tcPr>
          <w:p w14:paraId="52674570" w14:textId="77777777" w:rsidR="007B3DB2" w:rsidRPr="0063248C" w:rsidRDefault="00000000">
            <w:pPr>
              <w:spacing w:line="240" w:lineRule="exact"/>
              <w:jc w:val="right"/>
              <w:rPr>
                <w:rFonts w:cs="宋体"/>
                <w:sz w:val="18"/>
                <w:szCs w:val="18"/>
              </w:rPr>
            </w:pPr>
            <w:r w:rsidRPr="0063248C">
              <w:rPr>
                <w:rFonts w:cs="宋体"/>
                <w:sz w:val="18"/>
                <w:szCs w:val="18"/>
              </w:rPr>
              <w:t>134,486,391.06</w:t>
            </w:r>
          </w:p>
        </w:tc>
      </w:tr>
      <w:tr w:rsidR="007B3DB2" w:rsidRPr="0063248C" w14:paraId="15C569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CED586"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7E26268" w14:textId="77777777" w:rsidR="007B3DB2" w:rsidRPr="0063248C" w:rsidRDefault="00000000">
            <w:pPr>
              <w:spacing w:line="240" w:lineRule="exact"/>
              <w:jc w:val="right"/>
              <w:rPr>
                <w:rFonts w:cs="宋体"/>
                <w:sz w:val="18"/>
                <w:szCs w:val="18"/>
              </w:rPr>
            </w:pPr>
            <w:r w:rsidRPr="0063248C">
              <w:rPr>
                <w:rFonts w:cs="宋体"/>
                <w:sz w:val="18"/>
                <w:szCs w:val="18"/>
              </w:rPr>
              <w:t>105,448,913.00</w:t>
            </w:r>
          </w:p>
        </w:tc>
        <w:tc>
          <w:tcPr>
            <w:tcW w:w="3213" w:type="dxa"/>
            <w:tcBorders>
              <w:top w:val="single" w:sz="2" w:space="0" w:color="auto"/>
              <w:left w:val="single" w:sz="2" w:space="0" w:color="auto"/>
              <w:bottom w:val="single" w:sz="2" w:space="0" w:color="auto"/>
              <w:right w:val="single" w:sz="2" w:space="0" w:color="auto"/>
            </w:tcBorders>
            <w:vAlign w:val="center"/>
          </w:tcPr>
          <w:p w14:paraId="12E5D267" w14:textId="77777777" w:rsidR="007B3DB2" w:rsidRPr="0063248C" w:rsidRDefault="00000000">
            <w:pPr>
              <w:spacing w:line="240" w:lineRule="exact"/>
              <w:jc w:val="right"/>
              <w:rPr>
                <w:rFonts w:cs="宋体"/>
                <w:sz w:val="18"/>
                <w:szCs w:val="18"/>
              </w:rPr>
            </w:pPr>
            <w:r w:rsidRPr="0063248C">
              <w:rPr>
                <w:rFonts w:cs="宋体"/>
                <w:sz w:val="18"/>
                <w:szCs w:val="18"/>
              </w:rPr>
              <w:t>134,486,391.06</w:t>
            </w:r>
          </w:p>
        </w:tc>
      </w:tr>
    </w:tbl>
    <w:p w14:paraId="5176A44B" w14:textId="77777777" w:rsidR="007B3DB2" w:rsidRPr="0063248C" w:rsidRDefault="00000000">
      <w:pPr>
        <w:spacing w:before="100" w:after="100" w:line="240" w:lineRule="exact"/>
        <w:rPr>
          <w:rFonts w:cs="宋体"/>
          <w:sz w:val="18"/>
          <w:szCs w:val="18"/>
        </w:rPr>
      </w:pPr>
      <w:r w:rsidRPr="0063248C">
        <w:rPr>
          <w:rFonts w:cs="宋体"/>
          <w:sz w:val="18"/>
          <w:szCs w:val="18"/>
        </w:rPr>
        <w:t>账龄超过</w:t>
      </w:r>
      <w:r w:rsidRPr="0063248C">
        <w:rPr>
          <w:rFonts w:cs="宋体"/>
          <w:sz w:val="18"/>
          <w:szCs w:val="18"/>
        </w:rPr>
        <w:t>1</w:t>
      </w:r>
      <w:r w:rsidRPr="0063248C">
        <w:rPr>
          <w:rFonts w:cs="宋体"/>
          <w:sz w:val="18"/>
          <w:szCs w:val="18"/>
        </w:rPr>
        <w:t>年的重要合同负债</w:t>
      </w:r>
    </w:p>
    <w:p w14:paraId="200A3F62" w14:textId="77777777" w:rsidR="006D579E" w:rsidRPr="0063248C" w:rsidRDefault="006D579E" w:rsidP="006D579E">
      <w:pPr>
        <w:spacing w:before="40" w:after="40" w:line="240" w:lineRule="exact"/>
        <w:rPr>
          <w:rFonts w:cs="宋体"/>
          <w:sz w:val="18"/>
          <w:szCs w:val="18"/>
        </w:rPr>
      </w:pPr>
      <w:r>
        <w:rPr>
          <w:rFonts w:cs="宋体" w:hint="eastAsia"/>
          <w:sz w:val="18"/>
          <w:szCs w:val="18"/>
        </w:rPr>
        <w:t>无</w:t>
      </w:r>
    </w:p>
    <w:p w14:paraId="4CF0D250" w14:textId="77777777" w:rsidR="007B3DB2" w:rsidRPr="0063248C" w:rsidRDefault="00000000">
      <w:pPr>
        <w:spacing w:before="100" w:after="100" w:line="240" w:lineRule="exact"/>
        <w:rPr>
          <w:rFonts w:cs="宋体"/>
          <w:sz w:val="18"/>
          <w:szCs w:val="18"/>
        </w:rPr>
      </w:pPr>
      <w:r w:rsidRPr="0063248C">
        <w:rPr>
          <w:rFonts w:cs="宋体"/>
          <w:sz w:val="18"/>
          <w:szCs w:val="18"/>
        </w:rPr>
        <w:t>报告期内账面价值发生重大变动的金额和原因</w:t>
      </w:r>
    </w:p>
    <w:p w14:paraId="442E646C" w14:textId="77777777" w:rsidR="006D579E" w:rsidRPr="0063248C" w:rsidRDefault="006D579E" w:rsidP="006D579E">
      <w:pPr>
        <w:spacing w:before="40" w:after="40" w:line="240" w:lineRule="exact"/>
        <w:rPr>
          <w:rFonts w:cs="宋体"/>
          <w:sz w:val="18"/>
          <w:szCs w:val="18"/>
        </w:rPr>
      </w:pPr>
      <w:r>
        <w:rPr>
          <w:rFonts w:cs="宋体" w:hint="eastAsia"/>
          <w:sz w:val="18"/>
          <w:szCs w:val="18"/>
        </w:rPr>
        <w:t>无</w:t>
      </w:r>
    </w:p>
    <w:p w14:paraId="4E0E7ED8" w14:textId="77777777" w:rsidR="007B3DB2" w:rsidRPr="0063248C" w:rsidRDefault="00000000">
      <w:pPr>
        <w:spacing w:before="100" w:after="100" w:line="240" w:lineRule="exact"/>
        <w:rPr>
          <w:rFonts w:cs="宋体"/>
          <w:sz w:val="18"/>
          <w:szCs w:val="18"/>
        </w:rPr>
      </w:pPr>
      <w:r w:rsidRPr="0063248C">
        <w:rPr>
          <w:rFonts w:cs="宋体"/>
          <w:sz w:val="18"/>
          <w:szCs w:val="18"/>
        </w:rPr>
        <w:t>公司需遵守《深圳证券交易所上市公司自律监管指引第</w:t>
      </w:r>
      <w:r w:rsidRPr="0063248C">
        <w:rPr>
          <w:rFonts w:cs="宋体"/>
          <w:sz w:val="18"/>
          <w:szCs w:val="18"/>
        </w:rPr>
        <w:t>3</w:t>
      </w:r>
      <w:r w:rsidRPr="0063248C">
        <w:rPr>
          <w:rFonts w:cs="宋体"/>
          <w:sz w:val="18"/>
          <w:szCs w:val="18"/>
        </w:rPr>
        <w:t>号</w:t>
      </w:r>
      <w:r w:rsidRPr="0063248C">
        <w:rPr>
          <w:rFonts w:cs="宋体"/>
          <w:sz w:val="18"/>
          <w:szCs w:val="18"/>
        </w:rPr>
        <w:t>——</w:t>
      </w:r>
      <w:r w:rsidRPr="0063248C">
        <w:rPr>
          <w:rFonts w:cs="宋体"/>
          <w:sz w:val="18"/>
          <w:szCs w:val="18"/>
        </w:rPr>
        <w:t>行业信息披露》中食品及酒制造相关业的披露要求</w:t>
      </w:r>
    </w:p>
    <w:p w14:paraId="1D2512FE" w14:textId="77777777" w:rsidR="00517D34" w:rsidRPr="0063248C" w:rsidRDefault="00000000">
      <w:pPr>
        <w:pStyle w:val="a3"/>
        <w:divId w:val="1956210291"/>
        <w:rPr>
          <w:rFonts w:ascii="Times New Roman" w:hAnsi="Times New Roman"/>
          <w:sz w:val="18"/>
          <w:szCs w:val="18"/>
        </w:rPr>
      </w:pPr>
      <w:r w:rsidRPr="0063248C">
        <w:rPr>
          <w:rFonts w:ascii="Times New Roman" w:hAnsi="Times New Roman" w:hint="eastAsia"/>
          <w:sz w:val="18"/>
          <w:szCs w:val="18"/>
        </w:rPr>
        <w:t>无</w:t>
      </w:r>
    </w:p>
    <w:p w14:paraId="32564AAE" w14:textId="77777777" w:rsidR="007B3DB2" w:rsidRPr="0063248C" w:rsidRDefault="00000000">
      <w:pPr>
        <w:pStyle w:val="3"/>
        <w:spacing w:line="280" w:lineRule="exact"/>
        <w:jc w:val="left"/>
        <w:rPr>
          <w:rFonts w:cs="宋体"/>
          <w:b/>
          <w:bCs/>
        </w:rPr>
      </w:pPr>
      <w:bookmarkStart w:id="328" w:name="_Toc989217"/>
      <w:r w:rsidRPr="0063248C">
        <w:rPr>
          <w:rFonts w:cs="宋体"/>
          <w:b/>
          <w:bCs/>
        </w:rPr>
        <w:t>40</w:t>
      </w:r>
      <w:r w:rsidRPr="0063248C">
        <w:rPr>
          <w:rFonts w:cs="宋体"/>
          <w:b/>
          <w:bCs/>
        </w:rPr>
        <w:t>、应付职工薪</w:t>
      </w:r>
      <w:proofErr w:type="gramStart"/>
      <w:r w:rsidRPr="0063248C">
        <w:rPr>
          <w:rFonts w:cs="宋体"/>
          <w:b/>
          <w:bCs/>
        </w:rPr>
        <w:t>酬</w:t>
      </w:r>
      <w:bookmarkEnd w:id="328"/>
      <w:proofErr w:type="gramEnd"/>
    </w:p>
    <w:p w14:paraId="337BB5BA" w14:textId="77777777" w:rsidR="007B3DB2" w:rsidRPr="0063248C" w:rsidRDefault="00000000">
      <w:pPr>
        <w:keepNext/>
        <w:keepLines/>
        <w:spacing w:before="300" w:after="300" w:line="280" w:lineRule="exact"/>
        <w:outlineLvl w:val="3"/>
        <w:rPr>
          <w:rFonts w:cs="宋体"/>
          <w:b/>
          <w:bCs/>
          <w:szCs w:val="21"/>
        </w:rPr>
      </w:pPr>
      <w:bookmarkStart w:id="329" w:name="_Toc989218"/>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应付职工薪</w:t>
      </w:r>
      <w:proofErr w:type="gramStart"/>
      <w:r w:rsidRPr="0063248C">
        <w:rPr>
          <w:rFonts w:cs="宋体"/>
          <w:b/>
          <w:bCs/>
          <w:szCs w:val="21"/>
        </w:rPr>
        <w:t>酬</w:t>
      </w:r>
      <w:proofErr w:type="gramEnd"/>
      <w:r w:rsidRPr="0063248C">
        <w:rPr>
          <w:rFonts w:cs="宋体"/>
          <w:b/>
          <w:bCs/>
          <w:szCs w:val="21"/>
        </w:rPr>
        <w:t>列示</w:t>
      </w:r>
      <w:bookmarkEnd w:id="329"/>
    </w:p>
    <w:p w14:paraId="2BF7631C"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3711465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CA1E80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A4F8A51"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87A3897"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3D9D9BC"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782FC2E"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43CCD75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C4DC23" w14:textId="77777777" w:rsidR="007B3DB2" w:rsidRPr="0063248C" w:rsidRDefault="00000000">
            <w:pPr>
              <w:spacing w:before="40" w:after="40" w:line="240" w:lineRule="exact"/>
              <w:rPr>
                <w:rFonts w:cs="宋体"/>
                <w:sz w:val="18"/>
                <w:szCs w:val="18"/>
              </w:rPr>
            </w:pPr>
            <w:r w:rsidRPr="0063248C">
              <w:rPr>
                <w:rFonts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14:paraId="173E04B5" w14:textId="77777777" w:rsidR="007B3DB2" w:rsidRPr="0063248C" w:rsidRDefault="00000000">
            <w:pPr>
              <w:spacing w:line="240" w:lineRule="exact"/>
              <w:jc w:val="right"/>
              <w:rPr>
                <w:rFonts w:cs="宋体"/>
                <w:sz w:val="18"/>
                <w:szCs w:val="18"/>
              </w:rPr>
            </w:pPr>
            <w:r w:rsidRPr="0063248C">
              <w:rPr>
                <w:rFonts w:cs="宋体"/>
                <w:sz w:val="18"/>
                <w:szCs w:val="18"/>
              </w:rPr>
              <w:t>41,323,324.33</w:t>
            </w:r>
          </w:p>
        </w:tc>
        <w:tc>
          <w:tcPr>
            <w:tcW w:w="1928" w:type="dxa"/>
            <w:tcBorders>
              <w:top w:val="single" w:sz="2" w:space="0" w:color="auto"/>
              <w:left w:val="single" w:sz="2" w:space="0" w:color="auto"/>
              <w:bottom w:val="single" w:sz="2" w:space="0" w:color="auto"/>
              <w:right w:val="single" w:sz="2" w:space="0" w:color="auto"/>
            </w:tcBorders>
            <w:vAlign w:val="center"/>
          </w:tcPr>
          <w:p w14:paraId="41474D00" w14:textId="77777777" w:rsidR="007B3DB2" w:rsidRPr="0063248C" w:rsidRDefault="00000000">
            <w:pPr>
              <w:spacing w:line="240" w:lineRule="exact"/>
              <w:jc w:val="right"/>
              <w:rPr>
                <w:rFonts w:cs="宋体"/>
                <w:sz w:val="18"/>
                <w:szCs w:val="18"/>
              </w:rPr>
            </w:pPr>
            <w:r w:rsidRPr="0063248C">
              <w:rPr>
                <w:rFonts w:cs="宋体"/>
                <w:sz w:val="18"/>
                <w:szCs w:val="18"/>
              </w:rPr>
              <w:t>204,105,999.58</w:t>
            </w:r>
          </w:p>
        </w:tc>
        <w:tc>
          <w:tcPr>
            <w:tcW w:w="1928" w:type="dxa"/>
            <w:tcBorders>
              <w:top w:val="single" w:sz="2" w:space="0" w:color="auto"/>
              <w:left w:val="single" w:sz="2" w:space="0" w:color="auto"/>
              <w:bottom w:val="single" w:sz="2" w:space="0" w:color="auto"/>
              <w:right w:val="single" w:sz="2" w:space="0" w:color="auto"/>
            </w:tcBorders>
            <w:vAlign w:val="center"/>
          </w:tcPr>
          <w:p w14:paraId="6761CA25" w14:textId="77777777" w:rsidR="007B3DB2" w:rsidRPr="0063248C" w:rsidRDefault="00000000">
            <w:pPr>
              <w:spacing w:line="240" w:lineRule="exact"/>
              <w:jc w:val="right"/>
              <w:rPr>
                <w:rFonts w:cs="宋体"/>
                <w:sz w:val="18"/>
                <w:szCs w:val="18"/>
              </w:rPr>
            </w:pPr>
            <w:r w:rsidRPr="0063248C">
              <w:rPr>
                <w:rFonts w:cs="宋体"/>
                <w:sz w:val="18"/>
                <w:szCs w:val="18"/>
              </w:rPr>
              <w:t>214,111,016.02</w:t>
            </w:r>
          </w:p>
        </w:tc>
        <w:tc>
          <w:tcPr>
            <w:tcW w:w="1928" w:type="dxa"/>
            <w:tcBorders>
              <w:top w:val="single" w:sz="2" w:space="0" w:color="auto"/>
              <w:left w:val="single" w:sz="2" w:space="0" w:color="auto"/>
              <w:bottom w:val="single" w:sz="2" w:space="0" w:color="auto"/>
              <w:right w:val="single" w:sz="2" w:space="0" w:color="auto"/>
            </w:tcBorders>
            <w:vAlign w:val="center"/>
          </w:tcPr>
          <w:p w14:paraId="2D94E2C8" w14:textId="77777777" w:rsidR="007B3DB2" w:rsidRPr="0063248C" w:rsidRDefault="00000000">
            <w:pPr>
              <w:spacing w:line="240" w:lineRule="exact"/>
              <w:jc w:val="right"/>
              <w:rPr>
                <w:rFonts w:cs="宋体"/>
                <w:sz w:val="18"/>
                <w:szCs w:val="18"/>
              </w:rPr>
            </w:pPr>
            <w:r w:rsidRPr="0063248C">
              <w:rPr>
                <w:rFonts w:cs="宋体"/>
                <w:sz w:val="18"/>
                <w:szCs w:val="18"/>
              </w:rPr>
              <w:t>31,318,307.89</w:t>
            </w:r>
          </w:p>
        </w:tc>
      </w:tr>
      <w:tr w:rsidR="007B3DB2" w:rsidRPr="0063248C" w14:paraId="481CB08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46EFA48"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二、离职后福利</w:t>
            </w:r>
            <w:r w:rsidRPr="0063248C">
              <w:rPr>
                <w:rFonts w:cs="宋体"/>
                <w:sz w:val="18"/>
                <w:szCs w:val="18"/>
              </w:rPr>
              <w:t>-</w:t>
            </w:r>
            <w:r w:rsidRPr="0063248C">
              <w:rPr>
                <w:rFonts w:cs="宋体"/>
                <w:sz w:val="18"/>
                <w:szCs w:val="18"/>
              </w:rPr>
              <w:t>设定提存计划</w:t>
            </w:r>
          </w:p>
        </w:tc>
        <w:tc>
          <w:tcPr>
            <w:tcW w:w="1928" w:type="dxa"/>
            <w:tcBorders>
              <w:top w:val="single" w:sz="2" w:space="0" w:color="auto"/>
              <w:left w:val="single" w:sz="2" w:space="0" w:color="auto"/>
              <w:bottom w:val="single" w:sz="2" w:space="0" w:color="auto"/>
              <w:right w:val="single" w:sz="2" w:space="0" w:color="auto"/>
            </w:tcBorders>
            <w:vAlign w:val="center"/>
          </w:tcPr>
          <w:p w14:paraId="50845A6C" w14:textId="77777777" w:rsidR="007B3DB2" w:rsidRPr="0063248C" w:rsidRDefault="00000000">
            <w:pPr>
              <w:spacing w:line="240" w:lineRule="exact"/>
              <w:jc w:val="right"/>
              <w:rPr>
                <w:rFonts w:cs="宋体"/>
                <w:sz w:val="18"/>
                <w:szCs w:val="18"/>
              </w:rPr>
            </w:pPr>
            <w:r w:rsidRPr="0063248C">
              <w:rPr>
                <w:rFonts w:cs="宋体"/>
                <w:sz w:val="18"/>
                <w:szCs w:val="18"/>
              </w:rPr>
              <w:t>15,815.00</w:t>
            </w:r>
          </w:p>
        </w:tc>
        <w:tc>
          <w:tcPr>
            <w:tcW w:w="1928" w:type="dxa"/>
            <w:tcBorders>
              <w:top w:val="single" w:sz="2" w:space="0" w:color="auto"/>
              <w:left w:val="single" w:sz="2" w:space="0" w:color="auto"/>
              <w:bottom w:val="single" w:sz="2" w:space="0" w:color="auto"/>
              <w:right w:val="single" w:sz="2" w:space="0" w:color="auto"/>
            </w:tcBorders>
            <w:vAlign w:val="center"/>
          </w:tcPr>
          <w:p w14:paraId="008DB8E8" w14:textId="77777777" w:rsidR="007B3DB2" w:rsidRPr="0063248C" w:rsidRDefault="00000000">
            <w:pPr>
              <w:spacing w:line="240" w:lineRule="exact"/>
              <w:jc w:val="right"/>
              <w:rPr>
                <w:rFonts w:cs="宋体"/>
                <w:sz w:val="18"/>
                <w:szCs w:val="18"/>
              </w:rPr>
            </w:pPr>
            <w:r w:rsidRPr="0063248C">
              <w:rPr>
                <w:rFonts w:cs="宋体"/>
                <w:sz w:val="18"/>
                <w:szCs w:val="18"/>
              </w:rPr>
              <w:t>13,769,331.94</w:t>
            </w:r>
          </w:p>
        </w:tc>
        <w:tc>
          <w:tcPr>
            <w:tcW w:w="1928" w:type="dxa"/>
            <w:tcBorders>
              <w:top w:val="single" w:sz="2" w:space="0" w:color="auto"/>
              <w:left w:val="single" w:sz="2" w:space="0" w:color="auto"/>
              <w:bottom w:val="single" w:sz="2" w:space="0" w:color="auto"/>
              <w:right w:val="single" w:sz="2" w:space="0" w:color="auto"/>
            </w:tcBorders>
            <w:vAlign w:val="center"/>
          </w:tcPr>
          <w:p w14:paraId="57FB3D53" w14:textId="77777777" w:rsidR="007B3DB2" w:rsidRPr="0063248C" w:rsidRDefault="00000000">
            <w:pPr>
              <w:spacing w:line="240" w:lineRule="exact"/>
              <w:jc w:val="right"/>
              <w:rPr>
                <w:rFonts w:cs="宋体"/>
                <w:sz w:val="18"/>
                <w:szCs w:val="18"/>
              </w:rPr>
            </w:pPr>
            <w:r w:rsidRPr="0063248C">
              <w:rPr>
                <w:rFonts w:cs="宋体"/>
                <w:sz w:val="18"/>
                <w:szCs w:val="18"/>
              </w:rPr>
              <w:t>13,785,146.94</w:t>
            </w:r>
          </w:p>
        </w:tc>
        <w:tc>
          <w:tcPr>
            <w:tcW w:w="1928" w:type="dxa"/>
            <w:tcBorders>
              <w:top w:val="single" w:sz="2" w:space="0" w:color="auto"/>
              <w:left w:val="single" w:sz="2" w:space="0" w:color="auto"/>
              <w:bottom w:val="single" w:sz="2" w:space="0" w:color="auto"/>
              <w:right w:val="single" w:sz="2" w:space="0" w:color="auto"/>
            </w:tcBorders>
            <w:vAlign w:val="center"/>
          </w:tcPr>
          <w:p w14:paraId="5C6C76F6" w14:textId="77777777" w:rsidR="007B3DB2" w:rsidRPr="0063248C" w:rsidRDefault="007B3DB2">
            <w:pPr>
              <w:spacing w:line="240" w:lineRule="exact"/>
              <w:jc w:val="right"/>
              <w:rPr>
                <w:rFonts w:cs="宋体"/>
                <w:sz w:val="18"/>
                <w:szCs w:val="18"/>
              </w:rPr>
            </w:pPr>
          </w:p>
        </w:tc>
      </w:tr>
      <w:tr w:rsidR="007B3DB2" w:rsidRPr="0063248C" w14:paraId="2CF7A2C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AE14BA" w14:textId="77777777" w:rsidR="007B3DB2" w:rsidRPr="0063248C" w:rsidRDefault="00000000">
            <w:pPr>
              <w:spacing w:before="40" w:after="40" w:line="240" w:lineRule="exact"/>
              <w:rPr>
                <w:rFonts w:cs="宋体"/>
                <w:sz w:val="18"/>
                <w:szCs w:val="18"/>
              </w:rPr>
            </w:pPr>
            <w:r w:rsidRPr="0063248C">
              <w:rPr>
                <w:rFonts w:cs="宋体"/>
                <w:sz w:val="18"/>
                <w:szCs w:val="18"/>
              </w:rPr>
              <w:t>三、辞退福利</w:t>
            </w:r>
          </w:p>
        </w:tc>
        <w:tc>
          <w:tcPr>
            <w:tcW w:w="1928" w:type="dxa"/>
            <w:tcBorders>
              <w:top w:val="single" w:sz="2" w:space="0" w:color="auto"/>
              <w:left w:val="single" w:sz="2" w:space="0" w:color="auto"/>
              <w:bottom w:val="single" w:sz="2" w:space="0" w:color="auto"/>
              <w:right w:val="single" w:sz="2" w:space="0" w:color="auto"/>
            </w:tcBorders>
            <w:vAlign w:val="center"/>
          </w:tcPr>
          <w:p w14:paraId="245DCE95" w14:textId="77777777" w:rsidR="007B3DB2" w:rsidRPr="0063248C" w:rsidRDefault="00000000">
            <w:pPr>
              <w:spacing w:line="240" w:lineRule="exact"/>
              <w:jc w:val="right"/>
              <w:rPr>
                <w:rFonts w:cs="宋体"/>
                <w:sz w:val="18"/>
                <w:szCs w:val="18"/>
              </w:rPr>
            </w:pPr>
            <w:r w:rsidRPr="0063248C">
              <w:rPr>
                <w:rFonts w:cs="宋体"/>
                <w:sz w:val="18"/>
                <w:szCs w:val="18"/>
              </w:rPr>
              <w:t>1,933,419.00</w:t>
            </w:r>
          </w:p>
        </w:tc>
        <w:tc>
          <w:tcPr>
            <w:tcW w:w="1928" w:type="dxa"/>
            <w:tcBorders>
              <w:top w:val="single" w:sz="2" w:space="0" w:color="auto"/>
              <w:left w:val="single" w:sz="2" w:space="0" w:color="auto"/>
              <w:bottom w:val="single" w:sz="2" w:space="0" w:color="auto"/>
              <w:right w:val="single" w:sz="2" w:space="0" w:color="auto"/>
            </w:tcBorders>
            <w:vAlign w:val="center"/>
          </w:tcPr>
          <w:p w14:paraId="3DCAE7A5" w14:textId="77777777" w:rsidR="007B3DB2" w:rsidRPr="0063248C" w:rsidRDefault="00000000">
            <w:pPr>
              <w:spacing w:line="240" w:lineRule="exact"/>
              <w:jc w:val="right"/>
              <w:rPr>
                <w:rFonts w:cs="宋体"/>
                <w:sz w:val="18"/>
                <w:szCs w:val="18"/>
              </w:rPr>
            </w:pPr>
            <w:r w:rsidRPr="0063248C">
              <w:rPr>
                <w:rFonts w:cs="宋体"/>
                <w:sz w:val="18"/>
                <w:szCs w:val="18"/>
              </w:rPr>
              <w:t>586,968.98</w:t>
            </w:r>
          </w:p>
        </w:tc>
        <w:tc>
          <w:tcPr>
            <w:tcW w:w="1928" w:type="dxa"/>
            <w:tcBorders>
              <w:top w:val="single" w:sz="2" w:space="0" w:color="auto"/>
              <w:left w:val="single" w:sz="2" w:space="0" w:color="auto"/>
              <w:bottom w:val="single" w:sz="2" w:space="0" w:color="auto"/>
              <w:right w:val="single" w:sz="2" w:space="0" w:color="auto"/>
            </w:tcBorders>
            <w:vAlign w:val="center"/>
          </w:tcPr>
          <w:p w14:paraId="2C2583A7" w14:textId="77777777" w:rsidR="007B3DB2" w:rsidRPr="0063248C" w:rsidRDefault="00000000">
            <w:pPr>
              <w:spacing w:line="240" w:lineRule="exact"/>
              <w:jc w:val="right"/>
              <w:rPr>
                <w:rFonts w:cs="宋体"/>
                <w:sz w:val="18"/>
                <w:szCs w:val="18"/>
              </w:rPr>
            </w:pPr>
            <w:r w:rsidRPr="0063248C">
              <w:rPr>
                <w:rFonts w:cs="宋体"/>
                <w:sz w:val="18"/>
                <w:szCs w:val="18"/>
              </w:rPr>
              <w:t>2,150,387.98</w:t>
            </w:r>
          </w:p>
        </w:tc>
        <w:tc>
          <w:tcPr>
            <w:tcW w:w="1928" w:type="dxa"/>
            <w:tcBorders>
              <w:top w:val="single" w:sz="2" w:space="0" w:color="auto"/>
              <w:left w:val="single" w:sz="2" w:space="0" w:color="auto"/>
              <w:bottom w:val="single" w:sz="2" w:space="0" w:color="auto"/>
              <w:right w:val="single" w:sz="2" w:space="0" w:color="auto"/>
            </w:tcBorders>
            <w:vAlign w:val="center"/>
          </w:tcPr>
          <w:p w14:paraId="363867EC" w14:textId="77777777" w:rsidR="007B3DB2" w:rsidRPr="0063248C" w:rsidRDefault="00000000">
            <w:pPr>
              <w:spacing w:line="240" w:lineRule="exact"/>
              <w:jc w:val="right"/>
              <w:rPr>
                <w:rFonts w:cs="宋体"/>
                <w:sz w:val="18"/>
                <w:szCs w:val="18"/>
              </w:rPr>
            </w:pPr>
            <w:r w:rsidRPr="0063248C">
              <w:rPr>
                <w:rFonts w:cs="宋体"/>
                <w:sz w:val="18"/>
                <w:szCs w:val="18"/>
              </w:rPr>
              <w:t>370,000.00</w:t>
            </w:r>
          </w:p>
        </w:tc>
      </w:tr>
      <w:tr w:rsidR="007B3DB2" w:rsidRPr="0063248C" w14:paraId="3DFD031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32D52B0"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6CC9F6F6" w14:textId="77777777" w:rsidR="007B3DB2" w:rsidRPr="0063248C" w:rsidRDefault="00000000">
            <w:pPr>
              <w:spacing w:line="240" w:lineRule="exact"/>
              <w:jc w:val="right"/>
              <w:rPr>
                <w:rFonts w:cs="宋体"/>
                <w:sz w:val="18"/>
                <w:szCs w:val="18"/>
              </w:rPr>
            </w:pPr>
            <w:r w:rsidRPr="0063248C">
              <w:rPr>
                <w:rFonts w:cs="宋体"/>
                <w:sz w:val="18"/>
                <w:szCs w:val="18"/>
              </w:rPr>
              <w:t>43,272,558.33</w:t>
            </w:r>
          </w:p>
        </w:tc>
        <w:tc>
          <w:tcPr>
            <w:tcW w:w="1928" w:type="dxa"/>
            <w:tcBorders>
              <w:top w:val="single" w:sz="2" w:space="0" w:color="auto"/>
              <w:left w:val="single" w:sz="2" w:space="0" w:color="auto"/>
              <w:bottom w:val="single" w:sz="2" w:space="0" w:color="auto"/>
              <w:right w:val="single" w:sz="2" w:space="0" w:color="auto"/>
            </w:tcBorders>
            <w:vAlign w:val="center"/>
          </w:tcPr>
          <w:p w14:paraId="1B143115" w14:textId="77777777" w:rsidR="007B3DB2" w:rsidRPr="0063248C" w:rsidRDefault="00000000">
            <w:pPr>
              <w:spacing w:line="240" w:lineRule="exact"/>
              <w:jc w:val="right"/>
              <w:rPr>
                <w:rFonts w:cs="宋体"/>
                <w:sz w:val="18"/>
                <w:szCs w:val="18"/>
              </w:rPr>
            </w:pPr>
            <w:r w:rsidRPr="0063248C">
              <w:rPr>
                <w:rFonts w:cs="宋体"/>
                <w:sz w:val="18"/>
                <w:szCs w:val="18"/>
              </w:rPr>
              <w:t>218,462,300.50</w:t>
            </w:r>
          </w:p>
        </w:tc>
        <w:tc>
          <w:tcPr>
            <w:tcW w:w="1928" w:type="dxa"/>
            <w:tcBorders>
              <w:top w:val="single" w:sz="2" w:space="0" w:color="auto"/>
              <w:left w:val="single" w:sz="2" w:space="0" w:color="auto"/>
              <w:bottom w:val="single" w:sz="2" w:space="0" w:color="auto"/>
              <w:right w:val="single" w:sz="2" w:space="0" w:color="auto"/>
            </w:tcBorders>
            <w:vAlign w:val="center"/>
          </w:tcPr>
          <w:p w14:paraId="70ABB3E4" w14:textId="77777777" w:rsidR="007B3DB2" w:rsidRPr="0063248C" w:rsidRDefault="00000000">
            <w:pPr>
              <w:spacing w:line="240" w:lineRule="exact"/>
              <w:jc w:val="right"/>
              <w:rPr>
                <w:rFonts w:cs="宋体"/>
                <w:sz w:val="18"/>
                <w:szCs w:val="18"/>
              </w:rPr>
            </w:pPr>
            <w:r w:rsidRPr="0063248C">
              <w:rPr>
                <w:rFonts w:cs="宋体"/>
                <w:sz w:val="18"/>
                <w:szCs w:val="18"/>
              </w:rPr>
              <w:t>230,046,550.94</w:t>
            </w:r>
          </w:p>
        </w:tc>
        <w:tc>
          <w:tcPr>
            <w:tcW w:w="1928" w:type="dxa"/>
            <w:tcBorders>
              <w:top w:val="single" w:sz="2" w:space="0" w:color="auto"/>
              <w:left w:val="single" w:sz="2" w:space="0" w:color="auto"/>
              <w:bottom w:val="single" w:sz="2" w:space="0" w:color="auto"/>
              <w:right w:val="single" w:sz="2" w:space="0" w:color="auto"/>
            </w:tcBorders>
            <w:vAlign w:val="center"/>
          </w:tcPr>
          <w:p w14:paraId="062113B0" w14:textId="77777777" w:rsidR="007B3DB2" w:rsidRPr="0063248C" w:rsidRDefault="00000000">
            <w:pPr>
              <w:spacing w:line="240" w:lineRule="exact"/>
              <w:jc w:val="right"/>
              <w:rPr>
                <w:rFonts w:cs="宋体"/>
                <w:sz w:val="18"/>
                <w:szCs w:val="18"/>
              </w:rPr>
            </w:pPr>
            <w:r w:rsidRPr="0063248C">
              <w:rPr>
                <w:rFonts w:cs="宋体"/>
                <w:sz w:val="18"/>
                <w:szCs w:val="18"/>
              </w:rPr>
              <w:t>31,688,307.89</w:t>
            </w:r>
          </w:p>
        </w:tc>
      </w:tr>
    </w:tbl>
    <w:p w14:paraId="2E6CF72E" w14:textId="77777777" w:rsidR="007B3DB2" w:rsidRPr="0063248C" w:rsidRDefault="00000000">
      <w:pPr>
        <w:keepNext/>
        <w:keepLines/>
        <w:spacing w:before="300" w:after="300" w:line="280" w:lineRule="exact"/>
        <w:outlineLvl w:val="3"/>
        <w:rPr>
          <w:rFonts w:cs="宋体"/>
          <w:b/>
          <w:bCs/>
          <w:szCs w:val="21"/>
        </w:rPr>
      </w:pPr>
      <w:bookmarkStart w:id="330" w:name="_Toc989219"/>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短期薪酬列示</w:t>
      </w:r>
      <w:bookmarkEnd w:id="330"/>
    </w:p>
    <w:p w14:paraId="2553676B"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28EF854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B34732"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7BEFC0A"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D7F248"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76AEAB"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317890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435D065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D93BE2"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14:paraId="33DAF1F8" w14:textId="77777777" w:rsidR="007B3DB2" w:rsidRPr="0063248C" w:rsidRDefault="00000000">
            <w:pPr>
              <w:spacing w:line="240" w:lineRule="exact"/>
              <w:jc w:val="right"/>
              <w:rPr>
                <w:rFonts w:cs="宋体"/>
                <w:sz w:val="18"/>
                <w:szCs w:val="18"/>
              </w:rPr>
            </w:pPr>
            <w:r w:rsidRPr="0063248C">
              <w:rPr>
                <w:rFonts w:cs="宋体"/>
                <w:sz w:val="18"/>
                <w:szCs w:val="18"/>
              </w:rPr>
              <w:t>41,313,003.13</w:t>
            </w:r>
          </w:p>
        </w:tc>
        <w:tc>
          <w:tcPr>
            <w:tcW w:w="1928" w:type="dxa"/>
            <w:tcBorders>
              <w:top w:val="single" w:sz="2" w:space="0" w:color="auto"/>
              <w:left w:val="single" w:sz="2" w:space="0" w:color="auto"/>
              <w:bottom w:val="single" w:sz="2" w:space="0" w:color="auto"/>
              <w:right w:val="single" w:sz="2" w:space="0" w:color="auto"/>
            </w:tcBorders>
            <w:vAlign w:val="center"/>
          </w:tcPr>
          <w:p w14:paraId="718178A7" w14:textId="77777777" w:rsidR="007B3DB2" w:rsidRPr="0063248C" w:rsidRDefault="00000000">
            <w:pPr>
              <w:spacing w:line="240" w:lineRule="exact"/>
              <w:jc w:val="right"/>
              <w:rPr>
                <w:rFonts w:cs="宋体"/>
                <w:sz w:val="18"/>
                <w:szCs w:val="18"/>
              </w:rPr>
            </w:pPr>
            <w:r w:rsidRPr="0063248C">
              <w:rPr>
                <w:rFonts w:cs="宋体"/>
                <w:sz w:val="18"/>
                <w:szCs w:val="18"/>
              </w:rPr>
              <w:t>188,354,306.88</w:t>
            </w:r>
          </w:p>
        </w:tc>
        <w:tc>
          <w:tcPr>
            <w:tcW w:w="1928" w:type="dxa"/>
            <w:tcBorders>
              <w:top w:val="single" w:sz="2" w:space="0" w:color="auto"/>
              <w:left w:val="single" w:sz="2" w:space="0" w:color="auto"/>
              <w:bottom w:val="single" w:sz="2" w:space="0" w:color="auto"/>
              <w:right w:val="single" w:sz="2" w:space="0" w:color="auto"/>
            </w:tcBorders>
            <w:vAlign w:val="center"/>
          </w:tcPr>
          <w:p w14:paraId="0EFE9C67" w14:textId="77777777" w:rsidR="007B3DB2" w:rsidRPr="0063248C" w:rsidRDefault="00000000">
            <w:pPr>
              <w:spacing w:line="240" w:lineRule="exact"/>
              <w:jc w:val="right"/>
              <w:rPr>
                <w:rFonts w:cs="宋体"/>
                <w:sz w:val="18"/>
                <w:szCs w:val="18"/>
              </w:rPr>
            </w:pPr>
            <w:r w:rsidRPr="0063248C">
              <w:rPr>
                <w:rFonts w:cs="宋体"/>
                <w:sz w:val="18"/>
                <w:szCs w:val="18"/>
              </w:rPr>
              <w:t>198,355,002.12</w:t>
            </w:r>
          </w:p>
        </w:tc>
        <w:tc>
          <w:tcPr>
            <w:tcW w:w="1928" w:type="dxa"/>
            <w:tcBorders>
              <w:top w:val="single" w:sz="2" w:space="0" w:color="auto"/>
              <w:left w:val="single" w:sz="2" w:space="0" w:color="auto"/>
              <w:bottom w:val="single" w:sz="2" w:space="0" w:color="auto"/>
              <w:right w:val="single" w:sz="2" w:space="0" w:color="auto"/>
            </w:tcBorders>
            <w:vAlign w:val="center"/>
          </w:tcPr>
          <w:p w14:paraId="58C2C71A" w14:textId="77777777" w:rsidR="007B3DB2" w:rsidRPr="0063248C" w:rsidRDefault="00000000">
            <w:pPr>
              <w:spacing w:line="240" w:lineRule="exact"/>
              <w:jc w:val="right"/>
              <w:rPr>
                <w:rFonts w:cs="宋体"/>
                <w:sz w:val="18"/>
                <w:szCs w:val="18"/>
              </w:rPr>
            </w:pPr>
            <w:r w:rsidRPr="0063248C">
              <w:rPr>
                <w:rFonts w:cs="宋体"/>
                <w:sz w:val="18"/>
                <w:szCs w:val="18"/>
              </w:rPr>
              <w:t>31,312,307.89</w:t>
            </w:r>
          </w:p>
        </w:tc>
      </w:tr>
      <w:tr w:rsidR="007B3DB2" w:rsidRPr="0063248C" w14:paraId="60E5914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2C80B0B"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、职工福利费</w:t>
            </w:r>
          </w:p>
        </w:tc>
        <w:tc>
          <w:tcPr>
            <w:tcW w:w="1928" w:type="dxa"/>
            <w:tcBorders>
              <w:top w:val="single" w:sz="2" w:space="0" w:color="auto"/>
              <w:left w:val="single" w:sz="2" w:space="0" w:color="auto"/>
              <w:bottom w:val="single" w:sz="2" w:space="0" w:color="auto"/>
              <w:right w:val="single" w:sz="2" w:space="0" w:color="auto"/>
            </w:tcBorders>
            <w:vAlign w:val="center"/>
          </w:tcPr>
          <w:p w14:paraId="2F5C98FD"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E65DC48" w14:textId="77777777" w:rsidR="007B3DB2" w:rsidRPr="0063248C" w:rsidRDefault="00000000">
            <w:pPr>
              <w:spacing w:line="240" w:lineRule="exact"/>
              <w:jc w:val="right"/>
              <w:rPr>
                <w:rFonts w:cs="宋体"/>
                <w:sz w:val="18"/>
                <w:szCs w:val="18"/>
              </w:rPr>
            </w:pPr>
            <w:r w:rsidRPr="0063248C">
              <w:rPr>
                <w:rFonts w:cs="宋体"/>
                <w:sz w:val="18"/>
                <w:szCs w:val="18"/>
              </w:rPr>
              <w:t>6,579,911.20</w:t>
            </w:r>
          </w:p>
        </w:tc>
        <w:tc>
          <w:tcPr>
            <w:tcW w:w="1928" w:type="dxa"/>
            <w:tcBorders>
              <w:top w:val="single" w:sz="2" w:space="0" w:color="auto"/>
              <w:left w:val="single" w:sz="2" w:space="0" w:color="auto"/>
              <w:bottom w:val="single" w:sz="2" w:space="0" w:color="auto"/>
              <w:right w:val="single" w:sz="2" w:space="0" w:color="auto"/>
            </w:tcBorders>
            <w:vAlign w:val="center"/>
          </w:tcPr>
          <w:p w14:paraId="74C07CBC" w14:textId="77777777" w:rsidR="007B3DB2" w:rsidRPr="0063248C" w:rsidRDefault="00000000">
            <w:pPr>
              <w:spacing w:line="240" w:lineRule="exact"/>
              <w:jc w:val="right"/>
              <w:rPr>
                <w:rFonts w:cs="宋体"/>
                <w:sz w:val="18"/>
                <w:szCs w:val="18"/>
              </w:rPr>
            </w:pPr>
            <w:r w:rsidRPr="0063248C">
              <w:rPr>
                <w:rFonts w:cs="宋体"/>
                <w:sz w:val="18"/>
                <w:szCs w:val="18"/>
              </w:rPr>
              <w:t>6,579,911.20</w:t>
            </w:r>
          </w:p>
        </w:tc>
        <w:tc>
          <w:tcPr>
            <w:tcW w:w="1928" w:type="dxa"/>
            <w:tcBorders>
              <w:top w:val="single" w:sz="2" w:space="0" w:color="auto"/>
              <w:left w:val="single" w:sz="2" w:space="0" w:color="auto"/>
              <w:bottom w:val="single" w:sz="2" w:space="0" w:color="auto"/>
              <w:right w:val="single" w:sz="2" w:space="0" w:color="auto"/>
            </w:tcBorders>
            <w:vAlign w:val="center"/>
          </w:tcPr>
          <w:p w14:paraId="177E3C8C" w14:textId="77777777" w:rsidR="007B3DB2" w:rsidRPr="0063248C" w:rsidRDefault="007B3DB2">
            <w:pPr>
              <w:spacing w:line="240" w:lineRule="exact"/>
              <w:jc w:val="right"/>
              <w:rPr>
                <w:rFonts w:cs="宋体"/>
                <w:sz w:val="18"/>
                <w:szCs w:val="18"/>
              </w:rPr>
            </w:pPr>
          </w:p>
        </w:tc>
      </w:tr>
      <w:tr w:rsidR="007B3DB2" w:rsidRPr="0063248C" w14:paraId="4B1D89E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2029F57"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、社会保险费</w:t>
            </w:r>
          </w:p>
        </w:tc>
        <w:tc>
          <w:tcPr>
            <w:tcW w:w="1928" w:type="dxa"/>
            <w:tcBorders>
              <w:top w:val="single" w:sz="2" w:space="0" w:color="auto"/>
              <w:left w:val="single" w:sz="2" w:space="0" w:color="auto"/>
              <w:bottom w:val="single" w:sz="2" w:space="0" w:color="auto"/>
              <w:right w:val="single" w:sz="2" w:space="0" w:color="auto"/>
            </w:tcBorders>
            <w:vAlign w:val="center"/>
          </w:tcPr>
          <w:p w14:paraId="19A7AAF1" w14:textId="77777777" w:rsidR="007B3DB2" w:rsidRPr="0063248C" w:rsidRDefault="00000000">
            <w:pPr>
              <w:spacing w:line="240" w:lineRule="exact"/>
              <w:jc w:val="right"/>
              <w:rPr>
                <w:rFonts w:cs="宋体"/>
                <w:sz w:val="18"/>
                <w:szCs w:val="18"/>
              </w:rPr>
            </w:pPr>
            <w:r w:rsidRPr="0063248C">
              <w:rPr>
                <w:rFonts w:cs="宋体"/>
                <w:sz w:val="18"/>
                <w:szCs w:val="18"/>
              </w:rPr>
              <w:t>7,621.20</w:t>
            </w:r>
          </w:p>
        </w:tc>
        <w:tc>
          <w:tcPr>
            <w:tcW w:w="1928" w:type="dxa"/>
            <w:tcBorders>
              <w:top w:val="single" w:sz="2" w:space="0" w:color="auto"/>
              <w:left w:val="single" w:sz="2" w:space="0" w:color="auto"/>
              <w:bottom w:val="single" w:sz="2" w:space="0" w:color="auto"/>
              <w:right w:val="single" w:sz="2" w:space="0" w:color="auto"/>
            </w:tcBorders>
            <w:vAlign w:val="center"/>
          </w:tcPr>
          <w:p w14:paraId="5055AD53" w14:textId="77777777" w:rsidR="007B3DB2" w:rsidRPr="0063248C" w:rsidRDefault="00000000">
            <w:pPr>
              <w:spacing w:line="240" w:lineRule="exact"/>
              <w:jc w:val="right"/>
              <w:rPr>
                <w:rFonts w:cs="宋体"/>
                <w:sz w:val="18"/>
                <w:szCs w:val="18"/>
              </w:rPr>
            </w:pPr>
            <w:r w:rsidRPr="0063248C">
              <w:rPr>
                <w:rFonts w:cs="宋体"/>
                <w:sz w:val="18"/>
                <w:szCs w:val="18"/>
              </w:rPr>
              <w:t>7,355,398.08</w:t>
            </w:r>
          </w:p>
        </w:tc>
        <w:tc>
          <w:tcPr>
            <w:tcW w:w="1928" w:type="dxa"/>
            <w:tcBorders>
              <w:top w:val="single" w:sz="2" w:space="0" w:color="auto"/>
              <w:left w:val="single" w:sz="2" w:space="0" w:color="auto"/>
              <w:bottom w:val="single" w:sz="2" w:space="0" w:color="auto"/>
              <w:right w:val="single" w:sz="2" w:space="0" w:color="auto"/>
            </w:tcBorders>
            <w:vAlign w:val="center"/>
          </w:tcPr>
          <w:p w14:paraId="01E737D3" w14:textId="77777777" w:rsidR="007B3DB2" w:rsidRPr="0063248C" w:rsidRDefault="00000000">
            <w:pPr>
              <w:spacing w:line="240" w:lineRule="exact"/>
              <w:jc w:val="right"/>
              <w:rPr>
                <w:rFonts w:cs="宋体"/>
                <w:sz w:val="18"/>
                <w:szCs w:val="18"/>
              </w:rPr>
            </w:pPr>
            <w:r w:rsidRPr="0063248C">
              <w:rPr>
                <w:rFonts w:cs="宋体"/>
                <w:sz w:val="18"/>
                <w:szCs w:val="18"/>
              </w:rPr>
              <w:t>7,363,019.28</w:t>
            </w:r>
          </w:p>
        </w:tc>
        <w:tc>
          <w:tcPr>
            <w:tcW w:w="1928" w:type="dxa"/>
            <w:tcBorders>
              <w:top w:val="single" w:sz="2" w:space="0" w:color="auto"/>
              <w:left w:val="single" w:sz="2" w:space="0" w:color="auto"/>
              <w:bottom w:val="single" w:sz="2" w:space="0" w:color="auto"/>
              <w:right w:val="single" w:sz="2" w:space="0" w:color="auto"/>
            </w:tcBorders>
            <w:vAlign w:val="center"/>
          </w:tcPr>
          <w:p w14:paraId="1E5557FF" w14:textId="77777777" w:rsidR="007B3DB2" w:rsidRPr="0063248C" w:rsidRDefault="007B3DB2">
            <w:pPr>
              <w:spacing w:line="240" w:lineRule="exact"/>
              <w:jc w:val="right"/>
              <w:rPr>
                <w:rFonts w:cs="宋体"/>
                <w:sz w:val="18"/>
                <w:szCs w:val="18"/>
              </w:rPr>
            </w:pPr>
          </w:p>
        </w:tc>
      </w:tr>
      <w:tr w:rsidR="007B3DB2" w:rsidRPr="0063248C" w14:paraId="59BFF53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4089EF"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14:paraId="11F86AF2" w14:textId="77777777" w:rsidR="007B3DB2" w:rsidRPr="0063248C" w:rsidRDefault="00000000">
            <w:pPr>
              <w:spacing w:line="240" w:lineRule="exact"/>
              <w:jc w:val="right"/>
              <w:rPr>
                <w:rFonts w:cs="宋体"/>
                <w:sz w:val="18"/>
                <w:szCs w:val="18"/>
              </w:rPr>
            </w:pPr>
            <w:r w:rsidRPr="0063248C">
              <w:rPr>
                <w:rFonts w:cs="宋体"/>
                <w:sz w:val="18"/>
                <w:szCs w:val="18"/>
              </w:rPr>
              <w:t>7,494.70</w:t>
            </w:r>
          </w:p>
        </w:tc>
        <w:tc>
          <w:tcPr>
            <w:tcW w:w="1928" w:type="dxa"/>
            <w:tcBorders>
              <w:top w:val="single" w:sz="2" w:space="0" w:color="auto"/>
              <w:left w:val="single" w:sz="2" w:space="0" w:color="auto"/>
              <w:bottom w:val="single" w:sz="2" w:space="0" w:color="auto"/>
              <w:right w:val="single" w:sz="2" w:space="0" w:color="auto"/>
            </w:tcBorders>
            <w:vAlign w:val="center"/>
          </w:tcPr>
          <w:p w14:paraId="022B8695" w14:textId="77777777" w:rsidR="007B3DB2" w:rsidRPr="0063248C" w:rsidRDefault="00000000">
            <w:pPr>
              <w:spacing w:line="240" w:lineRule="exact"/>
              <w:jc w:val="right"/>
              <w:rPr>
                <w:rFonts w:cs="宋体"/>
                <w:sz w:val="18"/>
                <w:szCs w:val="18"/>
              </w:rPr>
            </w:pPr>
            <w:r w:rsidRPr="0063248C">
              <w:rPr>
                <w:rFonts w:cs="宋体"/>
                <w:sz w:val="18"/>
                <w:szCs w:val="18"/>
              </w:rPr>
              <w:t>6,793,249.10</w:t>
            </w:r>
          </w:p>
        </w:tc>
        <w:tc>
          <w:tcPr>
            <w:tcW w:w="1928" w:type="dxa"/>
            <w:tcBorders>
              <w:top w:val="single" w:sz="2" w:space="0" w:color="auto"/>
              <w:left w:val="single" w:sz="2" w:space="0" w:color="auto"/>
              <w:bottom w:val="single" w:sz="2" w:space="0" w:color="auto"/>
              <w:right w:val="single" w:sz="2" w:space="0" w:color="auto"/>
            </w:tcBorders>
            <w:vAlign w:val="center"/>
          </w:tcPr>
          <w:p w14:paraId="5AD6AC3D" w14:textId="77777777" w:rsidR="007B3DB2" w:rsidRPr="0063248C" w:rsidRDefault="00000000">
            <w:pPr>
              <w:spacing w:line="240" w:lineRule="exact"/>
              <w:jc w:val="right"/>
              <w:rPr>
                <w:rFonts w:cs="宋体"/>
                <w:sz w:val="18"/>
                <w:szCs w:val="18"/>
              </w:rPr>
            </w:pPr>
            <w:r w:rsidRPr="0063248C">
              <w:rPr>
                <w:rFonts w:cs="宋体"/>
                <w:sz w:val="18"/>
                <w:szCs w:val="18"/>
              </w:rPr>
              <w:t>6,800,743.80</w:t>
            </w:r>
          </w:p>
        </w:tc>
        <w:tc>
          <w:tcPr>
            <w:tcW w:w="1928" w:type="dxa"/>
            <w:tcBorders>
              <w:top w:val="single" w:sz="2" w:space="0" w:color="auto"/>
              <w:left w:val="single" w:sz="2" w:space="0" w:color="auto"/>
              <w:bottom w:val="single" w:sz="2" w:space="0" w:color="auto"/>
              <w:right w:val="single" w:sz="2" w:space="0" w:color="auto"/>
            </w:tcBorders>
            <w:vAlign w:val="center"/>
          </w:tcPr>
          <w:p w14:paraId="789A7D25" w14:textId="77777777" w:rsidR="007B3DB2" w:rsidRPr="0063248C" w:rsidRDefault="007B3DB2">
            <w:pPr>
              <w:spacing w:line="240" w:lineRule="exact"/>
              <w:jc w:val="right"/>
              <w:rPr>
                <w:rFonts w:cs="宋体"/>
                <w:sz w:val="18"/>
                <w:szCs w:val="18"/>
              </w:rPr>
            </w:pPr>
          </w:p>
        </w:tc>
      </w:tr>
      <w:tr w:rsidR="007B3DB2" w:rsidRPr="0063248C" w14:paraId="1D1D408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302EA8" w14:textId="77777777" w:rsidR="007B3DB2" w:rsidRPr="0063248C" w:rsidRDefault="00000000">
            <w:pPr>
              <w:spacing w:before="40" w:after="40" w:line="240" w:lineRule="exact"/>
              <w:ind w:firstLineChars="500" w:firstLine="900"/>
              <w:rPr>
                <w:rFonts w:cs="宋体"/>
                <w:sz w:val="18"/>
                <w:szCs w:val="18"/>
              </w:rPr>
            </w:pPr>
            <w:r w:rsidRPr="0063248C">
              <w:rPr>
                <w:rFonts w:cs="宋体"/>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14:paraId="377AA26C" w14:textId="77777777" w:rsidR="007B3DB2" w:rsidRPr="0063248C" w:rsidRDefault="00000000">
            <w:pPr>
              <w:spacing w:line="240" w:lineRule="exact"/>
              <w:jc w:val="right"/>
              <w:rPr>
                <w:rFonts w:cs="宋体"/>
                <w:sz w:val="18"/>
                <w:szCs w:val="18"/>
              </w:rPr>
            </w:pPr>
            <w:r w:rsidRPr="0063248C">
              <w:rPr>
                <w:rFonts w:cs="宋体"/>
                <w:sz w:val="18"/>
                <w:szCs w:val="18"/>
              </w:rPr>
              <w:t>126.50</w:t>
            </w:r>
          </w:p>
        </w:tc>
        <w:tc>
          <w:tcPr>
            <w:tcW w:w="1928" w:type="dxa"/>
            <w:tcBorders>
              <w:top w:val="single" w:sz="2" w:space="0" w:color="auto"/>
              <w:left w:val="single" w:sz="2" w:space="0" w:color="auto"/>
              <w:bottom w:val="single" w:sz="2" w:space="0" w:color="auto"/>
              <w:right w:val="single" w:sz="2" w:space="0" w:color="auto"/>
            </w:tcBorders>
            <w:vAlign w:val="center"/>
          </w:tcPr>
          <w:p w14:paraId="76B5D655" w14:textId="77777777" w:rsidR="007B3DB2" w:rsidRPr="0063248C" w:rsidRDefault="00000000">
            <w:pPr>
              <w:spacing w:line="240" w:lineRule="exact"/>
              <w:jc w:val="right"/>
              <w:rPr>
                <w:rFonts w:cs="宋体"/>
                <w:sz w:val="18"/>
                <w:szCs w:val="18"/>
              </w:rPr>
            </w:pPr>
            <w:r w:rsidRPr="0063248C">
              <w:rPr>
                <w:rFonts w:cs="宋体"/>
                <w:sz w:val="18"/>
                <w:szCs w:val="18"/>
              </w:rPr>
              <w:t>562,148.98</w:t>
            </w:r>
          </w:p>
        </w:tc>
        <w:tc>
          <w:tcPr>
            <w:tcW w:w="1928" w:type="dxa"/>
            <w:tcBorders>
              <w:top w:val="single" w:sz="2" w:space="0" w:color="auto"/>
              <w:left w:val="single" w:sz="2" w:space="0" w:color="auto"/>
              <w:bottom w:val="single" w:sz="2" w:space="0" w:color="auto"/>
              <w:right w:val="single" w:sz="2" w:space="0" w:color="auto"/>
            </w:tcBorders>
            <w:vAlign w:val="center"/>
          </w:tcPr>
          <w:p w14:paraId="38EC778F" w14:textId="77777777" w:rsidR="007B3DB2" w:rsidRPr="0063248C" w:rsidRDefault="00000000">
            <w:pPr>
              <w:spacing w:line="240" w:lineRule="exact"/>
              <w:jc w:val="right"/>
              <w:rPr>
                <w:rFonts w:cs="宋体"/>
                <w:sz w:val="18"/>
                <w:szCs w:val="18"/>
              </w:rPr>
            </w:pPr>
            <w:r w:rsidRPr="0063248C">
              <w:rPr>
                <w:rFonts w:cs="宋体"/>
                <w:sz w:val="18"/>
                <w:szCs w:val="18"/>
              </w:rPr>
              <w:t>562,275.48</w:t>
            </w:r>
          </w:p>
        </w:tc>
        <w:tc>
          <w:tcPr>
            <w:tcW w:w="1928" w:type="dxa"/>
            <w:tcBorders>
              <w:top w:val="single" w:sz="2" w:space="0" w:color="auto"/>
              <w:left w:val="single" w:sz="2" w:space="0" w:color="auto"/>
              <w:bottom w:val="single" w:sz="2" w:space="0" w:color="auto"/>
              <w:right w:val="single" w:sz="2" w:space="0" w:color="auto"/>
            </w:tcBorders>
            <w:vAlign w:val="center"/>
          </w:tcPr>
          <w:p w14:paraId="62B38C61" w14:textId="77777777" w:rsidR="007B3DB2" w:rsidRPr="0063248C" w:rsidRDefault="007B3DB2">
            <w:pPr>
              <w:spacing w:line="240" w:lineRule="exact"/>
              <w:jc w:val="right"/>
              <w:rPr>
                <w:rFonts w:cs="宋体"/>
                <w:sz w:val="18"/>
                <w:szCs w:val="18"/>
              </w:rPr>
            </w:pPr>
          </w:p>
        </w:tc>
      </w:tr>
      <w:tr w:rsidR="007B3DB2" w:rsidRPr="0063248C" w14:paraId="0D25FDF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40517C" w14:textId="77777777" w:rsidR="007B3DB2" w:rsidRPr="0063248C" w:rsidRDefault="00000000">
            <w:pPr>
              <w:spacing w:before="40" w:after="40" w:line="240" w:lineRule="exact"/>
              <w:rPr>
                <w:rFonts w:cs="宋体"/>
                <w:sz w:val="18"/>
                <w:szCs w:val="18"/>
              </w:rPr>
            </w:pPr>
            <w:r w:rsidRPr="0063248C">
              <w:rPr>
                <w:rFonts w:cs="宋体"/>
                <w:sz w:val="18"/>
                <w:szCs w:val="18"/>
              </w:rPr>
              <w:t>4</w:t>
            </w:r>
            <w:r w:rsidRPr="0063248C">
              <w:rPr>
                <w:rFonts w:cs="宋体"/>
                <w:sz w:val="18"/>
                <w:szCs w:val="18"/>
              </w:rPr>
              <w:t>、住房公积金</w:t>
            </w:r>
          </w:p>
        </w:tc>
        <w:tc>
          <w:tcPr>
            <w:tcW w:w="1928" w:type="dxa"/>
            <w:tcBorders>
              <w:top w:val="single" w:sz="2" w:space="0" w:color="auto"/>
              <w:left w:val="single" w:sz="2" w:space="0" w:color="auto"/>
              <w:bottom w:val="single" w:sz="2" w:space="0" w:color="auto"/>
              <w:right w:val="single" w:sz="2" w:space="0" w:color="auto"/>
            </w:tcBorders>
            <w:vAlign w:val="center"/>
          </w:tcPr>
          <w:p w14:paraId="6C82B37F" w14:textId="77777777" w:rsidR="007B3DB2" w:rsidRPr="0063248C" w:rsidRDefault="00000000">
            <w:pPr>
              <w:spacing w:line="240" w:lineRule="exact"/>
              <w:jc w:val="right"/>
              <w:rPr>
                <w:rFonts w:cs="宋体"/>
                <w:sz w:val="18"/>
                <w:szCs w:val="18"/>
              </w:rPr>
            </w:pPr>
            <w:r w:rsidRPr="0063248C">
              <w:rPr>
                <w:rFonts w:cs="宋体"/>
                <w:sz w:val="18"/>
                <w:szCs w:val="18"/>
              </w:rPr>
              <w:t>2,700.00</w:t>
            </w:r>
          </w:p>
        </w:tc>
        <w:tc>
          <w:tcPr>
            <w:tcW w:w="1928" w:type="dxa"/>
            <w:tcBorders>
              <w:top w:val="single" w:sz="2" w:space="0" w:color="auto"/>
              <w:left w:val="single" w:sz="2" w:space="0" w:color="auto"/>
              <w:bottom w:val="single" w:sz="2" w:space="0" w:color="auto"/>
              <w:right w:val="single" w:sz="2" w:space="0" w:color="auto"/>
            </w:tcBorders>
            <w:vAlign w:val="center"/>
          </w:tcPr>
          <w:p w14:paraId="6D2D0AD7" w14:textId="77777777" w:rsidR="007B3DB2" w:rsidRPr="0063248C" w:rsidRDefault="00000000">
            <w:pPr>
              <w:spacing w:line="240" w:lineRule="exact"/>
              <w:jc w:val="right"/>
              <w:rPr>
                <w:rFonts w:cs="宋体"/>
                <w:sz w:val="18"/>
                <w:szCs w:val="18"/>
              </w:rPr>
            </w:pPr>
            <w:r w:rsidRPr="0063248C">
              <w:rPr>
                <w:rFonts w:cs="宋体"/>
                <w:sz w:val="18"/>
                <w:szCs w:val="18"/>
              </w:rPr>
              <w:t>1,682,507.00</w:t>
            </w:r>
          </w:p>
        </w:tc>
        <w:tc>
          <w:tcPr>
            <w:tcW w:w="1928" w:type="dxa"/>
            <w:tcBorders>
              <w:top w:val="single" w:sz="2" w:space="0" w:color="auto"/>
              <w:left w:val="single" w:sz="2" w:space="0" w:color="auto"/>
              <w:bottom w:val="single" w:sz="2" w:space="0" w:color="auto"/>
              <w:right w:val="single" w:sz="2" w:space="0" w:color="auto"/>
            </w:tcBorders>
            <w:vAlign w:val="center"/>
          </w:tcPr>
          <w:p w14:paraId="7405D61C" w14:textId="77777777" w:rsidR="007B3DB2" w:rsidRPr="0063248C" w:rsidRDefault="00000000">
            <w:pPr>
              <w:spacing w:line="240" w:lineRule="exact"/>
              <w:jc w:val="right"/>
              <w:rPr>
                <w:rFonts w:cs="宋体"/>
                <w:sz w:val="18"/>
                <w:szCs w:val="18"/>
              </w:rPr>
            </w:pPr>
            <w:r w:rsidRPr="0063248C">
              <w:rPr>
                <w:rFonts w:cs="宋体"/>
                <w:sz w:val="18"/>
                <w:szCs w:val="18"/>
              </w:rPr>
              <w:t>1,685,207.00</w:t>
            </w:r>
          </w:p>
        </w:tc>
        <w:tc>
          <w:tcPr>
            <w:tcW w:w="1928" w:type="dxa"/>
            <w:tcBorders>
              <w:top w:val="single" w:sz="2" w:space="0" w:color="auto"/>
              <w:left w:val="single" w:sz="2" w:space="0" w:color="auto"/>
              <w:bottom w:val="single" w:sz="2" w:space="0" w:color="auto"/>
              <w:right w:val="single" w:sz="2" w:space="0" w:color="auto"/>
            </w:tcBorders>
            <w:vAlign w:val="center"/>
          </w:tcPr>
          <w:p w14:paraId="1EF3E1B1" w14:textId="77777777" w:rsidR="007B3DB2" w:rsidRPr="0063248C" w:rsidRDefault="007B3DB2">
            <w:pPr>
              <w:spacing w:line="240" w:lineRule="exact"/>
              <w:jc w:val="right"/>
              <w:rPr>
                <w:rFonts w:cs="宋体"/>
                <w:sz w:val="18"/>
                <w:szCs w:val="18"/>
              </w:rPr>
            </w:pPr>
          </w:p>
        </w:tc>
      </w:tr>
      <w:tr w:rsidR="007B3DB2" w:rsidRPr="0063248C" w14:paraId="3E34E08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58CF58E" w14:textId="77777777" w:rsidR="007B3DB2" w:rsidRPr="0063248C" w:rsidRDefault="00000000">
            <w:pPr>
              <w:spacing w:before="40" w:after="40" w:line="240" w:lineRule="exact"/>
              <w:rPr>
                <w:rFonts w:cs="宋体"/>
                <w:sz w:val="18"/>
                <w:szCs w:val="18"/>
              </w:rPr>
            </w:pPr>
            <w:r w:rsidRPr="0063248C">
              <w:rPr>
                <w:rFonts w:cs="宋体"/>
                <w:sz w:val="18"/>
                <w:szCs w:val="18"/>
              </w:rPr>
              <w:t>5</w:t>
            </w:r>
            <w:r w:rsidRPr="0063248C">
              <w:rPr>
                <w:rFonts w:cs="宋体"/>
                <w:sz w:val="18"/>
                <w:szCs w:val="18"/>
              </w:rPr>
              <w:t>、工会经费和职工教育经费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14:paraId="0BB4EFA1"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75998F4" w14:textId="77777777" w:rsidR="007B3DB2" w:rsidRPr="0063248C" w:rsidRDefault="00000000">
            <w:pPr>
              <w:spacing w:line="240" w:lineRule="exact"/>
              <w:jc w:val="right"/>
              <w:rPr>
                <w:rFonts w:cs="宋体"/>
                <w:sz w:val="18"/>
                <w:szCs w:val="18"/>
              </w:rPr>
            </w:pPr>
            <w:r w:rsidRPr="0063248C">
              <w:rPr>
                <w:rFonts w:cs="宋体"/>
                <w:sz w:val="18"/>
                <w:szCs w:val="18"/>
              </w:rPr>
              <w:t>133,876.42</w:t>
            </w:r>
          </w:p>
        </w:tc>
        <w:tc>
          <w:tcPr>
            <w:tcW w:w="1928" w:type="dxa"/>
            <w:tcBorders>
              <w:top w:val="single" w:sz="2" w:space="0" w:color="auto"/>
              <w:left w:val="single" w:sz="2" w:space="0" w:color="auto"/>
              <w:bottom w:val="single" w:sz="2" w:space="0" w:color="auto"/>
              <w:right w:val="single" w:sz="2" w:space="0" w:color="auto"/>
            </w:tcBorders>
            <w:vAlign w:val="center"/>
          </w:tcPr>
          <w:p w14:paraId="034D9B97" w14:textId="77777777" w:rsidR="007B3DB2" w:rsidRPr="0063248C" w:rsidRDefault="00000000">
            <w:pPr>
              <w:spacing w:line="240" w:lineRule="exact"/>
              <w:jc w:val="right"/>
              <w:rPr>
                <w:rFonts w:cs="宋体"/>
                <w:sz w:val="18"/>
                <w:szCs w:val="18"/>
              </w:rPr>
            </w:pPr>
            <w:r w:rsidRPr="0063248C">
              <w:rPr>
                <w:rFonts w:cs="宋体"/>
                <w:sz w:val="18"/>
                <w:szCs w:val="18"/>
              </w:rPr>
              <w:t>127,876.42</w:t>
            </w:r>
          </w:p>
        </w:tc>
        <w:tc>
          <w:tcPr>
            <w:tcW w:w="1928" w:type="dxa"/>
            <w:tcBorders>
              <w:top w:val="single" w:sz="2" w:space="0" w:color="auto"/>
              <w:left w:val="single" w:sz="2" w:space="0" w:color="auto"/>
              <w:bottom w:val="single" w:sz="2" w:space="0" w:color="auto"/>
              <w:right w:val="single" w:sz="2" w:space="0" w:color="auto"/>
            </w:tcBorders>
            <w:vAlign w:val="center"/>
          </w:tcPr>
          <w:p w14:paraId="5356A641" w14:textId="77777777" w:rsidR="007B3DB2" w:rsidRPr="0063248C" w:rsidRDefault="00000000">
            <w:pPr>
              <w:spacing w:line="240" w:lineRule="exact"/>
              <w:jc w:val="right"/>
              <w:rPr>
                <w:rFonts w:cs="宋体"/>
                <w:sz w:val="18"/>
                <w:szCs w:val="18"/>
              </w:rPr>
            </w:pPr>
            <w:r w:rsidRPr="0063248C">
              <w:rPr>
                <w:rFonts w:cs="宋体"/>
                <w:sz w:val="18"/>
                <w:szCs w:val="18"/>
              </w:rPr>
              <w:t>6,000.00</w:t>
            </w:r>
          </w:p>
        </w:tc>
      </w:tr>
      <w:tr w:rsidR="007B3DB2" w:rsidRPr="0063248C" w14:paraId="75F862A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95C45B"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459A8477" w14:textId="77777777" w:rsidR="007B3DB2" w:rsidRPr="0063248C" w:rsidRDefault="00000000">
            <w:pPr>
              <w:spacing w:line="240" w:lineRule="exact"/>
              <w:jc w:val="right"/>
              <w:rPr>
                <w:rFonts w:cs="宋体"/>
                <w:sz w:val="18"/>
                <w:szCs w:val="18"/>
              </w:rPr>
            </w:pPr>
            <w:r w:rsidRPr="0063248C">
              <w:rPr>
                <w:rFonts w:cs="宋体"/>
                <w:sz w:val="18"/>
                <w:szCs w:val="18"/>
              </w:rPr>
              <w:t>41,323,324.33</w:t>
            </w:r>
          </w:p>
        </w:tc>
        <w:tc>
          <w:tcPr>
            <w:tcW w:w="1928" w:type="dxa"/>
            <w:tcBorders>
              <w:top w:val="single" w:sz="2" w:space="0" w:color="auto"/>
              <w:left w:val="single" w:sz="2" w:space="0" w:color="auto"/>
              <w:bottom w:val="single" w:sz="2" w:space="0" w:color="auto"/>
              <w:right w:val="single" w:sz="2" w:space="0" w:color="auto"/>
            </w:tcBorders>
            <w:vAlign w:val="center"/>
          </w:tcPr>
          <w:p w14:paraId="53D8A5EA" w14:textId="77777777" w:rsidR="007B3DB2" w:rsidRPr="0063248C" w:rsidRDefault="00000000">
            <w:pPr>
              <w:spacing w:line="240" w:lineRule="exact"/>
              <w:jc w:val="right"/>
              <w:rPr>
                <w:rFonts w:cs="宋体"/>
                <w:sz w:val="18"/>
                <w:szCs w:val="18"/>
              </w:rPr>
            </w:pPr>
            <w:r w:rsidRPr="0063248C">
              <w:rPr>
                <w:rFonts w:cs="宋体"/>
                <w:sz w:val="18"/>
                <w:szCs w:val="18"/>
              </w:rPr>
              <w:t>204,105,999.58</w:t>
            </w:r>
          </w:p>
        </w:tc>
        <w:tc>
          <w:tcPr>
            <w:tcW w:w="1928" w:type="dxa"/>
            <w:tcBorders>
              <w:top w:val="single" w:sz="2" w:space="0" w:color="auto"/>
              <w:left w:val="single" w:sz="2" w:space="0" w:color="auto"/>
              <w:bottom w:val="single" w:sz="2" w:space="0" w:color="auto"/>
              <w:right w:val="single" w:sz="2" w:space="0" w:color="auto"/>
            </w:tcBorders>
            <w:vAlign w:val="center"/>
          </w:tcPr>
          <w:p w14:paraId="3961F64C" w14:textId="77777777" w:rsidR="007B3DB2" w:rsidRPr="0063248C" w:rsidRDefault="00000000">
            <w:pPr>
              <w:spacing w:line="240" w:lineRule="exact"/>
              <w:jc w:val="right"/>
              <w:rPr>
                <w:rFonts w:cs="宋体"/>
                <w:sz w:val="18"/>
                <w:szCs w:val="18"/>
              </w:rPr>
            </w:pPr>
            <w:r w:rsidRPr="0063248C">
              <w:rPr>
                <w:rFonts w:cs="宋体"/>
                <w:sz w:val="18"/>
                <w:szCs w:val="18"/>
              </w:rPr>
              <w:t>214,111,016.02</w:t>
            </w:r>
          </w:p>
        </w:tc>
        <w:tc>
          <w:tcPr>
            <w:tcW w:w="1928" w:type="dxa"/>
            <w:tcBorders>
              <w:top w:val="single" w:sz="2" w:space="0" w:color="auto"/>
              <w:left w:val="single" w:sz="2" w:space="0" w:color="auto"/>
              <w:bottom w:val="single" w:sz="2" w:space="0" w:color="auto"/>
              <w:right w:val="single" w:sz="2" w:space="0" w:color="auto"/>
            </w:tcBorders>
            <w:vAlign w:val="center"/>
          </w:tcPr>
          <w:p w14:paraId="7E3297D9" w14:textId="77777777" w:rsidR="007B3DB2" w:rsidRPr="0063248C" w:rsidRDefault="00000000">
            <w:pPr>
              <w:spacing w:line="240" w:lineRule="exact"/>
              <w:jc w:val="right"/>
              <w:rPr>
                <w:rFonts w:cs="宋体"/>
                <w:sz w:val="18"/>
                <w:szCs w:val="18"/>
              </w:rPr>
            </w:pPr>
            <w:r w:rsidRPr="0063248C">
              <w:rPr>
                <w:rFonts w:cs="宋体"/>
                <w:sz w:val="18"/>
                <w:szCs w:val="18"/>
              </w:rPr>
              <w:t>31,318,307.89</w:t>
            </w:r>
          </w:p>
        </w:tc>
      </w:tr>
    </w:tbl>
    <w:p w14:paraId="54EDA690" w14:textId="77777777" w:rsidR="007B3DB2" w:rsidRPr="0063248C" w:rsidRDefault="00000000">
      <w:pPr>
        <w:keepNext/>
        <w:keepLines/>
        <w:spacing w:before="300" w:after="300" w:line="280" w:lineRule="exact"/>
        <w:outlineLvl w:val="3"/>
        <w:rPr>
          <w:rFonts w:cs="宋体"/>
          <w:b/>
          <w:bCs/>
          <w:szCs w:val="21"/>
        </w:rPr>
      </w:pPr>
      <w:bookmarkStart w:id="331" w:name="_Toc989220"/>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设定提存计划列示</w:t>
      </w:r>
      <w:bookmarkEnd w:id="331"/>
    </w:p>
    <w:p w14:paraId="3C1BD2EE"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104F528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277CE87"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93AD142"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07A9E02"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B0C5BB6"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4273CAC"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52D7B72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E1EAA50"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、基本养老保险</w:t>
            </w:r>
          </w:p>
        </w:tc>
        <w:tc>
          <w:tcPr>
            <w:tcW w:w="1928" w:type="dxa"/>
            <w:tcBorders>
              <w:top w:val="single" w:sz="2" w:space="0" w:color="auto"/>
              <w:left w:val="single" w:sz="2" w:space="0" w:color="auto"/>
              <w:bottom w:val="single" w:sz="2" w:space="0" w:color="auto"/>
              <w:right w:val="single" w:sz="2" w:space="0" w:color="auto"/>
            </w:tcBorders>
            <w:vAlign w:val="center"/>
          </w:tcPr>
          <w:p w14:paraId="097896A8" w14:textId="77777777" w:rsidR="007B3DB2" w:rsidRPr="0063248C" w:rsidRDefault="00000000">
            <w:pPr>
              <w:spacing w:line="240" w:lineRule="exact"/>
              <w:jc w:val="right"/>
              <w:rPr>
                <w:rFonts w:cs="宋体"/>
                <w:sz w:val="18"/>
                <w:szCs w:val="18"/>
              </w:rPr>
            </w:pPr>
            <w:r w:rsidRPr="0063248C">
              <w:rPr>
                <w:rFonts w:cs="宋体"/>
                <w:sz w:val="18"/>
                <w:szCs w:val="18"/>
              </w:rPr>
              <w:t>15,182.40</w:t>
            </w:r>
          </w:p>
        </w:tc>
        <w:tc>
          <w:tcPr>
            <w:tcW w:w="1928" w:type="dxa"/>
            <w:tcBorders>
              <w:top w:val="single" w:sz="2" w:space="0" w:color="auto"/>
              <w:left w:val="single" w:sz="2" w:space="0" w:color="auto"/>
              <w:bottom w:val="single" w:sz="2" w:space="0" w:color="auto"/>
              <w:right w:val="single" w:sz="2" w:space="0" w:color="auto"/>
            </w:tcBorders>
            <w:vAlign w:val="center"/>
          </w:tcPr>
          <w:p w14:paraId="72386B78" w14:textId="77777777" w:rsidR="007B3DB2" w:rsidRPr="0063248C" w:rsidRDefault="00000000">
            <w:pPr>
              <w:spacing w:line="240" w:lineRule="exact"/>
              <w:jc w:val="right"/>
              <w:rPr>
                <w:rFonts w:cs="宋体"/>
                <w:sz w:val="18"/>
                <w:szCs w:val="18"/>
              </w:rPr>
            </w:pPr>
            <w:r w:rsidRPr="0063248C">
              <w:rPr>
                <w:rFonts w:cs="宋体"/>
                <w:sz w:val="18"/>
                <w:szCs w:val="18"/>
              </w:rPr>
              <w:t>13,200,846.30</w:t>
            </w:r>
          </w:p>
        </w:tc>
        <w:tc>
          <w:tcPr>
            <w:tcW w:w="1928" w:type="dxa"/>
            <w:tcBorders>
              <w:top w:val="single" w:sz="2" w:space="0" w:color="auto"/>
              <w:left w:val="single" w:sz="2" w:space="0" w:color="auto"/>
              <w:bottom w:val="single" w:sz="2" w:space="0" w:color="auto"/>
              <w:right w:val="single" w:sz="2" w:space="0" w:color="auto"/>
            </w:tcBorders>
            <w:vAlign w:val="center"/>
          </w:tcPr>
          <w:p w14:paraId="797FBC86" w14:textId="77777777" w:rsidR="007B3DB2" w:rsidRPr="0063248C" w:rsidRDefault="00000000">
            <w:pPr>
              <w:spacing w:line="240" w:lineRule="exact"/>
              <w:jc w:val="right"/>
              <w:rPr>
                <w:rFonts w:cs="宋体"/>
                <w:sz w:val="18"/>
                <w:szCs w:val="18"/>
              </w:rPr>
            </w:pPr>
            <w:r w:rsidRPr="0063248C">
              <w:rPr>
                <w:rFonts w:cs="宋体"/>
                <w:sz w:val="18"/>
                <w:szCs w:val="18"/>
              </w:rPr>
              <w:t>13,216,028.70</w:t>
            </w:r>
          </w:p>
        </w:tc>
        <w:tc>
          <w:tcPr>
            <w:tcW w:w="1928" w:type="dxa"/>
            <w:tcBorders>
              <w:top w:val="single" w:sz="2" w:space="0" w:color="auto"/>
              <w:left w:val="single" w:sz="2" w:space="0" w:color="auto"/>
              <w:bottom w:val="single" w:sz="2" w:space="0" w:color="auto"/>
              <w:right w:val="single" w:sz="2" w:space="0" w:color="auto"/>
            </w:tcBorders>
            <w:vAlign w:val="center"/>
          </w:tcPr>
          <w:p w14:paraId="34704A1B" w14:textId="77777777" w:rsidR="007B3DB2" w:rsidRPr="0063248C" w:rsidRDefault="007B3DB2">
            <w:pPr>
              <w:spacing w:line="240" w:lineRule="exact"/>
              <w:jc w:val="right"/>
              <w:rPr>
                <w:rFonts w:cs="宋体"/>
                <w:sz w:val="18"/>
                <w:szCs w:val="18"/>
              </w:rPr>
            </w:pPr>
          </w:p>
        </w:tc>
      </w:tr>
      <w:tr w:rsidR="007B3DB2" w:rsidRPr="0063248C" w14:paraId="5085457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89A996E"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、失业保险费</w:t>
            </w:r>
          </w:p>
        </w:tc>
        <w:tc>
          <w:tcPr>
            <w:tcW w:w="1928" w:type="dxa"/>
            <w:tcBorders>
              <w:top w:val="single" w:sz="2" w:space="0" w:color="auto"/>
              <w:left w:val="single" w:sz="2" w:space="0" w:color="auto"/>
              <w:bottom w:val="single" w:sz="2" w:space="0" w:color="auto"/>
              <w:right w:val="single" w:sz="2" w:space="0" w:color="auto"/>
            </w:tcBorders>
            <w:vAlign w:val="center"/>
          </w:tcPr>
          <w:p w14:paraId="1DFCDC44" w14:textId="77777777" w:rsidR="007B3DB2" w:rsidRPr="0063248C" w:rsidRDefault="00000000">
            <w:pPr>
              <w:spacing w:line="240" w:lineRule="exact"/>
              <w:jc w:val="right"/>
              <w:rPr>
                <w:rFonts w:cs="宋体"/>
                <w:sz w:val="18"/>
                <w:szCs w:val="18"/>
              </w:rPr>
            </w:pPr>
            <w:r w:rsidRPr="0063248C">
              <w:rPr>
                <w:rFonts w:cs="宋体"/>
                <w:sz w:val="18"/>
                <w:szCs w:val="18"/>
              </w:rPr>
              <w:t>632.60</w:t>
            </w:r>
          </w:p>
        </w:tc>
        <w:tc>
          <w:tcPr>
            <w:tcW w:w="1928" w:type="dxa"/>
            <w:tcBorders>
              <w:top w:val="single" w:sz="2" w:space="0" w:color="auto"/>
              <w:left w:val="single" w:sz="2" w:space="0" w:color="auto"/>
              <w:bottom w:val="single" w:sz="2" w:space="0" w:color="auto"/>
              <w:right w:val="single" w:sz="2" w:space="0" w:color="auto"/>
            </w:tcBorders>
            <w:vAlign w:val="center"/>
          </w:tcPr>
          <w:p w14:paraId="089AE53D" w14:textId="77777777" w:rsidR="007B3DB2" w:rsidRPr="0063248C" w:rsidRDefault="00000000">
            <w:pPr>
              <w:spacing w:line="240" w:lineRule="exact"/>
              <w:jc w:val="right"/>
              <w:rPr>
                <w:rFonts w:cs="宋体"/>
                <w:sz w:val="18"/>
                <w:szCs w:val="18"/>
              </w:rPr>
            </w:pPr>
            <w:r w:rsidRPr="0063248C">
              <w:rPr>
                <w:rFonts w:cs="宋体"/>
                <w:sz w:val="18"/>
                <w:szCs w:val="18"/>
              </w:rPr>
              <w:t>568,485.64</w:t>
            </w:r>
          </w:p>
        </w:tc>
        <w:tc>
          <w:tcPr>
            <w:tcW w:w="1928" w:type="dxa"/>
            <w:tcBorders>
              <w:top w:val="single" w:sz="2" w:space="0" w:color="auto"/>
              <w:left w:val="single" w:sz="2" w:space="0" w:color="auto"/>
              <w:bottom w:val="single" w:sz="2" w:space="0" w:color="auto"/>
              <w:right w:val="single" w:sz="2" w:space="0" w:color="auto"/>
            </w:tcBorders>
            <w:vAlign w:val="center"/>
          </w:tcPr>
          <w:p w14:paraId="3959020B" w14:textId="77777777" w:rsidR="007B3DB2" w:rsidRPr="0063248C" w:rsidRDefault="00000000">
            <w:pPr>
              <w:spacing w:line="240" w:lineRule="exact"/>
              <w:jc w:val="right"/>
              <w:rPr>
                <w:rFonts w:cs="宋体"/>
                <w:sz w:val="18"/>
                <w:szCs w:val="18"/>
              </w:rPr>
            </w:pPr>
            <w:r w:rsidRPr="0063248C">
              <w:rPr>
                <w:rFonts w:cs="宋体"/>
                <w:sz w:val="18"/>
                <w:szCs w:val="18"/>
              </w:rPr>
              <w:t>569,118.24</w:t>
            </w:r>
          </w:p>
        </w:tc>
        <w:tc>
          <w:tcPr>
            <w:tcW w:w="1928" w:type="dxa"/>
            <w:tcBorders>
              <w:top w:val="single" w:sz="2" w:space="0" w:color="auto"/>
              <w:left w:val="single" w:sz="2" w:space="0" w:color="auto"/>
              <w:bottom w:val="single" w:sz="2" w:space="0" w:color="auto"/>
              <w:right w:val="single" w:sz="2" w:space="0" w:color="auto"/>
            </w:tcBorders>
            <w:vAlign w:val="center"/>
          </w:tcPr>
          <w:p w14:paraId="26B03245" w14:textId="77777777" w:rsidR="007B3DB2" w:rsidRPr="0063248C" w:rsidRDefault="007B3DB2">
            <w:pPr>
              <w:spacing w:line="240" w:lineRule="exact"/>
              <w:jc w:val="right"/>
              <w:rPr>
                <w:rFonts w:cs="宋体"/>
                <w:sz w:val="18"/>
                <w:szCs w:val="18"/>
              </w:rPr>
            </w:pPr>
          </w:p>
        </w:tc>
      </w:tr>
      <w:tr w:rsidR="007B3DB2" w:rsidRPr="0063248C" w14:paraId="7C0EBCB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C72CF1"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2B13E84D" w14:textId="77777777" w:rsidR="007B3DB2" w:rsidRPr="0063248C" w:rsidRDefault="00000000">
            <w:pPr>
              <w:spacing w:line="240" w:lineRule="exact"/>
              <w:jc w:val="right"/>
              <w:rPr>
                <w:rFonts w:cs="宋体"/>
                <w:sz w:val="18"/>
                <w:szCs w:val="18"/>
              </w:rPr>
            </w:pPr>
            <w:r w:rsidRPr="0063248C">
              <w:rPr>
                <w:rFonts w:cs="宋体"/>
                <w:sz w:val="18"/>
                <w:szCs w:val="18"/>
              </w:rPr>
              <w:t>15,815.00</w:t>
            </w:r>
          </w:p>
        </w:tc>
        <w:tc>
          <w:tcPr>
            <w:tcW w:w="1928" w:type="dxa"/>
            <w:tcBorders>
              <w:top w:val="single" w:sz="2" w:space="0" w:color="auto"/>
              <w:left w:val="single" w:sz="2" w:space="0" w:color="auto"/>
              <w:bottom w:val="single" w:sz="2" w:space="0" w:color="auto"/>
              <w:right w:val="single" w:sz="2" w:space="0" w:color="auto"/>
            </w:tcBorders>
            <w:vAlign w:val="center"/>
          </w:tcPr>
          <w:p w14:paraId="35C3A824" w14:textId="77777777" w:rsidR="007B3DB2" w:rsidRPr="0063248C" w:rsidRDefault="00000000">
            <w:pPr>
              <w:spacing w:line="240" w:lineRule="exact"/>
              <w:jc w:val="right"/>
              <w:rPr>
                <w:rFonts w:cs="宋体"/>
                <w:sz w:val="18"/>
                <w:szCs w:val="18"/>
              </w:rPr>
            </w:pPr>
            <w:r w:rsidRPr="0063248C">
              <w:rPr>
                <w:rFonts w:cs="宋体"/>
                <w:sz w:val="18"/>
                <w:szCs w:val="18"/>
              </w:rPr>
              <w:t>13,769,331.94</w:t>
            </w:r>
          </w:p>
        </w:tc>
        <w:tc>
          <w:tcPr>
            <w:tcW w:w="1928" w:type="dxa"/>
            <w:tcBorders>
              <w:top w:val="single" w:sz="2" w:space="0" w:color="auto"/>
              <w:left w:val="single" w:sz="2" w:space="0" w:color="auto"/>
              <w:bottom w:val="single" w:sz="2" w:space="0" w:color="auto"/>
              <w:right w:val="single" w:sz="2" w:space="0" w:color="auto"/>
            </w:tcBorders>
            <w:vAlign w:val="center"/>
          </w:tcPr>
          <w:p w14:paraId="2E164293" w14:textId="77777777" w:rsidR="007B3DB2" w:rsidRPr="0063248C" w:rsidRDefault="00000000">
            <w:pPr>
              <w:spacing w:line="240" w:lineRule="exact"/>
              <w:jc w:val="right"/>
              <w:rPr>
                <w:rFonts w:cs="宋体"/>
                <w:sz w:val="18"/>
                <w:szCs w:val="18"/>
              </w:rPr>
            </w:pPr>
            <w:r w:rsidRPr="0063248C">
              <w:rPr>
                <w:rFonts w:cs="宋体"/>
                <w:sz w:val="18"/>
                <w:szCs w:val="18"/>
              </w:rPr>
              <w:t>13,785,146.94</w:t>
            </w:r>
          </w:p>
        </w:tc>
        <w:tc>
          <w:tcPr>
            <w:tcW w:w="1928" w:type="dxa"/>
            <w:tcBorders>
              <w:top w:val="single" w:sz="2" w:space="0" w:color="auto"/>
              <w:left w:val="single" w:sz="2" w:space="0" w:color="auto"/>
              <w:bottom w:val="single" w:sz="2" w:space="0" w:color="auto"/>
              <w:right w:val="single" w:sz="2" w:space="0" w:color="auto"/>
            </w:tcBorders>
            <w:vAlign w:val="center"/>
          </w:tcPr>
          <w:p w14:paraId="2704BE8C" w14:textId="77777777" w:rsidR="007B3DB2" w:rsidRPr="0063248C" w:rsidRDefault="007B3DB2">
            <w:pPr>
              <w:spacing w:line="240" w:lineRule="exact"/>
              <w:jc w:val="right"/>
              <w:rPr>
                <w:rFonts w:cs="宋体"/>
                <w:sz w:val="18"/>
                <w:szCs w:val="18"/>
              </w:rPr>
            </w:pPr>
          </w:p>
        </w:tc>
      </w:tr>
    </w:tbl>
    <w:p w14:paraId="5C6B0A6E"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117BF64E" w14:textId="77777777" w:rsidR="00517D34" w:rsidRPr="0063248C" w:rsidRDefault="00000000">
      <w:pPr>
        <w:pStyle w:val="a3"/>
        <w:divId w:val="1673290497"/>
        <w:rPr>
          <w:rFonts w:ascii="Times New Roman" w:hAnsi="Times New Roman"/>
          <w:sz w:val="18"/>
          <w:szCs w:val="18"/>
        </w:rPr>
      </w:pPr>
      <w:r w:rsidRPr="0063248C">
        <w:rPr>
          <w:rFonts w:ascii="Times New Roman" w:hAnsi="Times New Roman" w:hint="eastAsia"/>
          <w:sz w:val="18"/>
          <w:szCs w:val="18"/>
        </w:rPr>
        <w:t>无</w:t>
      </w:r>
    </w:p>
    <w:p w14:paraId="5BA4C7BB" w14:textId="77777777" w:rsidR="007B3DB2" w:rsidRPr="0063248C" w:rsidRDefault="00000000">
      <w:pPr>
        <w:pStyle w:val="3"/>
        <w:spacing w:line="280" w:lineRule="exact"/>
        <w:jc w:val="left"/>
        <w:rPr>
          <w:rFonts w:cs="宋体"/>
          <w:b/>
          <w:bCs/>
        </w:rPr>
      </w:pPr>
      <w:bookmarkStart w:id="332" w:name="_Toc989221"/>
      <w:r w:rsidRPr="0063248C">
        <w:rPr>
          <w:rFonts w:cs="宋体"/>
          <w:b/>
          <w:bCs/>
        </w:rPr>
        <w:t>41</w:t>
      </w:r>
      <w:r w:rsidRPr="0063248C">
        <w:rPr>
          <w:rFonts w:cs="宋体"/>
          <w:b/>
          <w:bCs/>
        </w:rPr>
        <w:t>、应交税费</w:t>
      </w:r>
      <w:bookmarkEnd w:id="332"/>
    </w:p>
    <w:p w14:paraId="5B8F3004"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1626C8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31F68D"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CC44AE"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73AFA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516890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DA41C2" w14:textId="77777777" w:rsidR="007B3DB2" w:rsidRPr="0063248C" w:rsidRDefault="00000000">
            <w:pPr>
              <w:spacing w:before="40" w:after="40" w:line="240" w:lineRule="exact"/>
              <w:rPr>
                <w:rFonts w:cs="宋体"/>
                <w:sz w:val="18"/>
                <w:szCs w:val="18"/>
              </w:rPr>
            </w:pPr>
            <w:r w:rsidRPr="0063248C">
              <w:rPr>
                <w:rFonts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14:paraId="1819A065" w14:textId="77777777" w:rsidR="007B3DB2" w:rsidRPr="0063248C" w:rsidRDefault="00000000">
            <w:pPr>
              <w:spacing w:line="240" w:lineRule="exact"/>
              <w:jc w:val="right"/>
              <w:rPr>
                <w:rFonts w:cs="宋体"/>
                <w:sz w:val="18"/>
                <w:szCs w:val="18"/>
              </w:rPr>
            </w:pPr>
            <w:r w:rsidRPr="0063248C">
              <w:rPr>
                <w:rFonts w:cs="宋体"/>
                <w:sz w:val="18"/>
                <w:szCs w:val="18"/>
              </w:rPr>
              <w:t>281,570.17</w:t>
            </w:r>
          </w:p>
        </w:tc>
        <w:tc>
          <w:tcPr>
            <w:tcW w:w="3213" w:type="dxa"/>
            <w:tcBorders>
              <w:top w:val="single" w:sz="2" w:space="0" w:color="auto"/>
              <w:left w:val="single" w:sz="2" w:space="0" w:color="auto"/>
              <w:bottom w:val="single" w:sz="2" w:space="0" w:color="auto"/>
              <w:right w:val="single" w:sz="2" w:space="0" w:color="auto"/>
            </w:tcBorders>
            <w:vAlign w:val="center"/>
          </w:tcPr>
          <w:p w14:paraId="2A2B1244" w14:textId="77777777" w:rsidR="007B3DB2" w:rsidRPr="0063248C" w:rsidRDefault="00000000">
            <w:pPr>
              <w:spacing w:line="240" w:lineRule="exact"/>
              <w:jc w:val="right"/>
              <w:rPr>
                <w:rFonts w:cs="宋体"/>
                <w:sz w:val="18"/>
                <w:szCs w:val="18"/>
              </w:rPr>
            </w:pPr>
            <w:r w:rsidRPr="0063248C">
              <w:rPr>
                <w:rFonts w:cs="宋体"/>
                <w:sz w:val="18"/>
                <w:szCs w:val="18"/>
              </w:rPr>
              <w:t>5,263,271.57</w:t>
            </w:r>
          </w:p>
        </w:tc>
      </w:tr>
      <w:tr w:rsidR="007B3DB2" w:rsidRPr="0063248C" w14:paraId="3DEF70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87B0A3" w14:textId="77777777" w:rsidR="007B3DB2" w:rsidRPr="0063248C" w:rsidRDefault="00000000">
            <w:pPr>
              <w:spacing w:before="40" w:after="40" w:line="240" w:lineRule="exact"/>
              <w:rPr>
                <w:rFonts w:cs="宋体"/>
                <w:sz w:val="18"/>
                <w:szCs w:val="18"/>
              </w:rPr>
            </w:pPr>
            <w:r w:rsidRPr="0063248C">
              <w:rPr>
                <w:rFonts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14:paraId="77901E79" w14:textId="77777777" w:rsidR="007B3DB2" w:rsidRPr="0063248C" w:rsidRDefault="00000000">
            <w:pPr>
              <w:spacing w:line="240" w:lineRule="exact"/>
              <w:jc w:val="right"/>
              <w:rPr>
                <w:rFonts w:cs="宋体"/>
                <w:sz w:val="18"/>
                <w:szCs w:val="18"/>
              </w:rPr>
            </w:pPr>
            <w:r w:rsidRPr="0063248C">
              <w:rPr>
                <w:rFonts w:cs="宋体"/>
                <w:sz w:val="18"/>
                <w:szCs w:val="18"/>
              </w:rPr>
              <w:t>1,073,444.44</w:t>
            </w:r>
          </w:p>
        </w:tc>
        <w:tc>
          <w:tcPr>
            <w:tcW w:w="3213" w:type="dxa"/>
            <w:tcBorders>
              <w:top w:val="single" w:sz="2" w:space="0" w:color="auto"/>
              <w:left w:val="single" w:sz="2" w:space="0" w:color="auto"/>
              <w:bottom w:val="single" w:sz="2" w:space="0" w:color="auto"/>
              <w:right w:val="single" w:sz="2" w:space="0" w:color="auto"/>
            </w:tcBorders>
            <w:vAlign w:val="center"/>
          </w:tcPr>
          <w:p w14:paraId="6EEE102D" w14:textId="77777777" w:rsidR="007B3DB2" w:rsidRPr="0063248C" w:rsidRDefault="00000000">
            <w:pPr>
              <w:spacing w:line="240" w:lineRule="exact"/>
              <w:jc w:val="right"/>
              <w:rPr>
                <w:rFonts w:cs="宋体"/>
                <w:sz w:val="18"/>
                <w:szCs w:val="18"/>
              </w:rPr>
            </w:pPr>
            <w:r w:rsidRPr="0063248C">
              <w:rPr>
                <w:rFonts w:cs="宋体"/>
                <w:sz w:val="18"/>
                <w:szCs w:val="18"/>
              </w:rPr>
              <w:t>1,292,913.17</w:t>
            </w:r>
          </w:p>
        </w:tc>
      </w:tr>
      <w:tr w:rsidR="007B3DB2" w:rsidRPr="0063248C" w14:paraId="25E194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CA3C2F" w14:textId="77777777" w:rsidR="007B3DB2" w:rsidRPr="0063248C" w:rsidRDefault="00000000">
            <w:pPr>
              <w:spacing w:before="40" w:after="40" w:line="240" w:lineRule="exact"/>
              <w:rPr>
                <w:rFonts w:cs="宋体"/>
                <w:sz w:val="18"/>
                <w:szCs w:val="18"/>
              </w:rPr>
            </w:pPr>
            <w:r w:rsidRPr="0063248C">
              <w:rPr>
                <w:rFonts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14:paraId="5A73A5BF" w14:textId="77777777" w:rsidR="007B3DB2" w:rsidRPr="0063248C" w:rsidRDefault="00000000">
            <w:pPr>
              <w:spacing w:line="240" w:lineRule="exact"/>
              <w:jc w:val="right"/>
              <w:rPr>
                <w:rFonts w:cs="宋体"/>
                <w:sz w:val="18"/>
                <w:szCs w:val="18"/>
              </w:rPr>
            </w:pPr>
            <w:r w:rsidRPr="0063248C">
              <w:rPr>
                <w:rFonts w:cs="宋体"/>
                <w:sz w:val="18"/>
                <w:szCs w:val="18"/>
              </w:rPr>
              <w:t>218,530.04</w:t>
            </w:r>
          </w:p>
        </w:tc>
        <w:tc>
          <w:tcPr>
            <w:tcW w:w="3213" w:type="dxa"/>
            <w:tcBorders>
              <w:top w:val="single" w:sz="2" w:space="0" w:color="auto"/>
              <w:left w:val="single" w:sz="2" w:space="0" w:color="auto"/>
              <w:bottom w:val="single" w:sz="2" w:space="0" w:color="auto"/>
              <w:right w:val="single" w:sz="2" w:space="0" w:color="auto"/>
            </w:tcBorders>
            <w:vAlign w:val="center"/>
          </w:tcPr>
          <w:p w14:paraId="21AA85F4" w14:textId="77777777" w:rsidR="007B3DB2" w:rsidRPr="0063248C" w:rsidRDefault="00000000">
            <w:pPr>
              <w:spacing w:line="240" w:lineRule="exact"/>
              <w:jc w:val="right"/>
              <w:rPr>
                <w:rFonts w:cs="宋体"/>
                <w:sz w:val="18"/>
                <w:szCs w:val="18"/>
              </w:rPr>
            </w:pPr>
            <w:r w:rsidRPr="0063248C">
              <w:rPr>
                <w:rFonts w:cs="宋体"/>
                <w:sz w:val="18"/>
                <w:szCs w:val="18"/>
              </w:rPr>
              <w:t>347,547.55</w:t>
            </w:r>
          </w:p>
        </w:tc>
      </w:tr>
      <w:tr w:rsidR="007B3DB2" w:rsidRPr="0063248C" w14:paraId="3F5B98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19D1F5" w14:textId="77777777" w:rsidR="007B3DB2" w:rsidRPr="0063248C" w:rsidRDefault="00000000">
            <w:pPr>
              <w:spacing w:before="40" w:after="40" w:line="240" w:lineRule="exact"/>
              <w:rPr>
                <w:rFonts w:cs="宋体"/>
                <w:sz w:val="18"/>
                <w:szCs w:val="18"/>
              </w:rPr>
            </w:pPr>
            <w:r w:rsidRPr="0063248C">
              <w:rPr>
                <w:rFonts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2B9889C2" w14:textId="77777777" w:rsidR="007B3DB2" w:rsidRPr="0063248C" w:rsidRDefault="00000000">
            <w:pPr>
              <w:spacing w:line="240" w:lineRule="exact"/>
              <w:jc w:val="right"/>
              <w:rPr>
                <w:rFonts w:cs="宋体"/>
                <w:sz w:val="18"/>
                <w:szCs w:val="18"/>
              </w:rPr>
            </w:pPr>
            <w:r w:rsidRPr="0063248C">
              <w:rPr>
                <w:rFonts w:cs="宋体"/>
                <w:sz w:val="18"/>
                <w:szCs w:val="18"/>
              </w:rPr>
              <w:t>16,928.66</w:t>
            </w:r>
          </w:p>
        </w:tc>
        <w:tc>
          <w:tcPr>
            <w:tcW w:w="3213" w:type="dxa"/>
            <w:tcBorders>
              <w:top w:val="single" w:sz="2" w:space="0" w:color="auto"/>
              <w:left w:val="single" w:sz="2" w:space="0" w:color="auto"/>
              <w:bottom w:val="single" w:sz="2" w:space="0" w:color="auto"/>
              <w:right w:val="single" w:sz="2" w:space="0" w:color="auto"/>
            </w:tcBorders>
            <w:vAlign w:val="center"/>
          </w:tcPr>
          <w:p w14:paraId="15E9A495" w14:textId="77777777" w:rsidR="007B3DB2" w:rsidRPr="0063248C" w:rsidRDefault="00000000">
            <w:pPr>
              <w:spacing w:line="240" w:lineRule="exact"/>
              <w:jc w:val="right"/>
              <w:rPr>
                <w:rFonts w:cs="宋体"/>
                <w:sz w:val="18"/>
                <w:szCs w:val="18"/>
              </w:rPr>
            </w:pPr>
            <w:r w:rsidRPr="0063248C">
              <w:rPr>
                <w:rFonts w:cs="宋体"/>
                <w:sz w:val="18"/>
                <w:szCs w:val="18"/>
              </w:rPr>
              <w:t>265,102.78</w:t>
            </w:r>
          </w:p>
        </w:tc>
      </w:tr>
      <w:tr w:rsidR="007B3DB2" w:rsidRPr="0063248C" w14:paraId="47122AE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7E6410F" w14:textId="77777777" w:rsidR="007B3DB2" w:rsidRPr="0063248C" w:rsidRDefault="00000000">
            <w:pPr>
              <w:spacing w:line="240" w:lineRule="exact"/>
              <w:rPr>
                <w:rFonts w:cs="宋体"/>
                <w:sz w:val="18"/>
                <w:szCs w:val="18"/>
              </w:rPr>
            </w:pPr>
            <w:r w:rsidRPr="0063248C">
              <w:rPr>
                <w:rFonts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175AB7B7" w14:textId="77777777" w:rsidR="007B3DB2" w:rsidRPr="0063248C" w:rsidRDefault="00000000">
            <w:pPr>
              <w:spacing w:line="240" w:lineRule="exact"/>
              <w:jc w:val="right"/>
              <w:rPr>
                <w:rFonts w:cs="宋体"/>
                <w:sz w:val="18"/>
                <w:szCs w:val="18"/>
              </w:rPr>
            </w:pPr>
            <w:r w:rsidRPr="0063248C">
              <w:rPr>
                <w:rFonts w:cs="宋体"/>
                <w:sz w:val="18"/>
                <w:szCs w:val="18"/>
              </w:rPr>
              <w:t>1,502,269.12</w:t>
            </w:r>
          </w:p>
        </w:tc>
        <w:tc>
          <w:tcPr>
            <w:tcW w:w="3213" w:type="dxa"/>
            <w:tcBorders>
              <w:top w:val="single" w:sz="2" w:space="0" w:color="auto"/>
              <w:left w:val="single" w:sz="2" w:space="0" w:color="auto"/>
              <w:bottom w:val="single" w:sz="2" w:space="0" w:color="auto"/>
              <w:right w:val="single" w:sz="2" w:space="0" w:color="auto"/>
            </w:tcBorders>
            <w:vAlign w:val="center"/>
          </w:tcPr>
          <w:p w14:paraId="0E46A41A" w14:textId="77777777" w:rsidR="007B3DB2" w:rsidRPr="0063248C" w:rsidRDefault="00000000">
            <w:pPr>
              <w:spacing w:line="240" w:lineRule="exact"/>
              <w:jc w:val="right"/>
              <w:rPr>
                <w:rFonts w:cs="宋体"/>
                <w:sz w:val="18"/>
                <w:szCs w:val="18"/>
              </w:rPr>
            </w:pPr>
            <w:r w:rsidRPr="0063248C">
              <w:rPr>
                <w:rFonts w:cs="宋体"/>
                <w:sz w:val="18"/>
                <w:szCs w:val="18"/>
              </w:rPr>
              <w:t>1,551,668.96</w:t>
            </w:r>
          </w:p>
        </w:tc>
      </w:tr>
      <w:tr w:rsidR="007B3DB2" w:rsidRPr="0063248C" w14:paraId="76C7386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F048EE6" w14:textId="77777777" w:rsidR="007B3DB2" w:rsidRPr="0063248C" w:rsidRDefault="00000000">
            <w:pPr>
              <w:spacing w:line="240" w:lineRule="exact"/>
              <w:rPr>
                <w:rFonts w:cs="宋体"/>
                <w:sz w:val="18"/>
                <w:szCs w:val="18"/>
              </w:rPr>
            </w:pPr>
            <w:r w:rsidRPr="0063248C">
              <w:rPr>
                <w:rFonts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0CEAE320" w14:textId="77777777" w:rsidR="007B3DB2" w:rsidRPr="0063248C" w:rsidRDefault="00000000">
            <w:pPr>
              <w:spacing w:line="240" w:lineRule="exact"/>
              <w:jc w:val="right"/>
              <w:rPr>
                <w:rFonts w:cs="宋体"/>
                <w:sz w:val="18"/>
                <w:szCs w:val="18"/>
              </w:rPr>
            </w:pPr>
            <w:r w:rsidRPr="0063248C">
              <w:rPr>
                <w:rFonts w:cs="宋体"/>
                <w:sz w:val="18"/>
                <w:szCs w:val="18"/>
              </w:rPr>
              <w:t>971,326.83</w:t>
            </w:r>
          </w:p>
        </w:tc>
        <w:tc>
          <w:tcPr>
            <w:tcW w:w="3213" w:type="dxa"/>
            <w:tcBorders>
              <w:top w:val="single" w:sz="2" w:space="0" w:color="auto"/>
              <w:left w:val="single" w:sz="2" w:space="0" w:color="auto"/>
              <w:bottom w:val="single" w:sz="2" w:space="0" w:color="auto"/>
              <w:right w:val="single" w:sz="2" w:space="0" w:color="auto"/>
            </w:tcBorders>
            <w:vAlign w:val="center"/>
          </w:tcPr>
          <w:p w14:paraId="2A1806BD" w14:textId="77777777" w:rsidR="007B3DB2" w:rsidRPr="0063248C" w:rsidRDefault="00000000">
            <w:pPr>
              <w:spacing w:line="240" w:lineRule="exact"/>
              <w:jc w:val="right"/>
              <w:rPr>
                <w:rFonts w:cs="宋体"/>
                <w:sz w:val="18"/>
                <w:szCs w:val="18"/>
              </w:rPr>
            </w:pPr>
            <w:r w:rsidRPr="0063248C">
              <w:rPr>
                <w:rFonts w:cs="宋体"/>
                <w:sz w:val="18"/>
                <w:szCs w:val="18"/>
              </w:rPr>
              <w:t>1,198,463.79</w:t>
            </w:r>
          </w:p>
        </w:tc>
      </w:tr>
      <w:tr w:rsidR="007B3DB2" w:rsidRPr="0063248C" w14:paraId="04E6523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3CBCD04" w14:textId="77777777" w:rsidR="007B3DB2" w:rsidRPr="0063248C" w:rsidRDefault="00000000">
            <w:pPr>
              <w:spacing w:line="240" w:lineRule="exact"/>
              <w:rPr>
                <w:rFonts w:cs="宋体"/>
                <w:sz w:val="18"/>
                <w:szCs w:val="18"/>
              </w:rPr>
            </w:pPr>
            <w:r w:rsidRPr="0063248C">
              <w:rPr>
                <w:rFonts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14:paraId="4C84E732" w14:textId="77777777" w:rsidR="007B3DB2" w:rsidRPr="0063248C" w:rsidRDefault="00000000">
            <w:pPr>
              <w:spacing w:line="240" w:lineRule="exact"/>
              <w:jc w:val="right"/>
              <w:rPr>
                <w:rFonts w:cs="宋体"/>
                <w:sz w:val="18"/>
                <w:szCs w:val="18"/>
              </w:rPr>
            </w:pPr>
            <w:r w:rsidRPr="0063248C">
              <w:rPr>
                <w:rFonts w:cs="宋体"/>
                <w:sz w:val="18"/>
                <w:szCs w:val="18"/>
              </w:rPr>
              <w:t>1,610,936.99</w:t>
            </w:r>
          </w:p>
        </w:tc>
        <w:tc>
          <w:tcPr>
            <w:tcW w:w="3213" w:type="dxa"/>
            <w:tcBorders>
              <w:top w:val="single" w:sz="2" w:space="0" w:color="auto"/>
              <w:left w:val="single" w:sz="2" w:space="0" w:color="auto"/>
              <w:bottom w:val="single" w:sz="2" w:space="0" w:color="auto"/>
              <w:right w:val="single" w:sz="2" w:space="0" w:color="auto"/>
            </w:tcBorders>
            <w:vAlign w:val="center"/>
          </w:tcPr>
          <w:p w14:paraId="21A653B7" w14:textId="77777777" w:rsidR="007B3DB2" w:rsidRPr="0063248C" w:rsidRDefault="00000000">
            <w:pPr>
              <w:spacing w:line="240" w:lineRule="exact"/>
              <w:jc w:val="right"/>
              <w:rPr>
                <w:rFonts w:cs="宋体"/>
                <w:sz w:val="18"/>
                <w:szCs w:val="18"/>
              </w:rPr>
            </w:pPr>
            <w:r w:rsidRPr="0063248C">
              <w:rPr>
                <w:rFonts w:cs="宋体"/>
                <w:sz w:val="18"/>
                <w:szCs w:val="18"/>
              </w:rPr>
              <w:t>2,702,777.31</w:t>
            </w:r>
          </w:p>
        </w:tc>
      </w:tr>
      <w:tr w:rsidR="007B3DB2" w:rsidRPr="0063248C" w14:paraId="7A3F011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2EC2348" w14:textId="77777777" w:rsidR="007B3DB2" w:rsidRPr="0063248C" w:rsidRDefault="00000000">
            <w:pPr>
              <w:spacing w:line="240" w:lineRule="exact"/>
              <w:rPr>
                <w:rFonts w:cs="宋体"/>
                <w:sz w:val="18"/>
                <w:szCs w:val="18"/>
              </w:rPr>
            </w:pPr>
            <w:r w:rsidRPr="0063248C">
              <w:rPr>
                <w:rFonts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08122FD7" w14:textId="77777777" w:rsidR="007B3DB2" w:rsidRPr="0063248C" w:rsidRDefault="00000000">
            <w:pPr>
              <w:spacing w:line="240" w:lineRule="exact"/>
              <w:jc w:val="right"/>
              <w:rPr>
                <w:rFonts w:cs="宋体"/>
                <w:sz w:val="18"/>
                <w:szCs w:val="18"/>
              </w:rPr>
            </w:pPr>
            <w:r w:rsidRPr="0063248C">
              <w:rPr>
                <w:rFonts w:cs="宋体"/>
                <w:sz w:val="18"/>
                <w:szCs w:val="18"/>
              </w:rPr>
              <w:t>12,091.90</w:t>
            </w:r>
          </w:p>
        </w:tc>
        <w:tc>
          <w:tcPr>
            <w:tcW w:w="3213" w:type="dxa"/>
            <w:tcBorders>
              <w:top w:val="single" w:sz="2" w:space="0" w:color="auto"/>
              <w:left w:val="single" w:sz="2" w:space="0" w:color="auto"/>
              <w:bottom w:val="single" w:sz="2" w:space="0" w:color="auto"/>
              <w:right w:val="single" w:sz="2" w:space="0" w:color="auto"/>
            </w:tcBorders>
            <w:vAlign w:val="center"/>
          </w:tcPr>
          <w:p w14:paraId="3CC204CD" w14:textId="77777777" w:rsidR="007B3DB2" w:rsidRPr="0063248C" w:rsidRDefault="00000000">
            <w:pPr>
              <w:spacing w:line="240" w:lineRule="exact"/>
              <w:jc w:val="right"/>
              <w:rPr>
                <w:rFonts w:cs="宋体"/>
                <w:sz w:val="18"/>
                <w:szCs w:val="18"/>
              </w:rPr>
            </w:pPr>
            <w:r w:rsidRPr="0063248C">
              <w:rPr>
                <w:rFonts w:cs="宋体"/>
                <w:sz w:val="18"/>
                <w:szCs w:val="18"/>
              </w:rPr>
              <w:t>218,882.12</w:t>
            </w:r>
          </w:p>
        </w:tc>
      </w:tr>
      <w:tr w:rsidR="007B3DB2" w:rsidRPr="0063248C" w14:paraId="6B57C25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E18C5C9" w14:textId="77777777" w:rsidR="007B3DB2" w:rsidRPr="0063248C" w:rsidRDefault="00000000">
            <w:pPr>
              <w:spacing w:line="240" w:lineRule="exact"/>
              <w:rPr>
                <w:rFonts w:cs="宋体"/>
                <w:sz w:val="18"/>
                <w:szCs w:val="18"/>
              </w:rPr>
            </w:pPr>
            <w:r w:rsidRPr="0063248C">
              <w:rPr>
                <w:rFonts w:cs="宋体"/>
                <w:sz w:val="18"/>
                <w:szCs w:val="18"/>
              </w:rPr>
              <w:t>水资源税</w:t>
            </w:r>
          </w:p>
        </w:tc>
        <w:tc>
          <w:tcPr>
            <w:tcW w:w="3213" w:type="dxa"/>
            <w:tcBorders>
              <w:top w:val="single" w:sz="2" w:space="0" w:color="auto"/>
              <w:left w:val="single" w:sz="2" w:space="0" w:color="auto"/>
              <w:bottom w:val="single" w:sz="2" w:space="0" w:color="auto"/>
              <w:right w:val="single" w:sz="2" w:space="0" w:color="auto"/>
            </w:tcBorders>
            <w:vAlign w:val="center"/>
          </w:tcPr>
          <w:p w14:paraId="77689D56" w14:textId="77777777" w:rsidR="007B3DB2" w:rsidRPr="0063248C" w:rsidRDefault="00000000">
            <w:pPr>
              <w:spacing w:line="240" w:lineRule="exact"/>
              <w:jc w:val="right"/>
              <w:rPr>
                <w:rFonts w:cs="宋体"/>
                <w:sz w:val="18"/>
                <w:szCs w:val="18"/>
              </w:rPr>
            </w:pPr>
            <w:r w:rsidRPr="0063248C">
              <w:rPr>
                <w:rFonts w:cs="宋体"/>
                <w:sz w:val="18"/>
                <w:szCs w:val="18"/>
              </w:rPr>
              <w:t>128,194.60</w:t>
            </w:r>
          </w:p>
        </w:tc>
        <w:tc>
          <w:tcPr>
            <w:tcW w:w="3213" w:type="dxa"/>
            <w:tcBorders>
              <w:top w:val="single" w:sz="2" w:space="0" w:color="auto"/>
              <w:left w:val="single" w:sz="2" w:space="0" w:color="auto"/>
              <w:bottom w:val="single" w:sz="2" w:space="0" w:color="auto"/>
              <w:right w:val="single" w:sz="2" w:space="0" w:color="auto"/>
            </w:tcBorders>
            <w:vAlign w:val="center"/>
          </w:tcPr>
          <w:p w14:paraId="0368ECF9" w14:textId="77777777" w:rsidR="007B3DB2" w:rsidRPr="0063248C" w:rsidRDefault="00000000">
            <w:pPr>
              <w:spacing w:line="240" w:lineRule="exact"/>
              <w:jc w:val="right"/>
              <w:rPr>
                <w:rFonts w:cs="宋体"/>
                <w:sz w:val="18"/>
                <w:szCs w:val="18"/>
              </w:rPr>
            </w:pPr>
            <w:r w:rsidRPr="0063248C">
              <w:rPr>
                <w:rFonts w:cs="宋体"/>
                <w:sz w:val="18"/>
                <w:szCs w:val="18"/>
              </w:rPr>
              <w:t>100,495.40</w:t>
            </w:r>
          </w:p>
        </w:tc>
      </w:tr>
      <w:tr w:rsidR="007B3DB2" w:rsidRPr="0063248C" w14:paraId="1F38E96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0C7015C" w14:textId="77777777" w:rsidR="007B3DB2" w:rsidRPr="0063248C" w:rsidRDefault="00000000">
            <w:pPr>
              <w:spacing w:line="240" w:lineRule="exact"/>
              <w:rPr>
                <w:rFonts w:cs="宋体"/>
                <w:sz w:val="18"/>
                <w:szCs w:val="18"/>
              </w:rPr>
            </w:pPr>
            <w:r w:rsidRPr="0063248C">
              <w:rPr>
                <w:rFonts w:cs="宋体"/>
                <w:sz w:val="18"/>
                <w:szCs w:val="18"/>
              </w:rPr>
              <w:t>环保税</w:t>
            </w:r>
          </w:p>
        </w:tc>
        <w:tc>
          <w:tcPr>
            <w:tcW w:w="3213" w:type="dxa"/>
            <w:tcBorders>
              <w:top w:val="single" w:sz="2" w:space="0" w:color="auto"/>
              <w:left w:val="single" w:sz="2" w:space="0" w:color="auto"/>
              <w:bottom w:val="single" w:sz="2" w:space="0" w:color="auto"/>
              <w:right w:val="single" w:sz="2" w:space="0" w:color="auto"/>
            </w:tcBorders>
            <w:vAlign w:val="center"/>
          </w:tcPr>
          <w:p w14:paraId="0D8BEF2E" w14:textId="77777777" w:rsidR="007B3DB2" w:rsidRPr="0063248C" w:rsidRDefault="00000000">
            <w:pPr>
              <w:spacing w:line="240" w:lineRule="exact"/>
              <w:jc w:val="right"/>
              <w:rPr>
                <w:rFonts w:cs="宋体"/>
                <w:sz w:val="18"/>
                <w:szCs w:val="18"/>
              </w:rPr>
            </w:pPr>
            <w:r w:rsidRPr="0063248C">
              <w:rPr>
                <w:rFonts w:cs="宋体"/>
                <w:sz w:val="18"/>
                <w:szCs w:val="18"/>
              </w:rPr>
              <w:t>10,479.31</w:t>
            </w:r>
          </w:p>
        </w:tc>
        <w:tc>
          <w:tcPr>
            <w:tcW w:w="3213" w:type="dxa"/>
            <w:tcBorders>
              <w:top w:val="single" w:sz="2" w:space="0" w:color="auto"/>
              <w:left w:val="single" w:sz="2" w:space="0" w:color="auto"/>
              <w:bottom w:val="single" w:sz="2" w:space="0" w:color="auto"/>
              <w:right w:val="single" w:sz="2" w:space="0" w:color="auto"/>
            </w:tcBorders>
            <w:vAlign w:val="center"/>
          </w:tcPr>
          <w:p w14:paraId="4C63797F" w14:textId="77777777" w:rsidR="007B3DB2" w:rsidRPr="0063248C" w:rsidRDefault="00000000">
            <w:pPr>
              <w:spacing w:line="240" w:lineRule="exact"/>
              <w:jc w:val="right"/>
              <w:rPr>
                <w:rFonts w:cs="宋体"/>
                <w:sz w:val="18"/>
                <w:szCs w:val="18"/>
              </w:rPr>
            </w:pPr>
            <w:r w:rsidRPr="0063248C">
              <w:rPr>
                <w:rFonts w:cs="宋体"/>
                <w:sz w:val="18"/>
                <w:szCs w:val="18"/>
              </w:rPr>
              <w:t>6,600.94</w:t>
            </w:r>
          </w:p>
        </w:tc>
      </w:tr>
      <w:tr w:rsidR="007B3DB2" w:rsidRPr="0063248C" w14:paraId="27095B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5F26AD" w14:textId="77777777" w:rsidR="007B3DB2" w:rsidRPr="0063248C" w:rsidRDefault="00000000">
            <w:pPr>
              <w:spacing w:before="40" w:after="40" w:line="240" w:lineRule="exact"/>
              <w:rPr>
                <w:rFonts w:cs="宋体"/>
                <w:sz w:val="18"/>
                <w:szCs w:val="18"/>
              </w:rPr>
            </w:pPr>
            <w:r w:rsidRPr="0063248C">
              <w:rPr>
                <w:rFonts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14:paraId="0E5BAA45" w14:textId="77777777" w:rsidR="007B3DB2" w:rsidRPr="0063248C" w:rsidRDefault="00000000">
            <w:pPr>
              <w:spacing w:line="240" w:lineRule="exact"/>
              <w:jc w:val="right"/>
              <w:rPr>
                <w:rFonts w:cs="宋体"/>
                <w:sz w:val="18"/>
                <w:szCs w:val="18"/>
              </w:rPr>
            </w:pPr>
            <w:r w:rsidRPr="0063248C">
              <w:rPr>
                <w:rFonts w:cs="宋体"/>
                <w:sz w:val="18"/>
                <w:szCs w:val="18"/>
              </w:rPr>
              <w:t>5,825,772.06</w:t>
            </w:r>
          </w:p>
        </w:tc>
        <w:tc>
          <w:tcPr>
            <w:tcW w:w="3213" w:type="dxa"/>
            <w:tcBorders>
              <w:top w:val="single" w:sz="2" w:space="0" w:color="auto"/>
              <w:left w:val="single" w:sz="2" w:space="0" w:color="auto"/>
              <w:bottom w:val="single" w:sz="2" w:space="0" w:color="auto"/>
              <w:right w:val="single" w:sz="2" w:space="0" w:color="auto"/>
            </w:tcBorders>
            <w:vAlign w:val="center"/>
          </w:tcPr>
          <w:p w14:paraId="6D9FD05C" w14:textId="77777777" w:rsidR="007B3DB2" w:rsidRPr="0063248C" w:rsidRDefault="00000000">
            <w:pPr>
              <w:spacing w:line="240" w:lineRule="exact"/>
              <w:jc w:val="right"/>
              <w:rPr>
                <w:rFonts w:cs="宋体"/>
                <w:sz w:val="18"/>
                <w:szCs w:val="18"/>
              </w:rPr>
            </w:pPr>
            <w:r w:rsidRPr="0063248C">
              <w:rPr>
                <w:rFonts w:cs="宋体"/>
                <w:sz w:val="18"/>
                <w:szCs w:val="18"/>
              </w:rPr>
              <w:t>12,947,723.59</w:t>
            </w:r>
          </w:p>
        </w:tc>
      </w:tr>
    </w:tbl>
    <w:p w14:paraId="2D0ADD83"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14E0AC88" w14:textId="77777777" w:rsidR="00517D34" w:rsidRPr="0063248C" w:rsidRDefault="00000000">
      <w:pPr>
        <w:pStyle w:val="a3"/>
        <w:divId w:val="1263296541"/>
        <w:rPr>
          <w:rFonts w:ascii="Times New Roman" w:hAnsi="Times New Roman"/>
          <w:sz w:val="18"/>
          <w:szCs w:val="18"/>
        </w:rPr>
      </w:pPr>
      <w:r w:rsidRPr="0063248C">
        <w:rPr>
          <w:rFonts w:ascii="Times New Roman" w:hAnsi="Times New Roman" w:hint="eastAsia"/>
          <w:sz w:val="18"/>
          <w:szCs w:val="18"/>
        </w:rPr>
        <w:t>无</w:t>
      </w:r>
    </w:p>
    <w:p w14:paraId="0A478AE4" w14:textId="77777777" w:rsidR="007B3DB2" w:rsidRPr="0063248C" w:rsidRDefault="00000000">
      <w:pPr>
        <w:pStyle w:val="3"/>
        <w:spacing w:line="280" w:lineRule="exact"/>
        <w:jc w:val="left"/>
        <w:rPr>
          <w:rFonts w:cs="宋体"/>
          <w:b/>
          <w:bCs/>
        </w:rPr>
      </w:pPr>
      <w:bookmarkStart w:id="333" w:name="_Toc989222"/>
      <w:r w:rsidRPr="0063248C">
        <w:rPr>
          <w:rFonts w:cs="宋体"/>
          <w:b/>
          <w:bCs/>
        </w:rPr>
        <w:t>42</w:t>
      </w:r>
      <w:r w:rsidRPr="0063248C">
        <w:rPr>
          <w:rFonts w:cs="宋体"/>
          <w:b/>
          <w:bCs/>
        </w:rPr>
        <w:t>、持有待售负债</w:t>
      </w:r>
      <w:bookmarkEnd w:id="333"/>
    </w:p>
    <w:p w14:paraId="7C427B55" w14:textId="77777777" w:rsidR="00517D34" w:rsidRPr="0063248C" w:rsidRDefault="00000000">
      <w:pPr>
        <w:pStyle w:val="a3"/>
        <w:divId w:val="1789347600"/>
        <w:rPr>
          <w:rFonts w:ascii="Times New Roman" w:hAnsi="Times New Roman"/>
          <w:sz w:val="18"/>
          <w:szCs w:val="18"/>
        </w:rPr>
      </w:pPr>
      <w:r w:rsidRPr="0063248C">
        <w:rPr>
          <w:rFonts w:ascii="Times New Roman" w:hAnsi="Times New Roman" w:hint="eastAsia"/>
          <w:sz w:val="18"/>
          <w:szCs w:val="18"/>
        </w:rPr>
        <w:t>无</w:t>
      </w:r>
    </w:p>
    <w:p w14:paraId="1D826F88" w14:textId="77777777" w:rsidR="007B3DB2" w:rsidRPr="0063248C" w:rsidRDefault="00000000">
      <w:pPr>
        <w:pStyle w:val="3"/>
        <w:spacing w:line="280" w:lineRule="exact"/>
        <w:jc w:val="left"/>
        <w:rPr>
          <w:rFonts w:cs="宋体"/>
          <w:b/>
          <w:bCs/>
        </w:rPr>
      </w:pPr>
      <w:bookmarkStart w:id="334" w:name="_Toc989223"/>
      <w:r w:rsidRPr="0063248C">
        <w:rPr>
          <w:rFonts w:cs="宋体"/>
          <w:b/>
          <w:bCs/>
        </w:rPr>
        <w:t>43</w:t>
      </w:r>
      <w:r w:rsidRPr="0063248C">
        <w:rPr>
          <w:rFonts w:cs="宋体"/>
          <w:b/>
          <w:bCs/>
        </w:rPr>
        <w:t>、一年内到期的非流动负债</w:t>
      </w:r>
      <w:bookmarkEnd w:id="334"/>
    </w:p>
    <w:p w14:paraId="2FFD6D6E"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4AC04D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5BD134"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75933A"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9E020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727C36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6A704F" w14:textId="77777777" w:rsidR="007B3DB2" w:rsidRPr="0063248C" w:rsidRDefault="00000000">
            <w:pPr>
              <w:spacing w:before="40" w:after="40" w:line="240" w:lineRule="exact"/>
              <w:rPr>
                <w:rFonts w:cs="宋体"/>
                <w:sz w:val="18"/>
                <w:szCs w:val="18"/>
              </w:rPr>
            </w:pPr>
            <w:r w:rsidRPr="0063248C">
              <w:rPr>
                <w:rFonts w:cs="宋体"/>
                <w:sz w:val="18"/>
                <w:szCs w:val="18"/>
              </w:rPr>
              <w:t>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646358BE" w14:textId="77777777" w:rsidR="007B3DB2" w:rsidRPr="0063248C" w:rsidRDefault="00000000">
            <w:pPr>
              <w:spacing w:line="240" w:lineRule="exact"/>
              <w:jc w:val="right"/>
              <w:rPr>
                <w:rFonts w:cs="宋体"/>
                <w:sz w:val="18"/>
                <w:szCs w:val="18"/>
              </w:rPr>
            </w:pPr>
            <w:r w:rsidRPr="0063248C">
              <w:rPr>
                <w:rFonts w:cs="宋体"/>
                <w:sz w:val="18"/>
                <w:szCs w:val="18"/>
              </w:rPr>
              <w:t>143,500,000.00</w:t>
            </w:r>
          </w:p>
        </w:tc>
        <w:tc>
          <w:tcPr>
            <w:tcW w:w="3213" w:type="dxa"/>
            <w:tcBorders>
              <w:top w:val="single" w:sz="2" w:space="0" w:color="auto"/>
              <w:left w:val="single" w:sz="2" w:space="0" w:color="auto"/>
              <w:bottom w:val="single" w:sz="2" w:space="0" w:color="auto"/>
              <w:right w:val="single" w:sz="2" w:space="0" w:color="auto"/>
            </w:tcBorders>
            <w:vAlign w:val="center"/>
          </w:tcPr>
          <w:p w14:paraId="52506D41" w14:textId="77777777" w:rsidR="007B3DB2" w:rsidRPr="0063248C" w:rsidRDefault="00000000">
            <w:pPr>
              <w:spacing w:line="240" w:lineRule="exact"/>
              <w:jc w:val="right"/>
              <w:rPr>
                <w:rFonts w:cs="宋体"/>
                <w:sz w:val="18"/>
                <w:szCs w:val="18"/>
              </w:rPr>
            </w:pPr>
            <w:r w:rsidRPr="0063248C">
              <w:rPr>
                <w:rFonts w:cs="宋体"/>
                <w:sz w:val="18"/>
                <w:szCs w:val="18"/>
              </w:rPr>
              <w:t>140,000,000.00</w:t>
            </w:r>
          </w:p>
        </w:tc>
      </w:tr>
      <w:tr w:rsidR="007B3DB2" w:rsidRPr="0063248C" w14:paraId="573B85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475936" w14:textId="77777777" w:rsidR="007B3DB2" w:rsidRPr="0063248C" w:rsidRDefault="00000000">
            <w:pPr>
              <w:spacing w:before="40" w:after="40" w:line="240" w:lineRule="exact"/>
              <w:rPr>
                <w:rFonts w:cs="宋体"/>
                <w:sz w:val="18"/>
                <w:szCs w:val="18"/>
              </w:rPr>
            </w:pPr>
            <w:r w:rsidRPr="0063248C">
              <w:rPr>
                <w:rFonts w:cs="宋体"/>
                <w:sz w:val="18"/>
                <w:szCs w:val="18"/>
              </w:rPr>
              <w:t>一年内到期的长期应付款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263626FD" w14:textId="77777777" w:rsidR="007B3DB2" w:rsidRPr="0063248C" w:rsidRDefault="00000000">
            <w:pPr>
              <w:spacing w:line="240" w:lineRule="exact"/>
              <w:jc w:val="right"/>
              <w:rPr>
                <w:rFonts w:cs="宋体"/>
                <w:sz w:val="18"/>
                <w:szCs w:val="18"/>
              </w:rPr>
            </w:pPr>
            <w:r w:rsidRPr="0063248C">
              <w:rPr>
                <w:rFonts w:cs="宋体"/>
                <w:sz w:val="18"/>
                <w:szCs w:val="18"/>
              </w:rPr>
              <w:t>34,502,313.73</w:t>
            </w:r>
          </w:p>
        </w:tc>
        <w:tc>
          <w:tcPr>
            <w:tcW w:w="3213" w:type="dxa"/>
            <w:tcBorders>
              <w:top w:val="single" w:sz="2" w:space="0" w:color="auto"/>
              <w:left w:val="single" w:sz="2" w:space="0" w:color="auto"/>
              <w:bottom w:val="single" w:sz="2" w:space="0" w:color="auto"/>
              <w:right w:val="single" w:sz="2" w:space="0" w:color="auto"/>
            </w:tcBorders>
            <w:vAlign w:val="center"/>
          </w:tcPr>
          <w:p w14:paraId="06827E7F" w14:textId="77777777" w:rsidR="007B3DB2" w:rsidRPr="0063248C" w:rsidRDefault="00000000">
            <w:pPr>
              <w:spacing w:line="240" w:lineRule="exact"/>
              <w:jc w:val="right"/>
              <w:rPr>
                <w:rFonts w:cs="宋体"/>
                <w:sz w:val="18"/>
                <w:szCs w:val="18"/>
              </w:rPr>
            </w:pPr>
            <w:r w:rsidRPr="0063248C">
              <w:rPr>
                <w:rFonts w:cs="宋体"/>
                <w:sz w:val="18"/>
                <w:szCs w:val="18"/>
              </w:rPr>
              <w:t>32,660,766.11</w:t>
            </w:r>
          </w:p>
        </w:tc>
      </w:tr>
      <w:tr w:rsidR="007B3DB2" w:rsidRPr="0063248C" w14:paraId="691CB8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836EBA" w14:textId="77777777" w:rsidR="007B3DB2" w:rsidRPr="0063248C" w:rsidRDefault="00000000">
            <w:pPr>
              <w:spacing w:before="40" w:after="40" w:line="240" w:lineRule="exact"/>
              <w:rPr>
                <w:rFonts w:cs="宋体"/>
                <w:sz w:val="18"/>
                <w:szCs w:val="18"/>
              </w:rPr>
            </w:pPr>
            <w:r w:rsidRPr="0063248C">
              <w:rPr>
                <w:rFonts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4A3B903D" w14:textId="77777777" w:rsidR="007B3DB2" w:rsidRPr="0063248C" w:rsidRDefault="00000000">
            <w:pPr>
              <w:spacing w:line="240" w:lineRule="exact"/>
              <w:jc w:val="right"/>
              <w:rPr>
                <w:rFonts w:cs="宋体"/>
                <w:sz w:val="18"/>
                <w:szCs w:val="18"/>
              </w:rPr>
            </w:pPr>
            <w:r w:rsidRPr="0063248C">
              <w:rPr>
                <w:rFonts w:cs="宋体"/>
                <w:sz w:val="18"/>
                <w:szCs w:val="18"/>
              </w:rPr>
              <w:t>4,303,144.71</w:t>
            </w:r>
          </w:p>
        </w:tc>
        <w:tc>
          <w:tcPr>
            <w:tcW w:w="3213" w:type="dxa"/>
            <w:tcBorders>
              <w:top w:val="single" w:sz="2" w:space="0" w:color="auto"/>
              <w:left w:val="single" w:sz="2" w:space="0" w:color="auto"/>
              <w:bottom w:val="single" w:sz="2" w:space="0" w:color="auto"/>
              <w:right w:val="single" w:sz="2" w:space="0" w:color="auto"/>
            </w:tcBorders>
            <w:vAlign w:val="center"/>
          </w:tcPr>
          <w:p w14:paraId="6A19569D" w14:textId="77777777" w:rsidR="007B3DB2" w:rsidRPr="0063248C" w:rsidRDefault="00000000">
            <w:pPr>
              <w:spacing w:line="240" w:lineRule="exact"/>
              <w:jc w:val="right"/>
              <w:rPr>
                <w:rFonts w:cs="宋体"/>
                <w:sz w:val="18"/>
                <w:szCs w:val="18"/>
              </w:rPr>
            </w:pPr>
            <w:r w:rsidRPr="0063248C">
              <w:rPr>
                <w:rFonts w:cs="宋体"/>
                <w:sz w:val="18"/>
                <w:szCs w:val="18"/>
              </w:rPr>
              <w:t>6,273,586.22</w:t>
            </w:r>
          </w:p>
        </w:tc>
      </w:tr>
      <w:tr w:rsidR="007B3DB2" w:rsidRPr="0063248C" w14:paraId="3601396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DEA5C4E" w14:textId="77777777" w:rsidR="007B3DB2" w:rsidRPr="0063248C" w:rsidRDefault="00000000">
            <w:pPr>
              <w:spacing w:line="240" w:lineRule="exact"/>
              <w:rPr>
                <w:rFonts w:cs="宋体"/>
                <w:sz w:val="18"/>
                <w:szCs w:val="18"/>
              </w:rPr>
            </w:pPr>
            <w:r w:rsidRPr="0063248C">
              <w:rPr>
                <w:rFonts w:cs="宋体"/>
                <w:sz w:val="18"/>
                <w:szCs w:val="18"/>
              </w:rPr>
              <w:t>一年内应付的长期借款利息</w:t>
            </w:r>
          </w:p>
        </w:tc>
        <w:tc>
          <w:tcPr>
            <w:tcW w:w="3213" w:type="dxa"/>
            <w:tcBorders>
              <w:top w:val="single" w:sz="2" w:space="0" w:color="auto"/>
              <w:left w:val="single" w:sz="2" w:space="0" w:color="auto"/>
              <w:bottom w:val="single" w:sz="2" w:space="0" w:color="auto"/>
              <w:right w:val="single" w:sz="2" w:space="0" w:color="auto"/>
            </w:tcBorders>
            <w:vAlign w:val="center"/>
          </w:tcPr>
          <w:p w14:paraId="72E3C8EA" w14:textId="77777777" w:rsidR="007B3DB2" w:rsidRPr="0063248C" w:rsidRDefault="00000000">
            <w:pPr>
              <w:spacing w:line="240" w:lineRule="exact"/>
              <w:jc w:val="right"/>
              <w:rPr>
                <w:rFonts w:cs="宋体"/>
                <w:sz w:val="18"/>
                <w:szCs w:val="18"/>
              </w:rPr>
            </w:pPr>
            <w:r w:rsidRPr="0063248C">
              <w:rPr>
                <w:rFonts w:cs="宋体"/>
                <w:sz w:val="18"/>
                <w:szCs w:val="18"/>
              </w:rPr>
              <w:t>438,869.71</w:t>
            </w:r>
          </w:p>
        </w:tc>
        <w:tc>
          <w:tcPr>
            <w:tcW w:w="3213" w:type="dxa"/>
            <w:tcBorders>
              <w:top w:val="single" w:sz="2" w:space="0" w:color="auto"/>
              <w:left w:val="single" w:sz="2" w:space="0" w:color="auto"/>
              <w:bottom w:val="single" w:sz="2" w:space="0" w:color="auto"/>
              <w:right w:val="single" w:sz="2" w:space="0" w:color="auto"/>
            </w:tcBorders>
            <w:vAlign w:val="center"/>
          </w:tcPr>
          <w:p w14:paraId="279FBC22" w14:textId="77777777" w:rsidR="007B3DB2" w:rsidRPr="0063248C" w:rsidRDefault="00000000">
            <w:pPr>
              <w:spacing w:line="240" w:lineRule="exact"/>
              <w:jc w:val="right"/>
              <w:rPr>
                <w:rFonts w:cs="宋体"/>
                <w:sz w:val="18"/>
                <w:szCs w:val="18"/>
              </w:rPr>
            </w:pPr>
            <w:r w:rsidRPr="0063248C">
              <w:rPr>
                <w:rFonts w:cs="宋体"/>
                <w:sz w:val="18"/>
                <w:szCs w:val="18"/>
              </w:rPr>
              <w:t>495,294.22</w:t>
            </w:r>
          </w:p>
        </w:tc>
      </w:tr>
      <w:tr w:rsidR="007B3DB2" w:rsidRPr="0063248C" w14:paraId="05C7F4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03B7BF"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1AD1557" w14:textId="77777777" w:rsidR="007B3DB2" w:rsidRPr="0063248C" w:rsidRDefault="00000000">
            <w:pPr>
              <w:spacing w:line="240" w:lineRule="exact"/>
              <w:jc w:val="right"/>
              <w:rPr>
                <w:rFonts w:cs="宋体"/>
                <w:sz w:val="18"/>
                <w:szCs w:val="18"/>
              </w:rPr>
            </w:pPr>
            <w:r w:rsidRPr="0063248C">
              <w:rPr>
                <w:rFonts w:cs="宋体"/>
                <w:sz w:val="18"/>
                <w:szCs w:val="18"/>
              </w:rPr>
              <w:t>182,744,328.15</w:t>
            </w:r>
          </w:p>
        </w:tc>
        <w:tc>
          <w:tcPr>
            <w:tcW w:w="3213" w:type="dxa"/>
            <w:tcBorders>
              <w:top w:val="single" w:sz="2" w:space="0" w:color="auto"/>
              <w:left w:val="single" w:sz="2" w:space="0" w:color="auto"/>
              <w:bottom w:val="single" w:sz="2" w:space="0" w:color="auto"/>
              <w:right w:val="single" w:sz="2" w:space="0" w:color="auto"/>
            </w:tcBorders>
            <w:vAlign w:val="center"/>
          </w:tcPr>
          <w:p w14:paraId="1818AD95" w14:textId="77777777" w:rsidR="007B3DB2" w:rsidRPr="0063248C" w:rsidRDefault="00000000">
            <w:pPr>
              <w:spacing w:line="240" w:lineRule="exact"/>
              <w:jc w:val="right"/>
              <w:rPr>
                <w:rFonts w:cs="宋体"/>
                <w:sz w:val="18"/>
                <w:szCs w:val="18"/>
              </w:rPr>
            </w:pPr>
            <w:r w:rsidRPr="0063248C">
              <w:rPr>
                <w:rFonts w:cs="宋体"/>
                <w:sz w:val="18"/>
                <w:szCs w:val="18"/>
              </w:rPr>
              <w:t>179,429,646.55</w:t>
            </w:r>
          </w:p>
        </w:tc>
      </w:tr>
    </w:tbl>
    <w:p w14:paraId="62EBCA5B"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0ABEE126" w14:textId="77777777" w:rsidR="00517D34" w:rsidRPr="0063248C" w:rsidRDefault="00000000">
      <w:pPr>
        <w:pStyle w:val="a3"/>
        <w:divId w:val="1124999508"/>
        <w:rPr>
          <w:rFonts w:ascii="Times New Roman" w:hAnsi="Times New Roman"/>
          <w:sz w:val="18"/>
          <w:szCs w:val="18"/>
        </w:rPr>
      </w:pPr>
      <w:r w:rsidRPr="0063248C">
        <w:rPr>
          <w:rFonts w:ascii="Times New Roman" w:hAnsi="Times New Roman" w:hint="eastAsia"/>
          <w:sz w:val="18"/>
          <w:szCs w:val="18"/>
        </w:rPr>
        <w:t>无</w:t>
      </w:r>
      <w:r w:rsidRPr="0063248C">
        <w:rPr>
          <w:rFonts w:ascii="Times New Roman" w:hAnsi="Times New Roman" w:hint="eastAsia"/>
          <w:sz w:val="18"/>
          <w:szCs w:val="18"/>
        </w:rPr>
        <w:t> </w:t>
      </w:r>
    </w:p>
    <w:p w14:paraId="57D02B58" w14:textId="77777777" w:rsidR="007B3DB2" w:rsidRPr="0063248C" w:rsidRDefault="00000000">
      <w:pPr>
        <w:pStyle w:val="3"/>
        <w:spacing w:line="280" w:lineRule="exact"/>
        <w:jc w:val="left"/>
        <w:rPr>
          <w:rFonts w:cs="宋体"/>
          <w:b/>
          <w:bCs/>
        </w:rPr>
      </w:pPr>
      <w:bookmarkStart w:id="335" w:name="_Toc989224"/>
      <w:r w:rsidRPr="0063248C">
        <w:rPr>
          <w:rFonts w:cs="宋体"/>
          <w:b/>
          <w:bCs/>
        </w:rPr>
        <w:t>44</w:t>
      </w:r>
      <w:r w:rsidRPr="0063248C">
        <w:rPr>
          <w:rFonts w:cs="宋体"/>
          <w:b/>
          <w:bCs/>
        </w:rPr>
        <w:t>、其他流动负债</w:t>
      </w:r>
      <w:bookmarkEnd w:id="335"/>
    </w:p>
    <w:p w14:paraId="681BC62D"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4F7E31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8EAC2E"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700F8A"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110F2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4D15775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737B3F8" w14:textId="77777777" w:rsidR="007B3DB2" w:rsidRPr="0063248C" w:rsidRDefault="00000000">
            <w:pPr>
              <w:spacing w:line="240" w:lineRule="exact"/>
              <w:rPr>
                <w:rFonts w:cs="宋体"/>
                <w:sz w:val="18"/>
                <w:szCs w:val="18"/>
              </w:rPr>
            </w:pPr>
            <w:r w:rsidRPr="0063248C">
              <w:rPr>
                <w:rFonts w:cs="宋体"/>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vAlign w:val="center"/>
          </w:tcPr>
          <w:p w14:paraId="6EFFF101" w14:textId="77777777" w:rsidR="007B3DB2" w:rsidRPr="0063248C" w:rsidRDefault="00000000">
            <w:pPr>
              <w:spacing w:line="240" w:lineRule="exact"/>
              <w:jc w:val="right"/>
              <w:rPr>
                <w:rFonts w:cs="宋体"/>
                <w:sz w:val="18"/>
                <w:szCs w:val="18"/>
              </w:rPr>
            </w:pPr>
            <w:r w:rsidRPr="0063248C">
              <w:rPr>
                <w:rFonts w:cs="宋体"/>
                <w:sz w:val="18"/>
                <w:szCs w:val="18"/>
              </w:rPr>
              <w:t>9,196,772.47</w:t>
            </w:r>
          </w:p>
        </w:tc>
        <w:tc>
          <w:tcPr>
            <w:tcW w:w="3213" w:type="dxa"/>
            <w:tcBorders>
              <w:top w:val="single" w:sz="2" w:space="0" w:color="auto"/>
              <w:left w:val="single" w:sz="2" w:space="0" w:color="auto"/>
              <w:bottom w:val="single" w:sz="2" w:space="0" w:color="auto"/>
              <w:right w:val="single" w:sz="2" w:space="0" w:color="auto"/>
            </w:tcBorders>
            <w:vAlign w:val="center"/>
          </w:tcPr>
          <w:p w14:paraId="6BCDB13E" w14:textId="77777777" w:rsidR="007B3DB2" w:rsidRPr="0063248C" w:rsidRDefault="00000000">
            <w:pPr>
              <w:spacing w:line="240" w:lineRule="exact"/>
              <w:jc w:val="right"/>
              <w:rPr>
                <w:rFonts w:cs="宋体"/>
                <w:sz w:val="18"/>
                <w:szCs w:val="18"/>
              </w:rPr>
            </w:pPr>
            <w:r w:rsidRPr="0063248C">
              <w:rPr>
                <w:rFonts w:cs="宋体"/>
                <w:sz w:val="18"/>
                <w:szCs w:val="18"/>
              </w:rPr>
              <w:t>11,571,937.30</w:t>
            </w:r>
          </w:p>
        </w:tc>
      </w:tr>
      <w:tr w:rsidR="007B3DB2" w:rsidRPr="0063248C" w14:paraId="5721E4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90C42F"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BC32F05" w14:textId="77777777" w:rsidR="007B3DB2" w:rsidRPr="0063248C" w:rsidRDefault="00000000">
            <w:pPr>
              <w:spacing w:line="240" w:lineRule="exact"/>
              <w:jc w:val="right"/>
              <w:rPr>
                <w:rFonts w:cs="宋体"/>
                <w:sz w:val="18"/>
                <w:szCs w:val="18"/>
              </w:rPr>
            </w:pPr>
            <w:r w:rsidRPr="0063248C">
              <w:rPr>
                <w:rFonts w:cs="宋体"/>
                <w:sz w:val="18"/>
                <w:szCs w:val="18"/>
              </w:rPr>
              <w:t>9,196,772.47</w:t>
            </w:r>
          </w:p>
        </w:tc>
        <w:tc>
          <w:tcPr>
            <w:tcW w:w="3213" w:type="dxa"/>
            <w:tcBorders>
              <w:top w:val="single" w:sz="2" w:space="0" w:color="auto"/>
              <w:left w:val="single" w:sz="2" w:space="0" w:color="auto"/>
              <w:bottom w:val="single" w:sz="2" w:space="0" w:color="auto"/>
              <w:right w:val="single" w:sz="2" w:space="0" w:color="auto"/>
            </w:tcBorders>
            <w:vAlign w:val="center"/>
          </w:tcPr>
          <w:p w14:paraId="59EF9487" w14:textId="77777777" w:rsidR="007B3DB2" w:rsidRPr="0063248C" w:rsidRDefault="00000000">
            <w:pPr>
              <w:spacing w:line="240" w:lineRule="exact"/>
              <w:jc w:val="right"/>
              <w:rPr>
                <w:rFonts w:cs="宋体"/>
                <w:sz w:val="18"/>
                <w:szCs w:val="18"/>
              </w:rPr>
            </w:pPr>
            <w:r w:rsidRPr="0063248C">
              <w:rPr>
                <w:rFonts w:cs="宋体"/>
                <w:sz w:val="18"/>
                <w:szCs w:val="18"/>
              </w:rPr>
              <w:t>11,571,937.30</w:t>
            </w:r>
          </w:p>
        </w:tc>
      </w:tr>
    </w:tbl>
    <w:p w14:paraId="4A41F3FC" w14:textId="77777777" w:rsidR="007B3DB2" w:rsidRPr="0063248C" w:rsidRDefault="00000000">
      <w:pPr>
        <w:spacing w:before="100" w:after="100" w:line="240" w:lineRule="exact"/>
        <w:rPr>
          <w:rFonts w:cs="宋体"/>
          <w:sz w:val="18"/>
          <w:szCs w:val="18"/>
        </w:rPr>
      </w:pPr>
      <w:r w:rsidRPr="0063248C">
        <w:rPr>
          <w:rFonts w:cs="宋体"/>
          <w:sz w:val="18"/>
          <w:szCs w:val="18"/>
        </w:rPr>
        <w:t>短期应付债券的增减变动：</w:t>
      </w:r>
    </w:p>
    <w:p w14:paraId="2229AD74" w14:textId="77777777" w:rsidR="00517D34" w:rsidRPr="0063248C" w:rsidRDefault="00000000">
      <w:pPr>
        <w:pStyle w:val="a3"/>
        <w:divId w:val="931742323"/>
        <w:rPr>
          <w:rFonts w:ascii="Times New Roman" w:hAnsi="Times New Roman"/>
          <w:sz w:val="18"/>
          <w:szCs w:val="18"/>
        </w:rPr>
      </w:pPr>
      <w:r w:rsidRPr="0063248C">
        <w:rPr>
          <w:rFonts w:ascii="Times New Roman" w:hAnsi="Times New Roman" w:hint="eastAsia"/>
          <w:sz w:val="18"/>
          <w:szCs w:val="18"/>
        </w:rPr>
        <w:t>无</w:t>
      </w:r>
    </w:p>
    <w:p w14:paraId="33EFFBBB" w14:textId="77777777" w:rsidR="007B3DB2" w:rsidRPr="0063248C" w:rsidRDefault="00000000">
      <w:pPr>
        <w:pStyle w:val="3"/>
        <w:spacing w:line="280" w:lineRule="exact"/>
        <w:jc w:val="left"/>
        <w:rPr>
          <w:rFonts w:cs="宋体"/>
          <w:b/>
          <w:bCs/>
        </w:rPr>
      </w:pPr>
      <w:bookmarkStart w:id="336" w:name="_Toc989225"/>
      <w:r w:rsidRPr="0063248C">
        <w:rPr>
          <w:rFonts w:cs="宋体"/>
          <w:b/>
          <w:bCs/>
        </w:rPr>
        <w:t>45</w:t>
      </w:r>
      <w:r w:rsidRPr="0063248C">
        <w:rPr>
          <w:rFonts w:cs="宋体"/>
          <w:b/>
          <w:bCs/>
        </w:rPr>
        <w:t>、长期借款</w:t>
      </w:r>
      <w:bookmarkEnd w:id="336"/>
    </w:p>
    <w:p w14:paraId="1898FE71" w14:textId="77777777" w:rsidR="007B3DB2" w:rsidRPr="0063248C" w:rsidRDefault="00000000">
      <w:pPr>
        <w:keepNext/>
        <w:keepLines/>
        <w:spacing w:before="300" w:after="300" w:line="280" w:lineRule="exact"/>
        <w:outlineLvl w:val="3"/>
        <w:rPr>
          <w:rFonts w:cs="宋体"/>
          <w:b/>
          <w:bCs/>
          <w:sz w:val="18"/>
          <w:szCs w:val="18"/>
        </w:rPr>
      </w:pPr>
      <w:bookmarkStart w:id="337" w:name="_Toc989226"/>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长期借款分类</w:t>
      </w:r>
      <w:bookmarkEnd w:id="337"/>
    </w:p>
    <w:p w14:paraId="4065EFCB"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336710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AD282C"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EAE945"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03A1E7"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5575FB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F8B7EA" w14:textId="77777777" w:rsidR="007B3DB2" w:rsidRPr="0063248C" w:rsidRDefault="00000000">
            <w:pPr>
              <w:spacing w:before="40" w:after="40" w:line="240" w:lineRule="exact"/>
              <w:rPr>
                <w:rFonts w:cs="宋体"/>
                <w:sz w:val="18"/>
                <w:szCs w:val="18"/>
              </w:rPr>
            </w:pPr>
            <w:r w:rsidRPr="0063248C">
              <w:rPr>
                <w:rFonts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14:paraId="47B43C69" w14:textId="77777777" w:rsidR="007B3DB2" w:rsidRPr="0063248C" w:rsidRDefault="00000000">
            <w:pPr>
              <w:spacing w:line="240" w:lineRule="exact"/>
              <w:jc w:val="right"/>
              <w:rPr>
                <w:rFonts w:cs="宋体"/>
                <w:sz w:val="18"/>
                <w:szCs w:val="18"/>
              </w:rPr>
            </w:pPr>
            <w:r w:rsidRPr="0063248C">
              <w:rPr>
                <w:rFonts w:cs="宋体"/>
                <w:sz w:val="18"/>
                <w:szCs w:val="18"/>
              </w:rPr>
              <w:t>386,754,541.91</w:t>
            </w:r>
          </w:p>
        </w:tc>
        <w:tc>
          <w:tcPr>
            <w:tcW w:w="3213" w:type="dxa"/>
            <w:tcBorders>
              <w:top w:val="single" w:sz="2" w:space="0" w:color="auto"/>
              <w:left w:val="single" w:sz="2" w:space="0" w:color="auto"/>
              <w:bottom w:val="single" w:sz="2" w:space="0" w:color="auto"/>
              <w:right w:val="single" w:sz="2" w:space="0" w:color="auto"/>
            </w:tcBorders>
            <w:vAlign w:val="center"/>
          </w:tcPr>
          <w:p w14:paraId="687E6F05" w14:textId="77777777" w:rsidR="007B3DB2" w:rsidRPr="0063248C" w:rsidRDefault="00000000">
            <w:pPr>
              <w:spacing w:line="240" w:lineRule="exact"/>
              <w:jc w:val="right"/>
              <w:rPr>
                <w:rFonts w:cs="宋体"/>
                <w:sz w:val="18"/>
                <w:szCs w:val="18"/>
              </w:rPr>
            </w:pPr>
            <w:r w:rsidRPr="0063248C">
              <w:rPr>
                <w:rFonts w:cs="宋体"/>
                <w:sz w:val="18"/>
                <w:szCs w:val="18"/>
              </w:rPr>
              <w:t>262,202,925.48</w:t>
            </w:r>
          </w:p>
        </w:tc>
      </w:tr>
      <w:tr w:rsidR="007B3DB2" w:rsidRPr="0063248C" w14:paraId="351B35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4680B6" w14:textId="77777777" w:rsidR="007B3DB2" w:rsidRPr="0063248C" w:rsidRDefault="00000000">
            <w:pPr>
              <w:spacing w:before="40" w:after="40" w:line="240" w:lineRule="exact"/>
              <w:rPr>
                <w:rFonts w:cs="宋体"/>
                <w:sz w:val="18"/>
                <w:szCs w:val="18"/>
              </w:rPr>
            </w:pPr>
            <w:r w:rsidRPr="0063248C">
              <w:rPr>
                <w:rFonts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14:paraId="6DC488CD" w14:textId="77777777" w:rsidR="007B3DB2" w:rsidRPr="0063248C" w:rsidRDefault="00000000">
            <w:pPr>
              <w:spacing w:line="240" w:lineRule="exact"/>
              <w:jc w:val="right"/>
              <w:rPr>
                <w:rFonts w:cs="宋体"/>
                <w:sz w:val="18"/>
                <w:szCs w:val="18"/>
              </w:rPr>
            </w:pPr>
            <w:r w:rsidRPr="0063248C">
              <w:rPr>
                <w:rFonts w:cs="宋体"/>
                <w:sz w:val="18"/>
                <w:szCs w:val="18"/>
              </w:rPr>
              <w:t>74,990,000.00</w:t>
            </w:r>
          </w:p>
        </w:tc>
        <w:tc>
          <w:tcPr>
            <w:tcW w:w="3213" w:type="dxa"/>
            <w:tcBorders>
              <w:top w:val="single" w:sz="2" w:space="0" w:color="auto"/>
              <w:left w:val="single" w:sz="2" w:space="0" w:color="auto"/>
              <w:bottom w:val="single" w:sz="2" w:space="0" w:color="auto"/>
              <w:right w:val="single" w:sz="2" w:space="0" w:color="auto"/>
            </w:tcBorders>
            <w:vAlign w:val="center"/>
          </w:tcPr>
          <w:p w14:paraId="27C113A4" w14:textId="77777777" w:rsidR="007B3DB2" w:rsidRPr="0063248C" w:rsidRDefault="00000000">
            <w:pPr>
              <w:spacing w:line="240" w:lineRule="exact"/>
              <w:jc w:val="right"/>
              <w:rPr>
                <w:rFonts w:cs="宋体"/>
                <w:sz w:val="18"/>
                <w:szCs w:val="18"/>
              </w:rPr>
            </w:pPr>
            <w:r w:rsidRPr="0063248C">
              <w:rPr>
                <w:rFonts w:cs="宋体"/>
                <w:sz w:val="18"/>
                <w:szCs w:val="18"/>
              </w:rPr>
              <w:t>204,000,000.00</w:t>
            </w:r>
          </w:p>
        </w:tc>
      </w:tr>
      <w:tr w:rsidR="007B3DB2" w:rsidRPr="0063248C" w14:paraId="72DE7EA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FD0D499" w14:textId="77777777" w:rsidR="007B3DB2" w:rsidRPr="0063248C" w:rsidRDefault="00000000">
            <w:pPr>
              <w:spacing w:line="240" w:lineRule="exact"/>
              <w:rPr>
                <w:rFonts w:cs="宋体"/>
                <w:sz w:val="18"/>
                <w:szCs w:val="18"/>
              </w:rPr>
            </w:pPr>
            <w:r w:rsidRPr="0063248C">
              <w:rPr>
                <w:rFonts w:cs="宋体"/>
                <w:sz w:val="18"/>
                <w:szCs w:val="18"/>
              </w:rPr>
              <w:t>减：一年内到期的长期借款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3978ED97" w14:textId="77777777" w:rsidR="007B3DB2" w:rsidRPr="0063248C" w:rsidRDefault="00000000">
            <w:pPr>
              <w:spacing w:line="240" w:lineRule="exact"/>
              <w:jc w:val="right"/>
              <w:rPr>
                <w:rFonts w:cs="宋体"/>
                <w:sz w:val="18"/>
                <w:szCs w:val="18"/>
              </w:rPr>
            </w:pPr>
            <w:r w:rsidRPr="0063248C">
              <w:rPr>
                <w:rFonts w:cs="宋体"/>
                <w:sz w:val="18"/>
                <w:szCs w:val="18"/>
              </w:rPr>
              <w:t>-143,500,000.00</w:t>
            </w:r>
          </w:p>
        </w:tc>
        <w:tc>
          <w:tcPr>
            <w:tcW w:w="3213" w:type="dxa"/>
            <w:tcBorders>
              <w:top w:val="single" w:sz="2" w:space="0" w:color="auto"/>
              <w:left w:val="single" w:sz="2" w:space="0" w:color="auto"/>
              <w:bottom w:val="single" w:sz="2" w:space="0" w:color="auto"/>
              <w:right w:val="single" w:sz="2" w:space="0" w:color="auto"/>
            </w:tcBorders>
            <w:vAlign w:val="center"/>
          </w:tcPr>
          <w:p w14:paraId="6F3F8502" w14:textId="77777777" w:rsidR="007B3DB2" w:rsidRPr="0063248C" w:rsidRDefault="00000000">
            <w:pPr>
              <w:spacing w:line="240" w:lineRule="exact"/>
              <w:jc w:val="right"/>
              <w:rPr>
                <w:rFonts w:cs="宋体"/>
                <w:sz w:val="18"/>
                <w:szCs w:val="18"/>
              </w:rPr>
            </w:pPr>
            <w:r w:rsidRPr="0063248C">
              <w:rPr>
                <w:rFonts w:cs="宋体"/>
                <w:sz w:val="18"/>
                <w:szCs w:val="18"/>
              </w:rPr>
              <w:t>-140,000,000.00</w:t>
            </w:r>
          </w:p>
        </w:tc>
      </w:tr>
      <w:tr w:rsidR="007B3DB2" w:rsidRPr="0063248C" w14:paraId="273E39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AEDB36"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B1C8627" w14:textId="77777777" w:rsidR="007B3DB2" w:rsidRPr="0063248C" w:rsidRDefault="00000000">
            <w:pPr>
              <w:spacing w:line="240" w:lineRule="exact"/>
              <w:jc w:val="right"/>
              <w:rPr>
                <w:rFonts w:cs="宋体"/>
                <w:sz w:val="18"/>
                <w:szCs w:val="18"/>
              </w:rPr>
            </w:pPr>
            <w:r w:rsidRPr="0063248C">
              <w:rPr>
                <w:rFonts w:cs="宋体"/>
                <w:sz w:val="18"/>
                <w:szCs w:val="18"/>
              </w:rPr>
              <w:t>318,244,541.91</w:t>
            </w:r>
          </w:p>
        </w:tc>
        <w:tc>
          <w:tcPr>
            <w:tcW w:w="3213" w:type="dxa"/>
            <w:tcBorders>
              <w:top w:val="single" w:sz="2" w:space="0" w:color="auto"/>
              <w:left w:val="single" w:sz="2" w:space="0" w:color="auto"/>
              <w:bottom w:val="single" w:sz="2" w:space="0" w:color="auto"/>
              <w:right w:val="single" w:sz="2" w:space="0" w:color="auto"/>
            </w:tcBorders>
            <w:vAlign w:val="center"/>
          </w:tcPr>
          <w:p w14:paraId="50535059" w14:textId="77777777" w:rsidR="007B3DB2" w:rsidRPr="0063248C" w:rsidRDefault="00000000">
            <w:pPr>
              <w:spacing w:line="240" w:lineRule="exact"/>
              <w:jc w:val="right"/>
              <w:rPr>
                <w:rFonts w:cs="宋体"/>
                <w:sz w:val="18"/>
                <w:szCs w:val="18"/>
              </w:rPr>
            </w:pPr>
            <w:r w:rsidRPr="0063248C">
              <w:rPr>
                <w:rFonts w:cs="宋体"/>
                <w:sz w:val="18"/>
                <w:szCs w:val="18"/>
              </w:rPr>
              <w:t>326,202,925.48</w:t>
            </w:r>
          </w:p>
        </w:tc>
      </w:tr>
    </w:tbl>
    <w:p w14:paraId="192DF54C" w14:textId="77777777" w:rsidR="007B3DB2" w:rsidRPr="0063248C" w:rsidRDefault="00000000">
      <w:pPr>
        <w:spacing w:before="100" w:after="100" w:line="240" w:lineRule="exact"/>
        <w:rPr>
          <w:rFonts w:cs="宋体"/>
          <w:sz w:val="18"/>
          <w:szCs w:val="18"/>
        </w:rPr>
      </w:pPr>
      <w:r w:rsidRPr="0063248C">
        <w:rPr>
          <w:rFonts w:cs="宋体"/>
          <w:sz w:val="18"/>
          <w:szCs w:val="18"/>
        </w:rPr>
        <w:t>长期借款分类的说明：</w:t>
      </w:r>
    </w:p>
    <w:p w14:paraId="13283144" w14:textId="77777777" w:rsidR="00517D34" w:rsidRPr="0063248C" w:rsidRDefault="00000000">
      <w:pPr>
        <w:pStyle w:val="a3"/>
        <w:spacing w:before="0" w:beforeAutospacing="0" w:after="0" w:afterAutospacing="0"/>
        <w:ind w:firstLine="360"/>
        <w:jc w:val="both"/>
        <w:divId w:val="1568149508"/>
        <w:rPr>
          <w:rFonts w:ascii="Times New Roman" w:hAnsi="Times New Roman"/>
        </w:rPr>
      </w:pPr>
      <w:r w:rsidRPr="0063248C">
        <w:rPr>
          <w:rFonts w:ascii="Times New Roman" w:hAnsi="Times New Roman" w:hint="eastAsia"/>
          <w:sz w:val="18"/>
          <w:szCs w:val="18"/>
        </w:rPr>
        <w:t>抵押借款的抵押资产类别以及金额，</w:t>
      </w:r>
      <w:r w:rsidRPr="0063248C">
        <w:rPr>
          <w:rFonts w:ascii="Times New Roman" w:hAnsi="Times New Roman" w:hint="eastAsia"/>
          <w:sz w:val="18"/>
          <w:szCs w:val="18"/>
        </w:rPr>
        <w:t xml:space="preserve"> </w:t>
      </w:r>
      <w:r w:rsidRPr="0063248C">
        <w:rPr>
          <w:rFonts w:ascii="Times New Roman" w:hAnsi="Times New Roman" w:hint="eastAsia"/>
          <w:sz w:val="18"/>
          <w:szCs w:val="18"/>
        </w:rPr>
        <w:t>参见附注七、</w:t>
      </w:r>
      <w:r w:rsidRPr="0063248C">
        <w:rPr>
          <w:rFonts w:ascii="Times New Roman" w:hAnsi="Times New Roman" w:hint="eastAsia"/>
          <w:sz w:val="18"/>
          <w:szCs w:val="18"/>
        </w:rPr>
        <w:t xml:space="preserve"> </w:t>
      </w:r>
      <w:r w:rsidRPr="0063248C">
        <w:rPr>
          <w:rFonts w:ascii="Times New Roman" w:hAnsi="Times New Roman" w:cs="Times New Roman"/>
          <w:sz w:val="18"/>
          <w:szCs w:val="18"/>
        </w:rPr>
        <w:t>31</w:t>
      </w:r>
      <w:r w:rsidRPr="0063248C">
        <w:rPr>
          <w:rFonts w:ascii="Times New Roman" w:hAnsi="Times New Roman" w:hint="eastAsia"/>
          <w:sz w:val="18"/>
          <w:szCs w:val="18"/>
        </w:rPr>
        <w:t>。</w:t>
      </w:r>
    </w:p>
    <w:p w14:paraId="07F6AA37" w14:textId="77777777" w:rsidR="007B3DB2" w:rsidRPr="0063248C" w:rsidRDefault="00000000">
      <w:pPr>
        <w:spacing w:before="100" w:after="100" w:line="240" w:lineRule="exact"/>
        <w:rPr>
          <w:rFonts w:cs="宋体"/>
          <w:sz w:val="18"/>
          <w:szCs w:val="18"/>
        </w:rPr>
      </w:pPr>
      <w:r w:rsidRPr="0063248C">
        <w:rPr>
          <w:rFonts w:cs="宋体"/>
          <w:sz w:val="18"/>
          <w:szCs w:val="18"/>
        </w:rPr>
        <w:t>其他说明，包括利率区间：</w:t>
      </w:r>
    </w:p>
    <w:p w14:paraId="1CECAF6A" w14:textId="77777777" w:rsidR="00517D34" w:rsidRPr="0063248C" w:rsidRDefault="00000000">
      <w:pPr>
        <w:pStyle w:val="a3"/>
        <w:spacing w:before="0" w:beforeAutospacing="0" w:after="0" w:afterAutospacing="0"/>
        <w:ind w:firstLine="360"/>
        <w:jc w:val="both"/>
        <w:divId w:val="150030445"/>
        <w:rPr>
          <w:rFonts w:ascii="Times New Roman" w:hAnsi="Times New Roman"/>
        </w:rPr>
      </w:pPr>
      <w:r w:rsidRPr="0063248C">
        <w:rPr>
          <w:rFonts w:ascii="Times New Roman" w:hAnsi="Times New Roman" w:hint="eastAsia"/>
          <w:sz w:val="18"/>
          <w:szCs w:val="18"/>
        </w:rPr>
        <w:lastRenderedPageBreak/>
        <w:t>长期借款利率区间为</w:t>
      </w:r>
      <w:proofErr w:type="gramStart"/>
      <w:r w:rsidRPr="0063248C">
        <w:rPr>
          <w:rFonts w:ascii="Times New Roman" w:hAnsi="Times New Roman" w:hint="eastAsia"/>
          <w:sz w:val="18"/>
          <w:szCs w:val="18"/>
        </w:rPr>
        <w:t>年化利率</w:t>
      </w:r>
      <w:proofErr w:type="gramEnd"/>
      <w:r w:rsidRPr="0063248C">
        <w:rPr>
          <w:rFonts w:ascii="Times New Roman" w:hAnsi="Times New Roman" w:cs="Times New Roman"/>
          <w:sz w:val="18"/>
          <w:szCs w:val="18"/>
        </w:rPr>
        <w:t>3.60%-4.70%</w:t>
      </w:r>
      <w:r w:rsidRPr="0063248C">
        <w:rPr>
          <w:rFonts w:ascii="Times New Roman" w:hAnsi="Times New Roman" w:hint="eastAsia"/>
          <w:sz w:val="18"/>
          <w:szCs w:val="18"/>
        </w:rPr>
        <w:t>。</w:t>
      </w:r>
    </w:p>
    <w:p w14:paraId="3F122829" w14:textId="77777777" w:rsidR="007B3DB2" w:rsidRPr="0063248C" w:rsidRDefault="00000000">
      <w:pPr>
        <w:pStyle w:val="3"/>
        <w:spacing w:line="280" w:lineRule="exact"/>
        <w:jc w:val="left"/>
        <w:rPr>
          <w:rFonts w:cs="宋体"/>
          <w:b/>
          <w:bCs/>
        </w:rPr>
      </w:pPr>
      <w:bookmarkStart w:id="338" w:name="_Toc989227"/>
      <w:r w:rsidRPr="0063248C">
        <w:rPr>
          <w:rFonts w:cs="宋体"/>
          <w:b/>
          <w:bCs/>
        </w:rPr>
        <w:t>46</w:t>
      </w:r>
      <w:r w:rsidRPr="0063248C">
        <w:rPr>
          <w:rFonts w:cs="宋体"/>
          <w:b/>
          <w:bCs/>
        </w:rPr>
        <w:t>、应付债券</w:t>
      </w:r>
      <w:bookmarkEnd w:id="338"/>
    </w:p>
    <w:p w14:paraId="369B7EA4" w14:textId="77777777" w:rsidR="007B3DB2" w:rsidRPr="0063248C" w:rsidRDefault="00000000">
      <w:pPr>
        <w:keepNext/>
        <w:keepLines/>
        <w:spacing w:before="300" w:after="300" w:line="280" w:lineRule="exact"/>
        <w:outlineLvl w:val="3"/>
        <w:rPr>
          <w:rFonts w:cs="宋体"/>
          <w:b/>
          <w:bCs/>
          <w:szCs w:val="21"/>
        </w:rPr>
      </w:pPr>
      <w:bookmarkStart w:id="339" w:name="_Toc989228"/>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应付债券</w:t>
      </w:r>
      <w:bookmarkEnd w:id="339"/>
    </w:p>
    <w:p w14:paraId="065639F1"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66ED87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F9764B"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3BE75F"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28165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42687B2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166DFEC" w14:textId="77777777" w:rsidR="007B3DB2" w:rsidRPr="0063248C" w:rsidRDefault="00000000">
            <w:pPr>
              <w:spacing w:line="240" w:lineRule="exact"/>
              <w:rPr>
                <w:rFonts w:cs="宋体"/>
                <w:sz w:val="18"/>
                <w:szCs w:val="18"/>
              </w:rPr>
            </w:pPr>
            <w:r w:rsidRPr="0063248C">
              <w:rPr>
                <w:rFonts w:cs="宋体"/>
                <w:sz w:val="18"/>
                <w:szCs w:val="18"/>
              </w:rPr>
              <w:t>可转换公司债</w:t>
            </w:r>
            <w:proofErr w:type="gramStart"/>
            <w:r w:rsidRPr="0063248C">
              <w:rPr>
                <w:rFonts w:cs="宋体"/>
                <w:sz w:val="18"/>
                <w:szCs w:val="18"/>
              </w:rPr>
              <w:t>券</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14:paraId="22A94B22" w14:textId="77777777" w:rsidR="007B3DB2" w:rsidRPr="0063248C" w:rsidRDefault="00000000">
            <w:pPr>
              <w:spacing w:line="240" w:lineRule="exact"/>
              <w:jc w:val="right"/>
              <w:rPr>
                <w:rFonts w:cs="宋体"/>
                <w:sz w:val="18"/>
                <w:szCs w:val="18"/>
              </w:rPr>
            </w:pPr>
            <w:r w:rsidRPr="0063248C">
              <w:rPr>
                <w:rFonts w:cs="宋体"/>
                <w:sz w:val="18"/>
                <w:szCs w:val="18"/>
              </w:rPr>
              <w:t>909,474,678.79</w:t>
            </w:r>
          </w:p>
        </w:tc>
        <w:tc>
          <w:tcPr>
            <w:tcW w:w="3213" w:type="dxa"/>
            <w:tcBorders>
              <w:top w:val="single" w:sz="2" w:space="0" w:color="auto"/>
              <w:left w:val="single" w:sz="2" w:space="0" w:color="auto"/>
              <w:bottom w:val="single" w:sz="2" w:space="0" w:color="auto"/>
              <w:right w:val="single" w:sz="2" w:space="0" w:color="auto"/>
            </w:tcBorders>
            <w:vAlign w:val="center"/>
          </w:tcPr>
          <w:p w14:paraId="53B42E7E" w14:textId="77777777" w:rsidR="007B3DB2" w:rsidRPr="0063248C" w:rsidRDefault="00000000">
            <w:pPr>
              <w:spacing w:line="240" w:lineRule="exact"/>
              <w:jc w:val="right"/>
              <w:rPr>
                <w:rFonts w:cs="宋体"/>
                <w:sz w:val="18"/>
                <w:szCs w:val="18"/>
              </w:rPr>
            </w:pPr>
            <w:r w:rsidRPr="0063248C">
              <w:rPr>
                <w:rFonts w:cs="宋体"/>
                <w:sz w:val="18"/>
                <w:szCs w:val="18"/>
              </w:rPr>
              <w:t>892,370,341.46</w:t>
            </w:r>
          </w:p>
        </w:tc>
      </w:tr>
      <w:tr w:rsidR="007B3DB2" w:rsidRPr="0063248C" w14:paraId="613A12B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D487548" w14:textId="77777777" w:rsidR="007B3DB2" w:rsidRPr="0063248C" w:rsidRDefault="00000000">
            <w:pPr>
              <w:spacing w:line="240" w:lineRule="exact"/>
              <w:rPr>
                <w:rFonts w:cs="宋体"/>
                <w:sz w:val="18"/>
                <w:szCs w:val="18"/>
              </w:rPr>
            </w:pPr>
            <w:r w:rsidRPr="0063248C">
              <w:rPr>
                <w:rFonts w:cs="宋体"/>
                <w:sz w:val="18"/>
                <w:szCs w:val="18"/>
              </w:rPr>
              <w:t>可转换公司债</w:t>
            </w:r>
            <w:proofErr w:type="gramStart"/>
            <w:r w:rsidRPr="0063248C">
              <w:rPr>
                <w:rFonts w:cs="宋体"/>
                <w:sz w:val="18"/>
                <w:szCs w:val="18"/>
              </w:rPr>
              <w:t>券</w:t>
            </w:r>
            <w:proofErr w:type="gramEnd"/>
            <w:r w:rsidRPr="0063248C">
              <w:rPr>
                <w:rFonts w:cs="宋体"/>
                <w:sz w:val="18"/>
                <w:szCs w:val="18"/>
              </w:rPr>
              <w:t>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1FC83243" w14:textId="77777777" w:rsidR="007B3DB2" w:rsidRPr="0063248C" w:rsidRDefault="00000000">
            <w:pPr>
              <w:spacing w:line="240" w:lineRule="exact"/>
              <w:jc w:val="right"/>
              <w:rPr>
                <w:rFonts w:cs="宋体"/>
                <w:sz w:val="18"/>
                <w:szCs w:val="18"/>
              </w:rPr>
            </w:pPr>
            <w:r w:rsidRPr="0063248C">
              <w:rPr>
                <w:rFonts w:cs="宋体"/>
                <w:sz w:val="18"/>
                <w:szCs w:val="18"/>
              </w:rPr>
              <w:t>13,725,562.20</w:t>
            </w:r>
          </w:p>
        </w:tc>
        <w:tc>
          <w:tcPr>
            <w:tcW w:w="3213" w:type="dxa"/>
            <w:tcBorders>
              <w:top w:val="single" w:sz="2" w:space="0" w:color="auto"/>
              <w:left w:val="single" w:sz="2" w:space="0" w:color="auto"/>
              <w:bottom w:val="single" w:sz="2" w:space="0" w:color="auto"/>
              <w:right w:val="single" w:sz="2" w:space="0" w:color="auto"/>
            </w:tcBorders>
            <w:vAlign w:val="center"/>
          </w:tcPr>
          <w:p w14:paraId="5E3CE56B" w14:textId="77777777" w:rsidR="007B3DB2" w:rsidRPr="0063248C" w:rsidRDefault="00000000">
            <w:pPr>
              <w:spacing w:line="240" w:lineRule="exact"/>
              <w:jc w:val="right"/>
              <w:rPr>
                <w:rFonts w:cs="宋体"/>
                <w:sz w:val="18"/>
                <w:szCs w:val="18"/>
              </w:rPr>
            </w:pPr>
            <w:r w:rsidRPr="0063248C">
              <w:rPr>
                <w:rFonts w:cs="宋体"/>
                <w:sz w:val="18"/>
                <w:szCs w:val="18"/>
              </w:rPr>
              <w:t>6,668,924.28</w:t>
            </w:r>
          </w:p>
        </w:tc>
      </w:tr>
      <w:tr w:rsidR="007B3DB2" w:rsidRPr="0063248C" w14:paraId="6A41B0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EDA079"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6320432" w14:textId="77777777" w:rsidR="007B3DB2" w:rsidRPr="0063248C" w:rsidRDefault="00000000">
            <w:pPr>
              <w:spacing w:line="240" w:lineRule="exact"/>
              <w:jc w:val="right"/>
              <w:rPr>
                <w:rFonts w:cs="宋体"/>
                <w:sz w:val="18"/>
                <w:szCs w:val="18"/>
              </w:rPr>
            </w:pPr>
            <w:r w:rsidRPr="0063248C">
              <w:rPr>
                <w:rFonts w:cs="宋体"/>
                <w:sz w:val="18"/>
                <w:szCs w:val="18"/>
              </w:rPr>
              <w:t>923,200,240.99</w:t>
            </w:r>
          </w:p>
        </w:tc>
        <w:tc>
          <w:tcPr>
            <w:tcW w:w="3213" w:type="dxa"/>
            <w:tcBorders>
              <w:top w:val="single" w:sz="2" w:space="0" w:color="auto"/>
              <w:left w:val="single" w:sz="2" w:space="0" w:color="auto"/>
              <w:bottom w:val="single" w:sz="2" w:space="0" w:color="auto"/>
              <w:right w:val="single" w:sz="2" w:space="0" w:color="auto"/>
            </w:tcBorders>
            <w:vAlign w:val="center"/>
          </w:tcPr>
          <w:p w14:paraId="37D7BB85" w14:textId="77777777" w:rsidR="007B3DB2" w:rsidRPr="0063248C" w:rsidRDefault="00000000">
            <w:pPr>
              <w:spacing w:line="240" w:lineRule="exact"/>
              <w:jc w:val="right"/>
              <w:rPr>
                <w:rFonts w:cs="宋体"/>
                <w:sz w:val="18"/>
                <w:szCs w:val="18"/>
              </w:rPr>
            </w:pPr>
            <w:r w:rsidRPr="0063248C">
              <w:rPr>
                <w:rFonts w:cs="宋体"/>
                <w:sz w:val="18"/>
                <w:szCs w:val="18"/>
              </w:rPr>
              <w:t>899,039,265.74</w:t>
            </w:r>
          </w:p>
        </w:tc>
      </w:tr>
    </w:tbl>
    <w:p w14:paraId="751C76B6" w14:textId="77777777" w:rsidR="007B3DB2" w:rsidRPr="0063248C" w:rsidRDefault="00000000">
      <w:pPr>
        <w:keepNext/>
        <w:keepLines/>
        <w:spacing w:before="300" w:after="300" w:line="280" w:lineRule="exact"/>
        <w:outlineLvl w:val="3"/>
        <w:rPr>
          <w:rFonts w:cs="宋体"/>
          <w:b/>
          <w:bCs/>
          <w:szCs w:val="21"/>
        </w:rPr>
      </w:pPr>
      <w:bookmarkStart w:id="340" w:name="_Toc989229"/>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应付债券的增减变动（不包括划分为金融负债的优先股、永续债等其他金融工具）</w:t>
      </w:r>
      <w:bookmarkEnd w:id="340"/>
    </w:p>
    <w:p w14:paraId="60031302"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689"/>
        <w:gridCol w:w="820"/>
        <w:gridCol w:w="567"/>
        <w:gridCol w:w="680"/>
        <w:gridCol w:w="689"/>
        <w:gridCol w:w="757"/>
        <w:gridCol w:w="709"/>
        <w:gridCol w:w="600"/>
        <w:gridCol w:w="688"/>
        <w:gridCol w:w="688"/>
        <w:gridCol w:w="575"/>
        <w:gridCol w:w="801"/>
        <w:gridCol w:w="900"/>
        <w:gridCol w:w="476"/>
      </w:tblGrid>
      <w:tr w:rsidR="007B3DB2" w:rsidRPr="0063248C" w14:paraId="1368A018" w14:textId="77777777" w:rsidTr="00FA083A">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70FD2D55" w14:textId="77777777" w:rsidR="007B3DB2" w:rsidRPr="0063248C" w:rsidRDefault="00000000">
            <w:pPr>
              <w:spacing w:before="40" w:after="40" w:line="240" w:lineRule="exact"/>
              <w:jc w:val="center"/>
              <w:rPr>
                <w:rFonts w:cs="宋体"/>
                <w:sz w:val="18"/>
                <w:szCs w:val="18"/>
              </w:rPr>
            </w:pPr>
            <w:r w:rsidRPr="0063248C">
              <w:rPr>
                <w:rFonts w:cs="宋体"/>
                <w:sz w:val="18"/>
                <w:szCs w:val="18"/>
              </w:rPr>
              <w:t>债券名称</w:t>
            </w:r>
          </w:p>
        </w:tc>
        <w:tc>
          <w:tcPr>
            <w:tcW w:w="820" w:type="dxa"/>
            <w:tcBorders>
              <w:top w:val="single" w:sz="2" w:space="0" w:color="auto"/>
              <w:left w:val="single" w:sz="2" w:space="0" w:color="auto"/>
              <w:bottom w:val="single" w:sz="2" w:space="0" w:color="auto"/>
              <w:right w:val="single" w:sz="2" w:space="0" w:color="auto"/>
            </w:tcBorders>
            <w:shd w:val="clear" w:color="auto" w:fill="D3D3D3"/>
            <w:vAlign w:val="center"/>
          </w:tcPr>
          <w:p w14:paraId="3BC10E84" w14:textId="77777777" w:rsidR="007B3DB2" w:rsidRPr="0063248C" w:rsidRDefault="00000000">
            <w:pPr>
              <w:spacing w:before="40" w:after="40" w:line="240" w:lineRule="exact"/>
              <w:jc w:val="center"/>
              <w:rPr>
                <w:rFonts w:cs="宋体"/>
                <w:sz w:val="18"/>
                <w:szCs w:val="18"/>
              </w:rPr>
            </w:pPr>
            <w:r w:rsidRPr="0063248C">
              <w:rPr>
                <w:rFonts w:cs="宋体"/>
                <w:sz w:val="18"/>
                <w:szCs w:val="18"/>
              </w:rPr>
              <w:t>面值</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7856A282" w14:textId="77777777" w:rsidR="007B3DB2" w:rsidRPr="0063248C" w:rsidRDefault="00000000">
            <w:pPr>
              <w:spacing w:before="40" w:after="40" w:line="240" w:lineRule="exact"/>
              <w:jc w:val="center"/>
              <w:rPr>
                <w:rFonts w:cs="宋体"/>
                <w:sz w:val="18"/>
                <w:szCs w:val="18"/>
              </w:rPr>
            </w:pPr>
            <w:r w:rsidRPr="0063248C">
              <w:rPr>
                <w:rFonts w:cs="宋体"/>
                <w:sz w:val="18"/>
                <w:szCs w:val="18"/>
              </w:rPr>
              <w:t>票面利率</w:t>
            </w:r>
          </w:p>
        </w:tc>
        <w:tc>
          <w:tcPr>
            <w:tcW w:w="680" w:type="dxa"/>
            <w:tcBorders>
              <w:top w:val="single" w:sz="2" w:space="0" w:color="auto"/>
              <w:left w:val="single" w:sz="2" w:space="0" w:color="auto"/>
              <w:bottom w:val="single" w:sz="2" w:space="0" w:color="auto"/>
              <w:right w:val="single" w:sz="2" w:space="0" w:color="auto"/>
            </w:tcBorders>
            <w:shd w:val="clear" w:color="auto" w:fill="D3D3D3"/>
            <w:vAlign w:val="center"/>
          </w:tcPr>
          <w:p w14:paraId="2EA55D26" w14:textId="77777777" w:rsidR="007B3DB2" w:rsidRPr="0063248C" w:rsidRDefault="00000000">
            <w:pPr>
              <w:spacing w:before="40" w:after="40" w:line="240" w:lineRule="exact"/>
              <w:jc w:val="center"/>
              <w:rPr>
                <w:rFonts w:cs="宋体"/>
                <w:sz w:val="18"/>
                <w:szCs w:val="18"/>
              </w:rPr>
            </w:pPr>
            <w:r w:rsidRPr="0063248C">
              <w:rPr>
                <w:rFonts w:cs="宋体"/>
                <w:sz w:val="18"/>
                <w:szCs w:val="18"/>
              </w:rPr>
              <w:t>发行日期</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18F34177" w14:textId="77777777" w:rsidR="007B3DB2" w:rsidRPr="0063248C" w:rsidRDefault="00000000">
            <w:pPr>
              <w:spacing w:before="40" w:after="40" w:line="240" w:lineRule="exact"/>
              <w:jc w:val="center"/>
              <w:rPr>
                <w:rFonts w:cs="宋体"/>
                <w:sz w:val="18"/>
                <w:szCs w:val="18"/>
              </w:rPr>
            </w:pPr>
            <w:r w:rsidRPr="0063248C">
              <w:rPr>
                <w:rFonts w:cs="宋体"/>
                <w:sz w:val="18"/>
                <w:szCs w:val="18"/>
              </w:rPr>
              <w:t>债券期限</w:t>
            </w:r>
          </w:p>
        </w:tc>
        <w:tc>
          <w:tcPr>
            <w:tcW w:w="757" w:type="dxa"/>
            <w:tcBorders>
              <w:top w:val="single" w:sz="2" w:space="0" w:color="auto"/>
              <w:left w:val="single" w:sz="2" w:space="0" w:color="auto"/>
              <w:bottom w:val="single" w:sz="2" w:space="0" w:color="auto"/>
              <w:right w:val="single" w:sz="2" w:space="0" w:color="auto"/>
            </w:tcBorders>
            <w:shd w:val="clear" w:color="auto" w:fill="D3D3D3"/>
            <w:vAlign w:val="center"/>
          </w:tcPr>
          <w:p w14:paraId="472330B8" w14:textId="77777777" w:rsidR="007B3DB2" w:rsidRPr="0063248C" w:rsidRDefault="00000000">
            <w:pPr>
              <w:spacing w:before="40" w:after="40" w:line="240" w:lineRule="exact"/>
              <w:jc w:val="center"/>
              <w:rPr>
                <w:rFonts w:cs="宋体"/>
                <w:sz w:val="18"/>
                <w:szCs w:val="18"/>
              </w:rPr>
            </w:pPr>
            <w:r w:rsidRPr="0063248C">
              <w:rPr>
                <w:rFonts w:cs="宋体"/>
                <w:sz w:val="18"/>
                <w:szCs w:val="18"/>
              </w:rPr>
              <w:t>发行金额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C10EF6B"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600" w:type="dxa"/>
            <w:tcBorders>
              <w:top w:val="single" w:sz="2" w:space="0" w:color="auto"/>
              <w:left w:val="single" w:sz="2" w:space="0" w:color="auto"/>
              <w:bottom w:val="single" w:sz="2" w:space="0" w:color="auto"/>
              <w:right w:val="single" w:sz="2" w:space="0" w:color="auto"/>
            </w:tcBorders>
            <w:shd w:val="clear" w:color="auto" w:fill="D3D3D3"/>
            <w:vAlign w:val="center"/>
          </w:tcPr>
          <w:p w14:paraId="20BD96EB"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本期发行</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24536DF2" w14:textId="77777777" w:rsidR="007B3DB2" w:rsidRPr="0063248C" w:rsidRDefault="00000000">
            <w:pPr>
              <w:spacing w:before="40" w:after="40" w:line="240" w:lineRule="exact"/>
              <w:jc w:val="center"/>
              <w:rPr>
                <w:rFonts w:cs="宋体"/>
                <w:sz w:val="18"/>
                <w:szCs w:val="18"/>
              </w:rPr>
            </w:pPr>
            <w:r w:rsidRPr="0063248C">
              <w:rPr>
                <w:rFonts w:cs="宋体"/>
                <w:sz w:val="18"/>
                <w:szCs w:val="18"/>
              </w:rPr>
              <w:t>按面值计提利息</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2FAD95B6" w14:textId="77777777" w:rsidR="007B3DB2" w:rsidRPr="0063248C" w:rsidRDefault="00000000">
            <w:pPr>
              <w:spacing w:before="40" w:after="40" w:line="240" w:lineRule="exact"/>
              <w:jc w:val="center"/>
              <w:rPr>
                <w:rFonts w:cs="宋体"/>
                <w:sz w:val="18"/>
                <w:szCs w:val="18"/>
              </w:rPr>
            </w:pPr>
            <w:proofErr w:type="gramStart"/>
            <w:r w:rsidRPr="0063248C">
              <w:rPr>
                <w:rFonts w:cs="宋体"/>
                <w:sz w:val="18"/>
                <w:szCs w:val="18"/>
              </w:rPr>
              <w:t>溢</w:t>
            </w:r>
            <w:proofErr w:type="gramEnd"/>
            <w:r w:rsidRPr="0063248C">
              <w:rPr>
                <w:rFonts w:cs="宋体"/>
                <w:sz w:val="18"/>
                <w:szCs w:val="18"/>
              </w:rPr>
              <w:t>折价摊销</w:t>
            </w:r>
          </w:p>
        </w:tc>
        <w:tc>
          <w:tcPr>
            <w:tcW w:w="575" w:type="dxa"/>
            <w:tcBorders>
              <w:top w:val="single" w:sz="2" w:space="0" w:color="auto"/>
              <w:left w:val="single" w:sz="2" w:space="0" w:color="auto"/>
              <w:bottom w:val="single" w:sz="2" w:space="0" w:color="auto"/>
              <w:right w:val="single" w:sz="2" w:space="0" w:color="auto"/>
            </w:tcBorders>
            <w:shd w:val="clear" w:color="auto" w:fill="D3D3D3"/>
            <w:vAlign w:val="center"/>
          </w:tcPr>
          <w:p w14:paraId="315534D2"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本期偿还</w:t>
            </w:r>
          </w:p>
        </w:tc>
        <w:tc>
          <w:tcPr>
            <w:tcW w:w="801" w:type="dxa"/>
            <w:tcBorders>
              <w:top w:val="single" w:sz="2" w:space="0" w:color="auto"/>
              <w:left w:val="single" w:sz="2" w:space="0" w:color="auto"/>
              <w:bottom w:val="single" w:sz="2" w:space="0" w:color="auto"/>
              <w:right w:val="single" w:sz="2" w:space="0" w:color="auto"/>
            </w:tcBorders>
            <w:vAlign w:val="center"/>
          </w:tcPr>
          <w:p w14:paraId="2CD81DA1" w14:textId="77777777" w:rsidR="007B3DB2" w:rsidRPr="0063248C" w:rsidRDefault="00000000">
            <w:pPr>
              <w:spacing w:line="240" w:lineRule="exact"/>
              <w:jc w:val="center"/>
              <w:rPr>
                <w:rFonts w:cs="宋体"/>
                <w:sz w:val="18"/>
                <w:szCs w:val="18"/>
              </w:rPr>
            </w:pPr>
            <w:proofErr w:type="gramStart"/>
            <w:r w:rsidRPr="0063248C">
              <w:rPr>
                <w:rFonts w:cs="宋体"/>
                <w:sz w:val="18"/>
                <w:szCs w:val="18"/>
              </w:rPr>
              <w:t>本期转</w:t>
            </w:r>
            <w:proofErr w:type="gramEnd"/>
            <w:r w:rsidRPr="0063248C">
              <w:rPr>
                <w:rFonts w:cs="宋体"/>
                <w:sz w:val="18"/>
                <w:szCs w:val="18"/>
              </w:rPr>
              <w:t>股</w:t>
            </w:r>
          </w:p>
        </w:tc>
        <w:tc>
          <w:tcPr>
            <w:tcW w:w="900" w:type="dxa"/>
            <w:tcBorders>
              <w:top w:val="single" w:sz="2" w:space="0" w:color="auto"/>
              <w:left w:val="single" w:sz="2" w:space="0" w:color="auto"/>
              <w:bottom w:val="single" w:sz="2" w:space="0" w:color="auto"/>
              <w:right w:val="single" w:sz="2" w:space="0" w:color="auto"/>
            </w:tcBorders>
            <w:shd w:val="clear" w:color="auto" w:fill="D3D3D3"/>
            <w:vAlign w:val="center"/>
          </w:tcPr>
          <w:p w14:paraId="79F56BF2"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476" w:type="dxa"/>
            <w:tcBorders>
              <w:top w:val="single" w:sz="2" w:space="0" w:color="auto"/>
              <w:left w:val="single" w:sz="2" w:space="0" w:color="auto"/>
              <w:bottom w:val="single" w:sz="2" w:space="0" w:color="auto"/>
              <w:right w:val="single" w:sz="2" w:space="0" w:color="auto"/>
            </w:tcBorders>
            <w:shd w:val="clear" w:color="auto" w:fill="D3D3D3"/>
            <w:vAlign w:val="center"/>
          </w:tcPr>
          <w:p w14:paraId="573B2789" w14:textId="77777777" w:rsidR="007B3DB2" w:rsidRPr="0063248C" w:rsidRDefault="00000000">
            <w:pPr>
              <w:spacing w:before="40" w:after="40" w:line="240" w:lineRule="exact"/>
              <w:jc w:val="center"/>
              <w:rPr>
                <w:rFonts w:cs="宋体"/>
                <w:sz w:val="18"/>
                <w:szCs w:val="18"/>
              </w:rPr>
            </w:pPr>
            <w:r w:rsidRPr="0063248C">
              <w:rPr>
                <w:rFonts w:cs="宋体"/>
                <w:sz w:val="18"/>
                <w:szCs w:val="18"/>
              </w:rPr>
              <w:t>是否违约</w:t>
            </w:r>
          </w:p>
        </w:tc>
      </w:tr>
      <w:tr w:rsidR="007B3DB2" w:rsidRPr="0063248C" w14:paraId="38C893DA" w14:textId="77777777" w:rsidTr="00FA083A">
        <w:trPr>
          <w:trHeight w:val="240"/>
        </w:trPr>
        <w:tc>
          <w:tcPr>
            <w:tcW w:w="689" w:type="dxa"/>
            <w:tcBorders>
              <w:top w:val="single" w:sz="2" w:space="0" w:color="auto"/>
              <w:left w:val="single" w:sz="2" w:space="0" w:color="auto"/>
              <w:bottom w:val="single" w:sz="2" w:space="0" w:color="auto"/>
              <w:right w:val="single" w:sz="2" w:space="0" w:color="auto"/>
            </w:tcBorders>
            <w:vAlign w:val="center"/>
          </w:tcPr>
          <w:p w14:paraId="2FD26CB8" w14:textId="77777777" w:rsidR="007B3DB2" w:rsidRPr="0063248C" w:rsidRDefault="00000000">
            <w:pPr>
              <w:spacing w:line="240" w:lineRule="exact"/>
              <w:rPr>
                <w:rFonts w:cs="宋体"/>
                <w:sz w:val="18"/>
                <w:szCs w:val="18"/>
              </w:rPr>
            </w:pPr>
            <w:r w:rsidRPr="0063248C">
              <w:rPr>
                <w:rFonts w:cs="宋体"/>
                <w:sz w:val="18"/>
                <w:szCs w:val="18"/>
              </w:rPr>
              <w:t>龙大转债</w:t>
            </w:r>
          </w:p>
        </w:tc>
        <w:tc>
          <w:tcPr>
            <w:tcW w:w="820" w:type="dxa"/>
            <w:tcBorders>
              <w:top w:val="single" w:sz="2" w:space="0" w:color="auto"/>
              <w:left w:val="single" w:sz="2" w:space="0" w:color="auto"/>
              <w:bottom w:val="single" w:sz="2" w:space="0" w:color="auto"/>
              <w:right w:val="single" w:sz="2" w:space="0" w:color="auto"/>
            </w:tcBorders>
            <w:vAlign w:val="center"/>
          </w:tcPr>
          <w:p w14:paraId="36A1AAEE" w14:textId="77777777" w:rsidR="007B3DB2" w:rsidRPr="0063248C" w:rsidRDefault="00000000">
            <w:pPr>
              <w:spacing w:line="240" w:lineRule="exact"/>
              <w:jc w:val="right"/>
              <w:rPr>
                <w:rFonts w:cs="宋体"/>
                <w:sz w:val="18"/>
                <w:szCs w:val="18"/>
              </w:rPr>
            </w:pPr>
            <w:r w:rsidRPr="0063248C">
              <w:rPr>
                <w:rFonts w:cs="宋体"/>
                <w:sz w:val="18"/>
                <w:szCs w:val="18"/>
              </w:rPr>
              <w:t>950,000,000.00</w:t>
            </w:r>
          </w:p>
        </w:tc>
        <w:tc>
          <w:tcPr>
            <w:tcW w:w="567" w:type="dxa"/>
            <w:tcBorders>
              <w:top w:val="single" w:sz="2" w:space="0" w:color="auto"/>
              <w:left w:val="single" w:sz="2" w:space="0" w:color="auto"/>
              <w:bottom w:val="single" w:sz="2" w:space="0" w:color="auto"/>
              <w:right w:val="single" w:sz="2" w:space="0" w:color="auto"/>
            </w:tcBorders>
            <w:vAlign w:val="center"/>
          </w:tcPr>
          <w:p w14:paraId="73274F5D" w14:textId="77777777" w:rsidR="007B3DB2" w:rsidRPr="0063248C" w:rsidRDefault="007B3DB2">
            <w:pPr>
              <w:spacing w:line="240" w:lineRule="exact"/>
              <w:jc w:val="right"/>
              <w:rPr>
                <w:rFonts w:cs="宋体"/>
                <w:sz w:val="18"/>
                <w:szCs w:val="18"/>
              </w:rPr>
            </w:pPr>
          </w:p>
        </w:tc>
        <w:tc>
          <w:tcPr>
            <w:tcW w:w="680" w:type="dxa"/>
            <w:tcBorders>
              <w:top w:val="single" w:sz="2" w:space="0" w:color="auto"/>
              <w:left w:val="single" w:sz="2" w:space="0" w:color="auto"/>
              <w:bottom w:val="single" w:sz="2" w:space="0" w:color="auto"/>
              <w:right w:val="single" w:sz="2" w:space="0" w:color="auto"/>
            </w:tcBorders>
            <w:vAlign w:val="center"/>
          </w:tcPr>
          <w:p w14:paraId="461C99FF" w14:textId="77777777" w:rsidR="007B3DB2" w:rsidRPr="0063248C" w:rsidRDefault="00000000">
            <w:pPr>
              <w:spacing w:line="240" w:lineRule="exact"/>
              <w:rPr>
                <w:rFonts w:cs="宋体"/>
                <w:sz w:val="18"/>
                <w:szCs w:val="18"/>
              </w:rPr>
            </w:pPr>
            <w:r w:rsidRPr="0063248C">
              <w:rPr>
                <w:rFonts w:cs="宋体"/>
                <w:sz w:val="18"/>
                <w:szCs w:val="18"/>
              </w:rPr>
              <w:t>2020</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13</w:t>
            </w:r>
            <w:r w:rsidRPr="0063248C">
              <w:rPr>
                <w:rFonts w:cs="宋体"/>
                <w:sz w:val="18"/>
                <w:szCs w:val="18"/>
              </w:rPr>
              <w:t>日</w:t>
            </w:r>
          </w:p>
        </w:tc>
        <w:tc>
          <w:tcPr>
            <w:tcW w:w="689" w:type="dxa"/>
            <w:tcBorders>
              <w:top w:val="single" w:sz="2" w:space="0" w:color="auto"/>
              <w:left w:val="single" w:sz="2" w:space="0" w:color="auto"/>
              <w:bottom w:val="single" w:sz="2" w:space="0" w:color="auto"/>
              <w:right w:val="single" w:sz="2" w:space="0" w:color="auto"/>
            </w:tcBorders>
            <w:vAlign w:val="center"/>
          </w:tcPr>
          <w:p w14:paraId="524CA52D" w14:textId="77777777" w:rsidR="007B3DB2" w:rsidRPr="0063248C" w:rsidRDefault="00000000">
            <w:pPr>
              <w:spacing w:line="240" w:lineRule="exact"/>
              <w:rPr>
                <w:rFonts w:cs="宋体"/>
                <w:sz w:val="18"/>
                <w:szCs w:val="18"/>
              </w:rPr>
            </w:pPr>
            <w:r w:rsidRPr="0063248C">
              <w:rPr>
                <w:rFonts w:cs="宋体"/>
                <w:sz w:val="18"/>
                <w:szCs w:val="18"/>
              </w:rPr>
              <w:t xml:space="preserve">6 </w:t>
            </w:r>
            <w:r w:rsidRPr="0063248C">
              <w:rPr>
                <w:rFonts w:cs="宋体"/>
                <w:sz w:val="18"/>
                <w:szCs w:val="18"/>
              </w:rPr>
              <w:t>年</w:t>
            </w:r>
          </w:p>
        </w:tc>
        <w:tc>
          <w:tcPr>
            <w:tcW w:w="757" w:type="dxa"/>
            <w:tcBorders>
              <w:top w:val="single" w:sz="2" w:space="0" w:color="auto"/>
              <w:left w:val="single" w:sz="2" w:space="0" w:color="auto"/>
              <w:bottom w:val="single" w:sz="2" w:space="0" w:color="auto"/>
              <w:right w:val="single" w:sz="2" w:space="0" w:color="auto"/>
            </w:tcBorders>
            <w:vAlign w:val="center"/>
          </w:tcPr>
          <w:p w14:paraId="61698B82" w14:textId="77777777" w:rsidR="007B3DB2" w:rsidRPr="0063248C" w:rsidRDefault="00000000">
            <w:pPr>
              <w:spacing w:line="240" w:lineRule="exact"/>
              <w:jc w:val="right"/>
              <w:rPr>
                <w:rFonts w:cs="宋体"/>
                <w:sz w:val="18"/>
                <w:szCs w:val="18"/>
              </w:rPr>
            </w:pPr>
            <w:r w:rsidRPr="0063248C">
              <w:rPr>
                <w:rFonts w:cs="宋体"/>
                <w:sz w:val="18"/>
                <w:szCs w:val="18"/>
              </w:rPr>
              <w:t>950,000,000.00</w:t>
            </w:r>
          </w:p>
        </w:tc>
        <w:tc>
          <w:tcPr>
            <w:tcW w:w="709" w:type="dxa"/>
            <w:tcBorders>
              <w:top w:val="single" w:sz="2" w:space="0" w:color="auto"/>
              <w:left w:val="single" w:sz="2" w:space="0" w:color="auto"/>
              <w:bottom w:val="single" w:sz="2" w:space="0" w:color="auto"/>
              <w:right w:val="single" w:sz="2" w:space="0" w:color="auto"/>
            </w:tcBorders>
            <w:vAlign w:val="center"/>
          </w:tcPr>
          <w:p w14:paraId="2919E41A" w14:textId="77777777" w:rsidR="007B3DB2" w:rsidRPr="0063248C" w:rsidRDefault="00000000">
            <w:pPr>
              <w:spacing w:line="240" w:lineRule="exact"/>
              <w:jc w:val="right"/>
              <w:rPr>
                <w:rFonts w:cs="宋体"/>
                <w:sz w:val="18"/>
                <w:szCs w:val="18"/>
              </w:rPr>
            </w:pPr>
            <w:r w:rsidRPr="0063248C">
              <w:rPr>
                <w:rFonts w:cs="宋体"/>
                <w:sz w:val="18"/>
                <w:szCs w:val="18"/>
              </w:rPr>
              <w:t>899,039,265.74</w:t>
            </w:r>
          </w:p>
        </w:tc>
        <w:tc>
          <w:tcPr>
            <w:tcW w:w="600" w:type="dxa"/>
            <w:tcBorders>
              <w:top w:val="single" w:sz="2" w:space="0" w:color="auto"/>
              <w:left w:val="single" w:sz="2" w:space="0" w:color="auto"/>
              <w:bottom w:val="single" w:sz="2" w:space="0" w:color="auto"/>
              <w:right w:val="single" w:sz="2" w:space="0" w:color="auto"/>
            </w:tcBorders>
            <w:vAlign w:val="center"/>
          </w:tcPr>
          <w:p w14:paraId="6150862C" w14:textId="77777777" w:rsidR="007B3DB2" w:rsidRPr="0063248C" w:rsidRDefault="007B3DB2">
            <w:pPr>
              <w:spacing w:line="240" w:lineRule="exact"/>
              <w:jc w:val="right"/>
              <w:rPr>
                <w:rFonts w:cs="宋体"/>
                <w:sz w:val="18"/>
                <w:szCs w:val="18"/>
              </w:rPr>
            </w:pPr>
          </w:p>
        </w:tc>
        <w:tc>
          <w:tcPr>
            <w:tcW w:w="688" w:type="dxa"/>
            <w:tcBorders>
              <w:top w:val="single" w:sz="2" w:space="0" w:color="auto"/>
              <w:left w:val="single" w:sz="2" w:space="0" w:color="auto"/>
              <w:bottom w:val="single" w:sz="2" w:space="0" w:color="auto"/>
              <w:right w:val="single" w:sz="2" w:space="0" w:color="auto"/>
            </w:tcBorders>
            <w:vAlign w:val="center"/>
          </w:tcPr>
          <w:p w14:paraId="69381FD2" w14:textId="77777777" w:rsidR="007B3DB2" w:rsidRPr="0063248C" w:rsidRDefault="00000000">
            <w:pPr>
              <w:spacing w:line="240" w:lineRule="exact"/>
              <w:jc w:val="right"/>
              <w:rPr>
                <w:rFonts w:cs="宋体"/>
                <w:sz w:val="18"/>
                <w:szCs w:val="18"/>
              </w:rPr>
            </w:pPr>
            <w:r w:rsidRPr="0063248C">
              <w:rPr>
                <w:rFonts w:cs="宋体"/>
                <w:sz w:val="18"/>
                <w:szCs w:val="18"/>
              </w:rPr>
              <w:t>7,056,637.92</w:t>
            </w:r>
          </w:p>
        </w:tc>
        <w:tc>
          <w:tcPr>
            <w:tcW w:w="688" w:type="dxa"/>
            <w:tcBorders>
              <w:top w:val="single" w:sz="2" w:space="0" w:color="auto"/>
              <w:left w:val="single" w:sz="2" w:space="0" w:color="auto"/>
              <w:bottom w:val="single" w:sz="2" w:space="0" w:color="auto"/>
              <w:right w:val="single" w:sz="2" w:space="0" w:color="auto"/>
            </w:tcBorders>
            <w:vAlign w:val="center"/>
          </w:tcPr>
          <w:p w14:paraId="2929B353" w14:textId="77777777" w:rsidR="007B3DB2" w:rsidRPr="0063248C" w:rsidRDefault="00000000">
            <w:pPr>
              <w:spacing w:line="240" w:lineRule="exact"/>
              <w:jc w:val="right"/>
              <w:rPr>
                <w:rFonts w:cs="宋体"/>
                <w:sz w:val="18"/>
                <w:szCs w:val="18"/>
              </w:rPr>
            </w:pPr>
            <w:r w:rsidRPr="0063248C">
              <w:rPr>
                <w:rFonts w:cs="宋体"/>
                <w:sz w:val="18"/>
                <w:szCs w:val="18"/>
              </w:rPr>
              <w:t>-17,105,337.33</w:t>
            </w:r>
          </w:p>
        </w:tc>
        <w:tc>
          <w:tcPr>
            <w:tcW w:w="575" w:type="dxa"/>
            <w:tcBorders>
              <w:top w:val="single" w:sz="2" w:space="0" w:color="auto"/>
              <w:left w:val="single" w:sz="2" w:space="0" w:color="auto"/>
              <w:bottom w:val="single" w:sz="2" w:space="0" w:color="auto"/>
              <w:right w:val="single" w:sz="2" w:space="0" w:color="auto"/>
            </w:tcBorders>
            <w:vAlign w:val="center"/>
          </w:tcPr>
          <w:p w14:paraId="3FD1508B" w14:textId="77777777" w:rsidR="007B3DB2" w:rsidRPr="0063248C" w:rsidRDefault="007B3DB2">
            <w:pPr>
              <w:spacing w:line="240" w:lineRule="exact"/>
              <w:jc w:val="right"/>
              <w:rPr>
                <w:rFonts w:cs="宋体"/>
                <w:sz w:val="18"/>
                <w:szCs w:val="18"/>
              </w:rPr>
            </w:pPr>
          </w:p>
        </w:tc>
        <w:tc>
          <w:tcPr>
            <w:tcW w:w="801" w:type="dxa"/>
            <w:tcBorders>
              <w:top w:val="single" w:sz="2" w:space="0" w:color="auto"/>
              <w:left w:val="single" w:sz="2" w:space="0" w:color="auto"/>
              <w:bottom w:val="single" w:sz="2" w:space="0" w:color="auto"/>
              <w:right w:val="single" w:sz="2" w:space="0" w:color="auto"/>
            </w:tcBorders>
            <w:vAlign w:val="center"/>
          </w:tcPr>
          <w:p w14:paraId="5C0BB2B8" w14:textId="77777777" w:rsidR="007B3DB2" w:rsidRPr="0063248C" w:rsidRDefault="00000000">
            <w:pPr>
              <w:spacing w:line="240" w:lineRule="exact"/>
              <w:jc w:val="right"/>
              <w:rPr>
                <w:rFonts w:cs="宋体"/>
                <w:sz w:val="18"/>
                <w:szCs w:val="18"/>
              </w:rPr>
            </w:pPr>
            <w:r w:rsidRPr="0063248C">
              <w:rPr>
                <w:rFonts w:cs="宋体"/>
                <w:sz w:val="18"/>
                <w:szCs w:val="18"/>
              </w:rPr>
              <w:t>1,000.00</w:t>
            </w:r>
          </w:p>
        </w:tc>
        <w:tc>
          <w:tcPr>
            <w:tcW w:w="900" w:type="dxa"/>
            <w:tcBorders>
              <w:top w:val="single" w:sz="2" w:space="0" w:color="auto"/>
              <w:left w:val="single" w:sz="2" w:space="0" w:color="auto"/>
              <w:bottom w:val="single" w:sz="2" w:space="0" w:color="auto"/>
              <w:right w:val="single" w:sz="2" w:space="0" w:color="auto"/>
            </w:tcBorders>
            <w:vAlign w:val="center"/>
          </w:tcPr>
          <w:p w14:paraId="47D42EF6" w14:textId="77777777" w:rsidR="007B3DB2" w:rsidRPr="0063248C" w:rsidRDefault="00000000">
            <w:pPr>
              <w:spacing w:line="240" w:lineRule="exact"/>
              <w:jc w:val="right"/>
              <w:rPr>
                <w:rFonts w:cs="宋体"/>
                <w:sz w:val="18"/>
                <w:szCs w:val="18"/>
              </w:rPr>
            </w:pPr>
            <w:r w:rsidRPr="0063248C">
              <w:rPr>
                <w:rFonts w:cs="宋体"/>
                <w:sz w:val="18"/>
                <w:szCs w:val="18"/>
              </w:rPr>
              <w:t>923,200,240.99</w:t>
            </w:r>
          </w:p>
        </w:tc>
        <w:tc>
          <w:tcPr>
            <w:tcW w:w="476" w:type="dxa"/>
            <w:tcBorders>
              <w:top w:val="single" w:sz="2" w:space="0" w:color="auto"/>
              <w:left w:val="single" w:sz="2" w:space="0" w:color="auto"/>
              <w:bottom w:val="single" w:sz="2" w:space="0" w:color="auto"/>
              <w:right w:val="single" w:sz="2" w:space="0" w:color="auto"/>
            </w:tcBorders>
            <w:vAlign w:val="center"/>
          </w:tcPr>
          <w:p w14:paraId="321A5F58" w14:textId="77777777" w:rsidR="007B3DB2" w:rsidRPr="0063248C" w:rsidRDefault="00000000">
            <w:pPr>
              <w:spacing w:line="240" w:lineRule="exact"/>
              <w:rPr>
                <w:rFonts w:cs="宋体"/>
                <w:sz w:val="18"/>
                <w:szCs w:val="18"/>
              </w:rPr>
            </w:pPr>
            <w:r w:rsidRPr="0063248C">
              <w:rPr>
                <w:rFonts w:cs="宋体"/>
                <w:sz w:val="18"/>
                <w:szCs w:val="18"/>
              </w:rPr>
              <w:t>否</w:t>
            </w:r>
          </w:p>
        </w:tc>
      </w:tr>
      <w:tr w:rsidR="007B3DB2" w:rsidRPr="0063248C" w14:paraId="634538EA" w14:textId="77777777" w:rsidTr="00FA083A">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01DCE6B8"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820" w:type="dxa"/>
            <w:tcBorders>
              <w:top w:val="single" w:sz="2" w:space="0" w:color="auto"/>
              <w:left w:val="single" w:sz="2" w:space="0" w:color="auto"/>
              <w:bottom w:val="single" w:sz="2" w:space="0" w:color="auto"/>
              <w:right w:val="single" w:sz="2" w:space="0" w:color="auto"/>
            </w:tcBorders>
            <w:shd w:val="clear" w:color="auto" w:fill="D3D3D3"/>
            <w:vAlign w:val="center"/>
          </w:tcPr>
          <w:p w14:paraId="128BD020" w14:textId="77777777" w:rsidR="007B3DB2" w:rsidRPr="0063248C" w:rsidRDefault="007B3DB2"/>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8BC26B5" w14:textId="77777777" w:rsidR="007B3DB2" w:rsidRPr="0063248C" w:rsidRDefault="007B3DB2"/>
        </w:tc>
        <w:tc>
          <w:tcPr>
            <w:tcW w:w="680" w:type="dxa"/>
            <w:tcBorders>
              <w:top w:val="single" w:sz="2" w:space="0" w:color="auto"/>
              <w:left w:val="single" w:sz="2" w:space="0" w:color="auto"/>
              <w:bottom w:val="single" w:sz="2" w:space="0" w:color="auto"/>
              <w:right w:val="single" w:sz="2" w:space="0" w:color="auto"/>
            </w:tcBorders>
            <w:shd w:val="clear" w:color="auto" w:fill="D3D3D3"/>
            <w:vAlign w:val="center"/>
          </w:tcPr>
          <w:p w14:paraId="0525B863" w14:textId="77777777" w:rsidR="007B3DB2" w:rsidRPr="0063248C" w:rsidRDefault="007B3DB2"/>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14:paraId="131F5E26" w14:textId="77777777" w:rsidR="007B3DB2" w:rsidRPr="0063248C" w:rsidRDefault="007B3DB2"/>
        </w:tc>
        <w:tc>
          <w:tcPr>
            <w:tcW w:w="757" w:type="dxa"/>
            <w:tcBorders>
              <w:top w:val="single" w:sz="2" w:space="0" w:color="auto"/>
              <w:left w:val="single" w:sz="2" w:space="0" w:color="auto"/>
              <w:bottom w:val="single" w:sz="2" w:space="0" w:color="auto"/>
              <w:right w:val="single" w:sz="2" w:space="0" w:color="auto"/>
            </w:tcBorders>
            <w:vAlign w:val="center"/>
          </w:tcPr>
          <w:p w14:paraId="356B836A" w14:textId="77777777" w:rsidR="007B3DB2" w:rsidRPr="0063248C" w:rsidRDefault="00000000">
            <w:pPr>
              <w:spacing w:line="240" w:lineRule="exact"/>
              <w:jc w:val="right"/>
              <w:rPr>
                <w:rFonts w:cs="宋体"/>
                <w:sz w:val="18"/>
                <w:szCs w:val="18"/>
              </w:rPr>
            </w:pPr>
            <w:r w:rsidRPr="0063248C">
              <w:rPr>
                <w:rFonts w:cs="宋体"/>
                <w:sz w:val="18"/>
                <w:szCs w:val="18"/>
              </w:rPr>
              <w:t>950,000,000.00</w:t>
            </w:r>
          </w:p>
        </w:tc>
        <w:tc>
          <w:tcPr>
            <w:tcW w:w="709" w:type="dxa"/>
            <w:tcBorders>
              <w:top w:val="single" w:sz="2" w:space="0" w:color="auto"/>
              <w:left w:val="single" w:sz="2" w:space="0" w:color="auto"/>
              <w:bottom w:val="single" w:sz="2" w:space="0" w:color="auto"/>
              <w:right w:val="single" w:sz="2" w:space="0" w:color="auto"/>
            </w:tcBorders>
            <w:vAlign w:val="center"/>
          </w:tcPr>
          <w:p w14:paraId="789D4867" w14:textId="77777777" w:rsidR="007B3DB2" w:rsidRPr="0063248C" w:rsidRDefault="00000000">
            <w:pPr>
              <w:spacing w:line="240" w:lineRule="exact"/>
              <w:jc w:val="right"/>
              <w:rPr>
                <w:rFonts w:cs="宋体"/>
                <w:sz w:val="18"/>
                <w:szCs w:val="18"/>
              </w:rPr>
            </w:pPr>
            <w:r w:rsidRPr="0063248C">
              <w:rPr>
                <w:rFonts w:cs="宋体"/>
                <w:sz w:val="18"/>
                <w:szCs w:val="18"/>
              </w:rPr>
              <w:t>899,039,265.74</w:t>
            </w:r>
          </w:p>
        </w:tc>
        <w:tc>
          <w:tcPr>
            <w:tcW w:w="600" w:type="dxa"/>
            <w:tcBorders>
              <w:top w:val="single" w:sz="2" w:space="0" w:color="auto"/>
              <w:left w:val="single" w:sz="2" w:space="0" w:color="auto"/>
              <w:bottom w:val="single" w:sz="2" w:space="0" w:color="auto"/>
              <w:right w:val="single" w:sz="2" w:space="0" w:color="auto"/>
            </w:tcBorders>
            <w:vAlign w:val="center"/>
          </w:tcPr>
          <w:p w14:paraId="44EFA1E3" w14:textId="77777777" w:rsidR="007B3DB2" w:rsidRPr="0063248C" w:rsidRDefault="007B3DB2">
            <w:pPr>
              <w:spacing w:line="240" w:lineRule="exact"/>
              <w:jc w:val="right"/>
              <w:rPr>
                <w:rFonts w:cs="宋体"/>
                <w:sz w:val="18"/>
                <w:szCs w:val="18"/>
              </w:rPr>
            </w:pPr>
          </w:p>
        </w:tc>
        <w:tc>
          <w:tcPr>
            <w:tcW w:w="688" w:type="dxa"/>
            <w:tcBorders>
              <w:top w:val="single" w:sz="2" w:space="0" w:color="auto"/>
              <w:left w:val="single" w:sz="2" w:space="0" w:color="auto"/>
              <w:bottom w:val="single" w:sz="2" w:space="0" w:color="auto"/>
              <w:right w:val="single" w:sz="2" w:space="0" w:color="auto"/>
            </w:tcBorders>
            <w:vAlign w:val="center"/>
          </w:tcPr>
          <w:p w14:paraId="38224EB7" w14:textId="77777777" w:rsidR="007B3DB2" w:rsidRPr="0063248C" w:rsidRDefault="00000000">
            <w:pPr>
              <w:spacing w:line="240" w:lineRule="exact"/>
              <w:jc w:val="right"/>
              <w:rPr>
                <w:rFonts w:cs="宋体"/>
                <w:sz w:val="18"/>
                <w:szCs w:val="18"/>
              </w:rPr>
            </w:pPr>
            <w:r w:rsidRPr="0063248C">
              <w:rPr>
                <w:rFonts w:cs="宋体"/>
                <w:sz w:val="18"/>
                <w:szCs w:val="18"/>
              </w:rPr>
              <w:t>7,056,637.92</w:t>
            </w:r>
          </w:p>
        </w:tc>
        <w:tc>
          <w:tcPr>
            <w:tcW w:w="688" w:type="dxa"/>
            <w:tcBorders>
              <w:top w:val="single" w:sz="2" w:space="0" w:color="auto"/>
              <w:left w:val="single" w:sz="2" w:space="0" w:color="auto"/>
              <w:bottom w:val="single" w:sz="2" w:space="0" w:color="auto"/>
              <w:right w:val="single" w:sz="2" w:space="0" w:color="auto"/>
            </w:tcBorders>
            <w:vAlign w:val="center"/>
          </w:tcPr>
          <w:p w14:paraId="1732A6BD" w14:textId="77777777" w:rsidR="007B3DB2" w:rsidRPr="0063248C" w:rsidRDefault="00000000">
            <w:pPr>
              <w:spacing w:line="240" w:lineRule="exact"/>
              <w:jc w:val="right"/>
              <w:rPr>
                <w:rFonts w:cs="宋体"/>
                <w:sz w:val="18"/>
                <w:szCs w:val="18"/>
              </w:rPr>
            </w:pPr>
            <w:r w:rsidRPr="0063248C">
              <w:rPr>
                <w:rFonts w:cs="宋体"/>
                <w:sz w:val="18"/>
                <w:szCs w:val="18"/>
              </w:rPr>
              <w:t>-17,105,337.33</w:t>
            </w:r>
          </w:p>
        </w:tc>
        <w:tc>
          <w:tcPr>
            <w:tcW w:w="575" w:type="dxa"/>
            <w:tcBorders>
              <w:top w:val="single" w:sz="2" w:space="0" w:color="auto"/>
              <w:left w:val="single" w:sz="2" w:space="0" w:color="auto"/>
              <w:bottom w:val="single" w:sz="2" w:space="0" w:color="auto"/>
              <w:right w:val="single" w:sz="2" w:space="0" w:color="auto"/>
            </w:tcBorders>
            <w:vAlign w:val="center"/>
          </w:tcPr>
          <w:p w14:paraId="0D33557D" w14:textId="77777777" w:rsidR="007B3DB2" w:rsidRPr="0063248C" w:rsidRDefault="007B3DB2">
            <w:pPr>
              <w:spacing w:line="240" w:lineRule="exact"/>
              <w:jc w:val="right"/>
              <w:rPr>
                <w:rFonts w:cs="宋体"/>
                <w:sz w:val="18"/>
                <w:szCs w:val="18"/>
              </w:rPr>
            </w:pPr>
          </w:p>
        </w:tc>
        <w:tc>
          <w:tcPr>
            <w:tcW w:w="801" w:type="dxa"/>
            <w:tcBorders>
              <w:top w:val="single" w:sz="2" w:space="0" w:color="auto"/>
              <w:left w:val="single" w:sz="2" w:space="0" w:color="auto"/>
              <w:bottom w:val="single" w:sz="2" w:space="0" w:color="auto"/>
              <w:right w:val="single" w:sz="2" w:space="0" w:color="auto"/>
            </w:tcBorders>
            <w:vAlign w:val="center"/>
          </w:tcPr>
          <w:p w14:paraId="05635210" w14:textId="77777777" w:rsidR="007B3DB2" w:rsidRPr="0063248C" w:rsidRDefault="00000000">
            <w:pPr>
              <w:spacing w:line="240" w:lineRule="exact"/>
              <w:jc w:val="right"/>
              <w:rPr>
                <w:rFonts w:cs="宋体"/>
                <w:sz w:val="18"/>
                <w:szCs w:val="18"/>
              </w:rPr>
            </w:pPr>
            <w:r w:rsidRPr="0063248C">
              <w:rPr>
                <w:rFonts w:cs="宋体"/>
                <w:sz w:val="18"/>
                <w:szCs w:val="18"/>
              </w:rPr>
              <w:t>1,000.00</w:t>
            </w:r>
          </w:p>
        </w:tc>
        <w:tc>
          <w:tcPr>
            <w:tcW w:w="900" w:type="dxa"/>
            <w:tcBorders>
              <w:top w:val="single" w:sz="2" w:space="0" w:color="auto"/>
              <w:left w:val="single" w:sz="2" w:space="0" w:color="auto"/>
              <w:bottom w:val="single" w:sz="2" w:space="0" w:color="auto"/>
              <w:right w:val="single" w:sz="2" w:space="0" w:color="auto"/>
            </w:tcBorders>
            <w:vAlign w:val="center"/>
          </w:tcPr>
          <w:p w14:paraId="4E4FE563" w14:textId="77777777" w:rsidR="007B3DB2" w:rsidRPr="0063248C" w:rsidRDefault="00000000">
            <w:pPr>
              <w:spacing w:line="240" w:lineRule="exact"/>
              <w:jc w:val="right"/>
              <w:rPr>
                <w:rFonts w:cs="宋体"/>
                <w:sz w:val="18"/>
                <w:szCs w:val="18"/>
              </w:rPr>
            </w:pPr>
            <w:r w:rsidRPr="0063248C">
              <w:rPr>
                <w:rFonts w:cs="宋体"/>
                <w:sz w:val="18"/>
                <w:szCs w:val="18"/>
              </w:rPr>
              <w:t>923,200,240.99</w:t>
            </w:r>
          </w:p>
        </w:tc>
        <w:tc>
          <w:tcPr>
            <w:tcW w:w="476" w:type="dxa"/>
            <w:tcBorders>
              <w:top w:val="single" w:sz="2" w:space="0" w:color="auto"/>
              <w:left w:val="single" w:sz="2" w:space="0" w:color="auto"/>
              <w:bottom w:val="single" w:sz="2" w:space="0" w:color="auto"/>
              <w:right w:val="single" w:sz="2" w:space="0" w:color="auto"/>
            </w:tcBorders>
            <w:shd w:val="clear" w:color="auto" w:fill="D3D3D3"/>
            <w:vAlign w:val="center"/>
          </w:tcPr>
          <w:p w14:paraId="6A1FDBEE" w14:textId="77777777" w:rsidR="007B3DB2" w:rsidRPr="0063248C" w:rsidRDefault="007B3DB2"/>
        </w:tc>
      </w:tr>
    </w:tbl>
    <w:p w14:paraId="71A541B8" w14:textId="77777777" w:rsidR="007B3DB2" w:rsidRPr="0063248C" w:rsidRDefault="00000000">
      <w:pPr>
        <w:keepNext/>
        <w:keepLines/>
        <w:spacing w:before="300" w:after="300" w:line="280" w:lineRule="exact"/>
        <w:outlineLvl w:val="3"/>
        <w:rPr>
          <w:rFonts w:cs="宋体"/>
          <w:b/>
          <w:bCs/>
          <w:szCs w:val="21"/>
        </w:rPr>
      </w:pPr>
      <w:bookmarkStart w:id="341" w:name="_Toc989230"/>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可转换公司债</w:t>
      </w:r>
      <w:proofErr w:type="gramStart"/>
      <w:r w:rsidRPr="0063248C">
        <w:rPr>
          <w:rFonts w:cs="宋体"/>
          <w:b/>
          <w:bCs/>
          <w:szCs w:val="21"/>
        </w:rPr>
        <w:t>券</w:t>
      </w:r>
      <w:proofErr w:type="gramEnd"/>
      <w:r w:rsidRPr="0063248C">
        <w:rPr>
          <w:rFonts w:cs="宋体"/>
          <w:b/>
          <w:bCs/>
          <w:szCs w:val="21"/>
        </w:rPr>
        <w:t>的说明</w:t>
      </w:r>
      <w:bookmarkEnd w:id="341"/>
    </w:p>
    <w:p w14:paraId="6BD73271" w14:textId="77777777" w:rsidR="00517D34" w:rsidRPr="0063248C" w:rsidRDefault="00000000">
      <w:pPr>
        <w:pStyle w:val="a3"/>
        <w:spacing w:before="0" w:beforeAutospacing="0" w:after="0" w:afterAutospacing="0"/>
        <w:ind w:firstLine="360"/>
        <w:jc w:val="both"/>
        <w:divId w:val="310869124"/>
        <w:rPr>
          <w:rFonts w:ascii="Times New Roman" w:hAnsi="Times New Roman"/>
          <w:sz w:val="21"/>
          <w:szCs w:val="21"/>
        </w:rPr>
      </w:pPr>
      <w:r w:rsidRPr="0063248C">
        <w:rPr>
          <w:rFonts w:ascii="Times New Roman" w:hAnsi="Times New Roman" w:hint="eastAsia"/>
          <w:sz w:val="18"/>
          <w:szCs w:val="18"/>
        </w:rPr>
        <w:t>经证监许可</w:t>
      </w:r>
      <w:r w:rsidRPr="0063248C">
        <w:rPr>
          <w:rFonts w:ascii="Times New Roman" w:hAnsi="Times New Roman" w:hint="eastAsia"/>
          <w:sz w:val="18"/>
          <w:szCs w:val="18"/>
        </w:rPr>
        <w:t>[2020]1077</w:t>
      </w:r>
      <w:r w:rsidRPr="0063248C">
        <w:rPr>
          <w:rFonts w:ascii="Times New Roman" w:hAnsi="Times New Roman" w:hint="eastAsia"/>
          <w:sz w:val="18"/>
          <w:szCs w:val="18"/>
        </w:rPr>
        <w:t>号文核准，本公司于</w:t>
      </w:r>
      <w:r w:rsidRPr="0063248C">
        <w:rPr>
          <w:rFonts w:ascii="Times New Roman" w:hAnsi="Times New Roman" w:hint="eastAsia"/>
          <w:sz w:val="18"/>
          <w:szCs w:val="18"/>
        </w:rPr>
        <w:t>2020</w:t>
      </w:r>
      <w:r w:rsidRPr="0063248C">
        <w:rPr>
          <w:rFonts w:ascii="Times New Roman" w:hAnsi="Times New Roman" w:hint="eastAsia"/>
          <w:sz w:val="18"/>
          <w:szCs w:val="18"/>
        </w:rPr>
        <w:t>年</w:t>
      </w:r>
      <w:r w:rsidRPr="0063248C">
        <w:rPr>
          <w:rFonts w:ascii="Times New Roman" w:hAnsi="Times New Roman" w:hint="eastAsia"/>
          <w:sz w:val="18"/>
          <w:szCs w:val="18"/>
        </w:rPr>
        <w:t>7</w:t>
      </w:r>
      <w:r w:rsidRPr="0063248C">
        <w:rPr>
          <w:rFonts w:ascii="Times New Roman" w:hAnsi="Times New Roman" w:hint="eastAsia"/>
          <w:sz w:val="18"/>
          <w:szCs w:val="18"/>
        </w:rPr>
        <w:t>月</w:t>
      </w:r>
      <w:r w:rsidRPr="0063248C">
        <w:rPr>
          <w:rFonts w:ascii="Times New Roman" w:hAnsi="Times New Roman" w:hint="eastAsia"/>
          <w:sz w:val="18"/>
          <w:szCs w:val="18"/>
        </w:rPr>
        <w:t>13</w:t>
      </w:r>
      <w:r w:rsidRPr="0063248C">
        <w:rPr>
          <w:rFonts w:ascii="Times New Roman" w:hAnsi="Times New Roman" w:hint="eastAsia"/>
          <w:sz w:val="18"/>
          <w:szCs w:val="18"/>
        </w:rPr>
        <w:t>日发行票面金额为</w:t>
      </w:r>
      <w:r w:rsidRPr="0063248C">
        <w:rPr>
          <w:rFonts w:ascii="Times New Roman" w:hAnsi="Times New Roman" w:hint="eastAsia"/>
          <w:sz w:val="18"/>
          <w:szCs w:val="18"/>
        </w:rPr>
        <w:t>100</w:t>
      </w:r>
      <w:r w:rsidRPr="0063248C">
        <w:rPr>
          <w:rFonts w:ascii="Times New Roman" w:hAnsi="Times New Roman" w:hint="eastAsia"/>
          <w:sz w:val="18"/>
          <w:szCs w:val="18"/>
        </w:rPr>
        <w:t>元的可转换债券</w:t>
      </w:r>
      <w:r w:rsidRPr="0063248C">
        <w:rPr>
          <w:rFonts w:ascii="Times New Roman" w:hAnsi="Times New Roman" w:hint="eastAsia"/>
          <w:sz w:val="18"/>
          <w:szCs w:val="18"/>
        </w:rPr>
        <w:t>9,500,000</w:t>
      </w:r>
      <w:r w:rsidRPr="0063248C">
        <w:rPr>
          <w:rFonts w:ascii="Times New Roman" w:hAnsi="Times New Roman" w:hint="eastAsia"/>
          <w:sz w:val="18"/>
          <w:szCs w:val="18"/>
        </w:rPr>
        <w:t>张。债券票面年利率第一年</w:t>
      </w:r>
      <w:r w:rsidRPr="0063248C">
        <w:rPr>
          <w:rFonts w:ascii="Times New Roman" w:hAnsi="Times New Roman" w:hint="eastAsia"/>
          <w:sz w:val="18"/>
          <w:szCs w:val="18"/>
        </w:rPr>
        <w:t>0.30%</w:t>
      </w:r>
      <w:r w:rsidRPr="0063248C">
        <w:rPr>
          <w:rFonts w:ascii="Times New Roman" w:hAnsi="Times New Roman" w:hint="eastAsia"/>
          <w:sz w:val="18"/>
          <w:szCs w:val="18"/>
        </w:rPr>
        <w:t>、第二年</w:t>
      </w:r>
      <w:r w:rsidRPr="0063248C">
        <w:rPr>
          <w:rFonts w:ascii="Times New Roman" w:hAnsi="Times New Roman" w:hint="eastAsia"/>
          <w:sz w:val="18"/>
          <w:szCs w:val="18"/>
        </w:rPr>
        <w:t>0.60%</w:t>
      </w:r>
      <w:r w:rsidRPr="0063248C">
        <w:rPr>
          <w:rFonts w:ascii="Times New Roman" w:hAnsi="Times New Roman" w:hint="eastAsia"/>
          <w:sz w:val="18"/>
          <w:szCs w:val="18"/>
        </w:rPr>
        <w:t>、第三年</w:t>
      </w:r>
      <w:r w:rsidRPr="0063248C">
        <w:rPr>
          <w:rFonts w:ascii="Times New Roman" w:hAnsi="Times New Roman" w:hint="eastAsia"/>
          <w:sz w:val="18"/>
          <w:szCs w:val="18"/>
        </w:rPr>
        <w:t>1.00%</w:t>
      </w:r>
      <w:r w:rsidRPr="0063248C">
        <w:rPr>
          <w:rFonts w:ascii="Times New Roman" w:hAnsi="Times New Roman" w:hint="eastAsia"/>
          <w:sz w:val="18"/>
          <w:szCs w:val="18"/>
        </w:rPr>
        <w:t>、第四年</w:t>
      </w:r>
      <w:r w:rsidRPr="0063248C">
        <w:rPr>
          <w:rFonts w:ascii="Times New Roman" w:hAnsi="Times New Roman" w:hint="eastAsia"/>
          <w:sz w:val="18"/>
          <w:szCs w:val="18"/>
        </w:rPr>
        <w:t>1.50%</w:t>
      </w:r>
      <w:r w:rsidRPr="0063248C">
        <w:rPr>
          <w:rFonts w:ascii="Times New Roman" w:hAnsi="Times New Roman" w:hint="eastAsia"/>
          <w:sz w:val="18"/>
          <w:szCs w:val="18"/>
        </w:rPr>
        <w:t>、第五年</w:t>
      </w:r>
      <w:r w:rsidRPr="0063248C">
        <w:rPr>
          <w:rFonts w:ascii="Times New Roman" w:hAnsi="Times New Roman" w:hint="eastAsia"/>
          <w:sz w:val="18"/>
          <w:szCs w:val="18"/>
        </w:rPr>
        <w:t>1.80%</w:t>
      </w:r>
      <w:r w:rsidRPr="0063248C">
        <w:rPr>
          <w:rFonts w:ascii="Times New Roman" w:hAnsi="Times New Roman" w:hint="eastAsia"/>
          <w:sz w:val="18"/>
          <w:szCs w:val="18"/>
        </w:rPr>
        <w:t>、第六年</w:t>
      </w:r>
      <w:r w:rsidRPr="0063248C">
        <w:rPr>
          <w:rFonts w:ascii="Times New Roman" w:hAnsi="Times New Roman" w:hint="eastAsia"/>
          <w:sz w:val="18"/>
          <w:szCs w:val="18"/>
        </w:rPr>
        <w:t>15.00%</w:t>
      </w:r>
      <w:r w:rsidRPr="0063248C">
        <w:rPr>
          <w:rFonts w:ascii="Times New Roman" w:hAnsi="Times New Roman" w:hint="eastAsia"/>
          <w:sz w:val="18"/>
          <w:szCs w:val="18"/>
        </w:rPr>
        <w:t>，每年的付息日为本次发行的</w:t>
      </w:r>
      <w:proofErr w:type="gramStart"/>
      <w:r w:rsidRPr="0063248C">
        <w:rPr>
          <w:rFonts w:ascii="Times New Roman" w:hAnsi="Times New Roman" w:hint="eastAsia"/>
          <w:sz w:val="18"/>
          <w:szCs w:val="18"/>
        </w:rPr>
        <w:t>可转债发行首</w:t>
      </w:r>
      <w:proofErr w:type="gramEnd"/>
      <w:r w:rsidRPr="0063248C">
        <w:rPr>
          <w:rFonts w:ascii="Times New Roman" w:hAnsi="Times New Roman" w:hint="eastAsia"/>
          <w:sz w:val="18"/>
          <w:szCs w:val="18"/>
        </w:rPr>
        <w:t>日起每满一年的当日，如该日为法定节假日或休息日，则顺延至下一个交易日，顺延期间</w:t>
      </w:r>
      <w:proofErr w:type="gramStart"/>
      <w:r w:rsidRPr="0063248C">
        <w:rPr>
          <w:rFonts w:ascii="Times New Roman" w:hAnsi="Times New Roman" w:hint="eastAsia"/>
          <w:sz w:val="18"/>
          <w:szCs w:val="18"/>
        </w:rPr>
        <w:t>不</w:t>
      </w:r>
      <w:proofErr w:type="gramEnd"/>
      <w:r w:rsidRPr="0063248C">
        <w:rPr>
          <w:rFonts w:ascii="Times New Roman" w:hAnsi="Times New Roman" w:hint="eastAsia"/>
          <w:sz w:val="18"/>
          <w:szCs w:val="18"/>
        </w:rPr>
        <w:t>另付息。每相邻的两个付息日之间为一个计息年度。每年的付息债权登记日为每年付息日的前一交易日，公司将在每年付息日之后的五个交易日内支付当年利息，到期一次归还本金。</w:t>
      </w:r>
    </w:p>
    <w:p w14:paraId="39B709F8" w14:textId="77777777" w:rsidR="00517D34" w:rsidRPr="0063248C" w:rsidRDefault="00000000">
      <w:pPr>
        <w:pStyle w:val="a3"/>
        <w:spacing w:before="0" w:beforeAutospacing="0" w:after="0" w:afterAutospacing="0"/>
        <w:ind w:firstLine="360"/>
        <w:jc w:val="both"/>
        <w:divId w:val="310869124"/>
        <w:rPr>
          <w:rFonts w:ascii="Times New Roman" w:hAnsi="Times New Roman"/>
          <w:sz w:val="21"/>
          <w:szCs w:val="21"/>
        </w:rPr>
      </w:pPr>
      <w:r w:rsidRPr="0063248C">
        <w:rPr>
          <w:rFonts w:ascii="Times New Roman" w:hAnsi="Times New Roman" w:hint="eastAsia"/>
          <w:sz w:val="18"/>
          <w:szCs w:val="18"/>
        </w:rPr>
        <w:t>本次发行可转债的</w:t>
      </w:r>
      <w:proofErr w:type="gramStart"/>
      <w:r w:rsidRPr="0063248C">
        <w:rPr>
          <w:rFonts w:ascii="Times New Roman" w:hAnsi="Times New Roman" w:hint="eastAsia"/>
          <w:sz w:val="18"/>
          <w:szCs w:val="18"/>
        </w:rPr>
        <w:t>初始转</w:t>
      </w:r>
      <w:proofErr w:type="gramEnd"/>
      <w:r w:rsidRPr="0063248C">
        <w:rPr>
          <w:rFonts w:ascii="Times New Roman" w:hAnsi="Times New Roman" w:hint="eastAsia"/>
          <w:sz w:val="18"/>
          <w:szCs w:val="18"/>
        </w:rPr>
        <w:t>股价格为</w:t>
      </w:r>
      <w:r w:rsidRPr="0063248C">
        <w:rPr>
          <w:rFonts w:ascii="Times New Roman" w:hAnsi="Times New Roman" w:hint="eastAsia"/>
          <w:sz w:val="18"/>
          <w:szCs w:val="18"/>
        </w:rPr>
        <w:t>9.56</w:t>
      </w:r>
      <w:r w:rsidRPr="0063248C">
        <w:rPr>
          <w:rFonts w:ascii="Times New Roman" w:hAnsi="Times New Roman" w:hint="eastAsia"/>
          <w:sz w:val="18"/>
          <w:szCs w:val="18"/>
        </w:rPr>
        <w:t>元</w:t>
      </w:r>
      <w:r w:rsidRPr="0063248C">
        <w:rPr>
          <w:rFonts w:ascii="Times New Roman" w:hAnsi="Times New Roman" w:hint="eastAsia"/>
          <w:sz w:val="18"/>
          <w:szCs w:val="18"/>
        </w:rPr>
        <w:t>/</w:t>
      </w:r>
      <w:r w:rsidRPr="0063248C">
        <w:rPr>
          <w:rFonts w:ascii="Times New Roman" w:hAnsi="Times New Roman" w:hint="eastAsia"/>
          <w:sz w:val="18"/>
          <w:szCs w:val="18"/>
        </w:rPr>
        <w:t>股，在本次发行之后，当公司因派送股票股利、转增股本、增发新股或配股、派送现金股利等情况（不包括因本次发行的可转债转股而增加的股本）使公司股份发生变化时，将依次对转股价格进行相应调整。</w:t>
      </w:r>
    </w:p>
    <w:p w14:paraId="3E063EBE" w14:textId="77777777" w:rsidR="00517D34" w:rsidRPr="0063248C" w:rsidRDefault="00000000">
      <w:pPr>
        <w:pStyle w:val="a3"/>
        <w:spacing w:before="0" w:beforeAutospacing="0" w:after="0" w:afterAutospacing="0"/>
        <w:ind w:firstLine="360"/>
        <w:jc w:val="both"/>
        <w:divId w:val="310869124"/>
        <w:rPr>
          <w:rFonts w:ascii="Times New Roman" w:hAnsi="Times New Roman"/>
          <w:sz w:val="21"/>
          <w:szCs w:val="21"/>
        </w:rPr>
      </w:pPr>
      <w:r w:rsidRPr="0063248C">
        <w:rPr>
          <w:rFonts w:ascii="Times New Roman" w:hAnsi="Times New Roman" w:hint="eastAsia"/>
          <w:sz w:val="18"/>
          <w:szCs w:val="18"/>
        </w:rPr>
        <w:t>公司于</w:t>
      </w:r>
      <w:r w:rsidRPr="0063248C">
        <w:rPr>
          <w:rFonts w:ascii="Times New Roman" w:hAnsi="Times New Roman" w:hint="eastAsia"/>
          <w:sz w:val="18"/>
          <w:szCs w:val="18"/>
        </w:rPr>
        <w:t>2020</w:t>
      </w:r>
      <w:r w:rsidRPr="0063248C">
        <w:rPr>
          <w:rFonts w:ascii="Times New Roman" w:hAnsi="Times New Roman" w:hint="eastAsia"/>
          <w:sz w:val="18"/>
          <w:szCs w:val="18"/>
        </w:rPr>
        <w:t>年</w:t>
      </w:r>
      <w:r w:rsidRPr="0063248C">
        <w:rPr>
          <w:rFonts w:ascii="Times New Roman" w:hAnsi="Times New Roman" w:hint="eastAsia"/>
          <w:sz w:val="18"/>
          <w:szCs w:val="18"/>
        </w:rPr>
        <w:t>12</w:t>
      </w:r>
      <w:r w:rsidRPr="0063248C">
        <w:rPr>
          <w:rFonts w:ascii="Times New Roman" w:hAnsi="Times New Roman" w:hint="eastAsia"/>
          <w:sz w:val="18"/>
          <w:szCs w:val="18"/>
        </w:rPr>
        <w:t>月</w:t>
      </w:r>
      <w:r w:rsidRPr="0063248C">
        <w:rPr>
          <w:rFonts w:ascii="Times New Roman" w:hAnsi="Times New Roman" w:hint="eastAsia"/>
          <w:sz w:val="18"/>
          <w:szCs w:val="18"/>
        </w:rPr>
        <w:t>11</w:t>
      </w:r>
      <w:r w:rsidRPr="0063248C">
        <w:rPr>
          <w:rFonts w:ascii="Times New Roman" w:hAnsi="Times New Roman" w:hint="eastAsia"/>
          <w:sz w:val="18"/>
          <w:szCs w:val="18"/>
        </w:rPr>
        <w:t>日在中国证券登记结算有限责任公司深圳分公司办理完成了</w:t>
      </w:r>
      <w:r w:rsidRPr="0063248C">
        <w:rPr>
          <w:rFonts w:ascii="Times New Roman" w:hAnsi="Times New Roman" w:hint="eastAsia"/>
          <w:sz w:val="18"/>
          <w:szCs w:val="18"/>
        </w:rPr>
        <w:t>3</w:t>
      </w:r>
      <w:r w:rsidRPr="0063248C">
        <w:rPr>
          <w:rFonts w:ascii="Times New Roman" w:hAnsi="Times New Roman" w:hint="eastAsia"/>
          <w:sz w:val="18"/>
          <w:szCs w:val="18"/>
        </w:rPr>
        <w:t>名股权激励对象限制性股票的回购注销事宜，公司总股本由</w:t>
      </w:r>
      <w:r w:rsidRPr="0063248C">
        <w:rPr>
          <w:rFonts w:ascii="Times New Roman" w:hAnsi="Times New Roman" w:hint="eastAsia"/>
          <w:sz w:val="18"/>
          <w:szCs w:val="18"/>
        </w:rPr>
        <w:t>998,288,980</w:t>
      </w:r>
      <w:r w:rsidRPr="0063248C">
        <w:rPr>
          <w:rFonts w:ascii="Times New Roman" w:hAnsi="Times New Roman" w:hint="eastAsia"/>
          <w:sz w:val="18"/>
          <w:szCs w:val="18"/>
        </w:rPr>
        <w:t>股变更为</w:t>
      </w:r>
      <w:r w:rsidRPr="0063248C">
        <w:rPr>
          <w:rFonts w:ascii="Times New Roman" w:hAnsi="Times New Roman" w:hint="eastAsia"/>
          <w:sz w:val="18"/>
          <w:szCs w:val="18"/>
        </w:rPr>
        <w:t>995,938,580</w:t>
      </w:r>
      <w:r w:rsidRPr="0063248C">
        <w:rPr>
          <w:rFonts w:ascii="Times New Roman" w:hAnsi="Times New Roman" w:hint="eastAsia"/>
          <w:sz w:val="18"/>
          <w:szCs w:val="18"/>
        </w:rPr>
        <w:t>股，共计</w:t>
      </w:r>
      <w:r w:rsidRPr="0063248C">
        <w:rPr>
          <w:rFonts w:ascii="Times New Roman" w:hAnsi="Times New Roman" w:hint="eastAsia"/>
          <w:sz w:val="18"/>
          <w:szCs w:val="18"/>
        </w:rPr>
        <w:t>2,350,400</w:t>
      </w:r>
      <w:r w:rsidRPr="0063248C">
        <w:rPr>
          <w:rFonts w:ascii="Times New Roman" w:hAnsi="Times New Roman" w:hint="eastAsia"/>
          <w:sz w:val="18"/>
          <w:szCs w:val="18"/>
        </w:rPr>
        <w:t>股限制性股票回购注销完成。根据公司可转换公司债</w:t>
      </w:r>
      <w:proofErr w:type="gramStart"/>
      <w:r w:rsidRPr="0063248C">
        <w:rPr>
          <w:rFonts w:ascii="Times New Roman" w:hAnsi="Times New Roman" w:hint="eastAsia"/>
          <w:sz w:val="18"/>
          <w:szCs w:val="18"/>
        </w:rPr>
        <w:t>券</w:t>
      </w:r>
      <w:proofErr w:type="gramEnd"/>
      <w:r w:rsidRPr="0063248C">
        <w:rPr>
          <w:rFonts w:ascii="Times New Roman" w:hAnsi="Times New Roman" w:hint="eastAsia"/>
          <w:sz w:val="18"/>
          <w:szCs w:val="18"/>
        </w:rPr>
        <w:t>转股价格调整的相关条款，“龙大转债”的转</w:t>
      </w:r>
      <w:proofErr w:type="gramStart"/>
      <w:r w:rsidRPr="0063248C">
        <w:rPr>
          <w:rFonts w:ascii="Times New Roman" w:hAnsi="Times New Roman" w:hint="eastAsia"/>
          <w:sz w:val="18"/>
          <w:szCs w:val="18"/>
        </w:rPr>
        <w:t>股价格作相应</w:t>
      </w:r>
      <w:proofErr w:type="gramEnd"/>
      <w:r w:rsidRPr="0063248C">
        <w:rPr>
          <w:rFonts w:ascii="Times New Roman" w:hAnsi="Times New Roman" w:hint="eastAsia"/>
          <w:sz w:val="18"/>
          <w:szCs w:val="18"/>
        </w:rPr>
        <w:t>调整：调整前“龙大转债”转股价格为</w:t>
      </w:r>
      <w:r w:rsidRPr="0063248C">
        <w:rPr>
          <w:rFonts w:ascii="Times New Roman" w:hAnsi="Times New Roman" w:hint="eastAsia"/>
          <w:sz w:val="18"/>
          <w:szCs w:val="18"/>
        </w:rPr>
        <w:t>9.56</w:t>
      </w:r>
      <w:r w:rsidRPr="0063248C">
        <w:rPr>
          <w:rFonts w:ascii="Times New Roman" w:hAnsi="Times New Roman" w:hint="eastAsia"/>
          <w:sz w:val="18"/>
          <w:szCs w:val="18"/>
        </w:rPr>
        <w:t>元</w:t>
      </w:r>
      <w:r w:rsidRPr="0063248C">
        <w:rPr>
          <w:rFonts w:ascii="Times New Roman" w:hAnsi="Times New Roman" w:hint="eastAsia"/>
          <w:sz w:val="18"/>
          <w:szCs w:val="18"/>
        </w:rPr>
        <w:t>/</w:t>
      </w:r>
      <w:r w:rsidRPr="0063248C">
        <w:rPr>
          <w:rFonts w:ascii="Times New Roman" w:hAnsi="Times New Roman" w:hint="eastAsia"/>
          <w:sz w:val="18"/>
          <w:szCs w:val="18"/>
        </w:rPr>
        <w:t>股，调整后转股价格为</w:t>
      </w:r>
      <w:r w:rsidRPr="0063248C">
        <w:rPr>
          <w:rFonts w:ascii="Times New Roman" w:hAnsi="Times New Roman" w:hint="eastAsia"/>
          <w:sz w:val="18"/>
          <w:szCs w:val="18"/>
        </w:rPr>
        <w:t>9.57</w:t>
      </w:r>
      <w:r w:rsidRPr="0063248C">
        <w:rPr>
          <w:rFonts w:ascii="Times New Roman" w:hAnsi="Times New Roman" w:hint="eastAsia"/>
          <w:sz w:val="18"/>
          <w:szCs w:val="18"/>
        </w:rPr>
        <w:t>元</w:t>
      </w:r>
      <w:r w:rsidRPr="0063248C">
        <w:rPr>
          <w:rFonts w:ascii="Times New Roman" w:hAnsi="Times New Roman" w:hint="eastAsia"/>
          <w:sz w:val="18"/>
          <w:szCs w:val="18"/>
        </w:rPr>
        <w:t>/</w:t>
      </w:r>
      <w:r w:rsidRPr="0063248C">
        <w:rPr>
          <w:rFonts w:ascii="Times New Roman" w:hAnsi="Times New Roman" w:hint="eastAsia"/>
          <w:sz w:val="18"/>
          <w:szCs w:val="18"/>
        </w:rPr>
        <w:t>股。调整后的转股价格自</w:t>
      </w:r>
      <w:r w:rsidRPr="0063248C">
        <w:rPr>
          <w:rFonts w:ascii="Times New Roman" w:hAnsi="Times New Roman" w:hint="eastAsia"/>
          <w:sz w:val="18"/>
          <w:szCs w:val="18"/>
        </w:rPr>
        <w:t>2020</w:t>
      </w:r>
      <w:r w:rsidRPr="0063248C">
        <w:rPr>
          <w:rFonts w:ascii="Times New Roman" w:hAnsi="Times New Roman" w:hint="eastAsia"/>
          <w:sz w:val="18"/>
          <w:szCs w:val="18"/>
        </w:rPr>
        <w:t>年</w:t>
      </w:r>
      <w:r w:rsidRPr="0063248C">
        <w:rPr>
          <w:rFonts w:ascii="Times New Roman" w:hAnsi="Times New Roman" w:hint="eastAsia"/>
          <w:sz w:val="18"/>
          <w:szCs w:val="18"/>
        </w:rPr>
        <w:t>12</w:t>
      </w:r>
      <w:r w:rsidRPr="0063248C">
        <w:rPr>
          <w:rFonts w:ascii="Times New Roman" w:hAnsi="Times New Roman" w:hint="eastAsia"/>
          <w:sz w:val="18"/>
          <w:szCs w:val="18"/>
        </w:rPr>
        <w:t>月</w:t>
      </w:r>
      <w:r w:rsidRPr="0063248C">
        <w:rPr>
          <w:rFonts w:ascii="Times New Roman" w:hAnsi="Times New Roman" w:hint="eastAsia"/>
          <w:sz w:val="18"/>
          <w:szCs w:val="18"/>
        </w:rPr>
        <w:t>14</w:t>
      </w:r>
      <w:r w:rsidRPr="0063248C">
        <w:rPr>
          <w:rFonts w:ascii="Times New Roman" w:hAnsi="Times New Roman" w:hint="eastAsia"/>
          <w:sz w:val="18"/>
          <w:szCs w:val="18"/>
        </w:rPr>
        <w:t>日起生效。</w:t>
      </w:r>
    </w:p>
    <w:p w14:paraId="10A1DC16" w14:textId="77777777" w:rsidR="00517D34" w:rsidRPr="0063248C" w:rsidRDefault="00000000">
      <w:pPr>
        <w:pStyle w:val="a3"/>
        <w:spacing w:before="0" w:beforeAutospacing="0" w:after="0" w:afterAutospacing="0"/>
        <w:ind w:firstLine="360"/>
        <w:jc w:val="both"/>
        <w:divId w:val="310869124"/>
        <w:rPr>
          <w:rFonts w:ascii="Times New Roman" w:hAnsi="Times New Roman"/>
          <w:sz w:val="21"/>
          <w:szCs w:val="21"/>
        </w:rPr>
      </w:pPr>
      <w:r w:rsidRPr="0063248C">
        <w:rPr>
          <w:rFonts w:ascii="Times New Roman" w:hAnsi="Times New Roman" w:hint="eastAsia"/>
          <w:sz w:val="18"/>
          <w:szCs w:val="18"/>
        </w:rPr>
        <w:t>2021</w:t>
      </w:r>
      <w:r w:rsidRPr="0063248C">
        <w:rPr>
          <w:rFonts w:ascii="Times New Roman" w:hAnsi="Times New Roman" w:hint="eastAsia"/>
          <w:sz w:val="18"/>
          <w:szCs w:val="18"/>
        </w:rPr>
        <w:t>年</w:t>
      </w:r>
      <w:r w:rsidRPr="0063248C">
        <w:rPr>
          <w:rFonts w:ascii="Times New Roman" w:hAnsi="Times New Roman" w:hint="eastAsia"/>
          <w:sz w:val="18"/>
          <w:szCs w:val="18"/>
        </w:rPr>
        <w:t>4</w:t>
      </w:r>
      <w:r w:rsidRPr="0063248C">
        <w:rPr>
          <w:rFonts w:ascii="Times New Roman" w:hAnsi="Times New Roman" w:hint="eastAsia"/>
          <w:sz w:val="18"/>
          <w:szCs w:val="18"/>
        </w:rPr>
        <w:t>月</w:t>
      </w:r>
      <w:r w:rsidRPr="0063248C">
        <w:rPr>
          <w:rFonts w:ascii="Times New Roman" w:hAnsi="Times New Roman" w:hint="eastAsia"/>
          <w:sz w:val="18"/>
          <w:szCs w:val="18"/>
        </w:rPr>
        <w:t>30</w:t>
      </w:r>
      <w:r w:rsidRPr="0063248C">
        <w:rPr>
          <w:rFonts w:ascii="Times New Roman" w:hAnsi="Times New Roman" w:hint="eastAsia"/>
          <w:sz w:val="18"/>
          <w:szCs w:val="18"/>
        </w:rPr>
        <w:t>日，公司实施完成了</w:t>
      </w:r>
      <w:r w:rsidRPr="0063248C">
        <w:rPr>
          <w:rFonts w:ascii="Times New Roman" w:hAnsi="Times New Roman" w:hint="eastAsia"/>
          <w:sz w:val="18"/>
          <w:szCs w:val="18"/>
        </w:rPr>
        <w:t>2020</w:t>
      </w:r>
      <w:r w:rsidRPr="0063248C">
        <w:rPr>
          <w:rFonts w:ascii="Times New Roman" w:hAnsi="Times New Roman" w:hint="eastAsia"/>
          <w:sz w:val="18"/>
          <w:szCs w:val="18"/>
        </w:rPr>
        <w:t>年度权益分派方案。根据公司可转换公司债</w:t>
      </w:r>
      <w:proofErr w:type="gramStart"/>
      <w:r w:rsidRPr="0063248C">
        <w:rPr>
          <w:rFonts w:ascii="Times New Roman" w:hAnsi="Times New Roman" w:hint="eastAsia"/>
          <w:sz w:val="18"/>
          <w:szCs w:val="18"/>
        </w:rPr>
        <w:t>券</w:t>
      </w:r>
      <w:proofErr w:type="gramEnd"/>
      <w:r w:rsidRPr="0063248C">
        <w:rPr>
          <w:rFonts w:ascii="Times New Roman" w:hAnsi="Times New Roman" w:hint="eastAsia"/>
          <w:sz w:val="18"/>
          <w:szCs w:val="18"/>
        </w:rPr>
        <w:t>转股价格调整的相关条款，“龙大转债”的转股价格由</w:t>
      </w:r>
      <w:r w:rsidRPr="0063248C">
        <w:rPr>
          <w:rFonts w:ascii="Times New Roman" w:hAnsi="Times New Roman" w:hint="eastAsia"/>
          <w:sz w:val="18"/>
          <w:szCs w:val="18"/>
        </w:rPr>
        <w:t>9.57</w:t>
      </w:r>
      <w:r w:rsidRPr="0063248C">
        <w:rPr>
          <w:rFonts w:ascii="Times New Roman" w:hAnsi="Times New Roman" w:hint="eastAsia"/>
          <w:sz w:val="18"/>
          <w:szCs w:val="18"/>
        </w:rPr>
        <w:t>元</w:t>
      </w:r>
      <w:r w:rsidRPr="0063248C">
        <w:rPr>
          <w:rFonts w:ascii="Times New Roman" w:hAnsi="Times New Roman" w:hint="eastAsia"/>
          <w:sz w:val="18"/>
          <w:szCs w:val="18"/>
        </w:rPr>
        <w:t>/</w:t>
      </w:r>
      <w:r w:rsidRPr="0063248C">
        <w:rPr>
          <w:rFonts w:ascii="Times New Roman" w:hAnsi="Times New Roman" w:hint="eastAsia"/>
          <w:sz w:val="18"/>
          <w:szCs w:val="18"/>
        </w:rPr>
        <w:t>股调整为</w:t>
      </w:r>
      <w:r w:rsidRPr="0063248C">
        <w:rPr>
          <w:rFonts w:ascii="Times New Roman" w:hAnsi="Times New Roman" w:hint="eastAsia"/>
          <w:sz w:val="18"/>
          <w:szCs w:val="18"/>
        </w:rPr>
        <w:t>9.38</w:t>
      </w:r>
      <w:r w:rsidRPr="0063248C">
        <w:rPr>
          <w:rFonts w:ascii="Times New Roman" w:hAnsi="Times New Roman" w:hint="eastAsia"/>
          <w:sz w:val="18"/>
          <w:szCs w:val="18"/>
        </w:rPr>
        <w:t>元</w:t>
      </w:r>
      <w:r w:rsidRPr="0063248C">
        <w:rPr>
          <w:rFonts w:ascii="Times New Roman" w:hAnsi="Times New Roman" w:hint="eastAsia"/>
          <w:sz w:val="18"/>
          <w:szCs w:val="18"/>
        </w:rPr>
        <w:t>/</w:t>
      </w:r>
      <w:r w:rsidRPr="0063248C">
        <w:rPr>
          <w:rFonts w:ascii="Times New Roman" w:hAnsi="Times New Roman" w:hint="eastAsia"/>
          <w:sz w:val="18"/>
          <w:szCs w:val="18"/>
        </w:rPr>
        <w:t>股。调整后的转股价格自</w:t>
      </w:r>
      <w:r w:rsidRPr="0063248C">
        <w:rPr>
          <w:rFonts w:ascii="Times New Roman" w:hAnsi="Times New Roman" w:hint="eastAsia"/>
          <w:sz w:val="18"/>
          <w:szCs w:val="18"/>
        </w:rPr>
        <w:t>2021</w:t>
      </w:r>
      <w:r w:rsidRPr="0063248C">
        <w:rPr>
          <w:rFonts w:ascii="Times New Roman" w:hAnsi="Times New Roman" w:hint="eastAsia"/>
          <w:sz w:val="18"/>
          <w:szCs w:val="18"/>
        </w:rPr>
        <w:t>年</w:t>
      </w:r>
      <w:r w:rsidRPr="0063248C">
        <w:rPr>
          <w:rFonts w:ascii="Times New Roman" w:hAnsi="Times New Roman" w:hint="eastAsia"/>
          <w:sz w:val="18"/>
          <w:szCs w:val="18"/>
        </w:rPr>
        <w:t>4</w:t>
      </w:r>
      <w:r w:rsidRPr="0063248C">
        <w:rPr>
          <w:rFonts w:ascii="Times New Roman" w:hAnsi="Times New Roman" w:hint="eastAsia"/>
          <w:sz w:val="18"/>
          <w:szCs w:val="18"/>
        </w:rPr>
        <w:t>月</w:t>
      </w:r>
      <w:r w:rsidRPr="0063248C">
        <w:rPr>
          <w:rFonts w:ascii="Times New Roman" w:hAnsi="Times New Roman" w:hint="eastAsia"/>
          <w:sz w:val="18"/>
          <w:szCs w:val="18"/>
        </w:rPr>
        <w:t>30</w:t>
      </w:r>
      <w:r w:rsidRPr="0063248C">
        <w:rPr>
          <w:rFonts w:ascii="Times New Roman" w:hAnsi="Times New Roman" w:hint="eastAsia"/>
          <w:sz w:val="18"/>
          <w:szCs w:val="18"/>
        </w:rPr>
        <w:t>日起生效。</w:t>
      </w:r>
    </w:p>
    <w:p w14:paraId="2C850266" w14:textId="77777777" w:rsidR="00517D34" w:rsidRPr="0063248C" w:rsidRDefault="00000000">
      <w:pPr>
        <w:pStyle w:val="a3"/>
        <w:spacing w:before="0" w:beforeAutospacing="0" w:after="0" w:afterAutospacing="0"/>
        <w:ind w:firstLine="360"/>
        <w:jc w:val="both"/>
        <w:divId w:val="310869124"/>
        <w:rPr>
          <w:rFonts w:ascii="Times New Roman" w:hAnsi="Times New Roman"/>
          <w:sz w:val="21"/>
          <w:szCs w:val="21"/>
        </w:rPr>
      </w:pPr>
      <w:r w:rsidRPr="0063248C">
        <w:rPr>
          <w:rFonts w:ascii="Times New Roman" w:hAnsi="Times New Roman" w:hint="eastAsia"/>
          <w:sz w:val="18"/>
          <w:szCs w:val="18"/>
        </w:rPr>
        <w:t>自前次转股价格调整日</w:t>
      </w:r>
      <w:r w:rsidRPr="0063248C">
        <w:rPr>
          <w:rFonts w:ascii="Times New Roman" w:hAnsi="Times New Roman" w:hint="eastAsia"/>
          <w:sz w:val="18"/>
          <w:szCs w:val="18"/>
        </w:rPr>
        <w:t>2021</w:t>
      </w:r>
      <w:r w:rsidRPr="0063248C">
        <w:rPr>
          <w:rFonts w:ascii="Times New Roman" w:hAnsi="Times New Roman" w:hint="eastAsia"/>
          <w:sz w:val="18"/>
          <w:szCs w:val="18"/>
        </w:rPr>
        <w:t>年</w:t>
      </w:r>
      <w:r w:rsidRPr="0063248C">
        <w:rPr>
          <w:rFonts w:ascii="Times New Roman" w:hAnsi="Times New Roman" w:hint="eastAsia"/>
          <w:sz w:val="18"/>
          <w:szCs w:val="18"/>
        </w:rPr>
        <w:t>4</w:t>
      </w:r>
      <w:r w:rsidRPr="0063248C">
        <w:rPr>
          <w:rFonts w:ascii="Times New Roman" w:hAnsi="Times New Roman" w:hint="eastAsia"/>
          <w:sz w:val="18"/>
          <w:szCs w:val="18"/>
        </w:rPr>
        <w:t>月</w:t>
      </w:r>
      <w:r w:rsidRPr="0063248C">
        <w:rPr>
          <w:rFonts w:ascii="Times New Roman" w:hAnsi="Times New Roman" w:hint="eastAsia"/>
          <w:sz w:val="18"/>
          <w:szCs w:val="18"/>
        </w:rPr>
        <w:t>30</w:t>
      </w:r>
      <w:r w:rsidRPr="0063248C">
        <w:rPr>
          <w:rFonts w:ascii="Times New Roman" w:hAnsi="Times New Roman" w:hint="eastAsia"/>
          <w:sz w:val="18"/>
          <w:szCs w:val="18"/>
        </w:rPr>
        <w:t>日起至</w:t>
      </w:r>
      <w:r w:rsidRPr="0063248C">
        <w:rPr>
          <w:rFonts w:ascii="Times New Roman" w:hAnsi="Times New Roman" w:hint="eastAsia"/>
          <w:sz w:val="18"/>
          <w:szCs w:val="18"/>
        </w:rPr>
        <w:t>2021</w:t>
      </w:r>
      <w:r w:rsidRPr="0063248C">
        <w:rPr>
          <w:rFonts w:ascii="Times New Roman" w:hAnsi="Times New Roman" w:hint="eastAsia"/>
          <w:sz w:val="18"/>
          <w:szCs w:val="18"/>
        </w:rPr>
        <w:t>年</w:t>
      </w:r>
      <w:r w:rsidRPr="0063248C">
        <w:rPr>
          <w:rFonts w:ascii="Times New Roman" w:hAnsi="Times New Roman" w:hint="eastAsia"/>
          <w:sz w:val="18"/>
          <w:szCs w:val="18"/>
        </w:rPr>
        <w:t>8</w:t>
      </w:r>
      <w:r w:rsidRPr="0063248C">
        <w:rPr>
          <w:rFonts w:ascii="Times New Roman" w:hAnsi="Times New Roman" w:hint="eastAsia"/>
          <w:sz w:val="18"/>
          <w:szCs w:val="18"/>
        </w:rPr>
        <w:t>月</w:t>
      </w:r>
      <w:r w:rsidRPr="0063248C">
        <w:rPr>
          <w:rFonts w:ascii="Times New Roman" w:hAnsi="Times New Roman" w:hint="eastAsia"/>
          <w:sz w:val="18"/>
          <w:szCs w:val="18"/>
        </w:rPr>
        <w:t>2</w:t>
      </w:r>
      <w:r w:rsidRPr="0063248C">
        <w:rPr>
          <w:rFonts w:ascii="Times New Roman" w:hAnsi="Times New Roman" w:hint="eastAsia"/>
          <w:sz w:val="18"/>
          <w:szCs w:val="18"/>
        </w:rPr>
        <w:t>日，公司总股本因激励对象自主行权以及公司非公开发行股票上市成功发生变化，根据公司可转换公司债</w:t>
      </w:r>
      <w:proofErr w:type="gramStart"/>
      <w:r w:rsidRPr="0063248C">
        <w:rPr>
          <w:rFonts w:ascii="Times New Roman" w:hAnsi="Times New Roman" w:hint="eastAsia"/>
          <w:sz w:val="18"/>
          <w:szCs w:val="18"/>
        </w:rPr>
        <w:t>券</w:t>
      </w:r>
      <w:proofErr w:type="gramEnd"/>
      <w:r w:rsidRPr="0063248C">
        <w:rPr>
          <w:rFonts w:ascii="Times New Roman" w:hAnsi="Times New Roman" w:hint="eastAsia"/>
          <w:sz w:val="18"/>
          <w:szCs w:val="18"/>
        </w:rPr>
        <w:t>转股价格调整的相关条款，“龙大转债”的转股价由</w:t>
      </w:r>
      <w:r w:rsidRPr="0063248C">
        <w:rPr>
          <w:rFonts w:ascii="Times New Roman" w:hAnsi="Times New Roman" w:hint="eastAsia"/>
          <w:sz w:val="18"/>
          <w:szCs w:val="18"/>
        </w:rPr>
        <w:t>9.38</w:t>
      </w:r>
      <w:r w:rsidRPr="0063248C">
        <w:rPr>
          <w:rFonts w:ascii="Times New Roman" w:hAnsi="Times New Roman" w:hint="eastAsia"/>
          <w:sz w:val="18"/>
          <w:szCs w:val="18"/>
        </w:rPr>
        <w:t>元</w:t>
      </w:r>
      <w:r w:rsidRPr="0063248C">
        <w:rPr>
          <w:rFonts w:ascii="Times New Roman" w:hAnsi="Times New Roman" w:hint="eastAsia"/>
          <w:sz w:val="18"/>
          <w:szCs w:val="18"/>
        </w:rPr>
        <w:t>/</w:t>
      </w:r>
      <w:r w:rsidRPr="0063248C">
        <w:rPr>
          <w:rFonts w:ascii="Times New Roman" w:hAnsi="Times New Roman" w:hint="eastAsia"/>
          <w:sz w:val="18"/>
          <w:szCs w:val="18"/>
        </w:rPr>
        <w:t>股调整为</w:t>
      </w:r>
      <w:r w:rsidRPr="0063248C">
        <w:rPr>
          <w:rFonts w:ascii="Times New Roman" w:hAnsi="Times New Roman" w:hint="eastAsia"/>
          <w:sz w:val="18"/>
          <w:szCs w:val="18"/>
        </w:rPr>
        <w:t>9.29</w:t>
      </w:r>
      <w:r w:rsidRPr="0063248C">
        <w:rPr>
          <w:rFonts w:ascii="Times New Roman" w:hAnsi="Times New Roman" w:hint="eastAsia"/>
          <w:sz w:val="18"/>
          <w:szCs w:val="18"/>
        </w:rPr>
        <w:t>元</w:t>
      </w:r>
      <w:r w:rsidRPr="0063248C">
        <w:rPr>
          <w:rFonts w:ascii="Times New Roman" w:hAnsi="Times New Roman" w:hint="eastAsia"/>
          <w:sz w:val="18"/>
          <w:szCs w:val="18"/>
        </w:rPr>
        <w:t>/</w:t>
      </w:r>
      <w:r w:rsidRPr="0063248C">
        <w:rPr>
          <w:rFonts w:ascii="Times New Roman" w:hAnsi="Times New Roman" w:hint="eastAsia"/>
          <w:sz w:val="18"/>
          <w:szCs w:val="18"/>
        </w:rPr>
        <w:t>股。调整后的转股价格自</w:t>
      </w:r>
      <w:r w:rsidRPr="0063248C">
        <w:rPr>
          <w:rFonts w:ascii="Times New Roman" w:hAnsi="Times New Roman" w:hint="eastAsia"/>
          <w:sz w:val="18"/>
          <w:szCs w:val="18"/>
        </w:rPr>
        <w:t>2021</w:t>
      </w:r>
      <w:r w:rsidRPr="0063248C">
        <w:rPr>
          <w:rFonts w:ascii="Times New Roman" w:hAnsi="Times New Roman" w:hint="eastAsia"/>
          <w:sz w:val="18"/>
          <w:szCs w:val="18"/>
        </w:rPr>
        <w:t>年</w:t>
      </w:r>
      <w:r w:rsidRPr="0063248C">
        <w:rPr>
          <w:rFonts w:ascii="Times New Roman" w:hAnsi="Times New Roman" w:hint="eastAsia"/>
          <w:sz w:val="18"/>
          <w:szCs w:val="18"/>
        </w:rPr>
        <w:t>8</w:t>
      </w:r>
      <w:r w:rsidRPr="0063248C">
        <w:rPr>
          <w:rFonts w:ascii="Times New Roman" w:hAnsi="Times New Roman" w:hint="eastAsia"/>
          <w:sz w:val="18"/>
          <w:szCs w:val="18"/>
        </w:rPr>
        <w:t>月</w:t>
      </w:r>
      <w:r w:rsidRPr="0063248C">
        <w:rPr>
          <w:rFonts w:ascii="Times New Roman" w:hAnsi="Times New Roman" w:hint="eastAsia"/>
          <w:sz w:val="18"/>
          <w:szCs w:val="18"/>
        </w:rPr>
        <w:t>12</w:t>
      </w:r>
      <w:r w:rsidRPr="0063248C">
        <w:rPr>
          <w:rFonts w:ascii="Times New Roman" w:hAnsi="Times New Roman" w:hint="eastAsia"/>
          <w:sz w:val="18"/>
          <w:szCs w:val="18"/>
        </w:rPr>
        <w:t>日起生效。</w:t>
      </w:r>
    </w:p>
    <w:p w14:paraId="05B9C4B2" w14:textId="77777777" w:rsidR="00517D34" w:rsidRPr="0063248C" w:rsidRDefault="00000000">
      <w:pPr>
        <w:pStyle w:val="a3"/>
        <w:spacing w:before="0" w:beforeAutospacing="0" w:after="0" w:afterAutospacing="0"/>
        <w:ind w:firstLine="360"/>
        <w:jc w:val="both"/>
        <w:divId w:val="310869124"/>
        <w:rPr>
          <w:rFonts w:ascii="Times New Roman" w:hAnsi="Times New Roman"/>
          <w:sz w:val="21"/>
          <w:szCs w:val="21"/>
        </w:rPr>
      </w:pPr>
      <w:r w:rsidRPr="0063248C">
        <w:rPr>
          <w:rFonts w:ascii="Times New Roman" w:hAnsi="Times New Roman" w:hint="eastAsia"/>
          <w:sz w:val="18"/>
          <w:szCs w:val="18"/>
        </w:rPr>
        <w:t>2022</w:t>
      </w:r>
      <w:r w:rsidRPr="0063248C">
        <w:rPr>
          <w:rFonts w:ascii="Times New Roman" w:hAnsi="Times New Roman" w:hint="eastAsia"/>
          <w:sz w:val="18"/>
          <w:szCs w:val="18"/>
        </w:rPr>
        <w:t>年</w:t>
      </w:r>
      <w:r w:rsidRPr="0063248C">
        <w:rPr>
          <w:rFonts w:ascii="Times New Roman" w:hAnsi="Times New Roman" w:hint="eastAsia"/>
          <w:sz w:val="18"/>
          <w:szCs w:val="18"/>
        </w:rPr>
        <w:t>3</w:t>
      </w:r>
      <w:r w:rsidRPr="0063248C">
        <w:rPr>
          <w:rFonts w:ascii="Times New Roman" w:hAnsi="Times New Roman" w:hint="eastAsia"/>
          <w:sz w:val="18"/>
          <w:szCs w:val="18"/>
        </w:rPr>
        <w:t>月</w:t>
      </w:r>
      <w:r w:rsidRPr="0063248C">
        <w:rPr>
          <w:rFonts w:ascii="Times New Roman" w:hAnsi="Times New Roman" w:hint="eastAsia"/>
          <w:sz w:val="18"/>
          <w:szCs w:val="18"/>
        </w:rPr>
        <w:t>31</w:t>
      </w:r>
      <w:r w:rsidRPr="0063248C">
        <w:rPr>
          <w:rFonts w:ascii="Times New Roman" w:hAnsi="Times New Roman" w:hint="eastAsia"/>
          <w:sz w:val="18"/>
          <w:szCs w:val="18"/>
        </w:rPr>
        <w:t>日，因公司</w:t>
      </w:r>
      <w:r w:rsidRPr="0063248C">
        <w:rPr>
          <w:rFonts w:ascii="Times New Roman" w:hAnsi="Times New Roman" w:hint="eastAsia"/>
          <w:sz w:val="18"/>
          <w:szCs w:val="18"/>
        </w:rPr>
        <w:t>2019</w:t>
      </w:r>
      <w:r w:rsidRPr="0063248C">
        <w:rPr>
          <w:rFonts w:ascii="Times New Roman" w:hAnsi="Times New Roman" w:hint="eastAsia"/>
          <w:sz w:val="18"/>
          <w:szCs w:val="18"/>
        </w:rPr>
        <w:t>年股票期权与限制性股票激励计划第一个、第二个行权期行权及公司限制性股票回购注销，公司对可转换债券当期转股价格进行调整，修正后的转股价格为</w:t>
      </w:r>
      <w:r w:rsidRPr="0063248C">
        <w:rPr>
          <w:rFonts w:ascii="Times New Roman" w:hAnsi="Times New Roman" w:hint="eastAsia"/>
          <w:sz w:val="18"/>
          <w:szCs w:val="18"/>
        </w:rPr>
        <w:t>9.28</w:t>
      </w:r>
      <w:r w:rsidRPr="0063248C">
        <w:rPr>
          <w:rFonts w:ascii="Times New Roman" w:hAnsi="Times New Roman" w:hint="eastAsia"/>
          <w:sz w:val="18"/>
          <w:szCs w:val="18"/>
        </w:rPr>
        <w:t>元</w:t>
      </w:r>
      <w:r w:rsidRPr="0063248C">
        <w:rPr>
          <w:rFonts w:ascii="Times New Roman" w:hAnsi="Times New Roman" w:hint="eastAsia"/>
          <w:sz w:val="18"/>
          <w:szCs w:val="18"/>
        </w:rPr>
        <w:t>/</w:t>
      </w:r>
      <w:r w:rsidRPr="0063248C">
        <w:rPr>
          <w:rFonts w:ascii="Times New Roman" w:hAnsi="Times New Roman" w:hint="eastAsia"/>
          <w:sz w:val="18"/>
          <w:szCs w:val="18"/>
        </w:rPr>
        <w:t>股。</w:t>
      </w:r>
    </w:p>
    <w:p w14:paraId="42BB98A3" w14:textId="77777777" w:rsidR="00517D34" w:rsidRPr="0063248C" w:rsidRDefault="00000000">
      <w:pPr>
        <w:pStyle w:val="a3"/>
        <w:spacing w:before="0" w:beforeAutospacing="0" w:after="0" w:afterAutospacing="0"/>
        <w:ind w:firstLine="360"/>
        <w:jc w:val="both"/>
        <w:divId w:val="310869124"/>
        <w:rPr>
          <w:rFonts w:ascii="Times New Roman" w:hAnsi="Times New Roman"/>
          <w:sz w:val="21"/>
          <w:szCs w:val="21"/>
        </w:rPr>
      </w:pPr>
      <w:r w:rsidRPr="0063248C">
        <w:rPr>
          <w:rFonts w:ascii="Times New Roman" w:hAnsi="Times New Roman" w:hint="eastAsia"/>
          <w:sz w:val="18"/>
          <w:szCs w:val="18"/>
        </w:rPr>
        <w:lastRenderedPageBreak/>
        <w:t>2022</w:t>
      </w:r>
      <w:r w:rsidRPr="0063248C">
        <w:rPr>
          <w:rFonts w:ascii="Times New Roman" w:hAnsi="Times New Roman" w:hint="eastAsia"/>
          <w:sz w:val="18"/>
          <w:szCs w:val="18"/>
        </w:rPr>
        <w:t>年</w:t>
      </w:r>
      <w:r w:rsidRPr="0063248C">
        <w:rPr>
          <w:rFonts w:ascii="Times New Roman" w:hAnsi="Times New Roman" w:hint="eastAsia"/>
          <w:sz w:val="18"/>
          <w:szCs w:val="18"/>
        </w:rPr>
        <w:t>8</w:t>
      </w:r>
      <w:r w:rsidRPr="0063248C">
        <w:rPr>
          <w:rFonts w:ascii="Times New Roman" w:hAnsi="Times New Roman" w:hint="eastAsia"/>
          <w:sz w:val="18"/>
          <w:szCs w:val="18"/>
        </w:rPr>
        <w:t>月</w:t>
      </w:r>
      <w:r w:rsidRPr="0063248C">
        <w:rPr>
          <w:rFonts w:ascii="Times New Roman" w:hAnsi="Times New Roman" w:hint="eastAsia"/>
          <w:sz w:val="18"/>
          <w:szCs w:val="18"/>
        </w:rPr>
        <w:t>19</w:t>
      </w:r>
      <w:r w:rsidRPr="0063248C">
        <w:rPr>
          <w:rFonts w:ascii="Times New Roman" w:hAnsi="Times New Roman" w:hint="eastAsia"/>
          <w:sz w:val="18"/>
          <w:szCs w:val="18"/>
        </w:rPr>
        <w:t>日，因公司</w:t>
      </w:r>
      <w:r w:rsidRPr="0063248C">
        <w:rPr>
          <w:rFonts w:ascii="Times New Roman" w:hAnsi="Times New Roman" w:hint="eastAsia"/>
          <w:sz w:val="18"/>
          <w:szCs w:val="18"/>
        </w:rPr>
        <w:t>2019</w:t>
      </w:r>
      <w:r w:rsidRPr="0063248C">
        <w:rPr>
          <w:rFonts w:ascii="Times New Roman" w:hAnsi="Times New Roman" w:hint="eastAsia"/>
          <w:sz w:val="18"/>
          <w:szCs w:val="18"/>
        </w:rPr>
        <w:t>年股票期权与限制性股票激励计划第二个行权期行权及公司限制性股票回购注销，公司对可转换债券当期转股价格进行调整，修正后的转股价格为</w:t>
      </w:r>
      <w:r w:rsidRPr="0063248C">
        <w:rPr>
          <w:rFonts w:ascii="Times New Roman" w:hAnsi="Times New Roman" w:hint="eastAsia"/>
          <w:sz w:val="18"/>
          <w:szCs w:val="18"/>
        </w:rPr>
        <w:t>9.30</w:t>
      </w:r>
      <w:r w:rsidRPr="0063248C">
        <w:rPr>
          <w:rFonts w:ascii="Times New Roman" w:hAnsi="Times New Roman" w:hint="eastAsia"/>
          <w:sz w:val="18"/>
          <w:szCs w:val="18"/>
        </w:rPr>
        <w:t>元</w:t>
      </w:r>
      <w:r w:rsidRPr="0063248C">
        <w:rPr>
          <w:rFonts w:ascii="Times New Roman" w:hAnsi="Times New Roman" w:hint="eastAsia"/>
          <w:sz w:val="18"/>
          <w:szCs w:val="18"/>
        </w:rPr>
        <w:t>/</w:t>
      </w:r>
      <w:r w:rsidRPr="0063248C">
        <w:rPr>
          <w:rFonts w:ascii="Times New Roman" w:hAnsi="Times New Roman" w:hint="eastAsia"/>
          <w:sz w:val="18"/>
          <w:szCs w:val="18"/>
        </w:rPr>
        <w:t>股。</w:t>
      </w:r>
    </w:p>
    <w:p w14:paraId="31DB72FE" w14:textId="77777777" w:rsidR="00517D34" w:rsidRPr="0063248C" w:rsidRDefault="00000000">
      <w:pPr>
        <w:pStyle w:val="a3"/>
        <w:spacing w:before="0" w:beforeAutospacing="0" w:after="0" w:afterAutospacing="0"/>
        <w:ind w:firstLine="360"/>
        <w:jc w:val="both"/>
        <w:divId w:val="310869124"/>
        <w:rPr>
          <w:rFonts w:ascii="Times New Roman" w:hAnsi="Times New Roman"/>
          <w:sz w:val="21"/>
          <w:szCs w:val="21"/>
        </w:rPr>
      </w:pPr>
      <w:r w:rsidRPr="0063248C">
        <w:rPr>
          <w:rFonts w:ascii="Times New Roman" w:hAnsi="Times New Roman" w:hint="eastAsia"/>
          <w:sz w:val="18"/>
          <w:szCs w:val="18"/>
        </w:rPr>
        <w:t>本次可转债转股期自可转债发行结束之日满六个月后的第一个交易日起至可转债到期日止，即</w:t>
      </w:r>
      <w:r w:rsidRPr="0063248C">
        <w:rPr>
          <w:rFonts w:ascii="Times New Roman" w:hAnsi="Times New Roman" w:hint="eastAsia"/>
          <w:sz w:val="18"/>
          <w:szCs w:val="18"/>
        </w:rPr>
        <w:t>2021</w:t>
      </w:r>
      <w:r w:rsidRPr="0063248C">
        <w:rPr>
          <w:rFonts w:ascii="Times New Roman" w:hAnsi="Times New Roman" w:hint="eastAsia"/>
          <w:sz w:val="18"/>
          <w:szCs w:val="18"/>
        </w:rPr>
        <w:t>年</w:t>
      </w:r>
      <w:r w:rsidRPr="0063248C">
        <w:rPr>
          <w:rFonts w:ascii="Times New Roman" w:hAnsi="Times New Roman" w:hint="eastAsia"/>
          <w:sz w:val="18"/>
          <w:szCs w:val="18"/>
        </w:rPr>
        <w:t>1</w:t>
      </w:r>
      <w:r w:rsidRPr="0063248C">
        <w:rPr>
          <w:rFonts w:ascii="Times New Roman" w:hAnsi="Times New Roman" w:hint="eastAsia"/>
          <w:sz w:val="18"/>
          <w:szCs w:val="18"/>
        </w:rPr>
        <w:t>月</w:t>
      </w:r>
      <w:r w:rsidRPr="0063248C">
        <w:rPr>
          <w:rFonts w:ascii="Times New Roman" w:hAnsi="Times New Roman" w:hint="eastAsia"/>
          <w:sz w:val="18"/>
          <w:szCs w:val="18"/>
        </w:rPr>
        <w:t>13</w:t>
      </w:r>
      <w:r w:rsidRPr="0063248C">
        <w:rPr>
          <w:rFonts w:ascii="Times New Roman" w:hAnsi="Times New Roman" w:hint="eastAsia"/>
          <w:sz w:val="18"/>
          <w:szCs w:val="18"/>
        </w:rPr>
        <w:t>日至</w:t>
      </w:r>
      <w:r w:rsidRPr="0063248C">
        <w:rPr>
          <w:rFonts w:ascii="Times New Roman" w:hAnsi="Times New Roman" w:hint="eastAsia"/>
          <w:sz w:val="18"/>
          <w:szCs w:val="18"/>
        </w:rPr>
        <w:t>2026</w:t>
      </w:r>
      <w:r w:rsidRPr="0063248C">
        <w:rPr>
          <w:rFonts w:ascii="Times New Roman" w:hAnsi="Times New Roman" w:hint="eastAsia"/>
          <w:sz w:val="18"/>
          <w:szCs w:val="18"/>
        </w:rPr>
        <w:t>年</w:t>
      </w:r>
      <w:r w:rsidRPr="0063248C">
        <w:rPr>
          <w:rFonts w:ascii="Times New Roman" w:hAnsi="Times New Roman" w:hint="eastAsia"/>
          <w:sz w:val="18"/>
          <w:szCs w:val="18"/>
        </w:rPr>
        <w:t>7</w:t>
      </w:r>
      <w:r w:rsidRPr="0063248C">
        <w:rPr>
          <w:rFonts w:ascii="Times New Roman" w:hAnsi="Times New Roman" w:hint="eastAsia"/>
          <w:sz w:val="18"/>
          <w:szCs w:val="18"/>
        </w:rPr>
        <w:t>月</w:t>
      </w:r>
      <w:r w:rsidRPr="0063248C">
        <w:rPr>
          <w:rFonts w:ascii="Times New Roman" w:hAnsi="Times New Roman" w:hint="eastAsia"/>
          <w:sz w:val="18"/>
          <w:szCs w:val="18"/>
        </w:rPr>
        <w:t>12</w:t>
      </w:r>
      <w:r w:rsidRPr="0063248C">
        <w:rPr>
          <w:rFonts w:ascii="Times New Roman" w:hAnsi="Times New Roman" w:hint="eastAsia"/>
          <w:sz w:val="18"/>
          <w:szCs w:val="18"/>
        </w:rPr>
        <w:t>日。</w:t>
      </w:r>
    </w:p>
    <w:p w14:paraId="4AD74294" w14:textId="77777777" w:rsidR="007B3DB2" w:rsidRPr="0063248C" w:rsidRDefault="00000000">
      <w:pPr>
        <w:keepNext/>
        <w:keepLines/>
        <w:spacing w:before="300" w:after="300" w:line="280" w:lineRule="exact"/>
        <w:outlineLvl w:val="3"/>
        <w:rPr>
          <w:rFonts w:cs="宋体"/>
          <w:b/>
          <w:bCs/>
          <w:szCs w:val="21"/>
        </w:rPr>
      </w:pPr>
      <w:bookmarkStart w:id="342" w:name="_Toc989231"/>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划分为金融负债的其他金融工具说明</w:t>
      </w:r>
      <w:bookmarkEnd w:id="342"/>
    </w:p>
    <w:p w14:paraId="3F220C78" w14:textId="77777777" w:rsidR="007B3DB2" w:rsidRPr="0063248C" w:rsidRDefault="00000000">
      <w:pPr>
        <w:spacing w:before="100" w:after="100" w:line="240" w:lineRule="exact"/>
        <w:rPr>
          <w:rFonts w:cs="宋体"/>
          <w:sz w:val="18"/>
          <w:szCs w:val="18"/>
        </w:rPr>
      </w:pPr>
      <w:r w:rsidRPr="0063248C">
        <w:rPr>
          <w:rFonts w:cs="宋体"/>
          <w:sz w:val="18"/>
          <w:szCs w:val="18"/>
        </w:rPr>
        <w:t>期末发行在外的优先股、永续债等其他金融工具基本情况</w:t>
      </w:r>
    </w:p>
    <w:p w14:paraId="1845363B" w14:textId="77777777" w:rsidR="00517D34" w:rsidRPr="0063248C" w:rsidRDefault="00000000">
      <w:pPr>
        <w:pStyle w:val="a3"/>
        <w:divId w:val="16545053"/>
        <w:rPr>
          <w:rFonts w:ascii="Times New Roman" w:hAnsi="Times New Roman"/>
          <w:sz w:val="18"/>
          <w:szCs w:val="18"/>
        </w:rPr>
      </w:pPr>
      <w:r w:rsidRPr="0063248C">
        <w:rPr>
          <w:rFonts w:ascii="Times New Roman" w:hAnsi="Times New Roman" w:hint="eastAsia"/>
          <w:sz w:val="18"/>
          <w:szCs w:val="18"/>
        </w:rPr>
        <w:t>无</w:t>
      </w:r>
    </w:p>
    <w:p w14:paraId="323E38B8" w14:textId="77777777" w:rsidR="007B3DB2" w:rsidRPr="0063248C" w:rsidRDefault="00000000">
      <w:pPr>
        <w:spacing w:before="100" w:after="100" w:line="240" w:lineRule="exact"/>
        <w:rPr>
          <w:rFonts w:cs="宋体"/>
          <w:sz w:val="18"/>
          <w:szCs w:val="18"/>
        </w:rPr>
      </w:pPr>
      <w:r w:rsidRPr="0063248C">
        <w:rPr>
          <w:rFonts w:cs="宋体"/>
          <w:sz w:val="18"/>
          <w:szCs w:val="18"/>
        </w:rPr>
        <w:t>期末发行在外的优先股、永续债等金融工具变动情况表</w:t>
      </w:r>
    </w:p>
    <w:p w14:paraId="4F67B767" w14:textId="77777777" w:rsidR="00517D34" w:rsidRPr="0063248C" w:rsidRDefault="00000000">
      <w:pPr>
        <w:pStyle w:val="a3"/>
        <w:divId w:val="2016226663"/>
        <w:rPr>
          <w:rFonts w:ascii="Times New Roman" w:hAnsi="Times New Roman"/>
          <w:sz w:val="18"/>
          <w:szCs w:val="18"/>
        </w:rPr>
      </w:pPr>
      <w:r w:rsidRPr="0063248C">
        <w:rPr>
          <w:rFonts w:ascii="Times New Roman" w:hAnsi="Times New Roman" w:hint="eastAsia"/>
          <w:sz w:val="18"/>
          <w:szCs w:val="18"/>
        </w:rPr>
        <w:t>无</w:t>
      </w:r>
    </w:p>
    <w:p w14:paraId="58F3BD23"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19ABD5F0" w14:textId="77777777" w:rsidR="00517D34" w:rsidRPr="0063248C" w:rsidRDefault="00000000">
      <w:pPr>
        <w:pStyle w:val="a3"/>
        <w:divId w:val="1761177839"/>
        <w:rPr>
          <w:rFonts w:ascii="Times New Roman" w:hAnsi="Times New Roman"/>
          <w:sz w:val="18"/>
          <w:szCs w:val="18"/>
        </w:rPr>
      </w:pPr>
      <w:r w:rsidRPr="0063248C">
        <w:rPr>
          <w:rFonts w:ascii="Times New Roman" w:hAnsi="Times New Roman" w:hint="eastAsia"/>
          <w:sz w:val="18"/>
          <w:szCs w:val="18"/>
        </w:rPr>
        <w:t>无</w:t>
      </w:r>
    </w:p>
    <w:p w14:paraId="703B1314" w14:textId="77777777" w:rsidR="007B3DB2" w:rsidRPr="0063248C" w:rsidRDefault="00000000">
      <w:pPr>
        <w:pStyle w:val="3"/>
        <w:spacing w:line="280" w:lineRule="exact"/>
        <w:jc w:val="left"/>
        <w:rPr>
          <w:rFonts w:cs="宋体"/>
          <w:b/>
          <w:bCs/>
        </w:rPr>
      </w:pPr>
      <w:bookmarkStart w:id="343" w:name="_Toc989232"/>
      <w:r w:rsidRPr="0063248C">
        <w:rPr>
          <w:rFonts w:cs="宋体"/>
          <w:b/>
          <w:bCs/>
        </w:rPr>
        <w:t>47</w:t>
      </w:r>
      <w:r w:rsidRPr="0063248C">
        <w:rPr>
          <w:rFonts w:cs="宋体"/>
          <w:b/>
          <w:bCs/>
        </w:rPr>
        <w:t>、租赁负债</w:t>
      </w:r>
      <w:bookmarkEnd w:id="343"/>
    </w:p>
    <w:p w14:paraId="2557DDA1"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3AFAC9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DE2A9A"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1529DE"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F3EDE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4CBDB6A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20A7282" w14:textId="77777777" w:rsidR="007B3DB2" w:rsidRPr="0063248C" w:rsidRDefault="00000000">
            <w:pPr>
              <w:spacing w:line="240" w:lineRule="exact"/>
              <w:rPr>
                <w:rFonts w:cs="宋体"/>
                <w:sz w:val="18"/>
                <w:szCs w:val="18"/>
              </w:rPr>
            </w:pPr>
            <w:r w:rsidRPr="0063248C">
              <w:rPr>
                <w:rFonts w:cs="宋体"/>
                <w:sz w:val="18"/>
                <w:szCs w:val="18"/>
              </w:rPr>
              <w:t>房屋及建筑物</w:t>
            </w:r>
          </w:p>
        </w:tc>
        <w:tc>
          <w:tcPr>
            <w:tcW w:w="3213" w:type="dxa"/>
            <w:tcBorders>
              <w:top w:val="single" w:sz="2" w:space="0" w:color="auto"/>
              <w:left w:val="single" w:sz="2" w:space="0" w:color="auto"/>
              <w:bottom w:val="single" w:sz="2" w:space="0" w:color="auto"/>
              <w:right w:val="single" w:sz="2" w:space="0" w:color="auto"/>
            </w:tcBorders>
            <w:vAlign w:val="center"/>
          </w:tcPr>
          <w:p w14:paraId="25D7BAA6" w14:textId="77777777" w:rsidR="007B3DB2" w:rsidRPr="0063248C" w:rsidRDefault="00000000">
            <w:pPr>
              <w:spacing w:line="240" w:lineRule="exact"/>
              <w:jc w:val="right"/>
              <w:rPr>
                <w:rFonts w:cs="宋体"/>
                <w:sz w:val="18"/>
                <w:szCs w:val="18"/>
              </w:rPr>
            </w:pPr>
            <w:r w:rsidRPr="0063248C">
              <w:rPr>
                <w:rFonts w:cs="宋体"/>
                <w:sz w:val="18"/>
                <w:szCs w:val="18"/>
              </w:rPr>
              <w:t>13,914,446.29</w:t>
            </w:r>
          </w:p>
        </w:tc>
        <w:tc>
          <w:tcPr>
            <w:tcW w:w="3213" w:type="dxa"/>
            <w:tcBorders>
              <w:top w:val="single" w:sz="2" w:space="0" w:color="auto"/>
              <w:left w:val="single" w:sz="2" w:space="0" w:color="auto"/>
              <w:bottom w:val="single" w:sz="2" w:space="0" w:color="auto"/>
              <w:right w:val="single" w:sz="2" w:space="0" w:color="auto"/>
            </w:tcBorders>
            <w:vAlign w:val="center"/>
          </w:tcPr>
          <w:p w14:paraId="6020287A" w14:textId="77777777" w:rsidR="007B3DB2" w:rsidRPr="0063248C" w:rsidRDefault="00000000">
            <w:pPr>
              <w:spacing w:line="240" w:lineRule="exact"/>
              <w:jc w:val="right"/>
              <w:rPr>
                <w:rFonts w:cs="宋体"/>
                <w:sz w:val="18"/>
                <w:szCs w:val="18"/>
              </w:rPr>
            </w:pPr>
            <w:r w:rsidRPr="0063248C">
              <w:rPr>
                <w:rFonts w:cs="宋体"/>
                <w:sz w:val="18"/>
                <w:szCs w:val="18"/>
              </w:rPr>
              <w:t>17,095,489.75</w:t>
            </w:r>
          </w:p>
        </w:tc>
      </w:tr>
      <w:tr w:rsidR="007B3DB2" w:rsidRPr="0063248C" w14:paraId="1B2F37C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515C2F9" w14:textId="77777777" w:rsidR="007B3DB2" w:rsidRPr="0063248C" w:rsidRDefault="00000000">
            <w:pPr>
              <w:spacing w:line="240" w:lineRule="exact"/>
              <w:rPr>
                <w:rFonts w:cs="宋体"/>
                <w:sz w:val="18"/>
                <w:szCs w:val="18"/>
              </w:rPr>
            </w:pPr>
            <w:r w:rsidRPr="0063248C">
              <w:rPr>
                <w:rFonts w:cs="宋体"/>
                <w:sz w:val="18"/>
                <w:szCs w:val="18"/>
              </w:rPr>
              <w:t>土地</w:t>
            </w:r>
          </w:p>
        </w:tc>
        <w:tc>
          <w:tcPr>
            <w:tcW w:w="3213" w:type="dxa"/>
            <w:tcBorders>
              <w:top w:val="single" w:sz="2" w:space="0" w:color="auto"/>
              <w:left w:val="single" w:sz="2" w:space="0" w:color="auto"/>
              <w:bottom w:val="single" w:sz="2" w:space="0" w:color="auto"/>
              <w:right w:val="single" w:sz="2" w:space="0" w:color="auto"/>
            </w:tcBorders>
            <w:vAlign w:val="center"/>
          </w:tcPr>
          <w:p w14:paraId="4EE57FCE" w14:textId="77777777" w:rsidR="007B3DB2" w:rsidRPr="0063248C" w:rsidRDefault="00000000">
            <w:pPr>
              <w:spacing w:line="240" w:lineRule="exact"/>
              <w:jc w:val="right"/>
              <w:rPr>
                <w:rFonts w:cs="宋体"/>
                <w:sz w:val="18"/>
                <w:szCs w:val="18"/>
              </w:rPr>
            </w:pPr>
            <w:r w:rsidRPr="0063248C">
              <w:rPr>
                <w:rFonts w:cs="宋体"/>
                <w:sz w:val="18"/>
                <w:szCs w:val="18"/>
              </w:rPr>
              <w:t>33,290,114.03</w:t>
            </w:r>
          </w:p>
        </w:tc>
        <w:tc>
          <w:tcPr>
            <w:tcW w:w="3213" w:type="dxa"/>
            <w:tcBorders>
              <w:top w:val="single" w:sz="2" w:space="0" w:color="auto"/>
              <w:left w:val="single" w:sz="2" w:space="0" w:color="auto"/>
              <w:bottom w:val="single" w:sz="2" w:space="0" w:color="auto"/>
              <w:right w:val="single" w:sz="2" w:space="0" w:color="auto"/>
            </w:tcBorders>
            <w:vAlign w:val="center"/>
          </w:tcPr>
          <w:p w14:paraId="5564E843" w14:textId="77777777" w:rsidR="007B3DB2" w:rsidRPr="0063248C" w:rsidRDefault="00000000">
            <w:pPr>
              <w:spacing w:line="240" w:lineRule="exact"/>
              <w:jc w:val="right"/>
              <w:rPr>
                <w:rFonts w:cs="宋体"/>
                <w:sz w:val="18"/>
                <w:szCs w:val="18"/>
              </w:rPr>
            </w:pPr>
            <w:r w:rsidRPr="0063248C">
              <w:rPr>
                <w:rFonts w:cs="宋体"/>
                <w:sz w:val="18"/>
                <w:szCs w:val="18"/>
              </w:rPr>
              <w:t>34,374,172.92</w:t>
            </w:r>
          </w:p>
        </w:tc>
      </w:tr>
      <w:tr w:rsidR="007B3DB2" w:rsidRPr="0063248C" w14:paraId="3CC0487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D7C3E55" w14:textId="77777777" w:rsidR="007B3DB2" w:rsidRPr="0063248C" w:rsidRDefault="00000000">
            <w:pPr>
              <w:spacing w:line="240" w:lineRule="exact"/>
              <w:rPr>
                <w:rFonts w:cs="宋体"/>
                <w:sz w:val="18"/>
                <w:szCs w:val="18"/>
              </w:rPr>
            </w:pPr>
            <w:r w:rsidRPr="0063248C">
              <w:rPr>
                <w:rFonts w:cs="宋体"/>
                <w:sz w:val="18"/>
                <w:szCs w:val="18"/>
              </w:rPr>
              <w:t>减：一年内到期的租赁负债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2270500C" w14:textId="77777777" w:rsidR="007B3DB2" w:rsidRPr="0063248C" w:rsidRDefault="00000000">
            <w:pPr>
              <w:spacing w:line="240" w:lineRule="exact"/>
              <w:jc w:val="right"/>
              <w:rPr>
                <w:rFonts w:cs="宋体"/>
                <w:sz w:val="18"/>
                <w:szCs w:val="18"/>
              </w:rPr>
            </w:pPr>
            <w:r w:rsidRPr="0063248C">
              <w:rPr>
                <w:rFonts w:cs="宋体"/>
                <w:sz w:val="18"/>
                <w:szCs w:val="18"/>
              </w:rPr>
              <w:t>-4,303,144.71</w:t>
            </w:r>
          </w:p>
        </w:tc>
        <w:tc>
          <w:tcPr>
            <w:tcW w:w="3213" w:type="dxa"/>
            <w:tcBorders>
              <w:top w:val="single" w:sz="2" w:space="0" w:color="auto"/>
              <w:left w:val="single" w:sz="2" w:space="0" w:color="auto"/>
              <w:bottom w:val="single" w:sz="2" w:space="0" w:color="auto"/>
              <w:right w:val="single" w:sz="2" w:space="0" w:color="auto"/>
            </w:tcBorders>
            <w:vAlign w:val="center"/>
          </w:tcPr>
          <w:p w14:paraId="49BB97ED" w14:textId="77777777" w:rsidR="007B3DB2" w:rsidRPr="0063248C" w:rsidRDefault="00000000">
            <w:pPr>
              <w:spacing w:line="240" w:lineRule="exact"/>
              <w:jc w:val="right"/>
              <w:rPr>
                <w:rFonts w:cs="宋体"/>
                <w:sz w:val="18"/>
                <w:szCs w:val="18"/>
              </w:rPr>
            </w:pPr>
            <w:r w:rsidRPr="0063248C">
              <w:rPr>
                <w:rFonts w:cs="宋体"/>
                <w:sz w:val="18"/>
                <w:szCs w:val="18"/>
              </w:rPr>
              <w:t>-6,273,586.22</w:t>
            </w:r>
          </w:p>
        </w:tc>
      </w:tr>
      <w:tr w:rsidR="007B3DB2" w:rsidRPr="0063248C" w14:paraId="023980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A82617"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8CA10AE" w14:textId="77777777" w:rsidR="007B3DB2" w:rsidRPr="0063248C" w:rsidRDefault="00000000">
            <w:pPr>
              <w:spacing w:line="240" w:lineRule="exact"/>
              <w:jc w:val="right"/>
              <w:rPr>
                <w:rFonts w:cs="宋体"/>
                <w:sz w:val="18"/>
                <w:szCs w:val="18"/>
              </w:rPr>
            </w:pPr>
            <w:r w:rsidRPr="0063248C">
              <w:rPr>
                <w:rFonts w:cs="宋体"/>
                <w:sz w:val="18"/>
                <w:szCs w:val="18"/>
              </w:rPr>
              <w:t>42,901,415.61</w:t>
            </w:r>
          </w:p>
        </w:tc>
        <w:tc>
          <w:tcPr>
            <w:tcW w:w="3213" w:type="dxa"/>
            <w:tcBorders>
              <w:top w:val="single" w:sz="2" w:space="0" w:color="auto"/>
              <w:left w:val="single" w:sz="2" w:space="0" w:color="auto"/>
              <w:bottom w:val="single" w:sz="2" w:space="0" w:color="auto"/>
              <w:right w:val="single" w:sz="2" w:space="0" w:color="auto"/>
            </w:tcBorders>
            <w:vAlign w:val="center"/>
          </w:tcPr>
          <w:p w14:paraId="0AEEB244" w14:textId="77777777" w:rsidR="007B3DB2" w:rsidRPr="0063248C" w:rsidRDefault="00000000">
            <w:pPr>
              <w:spacing w:line="240" w:lineRule="exact"/>
              <w:jc w:val="right"/>
              <w:rPr>
                <w:rFonts w:cs="宋体"/>
                <w:sz w:val="18"/>
                <w:szCs w:val="18"/>
              </w:rPr>
            </w:pPr>
            <w:r w:rsidRPr="0063248C">
              <w:rPr>
                <w:rFonts w:cs="宋体"/>
                <w:sz w:val="18"/>
                <w:szCs w:val="18"/>
              </w:rPr>
              <w:t>45,196,076.45</w:t>
            </w:r>
          </w:p>
        </w:tc>
      </w:tr>
    </w:tbl>
    <w:p w14:paraId="72F104D3"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2352F7A9" w14:textId="77777777" w:rsidR="00517D34" w:rsidRPr="0063248C" w:rsidRDefault="00000000">
      <w:pPr>
        <w:pStyle w:val="a3"/>
        <w:divId w:val="900016940"/>
        <w:rPr>
          <w:rFonts w:ascii="Times New Roman" w:hAnsi="Times New Roman"/>
          <w:sz w:val="18"/>
          <w:szCs w:val="18"/>
        </w:rPr>
      </w:pPr>
      <w:r w:rsidRPr="0063248C">
        <w:rPr>
          <w:rFonts w:ascii="Times New Roman" w:hAnsi="Times New Roman" w:hint="eastAsia"/>
          <w:sz w:val="18"/>
          <w:szCs w:val="18"/>
        </w:rPr>
        <w:t>无</w:t>
      </w:r>
    </w:p>
    <w:p w14:paraId="40F3D341" w14:textId="77777777" w:rsidR="007B3DB2" w:rsidRPr="0063248C" w:rsidRDefault="00000000">
      <w:pPr>
        <w:pStyle w:val="3"/>
        <w:spacing w:line="280" w:lineRule="exact"/>
        <w:jc w:val="left"/>
        <w:rPr>
          <w:rFonts w:cs="宋体"/>
          <w:b/>
          <w:bCs/>
        </w:rPr>
      </w:pPr>
      <w:bookmarkStart w:id="344" w:name="_Toc989233"/>
      <w:r w:rsidRPr="0063248C">
        <w:rPr>
          <w:rFonts w:cs="宋体"/>
          <w:b/>
          <w:bCs/>
        </w:rPr>
        <w:t>48</w:t>
      </w:r>
      <w:r w:rsidRPr="0063248C">
        <w:rPr>
          <w:rFonts w:cs="宋体"/>
          <w:b/>
          <w:bCs/>
        </w:rPr>
        <w:t>、长期应付款</w:t>
      </w:r>
      <w:bookmarkEnd w:id="344"/>
    </w:p>
    <w:p w14:paraId="64FC3BAE"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02A4D6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8A5E9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5BEBFF"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797C5D"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05B8D1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CF4ADC" w14:textId="77777777" w:rsidR="007B3DB2" w:rsidRPr="0063248C" w:rsidRDefault="00000000">
            <w:pPr>
              <w:spacing w:before="40" w:after="40" w:line="240" w:lineRule="exact"/>
              <w:rPr>
                <w:rFonts w:cs="宋体"/>
                <w:sz w:val="18"/>
                <w:szCs w:val="18"/>
              </w:rPr>
            </w:pPr>
            <w:r w:rsidRPr="0063248C">
              <w:rPr>
                <w:rFonts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13779BDD" w14:textId="77777777" w:rsidR="007B3DB2" w:rsidRPr="0063248C" w:rsidRDefault="00000000">
            <w:pPr>
              <w:spacing w:line="240" w:lineRule="exact"/>
              <w:jc w:val="right"/>
              <w:rPr>
                <w:rFonts w:cs="宋体"/>
                <w:sz w:val="18"/>
                <w:szCs w:val="18"/>
              </w:rPr>
            </w:pPr>
            <w:r w:rsidRPr="0063248C">
              <w:rPr>
                <w:rFonts w:cs="宋体"/>
                <w:sz w:val="18"/>
                <w:szCs w:val="18"/>
              </w:rPr>
              <w:t>41,472,480.32</w:t>
            </w:r>
          </w:p>
        </w:tc>
        <w:tc>
          <w:tcPr>
            <w:tcW w:w="3213" w:type="dxa"/>
            <w:tcBorders>
              <w:top w:val="single" w:sz="2" w:space="0" w:color="auto"/>
              <w:left w:val="single" w:sz="2" w:space="0" w:color="auto"/>
              <w:bottom w:val="single" w:sz="2" w:space="0" w:color="auto"/>
              <w:right w:val="single" w:sz="2" w:space="0" w:color="auto"/>
            </w:tcBorders>
            <w:vAlign w:val="center"/>
          </w:tcPr>
          <w:p w14:paraId="6EA331C2" w14:textId="77777777" w:rsidR="007B3DB2" w:rsidRPr="0063248C" w:rsidRDefault="00000000">
            <w:pPr>
              <w:spacing w:line="240" w:lineRule="exact"/>
              <w:jc w:val="right"/>
              <w:rPr>
                <w:rFonts w:cs="宋体"/>
                <w:sz w:val="18"/>
                <w:szCs w:val="18"/>
              </w:rPr>
            </w:pPr>
            <w:r w:rsidRPr="0063248C">
              <w:rPr>
                <w:rFonts w:cs="宋体"/>
                <w:sz w:val="18"/>
                <w:szCs w:val="18"/>
              </w:rPr>
              <w:t>5,370,867.01</w:t>
            </w:r>
          </w:p>
        </w:tc>
      </w:tr>
      <w:tr w:rsidR="007B3DB2" w:rsidRPr="0063248C" w14:paraId="0A154B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3DB0F2"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FBA0895" w14:textId="77777777" w:rsidR="007B3DB2" w:rsidRPr="0063248C" w:rsidRDefault="00000000">
            <w:pPr>
              <w:spacing w:line="240" w:lineRule="exact"/>
              <w:jc w:val="right"/>
              <w:rPr>
                <w:rFonts w:cs="宋体"/>
                <w:sz w:val="18"/>
                <w:szCs w:val="18"/>
              </w:rPr>
            </w:pPr>
            <w:r w:rsidRPr="0063248C">
              <w:rPr>
                <w:rFonts w:cs="宋体"/>
                <w:sz w:val="18"/>
                <w:szCs w:val="18"/>
              </w:rPr>
              <w:t>41,472,480.32</w:t>
            </w:r>
          </w:p>
        </w:tc>
        <w:tc>
          <w:tcPr>
            <w:tcW w:w="3213" w:type="dxa"/>
            <w:tcBorders>
              <w:top w:val="single" w:sz="2" w:space="0" w:color="auto"/>
              <w:left w:val="single" w:sz="2" w:space="0" w:color="auto"/>
              <w:bottom w:val="single" w:sz="2" w:space="0" w:color="auto"/>
              <w:right w:val="single" w:sz="2" w:space="0" w:color="auto"/>
            </w:tcBorders>
            <w:vAlign w:val="center"/>
          </w:tcPr>
          <w:p w14:paraId="5EE81FB5" w14:textId="77777777" w:rsidR="007B3DB2" w:rsidRPr="0063248C" w:rsidRDefault="00000000">
            <w:pPr>
              <w:spacing w:line="240" w:lineRule="exact"/>
              <w:jc w:val="right"/>
              <w:rPr>
                <w:rFonts w:cs="宋体"/>
                <w:sz w:val="18"/>
                <w:szCs w:val="18"/>
              </w:rPr>
            </w:pPr>
            <w:r w:rsidRPr="0063248C">
              <w:rPr>
                <w:rFonts w:cs="宋体"/>
                <w:sz w:val="18"/>
                <w:szCs w:val="18"/>
              </w:rPr>
              <w:t>5,370,867.01</w:t>
            </w:r>
          </w:p>
        </w:tc>
      </w:tr>
    </w:tbl>
    <w:p w14:paraId="6E0FAA60" w14:textId="77777777" w:rsidR="007B3DB2" w:rsidRPr="0063248C" w:rsidRDefault="00000000">
      <w:pPr>
        <w:keepNext/>
        <w:keepLines/>
        <w:spacing w:before="300" w:after="300" w:line="280" w:lineRule="exact"/>
        <w:outlineLvl w:val="3"/>
        <w:rPr>
          <w:rFonts w:cs="宋体"/>
          <w:b/>
          <w:bCs/>
          <w:sz w:val="18"/>
          <w:szCs w:val="18"/>
        </w:rPr>
      </w:pPr>
      <w:bookmarkStart w:id="345" w:name="_Toc989234"/>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按款项性质列示长期应付款</w:t>
      </w:r>
      <w:bookmarkEnd w:id="345"/>
    </w:p>
    <w:p w14:paraId="6A0823CD"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1A4FF3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52644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DE252D"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45155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445B0D4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83035DA" w14:textId="77777777" w:rsidR="007B3DB2" w:rsidRPr="0063248C" w:rsidRDefault="00000000">
            <w:pPr>
              <w:spacing w:line="240" w:lineRule="exact"/>
              <w:rPr>
                <w:rFonts w:cs="宋体"/>
                <w:sz w:val="18"/>
                <w:szCs w:val="18"/>
              </w:rPr>
            </w:pPr>
            <w:r w:rsidRPr="0063248C">
              <w:rPr>
                <w:rFonts w:cs="宋体"/>
                <w:sz w:val="18"/>
                <w:szCs w:val="18"/>
              </w:rPr>
              <w:t>应付融资租赁款</w:t>
            </w:r>
          </w:p>
        </w:tc>
        <w:tc>
          <w:tcPr>
            <w:tcW w:w="3213" w:type="dxa"/>
            <w:tcBorders>
              <w:top w:val="single" w:sz="2" w:space="0" w:color="auto"/>
              <w:left w:val="single" w:sz="2" w:space="0" w:color="auto"/>
              <w:bottom w:val="single" w:sz="2" w:space="0" w:color="auto"/>
              <w:right w:val="single" w:sz="2" w:space="0" w:color="auto"/>
            </w:tcBorders>
            <w:vAlign w:val="center"/>
          </w:tcPr>
          <w:p w14:paraId="3C8EAA63" w14:textId="77777777" w:rsidR="007B3DB2" w:rsidRPr="0063248C" w:rsidRDefault="00000000">
            <w:pPr>
              <w:spacing w:line="240" w:lineRule="exact"/>
              <w:jc w:val="right"/>
              <w:rPr>
                <w:rFonts w:cs="宋体"/>
                <w:sz w:val="18"/>
                <w:szCs w:val="18"/>
              </w:rPr>
            </w:pPr>
            <w:r w:rsidRPr="0063248C">
              <w:rPr>
                <w:rFonts w:cs="宋体"/>
                <w:sz w:val="18"/>
                <w:szCs w:val="18"/>
              </w:rPr>
              <w:t>75,974,794.05</w:t>
            </w:r>
          </w:p>
        </w:tc>
        <w:tc>
          <w:tcPr>
            <w:tcW w:w="3213" w:type="dxa"/>
            <w:tcBorders>
              <w:top w:val="single" w:sz="2" w:space="0" w:color="auto"/>
              <w:left w:val="single" w:sz="2" w:space="0" w:color="auto"/>
              <w:bottom w:val="single" w:sz="2" w:space="0" w:color="auto"/>
              <w:right w:val="single" w:sz="2" w:space="0" w:color="auto"/>
            </w:tcBorders>
            <w:vAlign w:val="center"/>
          </w:tcPr>
          <w:p w14:paraId="482B68AA" w14:textId="77777777" w:rsidR="007B3DB2" w:rsidRPr="0063248C" w:rsidRDefault="00000000">
            <w:pPr>
              <w:spacing w:line="240" w:lineRule="exact"/>
              <w:jc w:val="right"/>
              <w:rPr>
                <w:rFonts w:cs="宋体"/>
                <w:sz w:val="18"/>
                <w:szCs w:val="18"/>
              </w:rPr>
            </w:pPr>
            <w:r w:rsidRPr="0063248C">
              <w:rPr>
                <w:rFonts w:cs="宋体"/>
                <w:sz w:val="18"/>
                <w:szCs w:val="18"/>
              </w:rPr>
              <w:t>38,031,633.12</w:t>
            </w:r>
          </w:p>
        </w:tc>
      </w:tr>
      <w:tr w:rsidR="007B3DB2" w:rsidRPr="0063248C" w14:paraId="3C7575D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41986F4" w14:textId="77777777" w:rsidR="007B3DB2" w:rsidRPr="0063248C" w:rsidRDefault="00000000">
            <w:pPr>
              <w:spacing w:line="240" w:lineRule="exact"/>
              <w:rPr>
                <w:rFonts w:cs="宋体"/>
                <w:sz w:val="18"/>
                <w:szCs w:val="18"/>
              </w:rPr>
            </w:pPr>
            <w:r w:rsidRPr="0063248C">
              <w:rPr>
                <w:rFonts w:cs="宋体"/>
                <w:sz w:val="18"/>
                <w:szCs w:val="18"/>
              </w:rPr>
              <w:t>减：一年内到期部分</w:t>
            </w:r>
          </w:p>
        </w:tc>
        <w:tc>
          <w:tcPr>
            <w:tcW w:w="3213" w:type="dxa"/>
            <w:tcBorders>
              <w:top w:val="single" w:sz="2" w:space="0" w:color="auto"/>
              <w:left w:val="single" w:sz="2" w:space="0" w:color="auto"/>
              <w:bottom w:val="single" w:sz="2" w:space="0" w:color="auto"/>
              <w:right w:val="single" w:sz="2" w:space="0" w:color="auto"/>
            </w:tcBorders>
            <w:vAlign w:val="center"/>
          </w:tcPr>
          <w:p w14:paraId="125B2BE4" w14:textId="62268295" w:rsidR="007B3DB2" w:rsidRPr="0063248C" w:rsidRDefault="00000000">
            <w:pPr>
              <w:spacing w:line="240" w:lineRule="exact"/>
              <w:jc w:val="right"/>
              <w:rPr>
                <w:rFonts w:cs="宋体"/>
                <w:sz w:val="18"/>
                <w:szCs w:val="18"/>
              </w:rPr>
            </w:pPr>
            <w:r w:rsidRPr="0063248C">
              <w:rPr>
                <w:rFonts w:cs="宋体"/>
                <w:sz w:val="18"/>
                <w:szCs w:val="18"/>
              </w:rPr>
              <w:t>34,502,313.73</w:t>
            </w:r>
          </w:p>
        </w:tc>
        <w:tc>
          <w:tcPr>
            <w:tcW w:w="3213" w:type="dxa"/>
            <w:tcBorders>
              <w:top w:val="single" w:sz="2" w:space="0" w:color="auto"/>
              <w:left w:val="single" w:sz="2" w:space="0" w:color="auto"/>
              <w:bottom w:val="single" w:sz="2" w:space="0" w:color="auto"/>
              <w:right w:val="single" w:sz="2" w:space="0" w:color="auto"/>
            </w:tcBorders>
            <w:vAlign w:val="center"/>
          </w:tcPr>
          <w:p w14:paraId="4EAF7702" w14:textId="77777777" w:rsidR="007B3DB2" w:rsidRPr="0063248C" w:rsidRDefault="00000000">
            <w:pPr>
              <w:spacing w:line="240" w:lineRule="exact"/>
              <w:jc w:val="right"/>
              <w:rPr>
                <w:rFonts w:cs="宋体"/>
                <w:sz w:val="18"/>
                <w:szCs w:val="18"/>
              </w:rPr>
            </w:pPr>
            <w:r w:rsidRPr="0063248C">
              <w:rPr>
                <w:rFonts w:cs="宋体"/>
                <w:sz w:val="18"/>
                <w:szCs w:val="18"/>
              </w:rPr>
              <w:t>32,660,766.11</w:t>
            </w:r>
          </w:p>
        </w:tc>
      </w:tr>
      <w:tr w:rsidR="007B3DB2" w:rsidRPr="0063248C" w14:paraId="4D4E558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137C64E" w14:textId="77777777" w:rsidR="007B3DB2" w:rsidRPr="0063248C" w:rsidRDefault="00000000">
            <w:pPr>
              <w:spacing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3BF4D17" w14:textId="77777777" w:rsidR="007B3DB2" w:rsidRPr="0063248C" w:rsidRDefault="00000000">
            <w:pPr>
              <w:spacing w:line="240" w:lineRule="exact"/>
              <w:jc w:val="right"/>
              <w:rPr>
                <w:rFonts w:cs="宋体"/>
                <w:sz w:val="18"/>
                <w:szCs w:val="18"/>
              </w:rPr>
            </w:pPr>
            <w:r w:rsidRPr="0063248C">
              <w:rPr>
                <w:rFonts w:cs="宋体"/>
                <w:sz w:val="18"/>
                <w:szCs w:val="18"/>
              </w:rPr>
              <w:t>41,472,480.32</w:t>
            </w:r>
          </w:p>
        </w:tc>
        <w:tc>
          <w:tcPr>
            <w:tcW w:w="3213" w:type="dxa"/>
            <w:tcBorders>
              <w:top w:val="single" w:sz="2" w:space="0" w:color="auto"/>
              <w:left w:val="single" w:sz="2" w:space="0" w:color="auto"/>
              <w:bottom w:val="single" w:sz="2" w:space="0" w:color="auto"/>
              <w:right w:val="single" w:sz="2" w:space="0" w:color="auto"/>
            </w:tcBorders>
            <w:vAlign w:val="center"/>
          </w:tcPr>
          <w:p w14:paraId="6CFD5261" w14:textId="77777777" w:rsidR="007B3DB2" w:rsidRPr="0063248C" w:rsidRDefault="00000000">
            <w:pPr>
              <w:spacing w:line="240" w:lineRule="exact"/>
              <w:jc w:val="right"/>
              <w:rPr>
                <w:rFonts w:cs="宋体"/>
                <w:sz w:val="18"/>
                <w:szCs w:val="18"/>
              </w:rPr>
            </w:pPr>
            <w:r w:rsidRPr="0063248C">
              <w:rPr>
                <w:rFonts w:cs="宋体"/>
                <w:sz w:val="18"/>
                <w:szCs w:val="18"/>
              </w:rPr>
              <w:t>5,370,867.01</w:t>
            </w:r>
          </w:p>
        </w:tc>
      </w:tr>
    </w:tbl>
    <w:p w14:paraId="5134642D"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61F3F267" w14:textId="77777777" w:rsidR="00517D34" w:rsidRPr="0063248C" w:rsidRDefault="00000000">
      <w:pPr>
        <w:pStyle w:val="a3"/>
        <w:divId w:val="1227759170"/>
        <w:rPr>
          <w:rFonts w:ascii="Times New Roman" w:hAnsi="Times New Roman"/>
          <w:sz w:val="18"/>
          <w:szCs w:val="18"/>
        </w:rPr>
      </w:pPr>
      <w:r w:rsidRPr="0063248C">
        <w:rPr>
          <w:rFonts w:ascii="Times New Roman" w:hAnsi="Times New Roman" w:hint="eastAsia"/>
          <w:sz w:val="18"/>
          <w:szCs w:val="18"/>
        </w:rPr>
        <w:t>无</w:t>
      </w:r>
    </w:p>
    <w:p w14:paraId="66A75460" w14:textId="77777777" w:rsidR="007B3DB2" w:rsidRPr="0063248C" w:rsidRDefault="00000000">
      <w:pPr>
        <w:keepNext/>
        <w:keepLines/>
        <w:spacing w:before="300" w:after="300" w:line="280" w:lineRule="exact"/>
        <w:outlineLvl w:val="3"/>
        <w:rPr>
          <w:rFonts w:cs="宋体"/>
          <w:b/>
          <w:bCs/>
          <w:sz w:val="18"/>
          <w:szCs w:val="18"/>
        </w:rPr>
      </w:pPr>
      <w:bookmarkStart w:id="346" w:name="_Toc989235"/>
      <w:r w:rsidRPr="0063248C">
        <w:rPr>
          <w:rFonts w:cs="宋体"/>
          <w:b/>
          <w:bCs/>
          <w:sz w:val="18"/>
          <w:szCs w:val="18"/>
        </w:rPr>
        <w:lastRenderedPageBreak/>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专项应付款</w:t>
      </w:r>
      <w:bookmarkEnd w:id="346"/>
    </w:p>
    <w:p w14:paraId="6ED75B13" w14:textId="77777777" w:rsidR="00517D34" w:rsidRPr="0063248C" w:rsidRDefault="00000000">
      <w:pPr>
        <w:pStyle w:val="a3"/>
        <w:divId w:val="1644845107"/>
        <w:rPr>
          <w:rFonts w:ascii="Times New Roman" w:hAnsi="Times New Roman"/>
          <w:sz w:val="18"/>
          <w:szCs w:val="18"/>
        </w:rPr>
      </w:pPr>
      <w:r w:rsidRPr="0063248C">
        <w:rPr>
          <w:rFonts w:ascii="Times New Roman" w:hAnsi="Times New Roman" w:hint="eastAsia"/>
          <w:sz w:val="18"/>
          <w:szCs w:val="18"/>
        </w:rPr>
        <w:t>无</w:t>
      </w:r>
    </w:p>
    <w:p w14:paraId="56CDE4CF" w14:textId="77777777" w:rsidR="007B3DB2" w:rsidRPr="0063248C" w:rsidRDefault="00000000">
      <w:pPr>
        <w:pStyle w:val="3"/>
        <w:spacing w:line="280" w:lineRule="exact"/>
        <w:jc w:val="left"/>
        <w:rPr>
          <w:rFonts w:cs="宋体"/>
          <w:b/>
          <w:bCs/>
        </w:rPr>
      </w:pPr>
      <w:bookmarkStart w:id="347" w:name="_Toc989236"/>
      <w:r w:rsidRPr="0063248C">
        <w:rPr>
          <w:rFonts w:cs="宋体"/>
          <w:b/>
          <w:bCs/>
        </w:rPr>
        <w:t>49</w:t>
      </w:r>
      <w:r w:rsidRPr="0063248C">
        <w:rPr>
          <w:rFonts w:cs="宋体"/>
          <w:b/>
          <w:bCs/>
        </w:rPr>
        <w:t>、长期应付职工薪</w:t>
      </w:r>
      <w:proofErr w:type="gramStart"/>
      <w:r w:rsidRPr="0063248C">
        <w:rPr>
          <w:rFonts w:cs="宋体"/>
          <w:b/>
          <w:bCs/>
        </w:rPr>
        <w:t>酬</w:t>
      </w:r>
      <w:bookmarkEnd w:id="347"/>
      <w:proofErr w:type="gramEnd"/>
    </w:p>
    <w:p w14:paraId="33CFAB3F" w14:textId="77777777" w:rsidR="007B3DB2" w:rsidRPr="0063248C" w:rsidRDefault="00000000">
      <w:pPr>
        <w:keepNext/>
        <w:keepLines/>
        <w:spacing w:before="300" w:after="300" w:line="280" w:lineRule="exact"/>
        <w:outlineLvl w:val="3"/>
        <w:rPr>
          <w:rFonts w:cs="宋体"/>
          <w:b/>
          <w:bCs/>
          <w:sz w:val="18"/>
          <w:szCs w:val="18"/>
        </w:rPr>
      </w:pPr>
      <w:bookmarkStart w:id="348" w:name="_Toc989237"/>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长期应付职工薪酬表</w:t>
      </w:r>
      <w:bookmarkEnd w:id="348"/>
    </w:p>
    <w:p w14:paraId="37095EA1" w14:textId="77777777" w:rsidR="006D579E" w:rsidRPr="0063248C" w:rsidRDefault="006D579E" w:rsidP="006D579E">
      <w:pPr>
        <w:spacing w:before="40" w:after="40" w:line="240" w:lineRule="exact"/>
        <w:rPr>
          <w:rFonts w:cs="宋体"/>
          <w:sz w:val="18"/>
          <w:szCs w:val="18"/>
        </w:rPr>
      </w:pPr>
      <w:bookmarkStart w:id="349" w:name="_Toc989238"/>
      <w:r>
        <w:rPr>
          <w:rFonts w:cs="宋体" w:hint="eastAsia"/>
          <w:sz w:val="18"/>
          <w:szCs w:val="18"/>
        </w:rPr>
        <w:t>无</w:t>
      </w:r>
    </w:p>
    <w:p w14:paraId="78579428" w14:textId="77777777" w:rsidR="007B3DB2" w:rsidRPr="0063248C" w:rsidRDefault="00000000">
      <w:pPr>
        <w:keepNext/>
        <w:keepLines/>
        <w:spacing w:before="300" w:after="300" w:line="280" w:lineRule="exact"/>
        <w:outlineLvl w:val="3"/>
        <w:rPr>
          <w:rFonts w:cs="宋体"/>
          <w:b/>
          <w:bCs/>
          <w:sz w:val="18"/>
          <w:szCs w:val="18"/>
        </w:rPr>
      </w:pPr>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设定受益计划变动情况</w:t>
      </w:r>
      <w:bookmarkEnd w:id="349"/>
    </w:p>
    <w:p w14:paraId="22BC7F05" w14:textId="77777777" w:rsidR="00517D34" w:rsidRPr="0063248C" w:rsidRDefault="00000000">
      <w:pPr>
        <w:pStyle w:val="a3"/>
        <w:divId w:val="1226602533"/>
        <w:rPr>
          <w:rFonts w:ascii="Times New Roman" w:hAnsi="Times New Roman"/>
          <w:sz w:val="18"/>
          <w:szCs w:val="18"/>
        </w:rPr>
      </w:pPr>
      <w:r w:rsidRPr="0063248C">
        <w:rPr>
          <w:rFonts w:ascii="Times New Roman" w:hAnsi="Times New Roman" w:hint="eastAsia"/>
          <w:sz w:val="18"/>
          <w:szCs w:val="18"/>
        </w:rPr>
        <w:t>无</w:t>
      </w:r>
    </w:p>
    <w:p w14:paraId="34619745" w14:textId="77777777" w:rsidR="007B3DB2" w:rsidRPr="0063248C" w:rsidRDefault="00000000">
      <w:pPr>
        <w:pStyle w:val="3"/>
        <w:spacing w:line="280" w:lineRule="exact"/>
        <w:jc w:val="left"/>
        <w:rPr>
          <w:rFonts w:cs="宋体"/>
          <w:b/>
          <w:bCs/>
        </w:rPr>
      </w:pPr>
      <w:bookmarkStart w:id="350" w:name="_Toc989239"/>
      <w:r w:rsidRPr="0063248C">
        <w:rPr>
          <w:rFonts w:cs="宋体"/>
          <w:b/>
          <w:bCs/>
        </w:rPr>
        <w:t>50</w:t>
      </w:r>
      <w:r w:rsidRPr="0063248C">
        <w:rPr>
          <w:rFonts w:cs="宋体"/>
          <w:b/>
          <w:bCs/>
        </w:rPr>
        <w:t>、预计负债</w:t>
      </w:r>
      <w:bookmarkEnd w:id="350"/>
    </w:p>
    <w:p w14:paraId="4BD09C5B" w14:textId="77777777" w:rsidR="00517D34" w:rsidRPr="0063248C" w:rsidRDefault="00000000">
      <w:pPr>
        <w:pStyle w:val="a3"/>
        <w:divId w:val="1099719514"/>
        <w:rPr>
          <w:rFonts w:ascii="Times New Roman" w:hAnsi="Times New Roman"/>
          <w:sz w:val="18"/>
          <w:szCs w:val="18"/>
        </w:rPr>
      </w:pPr>
      <w:r w:rsidRPr="0063248C">
        <w:rPr>
          <w:rFonts w:ascii="Times New Roman" w:hAnsi="Times New Roman" w:hint="eastAsia"/>
          <w:sz w:val="18"/>
          <w:szCs w:val="18"/>
        </w:rPr>
        <w:t>无</w:t>
      </w:r>
    </w:p>
    <w:p w14:paraId="1D0B356A" w14:textId="77777777" w:rsidR="007B3DB2" w:rsidRPr="0063248C" w:rsidRDefault="00000000">
      <w:pPr>
        <w:pStyle w:val="3"/>
        <w:spacing w:line="280" w:lineRule="exact"/>
        <w:jc w:val="left"/>
        <w:rPr>
          <w:rFonts w:cs="宋体"/>
          <w:b/>
          <w:bCs/>
        </w:rPr>
      </w:pPr>
      <w:bookmarkStart w:id="351" w:name="_Toc989240"/>
      <w:r w:rsidRPr="0063248C">
        <w:rPr>
          <w:rFonts w:cs="宋体"/>
          <w:b/>
          <w:bCs/>
        </w:rPr>
        <w:t>51</w:t>
      </w:r>
      <w:r w:rsidRPr="0063248C">
        <w:rPr>
          <w:rFonts w:cs="宋体"/>
          <w:b/>
          <w:bCs/>
        </w:rPr>
        <w:t>、递延收益</w:t>
      </w:r>
      <w:bookmarkEnd w:id="351"/>
    </w:p>
    <w:p w14:paraId="520CDBA1"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B3DB2" w:rsidRPr="0063248C" w14:paraId="13217550"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2528B33"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3B309F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691BB18"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FC35F4F"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52C408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DB3506E" w14:textId="77777777" w:rsidR="007B3DB2" w:rsidRPr="0063248C" w:rsidRDefault="00000000">
            <w:pPr>
              <w:spacing w:before="40" w:after="40" w:line="240" w:lineRule="exact"/>
              <w:jc w:val="center"/>
              <w:rPr>
                <w:rFonts w:cs="宋体"/>
                <w:sz w:val="18"/>
                <w:szCs w:val="18"/>
              </w:rPr>
            </w:pPr>
            <w:r w:rsidRPr="0063248C">
              <w:rPr>
                <w:rFonts w:cs="宋体"/>
                <w:sz w:val="18"/>
                <w:szCs w:val="18"/>
              </w:rPr>
              <w:t>形成原因</w:t>
            </w:r>
          </w:p>
        </w:tc>
      </w:tr>
      <w:tr w:rsidR="007B3DB2" w:rsidRPr="0063248C" w14:paraId="1D6E1DC4"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59E4087" w14:textId="77777777" w:rsidR="007B3DB2" w:rsidRPr="0063248C" w:rsidRDefault="00000000">
            <w:pPr>
              <w:spacing w:before="40" w:after="40" w:line="240" w:lineRule="exact"/>
              <w:rPr>
                <w:rFonts w:cs="宋体"/>
                <w:sz w:val="18"/>
                <w:szCs w:val="18"/>
              </w:rPr>
            </w:pPr>
            <w:r w:rsidRPr="0063248C">
              <w:rPr>
                <w:rFonts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14:paraId="231E32F1" w14:textId="77777777" w:rsidR="007B3DB2" w:rsidRPr="0063248C" w:rsidRDefault="00000000">
            <w:pPr>
              <w:spacing w:line="240" w:lineRule="exact"/>
              <w:jc w:val="right"/>
              <w:rPr>
                <w:rFonts w:cs="宋体"/>
                <w:sz w:val="18"/>
                <w:szCs w:val="18"/>
              </w:rPr>
            </w:pPr>
            <w:r w:rsidRPr="0063248C">
              <w:rPr>
                <w:rFonts w:cs="宋体"/>
                <w:sz w:val="18"/>
                <w:szCs w:val="18"/>
              </w:rPr>
              <w:t>39,612,043.24</w:t>
            </w:r>
          </w:p>
        </w:tc>
        <w:tc>
          <w:tcPr>
            <w:tcW w:w="1606" w:type="dxa"/>
            <w:tcBorders>
              <w:top w:val="single" w:sz="2" w:space="0" w:color="auto"/>
              <w:left w:val="single" w:sz="2" w:space="0" w:color="auto"/>
              <w:bottom w:val="single" w:sz="2" w:space="0" w:color="auto"/>
              <w:right w:val="single" w:sz="2" w:space="0" w:color="auto"/>
            </w:tcBorders>
            <w:vAlign w:val="center"/>
          </w:tcPr>
          <w:p w14:paraId="58950E5B" w14:textId="77777777" w:rsidR="007B3DB2" w:rsidRPr="0063248C" w:rsidRDefault="00000000">
            <w:pPr>
              <w:spacing w:line="240" w:lineRule="exact"/>
              <w:jc w:val="right"/>
              <w:rPr>
                <w:rFonts w:cs="宋体"/>
                <w:sz w:val="18"/>
                <w:szCs w:val="18"/>
              </w:rPr>
            </w:pPr>
            <w:r w:rsidRPr="0063248C">
              <w:rPr>
                <w:rFonts w:cs="宋体"/>
                <w:sz w:val="18"/>
                <w:szCs w:val="18"/>
              </w:rPr>
              <w:t>1,000,000.00</w:t>
            </w:r>
          </w:p>
        </w:tc>
        <w:tc>
          <w:tcPr>
            <w:tcW w:w="1606" w:type="dxa"/>
            <w:tcBorders>
              <w:top w:val="single" w:sz="2" w:space="0" w:color="auto"/>
              <w:left w:val="single" w:sz="2" w:space="0" w:color="auto"/>
              <w:bottom w:val="single" w:sz="2" w:space="0" w:color="auto"/>
              <w:right w:val="single" w:sz="2" w:space="0" w:color="auto"/>
            </w:tcBorders>
            <w:vAlign w:val="center"/>
          </w:tcPr>
          <w:p w14:paraId="6954ABD9" w14:textId="77777777" w:rsidR="007B3DB2" w:rsidRPr="0063248C" w:rsidRDefault="00000000">
            <w:pPr>
              <w:spacing w:line="240" w:lineRule="exact"/>
              <w:jc w:val="right"/>
              <w:rPr>
                <w:rFonts w:cs="宋体"/>
                <w:sz w:val="18"/>
                <w:szCs w:val="18"/>
              </w:rPr>
            </w:pPr>
            <w:r w:rsidRPr="0063248C">
              <w:rPr>
                <w:rFonts w:cs="宋体"/>
                <w:sz w:val="18"/>
                <w:szCs w:val="18"/>
              </w:rPr>
              <w:t>1,987,105.54</w:t>
            </w:r>
          </w:p>
        </w:tc>
        <w:tc>
          <w:tcPr>
            <w:tcW w:w="1606" w:type="dxa"/>
            <w:tcBorders>
              <w:top w:val="single" w:sz="2" w:space="0" w:color="auto"/>
              <w:left w:val="single" w:sz="2" w:space="0" w:color="auto"/>
              <w:bottom w:val="single" w:sz="2" w:space="0" w:color="auto"/>
              <w:right w:val="single" w:sz="2" w:space="0" w:color="auto"/>
            </w:tcBorders>
            <w:vAlign w:val="center"/>
          </w:tcPr>
          <w:p w14:paraId="70518829" w14:textId="77777777" w:rsidR="007B3DB2" w:rsidRPr="0063248C" w:rsidRDefault="00000000">
            <w:pPr>
              <w:spacing w:line="240" w:lineRule="exact"/>
              <w:jc w:val="right"/>
              <w:rPr>
                <w:rFonts w:cs="宋体"/>
                <w:sz w:val="18"/>
                <w:szCs w:val="18"/>
              </w:rPr>
            </w:pPr>
            <w:r w:rsidRPr="0063248C">
              <w:rPr>
                <w:rFonts w:cs="宋体"/>
                <w:sz w:val="18"/>
                <w:szCs w:val="18"/>
              </w:rPr>
              <w:t>38,624,937.70</w:t>
            </w:r>
          </w:p>
        </w:tc>
        <w:tc>
          <w:tcPr>
            <w:tcW w:w="1606" w:type="dxa"/>
            <w:tcBorders>
              <w:top w:val="single" w:sz="2" w:space="0" w:color="auto"/>
              <w:left w:val="single" w:sz="2" w:space="0" w:color="auto"/>
              <w:bottom w:val="single" w:sz="2" w:space="0" w:color="auto"/>
              <w:right w:val="single" w:sz="2" w:space="0" w:color="auto"/>
            </w:tcBorders>
            <w:vAlign w:val="center"/>
          </w:tcPr>
          <w:p w14:paraId="02E16F0E" w14:textId="77777777" w:rsidR="007B3DB2" w:rsidRPr="0063248C" w:rsidRDefault="00000000">
            <w:pPr>
              <w:spacing w:line="240" w:lineRule="exact"/>
              <w:rPr>
                <w:rFonts w:cs="宋体"/>
                <w:sz w:val="18"/>
                <w:szCs w:val="18"/>
              </w:rPr>
            </w:pPr>
            <w:r w:rsidRPr="0063248C">
              <w:rPr>
                <w:rFonts w:cs="宋体"/>
                <w:sz w:val="18"/>
                <w:szCs w:val="18"/>
              </w:rPr>
              <w:t>与资产相关</w:t>
            </w:r>
          </w:p>
        </w:tc>
      </w:tr>
      <w:tr w:rsidR="007B3DB2" w:rsidRPr="0063248C" w14:paraId="60E03A57"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478AC18"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446ECE90" w14:textId="77777777" w:rsidR="007B3DB2" w:rsidRPr="0063248C" w:rsidRDefault="00000000">
            <w:pPr>
              <w:spacing w:line="240" w:lineRule="exact"/>
              <w:jc w:val="right"/>
              <w:rPr>
                <w:rFonts w:cs="宋体"/>
                <w:sz w:val="18"/>
                <w:szCs w:val="18"/>
              </w:rPr>
            </w:pPr>
            <w:r w:rsidRPr="0063248C">
              <w:rPr>
                <w:rFonts w:cs="宋体"/>
                <w:sz w:val="18"/>
                <w:szCs w:val="18"/>
              </w:rPr>
              <w:t>39,612,043.24</w:t>
            </w:r>
          </w:p>
        </w:tc>
        <w:tc>
          <w:tcPr>
            <w:tcW w:w="1606" w:type="dxa"/>
            <w:tcBorders>
              <w:top w:val="single" w:sz="2" w:space="0" w:color="auto"/>
              <w:left w:val="single" w:sz="2" w:space="0" w:color="auto"/>
              <w:bottom w:val="single" w:sz="2" w:space="0" w:color="auto"/>
              <w:right w:val="single" w:sz="2" w:space="0" w:color="auto"/>
            </w:tcBorders>
            <w:vAlign w:val="center"/>
          </w:tcPr>
          <w:p w14:paraId="69F74CD7" w14:textId="77777777" w:rsidR="007B3DB2" w:rsidRPr="0063248C" w:rsidRDefault="00000000">
            <w:pPr>
              <w:spacing w:line="240" w:lineRule="exact"/>
              <w:jc w:val="right"/>
              <w:rPr>
                <w:rFonts w:cs="宋体"/>
                <w:sz w:val="18"/>
                <w:szCs w:val="18"/>
              </w:rPr>
            </w:pPr>
            <w:r w:rsidRPr="0063248C">
              <w:rPr>
                <w:rFonts w:cs="宋体"/>
                <w:sz w:val="18"/>
                <w:szCs w:val="18"/>
              </w:rPr>
              <w:t>1,000,000.00</w:t>
            </w:r>
          </w:p>
        </w:tc>
        <w:tc>
          <w:tcPr>
            <w:tcW w:w="1606" w:type="dxa"/>
            <w:tcBorders>
              <w:top w:val="single" w:sz="2" w:space="0" w:color="auto"/>
              <w:left w:val="single" w:sz="2" w:space="0" w:color="auto"/>
              <w:bottom w:val="single" w:sz="2" w:space="0" w:color="auto"/>
              <w:right w:val="single" w:sz="2" w:space="0" w:color="auto"/>
            </w:tcBorders>
            <w:vAlign w:val="center"/>
          </w:tcPr>
          <w:p w14:paraId="4F4BCED6" w14:textId="77777777" w:rsidR="007B3DB2" w:rsidRPr="0063248C" w:rsidRDefault="00000000">
            <w:pPr>
              <w:spacing w:line="240" w:lineRule="exact"/>
              <w:jc w:val="right"/>
              <w:rPr>
                <w:rFonts w:cs="宋体"/>
                <w:sz w:val="18"/>
                <w:szCs w:val="18"/>
              </w:rPr>
            </w:pPr>
            <w:r w:rsidRPr="0063248C">
              <w:rPr>
                <w:rFonts w:cs="宋体"/>
                <w:sz w:val="18"/>
                <w:szCs w:val="18"/>
              </w:rPr>
              <w:t>1,987,105.54</w:t>
            </w:r>
          </w:p>
        </w:tc>
        <w:tc>
          <w:tcPr>
            <w:tcW w:w="1606" w:type="dxa"/>
            <w:tcBorders>
              <w:top w:val="single" w:sz="2" w:space="0" w:color="auto"/>
              <w:left w:val="single" w:sz="2" w:space="0" w:color="auto"/>
              <w:bottom w:val="single" w:sz="2" w:space="0" w:color="auto"/>
              <w:right w:val="single" w:sz="2" w:space="0" w:color="auto"/>
            </w:tcBorders>
            <w:vAlign w:val="center"/>
          </w:tcPr>
          <w:p w14:paraId="2A4AD5D0" w14:textId="77777777" w:rsidR="007B3DB2" w:rsidRPr="0063248C" w:rsidRDefault="00000000">
            <w:pPr>
              <w:spacing w:line="240" w:lineRule="exact"/>
              <w:jc w:val="right"/>
              <w:rPr>
                <w:rFonts w:cs="宋体"/>
                <w:sz w:val="18"/>
                <w:szCs w:val="18"/>
              </w:rPr>
            </w:pPr>
            <w:r w:rsidRPr="0063248C">
              <w:rPr>
                <w:rFonts w:cs="宋体"/>
                <w:sz w:val="18"/>
                <w:szCs w:val="18"/>
              </w:rPr>
              <w:t>38,624,937.70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3F95FE3" w14:textId="77777777" w:rsidR="007B3DB2" w:rsidRPr="0063248C" w:rsidRDefault="007B3DB2"/>
        </w:tc>
      </w:tr>
    </w:tbl>
    <w:p w14:paraId="152B0243"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2E0271F9" w14:textId="77777777" w:rsidR="00517D34" w:rsidRPr="0063248C" w:rsidRDefault="00000000">
      <w:pPr>
        <w:pStyle w:val="a3"/>
        <w:divId w:val="298925251"/>
        <w:rPr>
          <w:rFonts w:ascii="Times New Roman" w:hAnsi="Times New Roman"/>
          <w:sz w:val="18"/>
          <w:szCs w:val="18"/>
        </w:rPr>
      </w:pPr>
      <w:r w:rsidRPr="0063248C">
        <w:rPr>
          <w:rFonts w:ascii="Times New Roman" w:hAnsi="Times New Roman" w:hint="eastAsia"/>
          <w:sz w:val="18"/>
          <w:szCs w:val="18"/>
        </w:rPr>
        <w:t>无</w:t>
      </w:r>
    </w:p>
    <w:p w14:paraId="2EDB28B0" w14:textId="77777777" w:rsidR="007B3DB2" w:rsidRPr="0063248C" w:rsidRDefault="00000000">
      <w:pPr>
        <w:pStyle w:val="3"/>
        <w:spacing w:line="280" w:lineRule="exact"/>
        <w:jc w:val="left"/>
        <w:rPr>
          <w:rFonts w:cs="宋体"/>
          <w:b/>
          <w:bCs/>
        </w:rPr>
      </w:pPr>
      <w:bookmarkStart w:id="352" w:name="_Toc989241"/>
      <w:r w:rsidRPr="0063248C">
        <w:rPr>
          <w:rFonts w:cs="宋体"/>
          <w:b/>
          <w:bCs/>
        </w:rPr>
        <w:t>52</w:t>
      </w:r>
      <w:r w:rsidRPr="0063248C">
        <w:rPr>
          <w:rFonts w:cs="宋体"/>
          <w:b/>
          <w:bCs/>
        </w:rPr>
        <w:t>、其他非流动负债</w:t>
      </w:r>
      <w:bookmarkEnd w:id="352"/>
    </w:p>
    <w:p w14:paraId="7D0B72C8" w14:textId="77777777" w:rsidR="00517D34" w:rsidRPr="0063248C" w:rsidRDefault="00000000">
      <w:pPr>
        <w:pStyle w:val="a3"/>
        <w:divId w:val="239369052"/>
        <w:rPr>
          <w:rFonts w:ascii="Times New Roman" w:hAnsi="Times New Roman"/>
          <w:sz w:val="18"/>
          <w:szCs w:val="18"/>
        </w:rPr>
      </w:pPr>
      <w:r w:rsidRPr="0063248C">
        <w:rPr>
          <w:rFonts w:ascii="Times New Roman" w:hAnsi="Times New Roman" w:hint="eastAsia"/>
          <w:sz w:val="18"/>
          <w:szCs w:val="18"/>
        </w:rPr>
        <w:t>无</w:t>
      </w:r>
    </w:p>
    <w:p w14:paraId="3B3F6063" w14:textId="77777777" w:rsidR="007B3DB2" w:rsidRPr="0063248C" w:rsidRDefault="00000000">
      <w:pPr>
        <w:pStyle w:val="3"/>
        <w:spacing w:line="280" w:lineRule="exact"/>
        <w:jc w:val="left"/>
        <w:rPr>
          <w:rFonts w:cs="宋体"/>
          <w:b/>
          <w:bCs/>
        </w:rPr>
      </w:pPr>
      <w:bookmarkStart w:id="353" w:name="_Toc989242"/>
      <w:r w:rsidRPr="0063248C">
        <w:rPr>
          <w:rFonts w:cs="宋体"/>
          <w:b/>
          <w:bCs/>
        </w:rPr>
        <w:t>53</w:t>
      </w:r>
      <w:r w:rsidRPr="0063248C">
        <w:rPr>
          <w:rFonts w:cs="宋体"/>
          <w:b/>
          <w:bCs/>
        </w:rPr>
        <w:t>、股本</w:t>
      </w:r>
      <w:bookmarkEnd w:id="353"/>
    </w:p>
    <w:p w14:paraId="09618804"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7B3DB2" w:rsidRPr="0063248C" w14:paraId="43089A56" w14:textId="77777777">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DABB0F4" w14:textId="77777777" w:rsidR="007B3DB2" w:rsidRPr="0063248C" w:rsidRDefault="007B3DB2"/>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B086FD"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1537659D"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本次变动增减（</w:t>
            </w:r>
            <w:r w:rsidRPr="0063248C">
              <w:rPr>
                <w:rFonts w:cs="宋体"/>
                <w:sz w:val="18"/>
                <w:szCs w:val="18"/>
              </w:rPr>
              <w:t>+</w:t>
            </w:r>
            <w:r w:rsidRPr="0063248C">
              <w:rPr>
                <w:rFonts w:cs="宋体"/>
                <w:sz w:val="18"/>
                <w:szCs w:val="18"/>
              </w:rPr>
              <w:t>、</w:t>
            </w:r>
            <w:r w:rsidRPr="0063248C">
              <w:rPr>
                <w:rFonts w:cs="宋体"/>
                <w:sz w:val="18"/>
                <w:szCs w:val="18"/>
              </w:rPr>
              <w:t>-</w:t>
            </w:r>
            <w:r w:rsidRPr="0063248C">
              <w:rPr>
                <w:rFonts w:cs="宋体"/>
                <w:sz w:val="18"/>
                <w:szCs w:val="18"/>
              </w:rPr>
              <w:t>）</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41F96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4590B0F3" w14:textId="77777777">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C15B381" w14:textId="77777777" w:rsidR="007B3DB2" w:rsidRPr="0063248C" w:rsidRDefault="007B3DB2"/>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79422AC" w14:textId="77777777" w:rsidR="007B3DB2" w:rsidRPr="0063248C" w:rsidRDefault="007B3DB2"/>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902ECE8" w14:textId="77777777" w:rsidR="007B3DB2" w:rsidRPr="0063248C" w:rsidRDefault="00000000">
            <w:pPr>
              <w:spacing w:before="40" w:after="40" w:line="240" w:lineRule="exact"/>
              <w:jc w:val="center"/>
              <w:rPr>
                <w:rFonts w:cs="宋体"/>
                <w:sz w:val="18"/>
                <w:szCs w:val="18"/>
              </w:rPr>
            </w:pPr>
            <w:r w:rsidRPr="0063248C">
              <w:rPr>
                <w:rFonts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0478AFA" w14:textId="77777777" w:rsidR="007B3DB2" w:rsidRPr="0063248C" w:rsidRDefault="00000000">
            <w:pPr>
              <w:spacing w:before="40" w:after="40" w:line="240" w:lineRule="exact"/>
              <w:jc w:val="center"/>
              <w:rPr>
                <w:rFonts w:cs="宋体"/>
                <w:sz w:val="18"/>
                <w:szCs w:val="18"/>
              </w:rPr>
            </w:pPr>
            <w:r w:rsidRPr="0063248C">
              <w:rPr>
                <w:rFonts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3AB54B0" w14:textId="77777777" w:rsidR="007B3DB2" w:rsidRPr="0063248C" w:rsidRDefault="00000000">
            <w:pPr>
              <w:spacing w:before="40" w:after="40" w:line="240" w:lineRule="exact"/>
              <w:jc w:val="center"/>
              <w:rPr>
                <w:rFonts w:cs="宋体"/>
                <w:sz w:val="18"/>
                <w:szCs w:val="18"/>
              </w:rPr>
            </w:pPr>
            <w:r w:rsidRPr="0063248C">
              <w:rPr>
                <w:rFonts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EDCC2CC"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629F2B0" w14:textId="77777777" w:rsidR="007B3DB2" w:rsidRPr="0063248C" w:rsidRDefault="00000000">
            <w:pPr>
              <w:spacing w:before="40" w:after="40" w:line="240" w:lineRule="exact"/>
              <w:jc w:val="center"/>
              <w:rPr>
                <w:rFonts w:cs="宋体"/>
                <w:sz w:val="18"/>
                <w:szCs w:val="18"/>
              </w:rPr>
            </w:pPr>
            <w:r w:rsidRPr="0063248C">
              <w:rPr>
                <w:rFonts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250170A" w14:textId="77777777" w:rsidR="007B3DB2" w:rsidRPr="0063248C" w:rsidRDefault="007B3DB2"/>
        </w:tc>
      </w:tr>
      <w:tr w:rsidR="007B3DB2" w:rsidRPr="0063248C" w14:paraId="0886C16B"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AE13DB5" w14:textId="77777777" w:rsidR="007B3DB2" w:rsidRPr="0063248C" w:rsidRDefault="00000000">
            <w:pPr>
              <w:spacing w:before="40" w:after="40" w:line="240" w:lineRule="exact"/>
              <w:rPr>
                <w:rFonts w:cs="宋体"/>
                <w:sz w:val="18"/>
                <w:szCs w:val="18"/>
              </w:rPr>
            </w:pPr>
            <w:r w:rsidRPr="0063248C">
              <w:rPr>
                <w:rFonts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14:paraId="0E092405" w14:textId="77777777" w:rsidR="007B3DB2" w:rsidRPr="0063248C" w:rsidRDefault="00000000">
            <w:pPr>
              <w:spacing w:line="240" w:lineRule="exact"/>
              <w:jc w:val="right"/>
              <w:rPr>
                <w:rFonts w:cs="宋体"/>
                <w:sz w:val="18"/>
                <w:szCs w:val="18"/>
              </w:rPr>
            </w:pPr>
            <w:r w:rsidRPr="0063248C">
              <w:rPr>
                <w:rFonts w:cs="宋体"/>
                <w:sz w:val="18"/>
                <w:szCs w:val="18"/>
              </w:rPr>
              <w:t>1,079,159,832.00</w:t>
            </w:r>
          </w:p>
        </w:tc>
        <w:tc>
          <w:tcPr>
            <w:tcW w:w="1205" w:type="dxa"/>
            <w:tcBorders>
              <w:top w:val="single" w:sz="2" w:space="0" w:color="auto"/>
              <w:left w:val="single" w:sz="2" w:space="0" w:color="auto"/>
              <w:bottom w:val="single" w:sz="2" w:space="0" w:color="auto"/>
              <w:right w:val="single" w:sz="2" w:space="0" w:color="auto"/>
            </w:tcBorders>
            <w:vAlign w:val="center"/>
          </w:tcPr>
          <w:p w14:paraId="0FB79070" w14:textId="77777777" w:rsidR="007B3DB2" w:rsidRPr="0063248C" w:rsidRDefault="00000000">
            <w:pPr>
              <w:spacing w:line="240" w:lineRule="exact"/>
              <w:jc w:val="right"/>
              <w:rPr>
                <w:rFonts w:cs="宋体"/>
                <w:sz w:val="18"/>
                <w:szCs w:val="18"/>
              </w:rPr>
            </w:pPr>
            <w:r w:rsidRPr="0063248C">
              <w:rPr>
                <w:rFonts w:cs="宋体"/>
                <w:sz w:val="18"/>
                <w:szCs w:val="18"/>
              </w:rPr>
              <w:t>107.00</w:t>
            </w:r>
          </w:p>
        </w:tc>
        <w:tc>
          <w:tcPr>
            <w:tcW w:w="1205" w:type="dxa"/>
            <w:tcBorders>
              <w:top w:val="single" w:sz="2" w:space="0" w:color="auto"/>
              <w:left w:val="single" w:sz="2" w:space="0" w:color="auto"/>
              <w:bottom w:val="single" w:sz="2" w:space="0" w:color="auto"/>
              <w:right w:val="single" w:sz="2" w:space="0" w:color="auto"/>
            </w:tcBorders>
            <w:vAlign w:val="center"/>
          </w:tcPr>
          <w:p w14:paraId="102CCA25"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1539C6C"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FA4B0CE"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C1F92F3" w14:textId="77777777" w:rsidR="007B3DB2" w:rsidRPr="0063248C" w:rsidRDefault="00000000">
            <w:pPr>
              <w:spacing w:line="240" w:lineRule="exact"/>
              <w:jc w:val="right"/>
              <w:rPr>
                <w:rFonts w:cs="宋体"/>
                <w:sz w:val="18"/>
                <w:szCs w:val="18"/>
              </w:rPr>
            </w:pPr>
            <w:r w:rsidRPr="0063248C">
              <w:rPr>
                <w:rFonts w:cs="宋体"/>
                <w:sz w:val="18"/>
                <w:szCs w:val="18"/>
              </w:rPr>
              <w:t>107.00</w:t>
            </w:r>
          </w:p>
        </w:tc>
        <w:tc>
          <w:tcPr>
            <w:tcW w:w="1205" w:type="dxa"/>
            <w:tcBorders>
              <w:top w:val="single" w:sz="2" w:space="0" w:color="auto"/>
              <w:left w:val="single" w:sz="2" w:space="0" w:color="auto"/>
              <w:bottom w:val="single" w:sz="2" w:space="0" w:color="auto"/>
              <w:right w:val="single" w:sz="2" w:space="0" w:color="auto"/>
            </w:tcBorders>
            <w:vAlign w:val="center"/>
          </w:tcPr>
          <w:p w14:paraId="32552C06" w14:textId="77777777" w:rsidR="007B3DB2" w:rsidRPr="0063248C" w:rsidRDefault="00000000">
            <w:pPr>
              <w:spacing w:line="240" w:lineRule="exact"/>
              <w:jc w:val="right"/>
              <w:rPr>
                <w:rFonts w:cs="宋体"/>
                <w:sz w:val="18"/>
                <w:szCs w:val="18"/>
              </w:rPr>
            </w:pPr>
            <w:r w:rsidRPr="0063248C">
              <w:rPr>
                <w:rFonts w:cs="宋体"/>
                <w:sz w:val="18"/>
                <w:szCs w:val="18"/>
              </w:rPr>
              <w:t>1,079,159,939.00</w:t>
            </w:r>
          </w:p>
        </w:tc>
      </w:tr>
    </w:tbl>
    <w:p w14:paraId="34B6D42E"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64F6A5ED" w14:textId="77777777" w:rsidR="00517D34" w:rsidRPr="0063248C" w:rsidRDefault="00000000">
      <w:pPr>
        <w:pStyle w:val="a3"/>
        <w:spacing w:before="0" w:beforeAutospacing="0" w:after="0" w:afterAutospacing="0" w:line="273" w:lineRule="auto"/>
        <w:ind w:firstLine="482"/>
        <w:jc w:val="both"/>
        <w:divId w:val="343867595"/>
        <w:rPr>
          <w:rFonts w:ascii="Times New Roman" w:hAnsi="Times New Roman"/>
        </w:rPr>
      </w:pPr>
      <w:r w:rsidRPr="0063248C">
        <w:rPr>
          <w:rFonts w:ascii="Times New Roman" w:hAnsi="Times New Roman" w:cs="Times New Roman"/>
          <w:sz w:val="18"/>
          <w:szCs w:val="18"/>
        </w:rPr>
        <w:t>1</w:t>
      </w:r>
      <w:r w:rsidRPr="0063248C">
        <w:rPr>
          <w:rFonts w:ascii="Times New Roman" w:hAnsi="Times New Roman" w:hint="eastAsia"/>
          <w:sz w:val="18"/>
          <w:szCs w:val="18"/>
        </w:rPr>
        <w:t>、公司可转</w:t>
      </w:r>
      <w:proofErr w:type="gramStart"/>
      <w:r w:rsidRPr="0063248C">
        <w:rPr>
          <w:rFonts w:ascii="Times New Roman" w:hAnsi="Times New Roman" w:hint="eastAsia"/>
          <w:sz w:val="18"/>
          <w:szCs w:val="18"/>
        </w:rPr>
        <w:t>债发生债</w:t>
      </w:r>
      <w:proofErr w:type="gramEnd"/>
      <w:r w:rsidRPr="0063248C">
        <w:rPr>
          <w:rFonts w:ascii="Times New Roman" w:hAnsi="Times New Roman" w:hint="eastAsia"/>
          <w:sz w:val="18"/>
          <w:szCs w:val="18"/>
        </w:rPr>
        <w:t>转股，增加股本</w:t>
      </w:r>
      <w:r w:rsidRPr="0063248C">
        <w:rPr>
          <w:rFonts w:ascii="Times New Roman" w:hAnsi="Times New Roman" w:hint="eastAsia"/>
          <w:sz w:val="18"/>
          <w:szCs w:val="18"/>
        </w:rPr>
        <w:t>107.00</w:t>
      </w:r>
      <w:r w:rsidRPr="0063248C">
        <w:rPr>
          <w:rFonts w:ascii="Times New Roman" w:hAnsi="Times New Roman" w:cs="Times New Roman"/>
          <w:sz w:val="18"/>
          <w:szCs w:val="18"/>
        </w:rPr>
        <w:t> </w:t>
      </w:r>
      <w:r w:rsidRPr="0063248C">
        <w:rPr>
          <w:rFonts w:ascii="Times New Roman" w:hAnsi="Times New Roman" w:hint="eastAsia"/>
          <w:sz w:val="18"/>
          <w:szCs w:val="18"/>
        </w:rPr>
        <w:t>元。</w:t>
      </w:r>
    </w:p>
    <w:p w14:paraId="65485E4C" w14:textId="77777777" w:rsidR="007B3DB2" w:rsidRPr="0063248C" w:rsidRDefault="00000000">
      <w:pPr>
        <w:pStyle w:val="3"/>
        <w:spacing w:line="280" w:lineRule="exact"/>
        <w:jc w:val="left"/>
        <w:rPr>
          <w:rFonts w:cs="宋体"/>
          <w:b/>
          <w:bCs/>
        </w:rPr>
      </w:pPr>
      <w:bookmarkStart w:id="354" w:name="_Toc989243"/>
      <w:r w:rsidRPr="0063248C">
        <w:rPr>
          <w:rFonts w:cs="宋体"/>
          <w:b/>
          <w:bCs/>
        </w:rPr>
        <w:lastRenderedPageBreak/>
        <w:t>54</w:t>
      </w:r>
      <w:r w:rsidRPr="0063248C">
        <w:rPr>
          <w:rFonts w:cs="宋体"/>
          <w:b/>
          <w:bCs/>
        </w:rPr>
        <w:t>、其他权益工具</w:t>
      </w:r>
      <w:bookmarkEnd w:id="354"/>
    </w:p>
    <w:p w14:paraId="24566459" w14:textId="77777777" w:rsidR="007B3DB2" w:rsidRPr="0063248C" w:rsidRDefault="00000000">
      <w:pPr>
        <w:keepNext/>
        <w:keepLines/>
        <w:spacing w:before="300" w:after="300" w:line="280" w:lineRule="exact"/>
        <w:outlineLvl w:val="3"/>
        <w:rPr>
          <w:rFonts w:cs="宋体"/>
          <w:b/>
          <w:bCs/>
          <w:sz w:val="18"/>
          <w:szCs w:val="18"/>
        </w:rPr>
      </w:pPr>
      <w:bookmarkStart w:id="355" w:name="_Toc989244"/>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期末发行在外的优先股、永续债等其他金融工具基本情况</w:t>
      </w:r>
      <w:bookmarkEnd w:id="355"/>
    </w:p>
    <w:p w14:paraId="215482E6" w14:textId="77777777" w:rsidR="00517D34" w:rsidRPr="0063248C" w:rsidRDefault="00000000">
      <w:pPr>
        <w:pStyle w:val="a3"/>
        <w:spacing w:before="0" w:beforeAutospacing="0" w:after="0" w:afterAutospacing="0"/>
        <w:ind w:firstLine="360"/>
        <w:jc w:val="both"/>
        <w:divId w:val="34042372"/>
        <w:rPr>
          <w:rFonts w:ascii="Times New Roman" w:hAnsi="Times New Roman"/>
        </w:rPr>
      </w:pPr>
      <w:r w:rsidRPr="0063248C">
        <w:rPr>
          <w:rFonts w:ascii="Times New Roman" w:hAnsi="Times New Roman" w:hint="eastAsia"/>
          <w:sz w:val="18"/>
          <w:szCs w:val="18"/>
        </w:rPr>
        <w:t>见附注五、</w:t>
      </w:r>
      <w:r w:rsidRPr="0063248C">
        <w:rPr>
          <w:rFonts w:ascii="Times New Roman" w:hAnsi="Times New Roman" w:hint="eastAsia"/>
          <w:sz w:val="18"/>
          <w:szCs w:val="18"/>
        </w:rPr>
        <w:t xml:space="preserve"> </w:t>
      </w:r>
      <w:r w:rsidRPr="0063248C">
        <w:rPr>
          <w:rFonts w:ascii="Times New Roman" w:hAnsi="Times New Roman" w:cs="Times New Roman"/>
          <w:sz w:val="18"/>
          <w:szCs w:val="18"/>
        </w:rPr>
        <w:t>36</w:t>
      </w:r>
      <w:r w:rsidRPr="0063248C">
        <w:rPr>
          <w:rFonts w:ascii="Times New Roman" w:hAnsi="Times New Roman" w:hint="eastAsia"/>
          <w:sz w:val="18"/>
          <w:szCs w:val="18"/>
        </w:rPr>
        <w:t>。</w:t>
      </w:r>
    </w:p>
    <w:p w14:paraId="422E7FDB" w14:textId="77777777" w:rsidR="007B3DB2" w:rsidRPr="0063248C" w:rsidRDefault="00000000">
      <w:pPr>
        <w:keepNext/>
        <w:keepLines/>
        <w:spacing w:before="300" w:after="300" w:line="280" w:lineRule="exact"/>
        <w:outlineLvl w:val="3"/>
        <w:rPr>
          <w:rFonts w:cs="宋体"/>
          <w:b/>
          <w:bCs/>
          <w:sz w:val="18"/>
          <w:szCs w:val="18"/>
        </w:rPr>
      </w:pPr>
      <w:bookmarkStart w:id="356" w:name="_Toc989245"/>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期末发行在外的优先股、永续债等金融工具变动情况表</w:t>
      </w:r>
      <w:bookmarkEnd w:id="356"/>
    </w:p>
    <w:p w14:paraId="0CEBC748"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588"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071"/>
        <w:gridCol w:w="1146"/>
        <w:gridCol w:w="1276"/>
        <w:gridCol w:w="709"/>
        <w:gridCol w:w="850"/>
        <w:gridCol w:w="709"/>
        <w:gridCol w:w="851"/>
        <w:gridCol w:w="1559"/>
        <w:gridCol w:w="1417"/>
      </w:tblGrid>
      <w:tr w:rsidR="007B3DB2" w:rsidRPr="0063248C" w14:paraId="5CD7C188" w14:textId="77777777" w:rsidTr="000F65D3">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C48DD03" w14:textId="77777777" w:rsidR="007B3DB2" w:rsidRPr="0063248C" w:rsidRDefault="00000000">
            <w:pPr>
              <w:spacing w:before="40" w:after="40" w:line="240" w:lineRule="exact"/>
              <w:jc w:val="center"/>
              <w:rPr>
                <w:rFonts w:cs="宋体"/>
                <w:sz w:val="18"/>
                <w:szCs w:val="18"/>
              </w:rPr>
            </w:pPr>
            <w:r w:rsidRPr="0063248C">
              <w:rPr>
                <w:rFonts w:cs="宋体"/>
                <w:sz w:val="18"/>
                <w:szCs w:val="18"/>
              </w:rPr>
              <w:t>发行在外的金融工具</w:t>
            </w:r>
          </w:p>
        </w:tc>
        <w:tc>
          <w:tcPr>
            <w:tcW w:w="242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2539D5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w:t>
            </w:r>
          </w:p>
        </w:tc>
        <w:tc>
          <w:tcPr>
            <w:tcW w:w="15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CC83053"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w:t>
            </w:r>
          </w:p>
        </w:tc>
        <w:tc>
          <w:tcPr>
            <w:tcW w:w="15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6F2EDEB"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本期减少</w:t>
            </w:r>
          </w:p>
        </w:tc>
        <w:tc>
          <w:tcPr>
            <w:tcW w:w="297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09E1D52"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w:t>
            </w:r>
          </w:p>
        </w:tc>
      </w:tr>
      <w:tr w:rsidR="000F65D3" w:rsidRPr="0063248C" w14:paraId="7989AC53" w14:textId="77777777" w:rsidTr="000F65D3">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C286A14" w14:textId="77777777" w:rsidR="007B3DB2" w:rsidRPr="0063248C" w:rsidRDefault="007B3DB2"/>
        </w:tc>
        <w:tc>
          <w:tcPr>
            <w:tcW w:w="1146" w:type="dxa"/>
            <w:tcBorders>
              <w:top w:val="single" w:sz="2" w:space="0" w:color="auto"/>
              <w:left w:val="single" w:sz="2" w:space="0" w:color="auto"/>
              <w:bottom w:val="single" w:sz="2" w:space="0" w:color="auto"/>
              <w:right w:val="single" w:sz="2" w:space="0" w:color="auto"/>
            </w:tcBorders>
            <w:shd w:val="clear" w:color="auto" w:fill="D3D3D3"/>
            <w:vAlign w:val="center"/>
          </w:tcPr>
          <w:p w14:paraId="157A5BC8" w14:textId="77777777" w:rsidR="007B3DB2" w:rsidRPr="0063248C" w:rsidRDefault="00000000">
            <w:pPr>
              <w:spacing w:before="40" w:after="40" w:line="240" w:lineRule="exact"/>
              <w:jc w:val="center"/>
              <w:rPr>
                <w:rFonts w:cs="宋体"/>
                <w:sz w:val="18"/>
                <w:szCs w:val="18"/>
              </w:rPr>
            </w:pPr>
            <w:r w:rsidRPr="0063248C">
              <w:rPr>
                <w:rFonts w:cs="宋体"/>
                <w:sz w:val="18"/>
                <w:szCs w:val="18"/>
              </w:rPr>
              <w:t>数量</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121FCB52"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68C7BD16" w14:textId="77777777" w:rsidR="007B3DB2" w:rsidRPr="0063248C" w:rsidRDefault="00000000">
            <w:pPr>
              <w:spacing w:before="40" w:after="40" w:line="240" w:lineRule="exact"/>
              <w:jc w:val="center"/>
              <w:rPr>
                <w:rFonts w:cs="宋体"/>
                <w:sz w:val="18"/>
                <w:szCs w:val="18"/>
              </w:rPr>
            </w:pPr>
            <w:r w:rsidRPr="0063248C">
              <w:rPr>
                <w:rFonts w:cs="宋体"/>
                <w:sz w:val="18"/>
                <w:szCs w:val="18"/>
              </w:rPr>
              <w:t>数量</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1ADECF4"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8681F11" w14:textId="77777777" w:rsidR="007B3DB2" w:rsidRPr="0063248C" w:rsidRDefault="00000000">
            <w:pPr>
              <w:spacing w:before="40" w:after="40" w:line="240" w:lineRule="exact"/>
              <w:jc w:val="center"/>
              <w:rPr>
                <w:rFonts w:cs="宋体"/>
                <w:sz w:val="18"/>
                <w:szCs w:val="18"/>
              </w:rPr>
            </w:pPr>
            <w:r w:rsidRPr="0063248C">
              <w:rPr>
                <w:rFonts w:cs="宋体"/>
                <w:sz w:val="18"/>
                <w:szCs w:val="18"/>
              </w:rPr>
              <w:t>数量</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6D7C7B28"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5B8D9F45" w14:textId="77777777" w:rsidR="007B3DB2" w:rsidRPr="0063248C" w:rsidRDefault="00000000">
            <w:pPr>
              <w:spacing w:before="40" w:after="40" w:line="240" w:lineRule="exact"/>
              <w:jc w:val="center"/>
              <w:rPr>
                <w:rFonts w:cs="宋体"/>
                <w:sz w:val="18"/>
                <w:szCs w:val="18"/>
              </w:rPr>
            </w:pPr>
            <w:r w:rsidRPr="0063248C">
              <w:rPr>
                <w:rFonts w:cs="宋体"/>
                <w:sz w:val="18"/>
                <w:szCs w:val="18"/>
              </w:rPr>
              <w:t>数量</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63241014"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r>
      <w:tr w:rsidR="007B3DB2" w:rsidRPr="0063248C" w14:paraId="77381B61" w14:textId="77777777" w:rsidTr="000F65D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1A4DCEC" w14:textId="77777777" w:rsidR="007B3DB2" w:rsidRPr="0063248C" w:rsidRDefault="00000000">
            <w:pPr>
              <w:spacing w:line="240" w:lineRule="exact"/>
              <w:rPr>
                <w:rFonts w:cs="宋体"/>
                <w:sz w:val="18"/>
                <w:szCs w:val="18"/>
              </w:rPr>
            </w:pPr>
            <w:r w:rsidRPr="0063248C">
              <w:rPr>
                <w:rFonts w:cs="宋体"/>
                <w:sz w:val="18"/>
                <w:szCs w:val="18"/>
              </w:rPr>
              <w:t>可转换公司债</w:t>
            </w:r>
            <w:proofErr w:type="gramStart"/>
            <w:r w:rsidRPr="0063248C">
              <w:rPr>
                <w:rFonts w:cs="宋体"/>
                <w:sz w:val="18"/>
                <w:szCs w:val="18"/>
              </w:rPr>
              <w:t>券</w:t>
            </w:r>
            <w:proofErr w:type="gramEnd"/>
          </w:p>
        </w:tc>
        <w:tc>
          <w:tcPr>
            <w:tcW w:w="1146" w:type="dxa"/>
            <w:tcBorders>
              <w:top w:val="single" w:sz="2" w:space="0" w:color="auto"/>
              <w:left w:val="single" w:sz="2" w:space="0" w:color="auto"/>
              <w:bottom w:val="single" w:sz="2" w:space="0" w:color="auto"/>
              <w:right w:val="single" w:sz="2" w:space="0" w:color="auto"/>
            </w:tcBorders>
            <w:vAlign w:val="center"/>
          </w:tcPr>
          <w:p w14:paraId="1CBC0B73" w14:textId="77777777" w:rsidR="007B3DB2" w:rsidRPr="0063248C" w:rsidRDefault="00000000">
            <w:pPr>
              <w:spacing w:line="240" w:lineRule="exact"/>
              <w:jc w:val="right"/>
              <w:rPr>
                <w:rFonts w:cs="宋体"/>
                <w:sz w:val="18"/>
                <w:szCs w:val="18"/>
              </w:rPr>
            </w:pPr>
            <w:r w:rsidRPr="0063248C">
              <w:rPr>
                <w:rFonts w:cs="宋体"/>
                <w:sz w:val="18"/>
                <w:szCs w:val="18"/>
              </w:rPr>
              <w:t>9,460,567.00</w:t>
            </w:r>
          </w:p>
        </w:tc>
        <w:tc>
          <w:tcPr>
            <w:tcW w:w="1276" w:type="dxa"/>
            <w:tcBorders>
              <w:top w:val="single" w:sz="2" w:space="0" w:color="auto"/>
              <w:left w:val="single" w:sz="2" w:space="0" w:color="auto"/>
              <w:bottom w:val="single" w:sz="2" w:space="0" w:color="auto"/>
              <w:right w:val="single" w:sz="2" w:space="0" w:color="auto"/>
            </w:tcBorders>
            <w:vAlign w:val="center"/>
          </w:tcPr>
          <w:p w14:paraId="750FF9B7" w14:textId="77777777" w:rsidR="007B3DB2" w:rsidRPr="0063248C" w:rsidRDefault="00000000">
            <w:pPr>
              <w:spacing w:line="240" w:lineRule="exact"/>
              <w:jc w:val="right"/>
              <w:rPr>
                <w:rFonts w:cs="宋体"/>
                <w:sz w:val="18"/>
                <w:szCs w:val="18"/>
              </w:rPr>
            </w:pPr>
            <w:r w:rsidRPr="0063248C">
              <w:rPr>
                <w:rFonts w:cs="宋体"/>
                <w:sz w:val="18"/>
                <w:szCs w:val="18"/>
              </w:rPr>
              <w:t>171,570,881.98</w:t>
            </w:r>
          </w:p>
        </w:tc>
        <w:tc>
          <w:tcPr>
            <w:tcW w:w="709" w:type="dxa"/>
            <w:tcBorders>
              <w:top w:val="single" w:sz="2" w:space="0" w:color="auto"/>
              <w:left w:val="single" w:sz="2" w:space="0" w:color="auto"/>
              <w:bottom w:val="single" w:sz="2" w:space="0" w:color="auto"/>
              <w:right w:val="single" w:sz="2" w:space="0" w:color="auto"/>
            </w:tcBorders>
            <w:vAlign w:val="center"/>
          </w:tcPr>
          <w:p w14:paraId="00EBD181"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1D0E441"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5D179C3" w14:textId="77777777" w:rsidR="007B3DB2" w:rsidRPr="0063248C" w:rsidRDefault="00000000">
            <w:pPr>
              <w:spacing w:line="240" w:lineRule="exact"/>
              <w:jc w:val="right"/>
              <w:rPr>
                <w:rFonts w:cs="宋体"/>
                <w:sz w:val="18"/>
                <w:szCs w:val="18"/>
              </w:rPr>
            </w:pPr>
            <w:r w:rsidRPr="0063248C">
              <w:rPr>
                <w:rFonts w:cs="宋体"/>
                <w:sz w:val="18"/>
                <w:szCs w:val="18"/>
              </w:rPr>
              <w:t>10</w:t>
            </w:r>
          </w:p>
        </w:tc>
        <w:tc>
          <w:tcPr>
            <w:tcW w:w="851" w:type="dxa"/>
            <w:tcBorders>
              <w:top w:val="single" w:sz="2" w:space="0" w:color="auto"/>
              <w:left w:val="single" w:sz="2" w:space="0" w:color="auto"/>
              <w:bottom w:val="single" w:sz="2" w:space="0" w:color="auto"/>
              <w:right w:val="single" w:sz="2" w:space="0" w:color="auto"/>
            </w:tcBorders>
            <w:vAlign w:val="center"/>
          </w:tcPr>
          <w:p w14:paraId="003925A8" w14:textId="77777777" w:rsidR="007B3DB2" w:rsidRPr="0063248C" w:rsidRDefault="00000000">
            <w:pPr>
              <w:spacing w:line="240" w:lineRule="exact"/>
              <w:jc w:val="right"/>
              <w:rPr>
                <w:rFonts w:cs="宋体"/>
                <w:sz w:val="18"/>
                <w:szCs w:val="18"/>
              </w:rPr>
            </w:pPr>
            <w:r w:rsidRPr="0063248C">
              <w:rPr>
                <w:rFonts w:cs="宋体"/>
                <w:sz w:val="18"/>
                <w:szCs w:val="18"/>
              </w:rPr>
              <w:t>181.35</w:t>
            </w:r>
          </w:p>
        </w:tc>
        <w:tc>
          <w:tcPr>
            <w:tcW w:w="1559" w:type="dxa"/>
            <w:tcBorders>
              <w:top w:val="single" w:sz="2" w:space="0" w:color="auto"/>
              <w:left w:val="single" w:sz="2" w:space="0" w:color="auto"/>
              <w:bottom w:val="single" w:sz="2" w:space="0" w:color="auto"/>
              <w:right w:val="single" w:sz="2" w:space="0" w:color="auto"/>
            </w:tcBorders>
            <w:vAlign w:val="center"/>
          </w:tcPr>
          <w:p w14:paraId="2B663C3B" w14:textId="77777777" w:rsidR="007B3DB2" w:rsidRPr="0063248C" w:rsidRDefault="00000000">
            <w:pPr>
              <w:spacing w:line="240" w:lineRule="exact"/>
              <w:jc w:val="right"/>
              <w:rPr>
                <w:rFonts w:cs="宋体"/>
                <w:sz w:val="18"/>
                <w:szCs w:val="18"/>
              </w:rPr>
            </w:pPr>
            <w:r w:rsidRPr="0063248C">
              <w:rPr>
                <w:rFonts w:cs="宋体"/>
                <w:sz w:val="18"/>
                <w:szCs w:val="18"/>
              </w:rPr>
              <w:t>9,460,557.00</w:t>
            </w:r>
          </w:p>
        </w:tc>
        <w:tc>
          <w:tcPr>
            <w:tcW w:w="1417" w:type="dxa"/>
            <w:tcBorders>
              <w:top w:val="single" w:sz="2" w:space="0" w:color="auto"/>
              <w:left w:val="single" w:sz="2" w:space="0" w:color="auto"/>
              <w:bottom w:val="single" w:sz="2" w:space="0" w:color="auto"/>
              <w:right w:val="single" w:sz="2" w:space="0" w:color="auto"/>
            </w:tcBorders>
            <w:vAlign w:val="center"/>
          </w:tcPr>
          <w:p w14:paraId="0C215EA2" w14:textId="77777777" w:rsidR="007B3DB2" w:rsidRPr="0063248C" w:rsidRDefault="00000000">
            <w:pPr>
              <w:spacing w:line="240" w:lineRule="exact"/>
              <w:jc w:val="right"/>
              <w:rPr>
                <w:rFonts w:cs="宋体"/>
                <w:sz w:val="18"/>
                <w:szCs w:val="18"/>
              </w:rPr>
            </w:pPr>
            <w:r w:rsidRPr="0063248C">
              <w:rPr>
                <w:rFonts w:cs="宋体"/>
                <w:sz w:val="18"/>
                <w:szCs w:val="18"/>
              </w:rPr>
              <w:t>171,570,700.63</w:t>
            </w:r>
          </w:p>
        </w:tc>
      </w:tr>
      <w:tr w:rsidR="007B3DB2" w:rsidRPr="0063248C" w14:paraId="08882AAB" w14:textId="77777777" w:rsidTr="000F65D3">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E7F50B9"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146" w:type="dxa"/>
            <w:tcBorders>
              <w:top w:val="single" w:sz="2" w:space="0" w:color="auto"/>
              <w:left w:val="single" w:sz="2" w:space="0" w:color="auto"/>
              <w:bottom w:val="single" w:sz="2" w:space="0" w:color="auto"/>
              <w:right w:val="single" w:sz="2" w:space="0" w:color="auto"/>
            </w:tcBorders>
            <w:vAlign w:val="center"/>
          </w:tcPr>
          <w:p w14:paraId="3548A60B" w14:textId="77777777" w:rsidR="007B3DB2" w:rsidRPr="0063248C" w:rsidRDefault="00000000">
            <w:pPr>
              <w:spacing w:line="240" w:lineRule="exact"/>
              <w:jc w:val="right"/>
              <w:rPr>
                <w:rFonts w:cs="宋体"/>
                <w:sz w:val="18"/>
                <w:szCs w:val="18"/>
              </w:rPr>
            </w:pPr>
            <w:r w:rsidRPr="0063248C">
              <w:rPr>
                <w:rFonts w:cs="宋体"/>
                <w:sz w:val="18"/>
                <w:szCs w:val="18"/>
              </w:rPr>
              <w:t>9,460,567.00</w:t>
            </w:r>
          </w:p>
        </w:tc>
        <w:tc>
          <w:tcPr>
            <w:tcW w:w="1276" w:type="dxa"/>
            <w:tcBorders>
              <w:top w:val="single" w:sz="2" w:space="0" w:color="auto"/>
              <w:left w:val="single" w:sz="2" w:space="0" w:color="auto"/>
              <w:bottom w:val="single" w:sz="2" w:space="0" w:color="auto"/>
              <w:right w:val="single" w:sz="2" w:space="0" w:color="auto"/>
            </w:tcBorders>
            <w:vAlign w:val="center"/>
          </w:tcPr>
          <w:p w14:paraId="3F16CFDC" w14:textId="77777777" w:rsidR="007B3DB2" w:rsidRPr="0063248C" w:rsidRDefault="00000000">
            <w:pPr>
              <w:spacing w:line="240" w:lineRule="exact"/>
              <w:jc w:val="right"/>
              <w:rPr>
                <w:rFonts w:cs="宋体"/>
                <w:sz w:val="18"/>
                <w:szCs w:val="18"/>
              </w:rPr>
            </w:pPr>
            <w:r w:rsidRPr="0063248C">
              <w:rPr>
                <w:rFonts w:cs="宋体"/>
                <w:sz w:val="18"/>
                <w:szCs w:val="18"/>
              </w:rPr>
              <w:t>171,570,881.98</w:t>
            </w:r>
          </w:p>
        </w:tc>
        <w:tc>
          <w:tcPr>
            <w:tcW w:w="709" w:type="dxa"/>
            <w:tcBorders>
              <w:top w:val="single" w:sz="2" w:space="0" w:color="auto"/>
              <w:left w:val="single" w:sz="2" w:space="0" w:color="auto"/>
              <w:bottom w:val="single" w:sz="2" w:space="0" w:color="auto"/>
              <w:right w:val="single" w:sz="2" w:space="0" w:color="auto"/>
            </w:tcBorders>
            <w:vAlign w:val="center"/>
          </w:tcPr>
          <w:p w14:paraId="6930F8EC" w14:textId="77777777" w:rsidR="007B3DB2" w:rsidRPr="0063248C" w:rsidRDefault="007B3DB2">
            <w:pPr>
              <w:spacing w:line="240" w:lineRule="exact"/>
              <w:jc w:val="right"/>
              <w:rPr>
                <w:rFonts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6CA52F3"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ADCE641" w14:textId="77777777" w:rsidR="007B3DB2" w:rsidRPr="0063248C" w:rsidRDefault="00000000">
            <w:pPr>
              <w:spacing w:line="240" w:lineRule="exact"/>
              <w:jc w:val="right"/>
              <w:rPr>
                <w:rFonts w:cs="宋体"/>
                <w:sz w:val="18"/>
                <w:szCs w:val="18"/>
              </w:rPr>
            </w:pPr>
            <w:r w:rsidRPr="0063248C">
              <w:rPr>
                <w:rFonts w:cs="宋体"/>
                <w:sz w:val="18"/>
                <w:szCs w:val="18"/>
              </w:rPr>
              <w:t>10</w:t>
            </w:r>
          </w:p>
        </w:tc>
        <w:tc>
          <w:tcPr>
            <w:tcW w:w="851" w:type="dxa"/>
            <w:tcBorders>
              <w:top w:val="single" w:sz="2" w:space="0" w:color="auto"/>
              <w:left w:val="single" w:sz="2" w:space="0" w:color="auto"/>
              <w:bottom w:val="single" w:sz="2" w:space="0" w:color="auto"/>
              <w:right w:val="single" w:sz="2" w:space="0" w:color="auto"/>
            </w:tcBorders>
            <w:vAlign w:val="center"/>
          </w:tcPr>
          <w:p w14:paraId="377A2B5F" w14:textId="77777777" w:rsidR="007B3DB2" w:rsidRPr="0063248C" w:rsidRDefault="00000000">
            <w:pPr>
              <w:spacing w:line="240" w:lineRule="exact"/>
              <w:jc w:val="right"/>
              <w:rPr>
                <w:rFonts w:cs="宋体"/>
                <w:sz w:val="18"/>
                <w:szCs w:val="18"/>
              </w:rPr>
            </w:pPr>
            <w:r w:rsidRPr="0063248C">
              <w:rPr>
                <w:rFonts w:cs="宋体"/>
                <w:sz w:val="18"/>
                <w:szCs w:val="18"/>
              </w:rPr>
              <w:t>181.35</w:t>
            </w:r>
          </w:p>
        </w:tc>
        <w:tc>
          <w:tcPr>
            <w:tcW w:w="1559" w:type="dxa"/>
            <w:tcBorders>
              <w:top w:val="single" w:sz="2" w:space="0" w:color="auto"/>
              <w:left w:val="single" w:sz="2" w:space="0" w:color="auto"/>
              <w:bottom w:val="single" w:sz="2" w:space="0" w:color="auto"/>
              <w:right w:val="single" w:sz="2" w:space="0" w:color="auto"/>
            </w:tcBorders>
            <w:vAlign w:val="center"/>
          </w:tcPr>
          <w:p w14:paraId="64DEBABE" w14:textId="77777777" w:rsidR="007B3DB2" w:rsidRPr="0063248C" w:rsidRDefault="00000000">
            <w:pPr>
              <w:spacing w:line="240" w:lineRule="exact"/>
              <w:jc w:val="right"/>
              <w:rPr>
                <w:rFonts w:cs="宋体"/>
                <w:sz w:val="18"/>
                <w:szCs w:val="18"/>
              </w:rPr>
            </w:pPr>
            <w:r w:rsidRPr="0063248C">
              <w:rPr>
                <w:rFonts w:cs="宋体"/>
                <w:sz w:val="18"/>
                <w:szCs w:val="18"/>
              </w:rPr>
              <w:t>9,460,557.00</w:t>
            </w:r>
          </w:p>
        </w:tc>
        <w:tc>
          <w:tcPr>
            <w:tcW w:w="1417" w:type="dxa"/>
            <w:tcBorders>
              <w:top w:val="single" w:sz="2" w:space="0" w:color="auto"/>
              <w:left w:val="single" w:sz="2" w:space="0" w:color="auto"/>
              <w:bottom w:val="single" w:sz="2" w:space="0" w:color="auto"/>
              <w:right w:val="single" w:sz="2" w:space="0" w:color="auto"/>
            </w:tcBorders>
            <w:vAlign w:val="center"/>
          </w:tcPr>
          <w:p w14:paraId="4FAF060E" w14:textId="77777777" w:rsidR="007B3DB2" w:rsidRPr="0063248C" w:rsidRDefault="00000000">
            <w:pPr>
              <w:spacing w:line="240" w:lineRule="exact"/>
              <w:jc w:val="right"/>
              <w:rPr>
                <w:rFonts w:cs="宋体"/>
                <w:sz w:val="18"/>
                <w:szCs w:val="18"/>
              </w:rPr>
            </w:pPr>
            <w:r w:rsidRPr="0063248C">
              <w:rPr>
                <w:rFonts w:cs="宋体"/>
                <w:sz w:val="18"/>
                <w:szCs w:val="18"/>
              </w:rPr>
              <w:t>171,570,700.63</w:t>
            </w:r>
          </w:p>
        </w:tc>
      </w:tr>
    </w:tbl>
    <w:p w14:paraId="6AD9A4F4" w14:textId="77777777" w:rsidR="007B3DB2" w:rsidRPr="0063248C" w:rsidRDefault="00000000">
      <w:pPr>
        <w:spacing w:before="100" w:after="100" w:line="240" w:lineRule="exact"/>
        <w:rPr>
          <w:rFonts w:cs="宋体"/>
          <w:sz w:val="18"/>
          <w:szCs w:val="18"/>
        </w:rPr>
      </w:pPr>
      <w:r w:rsidRPr="0063248C">
        <w:rPr>
          <w:rFonts w:cs="宋体"/>
          <w:sz w:val="18"/>
          <w:szCs w:val="18"/>
        </w:rPr>
        <w:t>其他权益工具本期增减变动情况、变动原因说明，以及相关会计处理的依据：</w:t>
      </w:r>
    </w:p>
    <w:p w14:paraId="3A9A25BE" w14:textId="77777777" w:rsidR="00517D34" w:rsidRPr="0063248C" w:rsidRDefault="00000000">
      <w:pPr>
        <w:pStyle w:val="a3"/>
        <w:spacing w:before="0" w:beforeAutospacing="0" w:after="0" w:afterAutospacing="0"/>
        <w:ind w:firstLine="360"/>
        <w:jc w:val="both"/>
        <w:divId w:val="794448798"/>
        <w:rPr>
          <w:rFonts w:ascii="Times New Roman" w:hAnsi="Times New Roman"/>
        </w:rPr>
      </w:pPr>
      <w:r w:rsidRPr="0063248C">
        <w:rPr>
          <w:rFonts w:ascii="Times New Roman" w:hAnsi="Times New Roman" w:hint="eastAsia"/>
          <w:sz w:val="18"/>
          <w:szCs w:val="18"/>
        </w:rPr>
        <w:t>其他权益工具增减变动情况见附注七、</w:t>
      </w:r>
      <w:r w:rsidRPr="0063248C">
        <w:rPr>
          <w:rFonts w:ascii="Times New Roman" w:hAnsi="Times New Roman" w:hint="eastAsia"/>
          <w:sz w:val="18"/>
          <w:szCs w:val="18"/>
        </w:rPr>
        <w:t xml:space="preserve"> </w:t>
      </w:r>
      <w:r w:rsidRPr="0063248C">
        <w:rPr>
          <w:rFonts w:ascii="Times New Roman" w:hAnsi="Times New Roman" w:cs="Times New Roman"/>
          <w:sz w:val="18"/>
          <w:szCs w:val="18"/>
        </w:rPr>
        <w:t>46</w:t>
      </w:r>
      <w:r w:rsidRPr="0063248C">
        <w:rPr>
          <w:rFonts w:ascii="Times New Roman" w:hAnsi="Times New Roman" w:hint="eastAsia"/>
          <w:sz w:val="18"/>
          <w:szCs w:val="18"/>
        </w:rPr>
        <w:t>。</w:t>
      </w:r>
    </w:p>
    <w:p w14:paraId="46A6C2AA"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0686C908" w14:textId="77777777" w:rsidR="00517D34" w:rsidRPr="0063248C" w:rsidRDefault="00000000">
      <w:pPr>
        <w:pStyle w:val="a3"/>
        <w:divId w:val="1647314914"/>
        <w:rPr>
          <w:rFonts w:ascii="Times New Roman" w:hAnsi="Times New Roman"/>
          <w:sz w:val="18"/>
          <w:szCs w:val="18"/>
        </w:rPr>
      </w:pPr>
      <w:r w:rsidRPr="0063248C">
        <w:rPr>
          <w:rFonts w:ascii="Times New Roman" w:hAnsi="Times New Roman" w:hint="eastAsia"/>
          <w:sz w:val="18"/>
          <w:szCs w:val="18"/>
        </w:rPr>
        <w:t>无</w:t>
      </w:r>
    </w:p>
    <w:p w14:paraId="7BDAE024" w14:textId="77777777" w:rsidR="007B3DB2" w:rsidRPr="0063248C" w:rsidRDefault="00000000">
      <w:pPr>
        <w:pStyle w:val="3"/>
        <w:spacing w:line="280" w:lineRule="exact"/>
        <w:jc w:val="left"/>
        <w:rPr>
          <w:rFonts w:cs="宋体"/>
          <w:b/>
          <w:bCs/>
        </w:rPr>
      </w:pPr>
      <w:bookmarkStart w:id="357" w:name="_Toc989246"/>
      <w:r w:rsidRPr="0063248C">
        <w:rPr>
          <w:rFonts w:cs="宋体"/>
          <w:b/>
          <w:bCs/>
        </w:rPr>
        <w:t>55</w:t>
      </w:r>
      <w:r w:rsidRPr="0063248C">
        <w:rPr>
          <w:rFonts w:cs="宋体"/>
          <w:b/>
          <w:bCs/>
        </w:rPr>
        <w:t>、资本公积</w:t>
      </w:r>
      <w:bookmarkEnd w:id="357"/>
    </w:p>
    <w:p w14:paraId="16D5B3AD"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679FD1D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F5AAB3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67661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DC4B65B"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E94A2D7"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37ED8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79EBB5D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9432795" w14:textId="77777777" w:rsidR="007B3DB2" w:rsidRPr="0063248C" w:rsidRDefault="00000000">
            <w:pPr>
              <w:spacing w:before="40" w:after="40" w:line="240" w:lineRule="exact"/>
              <w:rPr>
                <w:rFonts w:cs="宋体"/>
                <w:sz w:val="18"/>
                <w:szCs w:val="18"/>
              </w:rPr>
            </w:pPr>
            <w:r w:rsidRPr="0063248C">
              <w:rPr>
                <w:rFonts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14:paraId="20527B96" w14:textId="77777777" w:rsidR="007B3DB2" w:rsidRPr="0063248C" w:rsidRDefault="00000000">
            <w:pPr>
              <w:spacing w:line="240" w:lineRule="exact"/>
              <w:jc w:val="right"/>
              <w:rPr>
                <w:rFonts w:cs="宋体"/>
                <w:sz w:val="18"/>
                <w:szCs w:val="18"/>
              </w:rPr>
            </w:pPr>
            <w:r w:rsidRPr="0063248C">
              <w:rPr>
                <w:rFonts w:cs="宋体"/>
                <w:sz w:val="18"/>
                <w:szCs w:val="18"/>
              </w:rPr>
              <w:t>790,029,997.04</w:t>
            </w:r>
          </w:p>
        </w:tc>
        <w:tc>
          <w:tcPr>
            <w:tcW w:w="1928" w:type="dxa"/>
            <w:tcBorders>
              <w:top w:val="single" w:sz="2" w:space="0" w:color="auto"/>
              <w:left w:val="single" w:sz="2" w:space="0" w:color="auto"/>
              <w:bottom w:val="single" w:sz="2" w:space="0" w:color="auto"/>
              <w:right w:val="single" w:sz="2" w:space="0" w:color="auto"/>
            </w:tcBorders>
            <w:vAlign w:val="center"/>
          </w:tcPr>
          <w:p w14:paraId="175BF818" w14:textId="77777777" w:rsidR="007B3DB2" w:rsidRPr="0063248C" w:rsidRDefault="00000000">
            <w:pPr>
              <w:spacing w:line="240" w:lineRule="exact"/>
              <w:jc w:val="right"/>
              <w:rPr>
                <w:rFonts w:cs="宋体"/>
                <w:sz w:val="18"/>
                <w:szCs w:val="18"/>
              </w:rPr>
            </w:pPr>
            <w:r w:rsidRPr="0063248C">
              <w:rPr>
                <w:rFonts w:cs="宋体"/>
                <w:sz w:val="18"/>
                <w:szCs w:val="18"/>
              </w:rPr>
              <w:t>1,119.05</w:t>
            </w:r>
          </w:p>
        </w:tc>
        <w:tc>
          <w:tcPr>
            <w:tcW w:w="1928" w:type="dxa"/>
            <w:tcBorders>
              <w:top w:val="single" w:sz="2" w:space="0" w:color="auto"/>
              <w:left w:val="single" w:sz="2" w:space="0" w:color="auto"/>
              <w:bottom w:val="single" w:sz="2" w:space="0" w:color="auto"/>
              <w:right w:val="single" w:sz="2" w:space="0" w:color="auto"/>
            </w:tcBorders>
            <w:vAlign w:val="center"/>
          </w:tcPr>
          <w:p w14:paraId="3E4978F3"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3B1E004" w14:textId="77777777" w:rsidR="007B3DB2" w:rsidRPr="0063248C" w:rsidRDefault="00000000">
            <w:pPr>
              <w:spacing w:line="240" w:lineRule="exact"/>
              <w:jc w:val="right"/>
              <w:rPr>
                <w:rFonts w:cs="宋体"/>
                <w:sz w:val="18"/>
                <w:szCs w:val="18"/>
              </w:rPr>
            </w:pPr>
            <w:r w:rsidRPr="0063248C">
              <w:rPr>
                <w:rFonts w:cs="宋体"/>
                <w:sz w:val="18"/>
                <w:szCs w:val="18"/>
              </w:rPr>
              <w:t>790,031,116.09</w:t>
            </w:r>
          </w:p>
        </w:tc>
      </w:tr>
      <w:tr w:rsidR="007B3DB2" w:rsidRPr="0063248C" w14:paraId="4D44753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2AC08BE" w14:textId="77777777" w:rsidR="007B3DB2" w:rsidRPr="0063248C" w:rsidRDefault="00000000">
            <w:pPr>
              <w:spacing w:before="40" w:after="40" w:line="240" w:lineRule="exact"/>
              <w:rPr>
                <w:rFonts w:cs="宋体"/>
                <w:sz w:val="18"/>
                <w:szCs w:val="18"/>
              </w:rPr>
            </w:pPr>
            <w:r w:rsidRPr="0063248C">
              <w:rPr>
                <w:rFonts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14:paraId="7CD842CD" w14:textId="77777777" w:rsidR="007B3DB2" w:rsidRPr="0063248C" w:rsidRDefault="00000000">
            <w:pPr>
              <w:spacing w:line="240" w:lineRule="exact"/>
              <w:jc w:val="right"/>
              <w:rPr>
                <w:rFonts w:cs="宋体"/>
                <w:sz w:val="18"/>
                <w:szCs w:val="18"/>
              </w:rPr>
            </w:pPr>
            <w:r w:rsidRPr="0063248C">
              <w:rPr>
                <w:rFonts w:cs="宋体"/>
                <w:sz w:val="18"/>
                <w:szCs w:val="18"/>
              </w:rPr>
              <w:t>34,927,424.60</w:t>
            </w:r>
          </w:p>
        </w:tc>
        <w:tc>
          <w:tcPr>
            <w:tcW w:w="1928" w:type="dxa"/>
            <w:tcBorders>
              <w:top w:val="single" w:sz="2" w:space="0" w:color="auto"/>
              <w:left w:val="single" w:sz="2" w:space="0" w:color="auto"/>
              <w:bottom w:val="single" w:sz="2" w:space="0" w:color="auto"/>
              <w:right w:val="single" w:sz="2" w:space="0" w:color="auto"/>
            </w:tcBorders>
            <w:vAlign w:val="center"/>
          </w:tcPr>
          <w:p w14:paraId="0F87B440"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41AC5CD"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2233F68" w14:textId="77777777" w:rsidR="007B3DB2" w:rsidRPr="0063248C" w:rsidRDefault="00000000">
            <w:pPr>
              <w:spacing w:line="240" w:lineRule="exact"/>
              <w:jc w:val="right"/>
              <w:rPr>
                <w:rFonts w:cs="宋体"/>
                <w:sz w:val="18"/>
                <w:szCs w:val="18"/>
              </w:rPr>
            </w:pPr>
            <w:r w:rsidRPr="0063248C">
              <w:rPr>
                <w:rFonts w:cs="宋体"/>
                <w:sz w:val="18"/>
                <w:szCs w:val="18"/>
              </w:rPr>
              <w:t>34,927,424.60</w:t>
            </w:r>
          </w:p>
        </w:tc>
      </w:tr>
      <w:tr w:rsidR="007B3DB2" w:rsidRPr="0063248C" w14:paraId="4314540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65273C2"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342FC812" w14:textId="77777777" w:rsidR="007B3DB2" w:rsidRPr="0063248C" w:rsidRDefault="00000000">
            <w:pPr>
              <w:spacing w:line="240" w:lineRule="exact"/>
              <w:jc w:val="right"/>
              <w:rPr>
                <w:rFonts w:cs="宋体"/>
                <w:sz w:val="18"/>
                <w:szCs w:val="18"/>
              </w:rPr>
            </w:pPr>
            <w:r w:rsidRPr="0063248C">
              <w:rPr>
                <w:rFonts w:cs="宋体"/>
                <w:sz w:val="18"/>
                <w:szCs w:val="18"/>
              </w:rPr>
              <w:t>824,957,421.64</w:t>
            </w:r>
          </w:p>
        </w:tc>
        <w:tc>
          <w:tcPr>
            <w:tcW w:w="1928" w:type="dxa"/>
            <w:tcBorders>
              <w:top w:val="single" w:sz="2" w:space="0" w:color="auto"/>
              <w:left w:val="single" w:sz="2" w:space="0" w:color="auto"/>
              <w:bottom w:val="single" w:sz="2" w:space="0" w:color="auto"/>
              <w:right w:val="single" w:sz="2" w:space="0" w:color="auto"/>
            </w:tcBorders>
            <w:vAlign w:val="center"/>
          </w:tcPr>
          <w:p w14:paraId="281B3847" w14:textId="77777777" w:rsidR="007B3DB2" w:rsidRPr="0063248C" w:rsidRDefault="00000000">
            <w:pPr>
              <w:spacing w:line="240" w:lineRule="exact"/>
              <w:jc w:val="right"/>
              <w:rPr>
                <w:rFonts w:cs="宋体"/>
                <w:sz w:val="18"/>
                <w:szCs w:val="18"/>
              </w:rPr>
            </w:pPr>
            <w:r w:rsidRPr="0063248C">
              <w:rPr>
                <w:rFonts w:cs="宋体"/>
                <w:sz w:val="18"/>
                <w:szCs w:val="18"/>
              </w:rPr>
              <w:t>1,119.05</w:t>
            </w:r>
          </w:p>
        </w:tc>
        <w:tc>
          <w:tcPr>
            <w:tcW w:w="1928" w:type="dxa"/>
            <w:tcBorders>
              <w:top w:val="single" w:sz="2" w:space="0" w:color="auto"/>
              <w:left w:val="single" w:sz="2" w:space="0" w:color="auto"/>
              <w:bottom w:val="single" w:sz="2" w:space="0" w:color="auto"/>
              <w:right w:val="single" w:sz="2" w:space="0" w:color="auto"/>
            </w:tcBorders>
            <w:vAlign w:val="center"/>
          </w:tcPr>
          <w:p w14:paraId="374AB830"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888CC59" w14:textId="77777777" w:rsidR="007B3DB2" w:rsidRPr="0063248C" w:rsidRDefault="00000000">
            <w:pPr>
              <w:spacing w:line="240" w:lineRule="exact"/>
              <w:jc w:val="right"/>
              <w:rPr>
                <w:rFonts w:cs="宋体"/>
                <w:sz w:val="18"/>
                <w:szCs w:val="18"/>
              </w:rPr>
            </w:pPr>
            <w:r w:rsidRPr="0063248C">
              <w:rPr>
                <w:rFonts w:cs="宋体"/>
                <w:sz w:val="18"/>
                <w:szCs w:val="18"/>
              </w:rPr>
              <w:t>824,958,540.69</w:t>
            </w:r>
          </w:p>
        </w:tc>
      </w:tr>
    </w:tbl>
    <w:p w14:paraId="7DE8D813" w14:textId="77777777" w:rsidR="007B3DB2" w:rsidRPr="0063248C" w:rsidRDefault="00000000">
      <w:pPr>
        <w:spacing w:before="100" w:after="100" w:line="240" w:lineRule="exact"/>
        <w:rPr>
          <w:rFonts w:cs="宋体"/>
          <w:sz w:val="18"/>
          <w:szCs w:val="18"/>
        </w:rPr>
      </w:pPr>
      <w:r w:rsidRPr="0063248C">
        <w:rPr>
          <w:rFonts w:cs="宋体"/>
          <w:sz w:val="18"/>
          <w:szCs w:val="18"/>
        </w:rPr>
        <w:t>其他说明，包括本期增减变动情况、变动原因说明：</w:t>
      </w:r>
    </w:p>
    <w:p w14:paraId="68B645F0" w14:textId="2E314333" w:rsidR="00517D34" w:rsidRPr="0063248C" w:rsidRDefault="00000000">
      <w:pPr>
        <w:pStyle w:val="a3"/>
        <w:divId w:val="1727752301"/>
        <w:rPr>
          <w:rFonts w:ascii="Times New Roman" w:hAnsi="Times New Roman"/>
          <w:sz w:val="18"/>
          <w:szCs w:val="18"/>
        </w:rPr>
      </w:pPr>
      <w:r w:rsidRPr="0063248C">
        <w:rPr>
          <w:rFonts w:ascii="Times New Roman" w:hAnsi="Times New Roman" w:hint="eastAsia"/>
          <w:sz w:val="18"/>
          <w:szCs w:val="18"/>
        </w:rPr>
        <w:t>1</w:t>
      </w:r>
      <w:r w:rsidRPr="0063248C">
        <w:rPr>
          <w:rFonts w:ascii="Times New Roman" w:hAnsi="Times New Roman" w:hint="eastAsia"/>
          <w:sz w:val="18"/>
          <w:szCs w:val="18"/>
        </w:rPr>
        <w:t>、公司发生可转债转股，由于债转股增加的资本公积（股本溢价）为</w:t>
      </w:r>
      <w:r w:rsidRPr="0063248C">
        <w:rPr>
          <w:rFonts w:ascii="Times New Roman" w:hAnsi="Times New Roman" w:hint="eastAsia"/>
          <w:sz w:val="18"/>
          <w:szCs w:val="18"/>
        </w:rPr>
        <w:t>1</w:t>
      </w:r>
      <w:r w:rsidR="006D579E">
        <w:rPr>
          <w:rFonts w:ascii="Times New Roman" w:hAnsi="Times New Roman" w:hint="eastAsia"/>
          <w:sz w:val="18"/>
          <w:szCs w:val="18"/>
        </w:rPr>
        <w:t>,</w:t>
      </w:r>
      <w:r w:rsidRPr="0063248C">
        <w:rPr>
          <w:rFonts w:ascii="Times New Roman" w:hAnsi="Times New Roman" w:hint="eastAsia"/>
          <w:sz w:val="18"/>
          <w:szCs w:val="18"/>
        </w:rPr>
        <w:t>119.05</w:t>
      </w:r>
      <w:r w:rsidRPr="0063248C">
        <w:rPr>
          <w:rFonts w:ascii="Times New Roman" w:hAnsi="Times New Roman" w:hint="eastAsia"/>
          <w:sz w:val="18"/>
          <w:szCs w:val="18"/>
        </w:rPr>
        <w:t>元。</w:t>
      </w:r>
    </w:p>
    <w:p w14:paraId="33A5FDE7" w14:textId="77777777" w:rsidR="007B3DB2" w:rsidRPr="0063248C" w:rsidRDefault="00000000">
      <w:pPr>
        <w:pStyle w:val="3"/>
        <w:spacing w:line="280" w:lineRule="exact"/>
        <w:jc w:val="left"/>
        <w:rPr>
          <w:rFonts w:cs="宋体"/>
          <w:b/>
          <w:bCs/>
        </w:rPr>
      </w:pPr>
      <w:bookmarkStart w:id="358" w:name="_Toc989247"/>
      <w:r w:rsidRPr="0063248C">
        <w:rPr>
          <w:rFonts w:cs="宋体"/>
          <w:b/>
          <w:bCs/>
        </w:rPr>
        <w:t>56</w:t>
      </w:r>
      <w:r w:rsidRPr="0063248C">
        <w:rPr>
          <w:rFonts w:cs="宋体"/>
          <w:b/>
          <w:bCs/>
        </w:rPr>
        <w:t>、库存股</w:t>
      </w:r>
      <w:bookmarkEnd w:id="358"/>
    </w:p>
    <w:p w14:paraId="020A481C"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7117569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F7D0EB2"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A9A92B"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6CBB3AF"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FB90AFB"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8E700D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0718957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76305E7" w14:textId="77777777" w:rsidR="007B3DB2" w:rsidRPr="0063248C" w:rsidRDefault="00000000">
            <w:pPr>
              <w:spacing w:line="240" w:lineRule="exact"/>
              <w:rPr>
                <w:rFonts w:cs="宋体"/>
                <w:sz w:val="18"/>
                <w:szCs w:val="18"/>
              </w:rPr>
            </w:pPr>
            <w:r w:rsidRPr="0063248C">
              <w:rPr>
                <w:rFonts w:cs="宋体"/>
                <w:sz w:val="18"/>
                <w:szCs w:val="18"/>
              </w:rPr>
              <w:t>为员工持股计划或者股权激励而收购的本公司股份</w:t>
            </w:r>
          </w:p>
        </w:tc>
        <w:tc>
          <w:tcPr>
            <w:tcW w:w="1928" w:type="dxa"/>
            <w:tcBorders>
              <w:top w:val="single" w:sz="2" w:space="0" w:color="auto"/>
              <w:left w:val="single" w:sz="2" w:space="0" w:color="auto"/>
              <w:bottom w:val="single" w:sz="2" w:space="0" w:color="auto"/>
              <w:right w:val="single" w:sz="2" w:space="0" w:color="auto"/>
            </w:tcBorders>
            <w:vAlign w:val="center"/>
          </w:tcPr>
          <w:p w14:paraId="1CE63760"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c>
          <w:tcPr>
            <w:tcW w:w="1928" w:type="dxa"/>
            <w:tcBorders>
              <w:top w:val="single" w:sz="2" w:space="0" w:color="auto"/>
              <w:left w:val="single" w:sz="2" w:space="0" w:color="auto"/>
              <w:bottom w:val="single" w:sz="2" w:space="0" w:color="auto"/>
              <w:right w:val="single" w:sz="2" w:space="0" w:color="auto"/>
            </w:tcBorders>
            <w:vAlign w:val="center"/>
          </w:tcPr>
          <w:p w14:paraId="46E72A27"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D48F090"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2418858"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r>
      <w:tr w:rsidR="007B3DB2" w:rsidRPr="0063248C" w14:paraId="28CE9EF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52B2650"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3699F5B"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c>
          <w:tcPr>
            <w:tcW w:w="1928" w:type="dxa"/>
            <w:tcBorders>
              <w:top w:val="single" w:sz="2" w:space="0" w:color="auto"/>
              <w:left w:val="single" w:sz="2" w:space="0" w:color="auto"/>
              <w:bottom w:val="single" w:sz="2" w:space="0" w:color="auto"/>
              <w:right w:val="single" w:sz="2" w:space="0" w:color="auto"/>
            </w:tcBorders>
            <w:vAlign w:val="center"/>
          </w:tcPr>
          <w:p w14:paraId="36134D29"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D83F557"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A67BD1B" w14:textId="77777777" w:rsidR="007B3DB2" w:rsidRPr="0063248C" w:rsidRDefault="00000000">
            <w:pPr>
              <w:spacing w:line="240" w:lineRule="exact"/>
              <w:jc w:val="right"/>
              <w:rPr>
                <w:rFonts w:cs="宋体"/>
                <w:sz w:val="18"/>
                <w:szCs w:val="18"/>
              </w:rPr>
            </w:pPr>
            <w:r w:rsidRPr="0063248C">
              <w:rPr>
                <w:rFonts w:cs="宋体"/>
                <w:sz w:val="18"/>
                <w:szCs w:val="18"/>
              </w:rPr>
              <w:t>330,025,083.29</w:t>
            </w:r>
          </w:p>
        </w:tc>
      </w:tr>
    </w:tbl>
    <w:p w14:paraId="19B5EBC9" w14:textId="77777777" w:rsidR="007B3DB2" w:rsidRPr="0063248C" w:rsidRDefault="00000000">
      <w:pPr>
        <w:spacing w:before="100" w:after="100" w:line="240" w:lineRule="exact"/>
        <w:rPr>
          <w:rFonts w:cs="宋体"/>
          <w:sz w:val="18"/>
          <w:szCs w:val="18"/>
        </w:rPr>
      </w:pPr>
      <w:r w:rsidRPr="0063248C">
        <w:rPr>
          <w:rFonts w:cs="宋体"/>
          <w:sz w:val="18"/>
          <w:szCs w:val="18"/>
        </w:rPr>
        <w:t>其他说明，包括本期增减变动情况、变动原因说明：</w:t>
      </w:r>
    </w:p>
    <w:p w14:paraId="7323475F" w14:textId="77777777" w:rsidR="00517D34" w:rsidRPr="0063248C" w:rsidRDefault="00000000">
      <w:pPr>
        <w:pStyle w:val="a3"/>
        <w:divId w:val="906963966"/>
        <w:rPr>
          <w:rFonts w:ascii="Times New Roman" w:hAnsi="Times New Roman"/>
          <w:sz w:val="18"/>
          <w:szCs w:val="18"/>
        </w:rPr>
      </w:pPr>
      <w:r w:rsidRPr="0063248C">
        <w:rPr>
          <w:rFonts w:ascii="Times New Roman" w:hAnsi="Times New Roman" w:hint="eastAsia"/>
          <w:sz w:val="18"/>
          <w:szCs w:val="18"/>
        </w:rPr>
        <w:t>无</w:t>
      </w:r>
    </w:p>
    <w:p w14:paraId="2B76010C" w14:textId="77777777" w:rsidR="007B3DB2" w:rsidRPr="0063248C" w:rsidRDefault="00000000">
      <w:pPr>
        <w:pStyle w:val="3"/>
        <w:spacing w:line="280" w:lineRule="exact"/>
        <w:jc w:val="left"/>
        <w:rPr>
          <w:rFonts w:cs="宋体"/>
          <w:b/>
          <w:bCs/>
        </w:rPr>
      </w:pPr>
      <w:bookmarkStart w:id="359" w:name="_Toc989248"/>
      <w:r w:rsidRPr="0063248C">
        <w:rPr>
          <w:rFonts w:cs="宋体"/>
          <w:b/>
          <w:bCs/>
        </w:rPr>
        <w:lastRenderedPageBreak/>
        <w:t>57</w:t>
      </w:r>
      <w:r w:rsidRPr="0063248C">
        <w:rPr>
          <w:rFonts w:cs="宋体"/>
          <w:b/>
          <w:bCs/>
        </w:rPr>
        <w:t>、其他综合收益</w:t>
      </w:r>
      <w:bookmarkEnd w:id="359"/>
    </w:p>
    <w:p w14:paraId="6912F4CF"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339"/>
        <w:gridCol w:w="803"/>
        <w:gridCol w:w="1071"/>
        <w:gridCol w:w="1071"/>
        <w:gridCol w:w="1024"/>
        <w:gridCol w:w="992"/>
        <w:gridCol w:w="851"/>
        <w:gridCol w:w="1417"/>
      </w:tblGrid>
      <w:tr w:rsidR="007B3DB2" w:rsidRPr="0063248C" w14:paraId="6D47312E" w14:textId="77777777" w:rsidTr="000F65D3">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746A608"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33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5C4BEA"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5812"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4BD8FCAA"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E61E97C"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35891358" w14:textId="77777777" w:rsidTr="000F65D3">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36AA92" w14:textId="77777777" w:rsidR="007B3DB2" w:rsidRPr="0063248C" w:rsidRDefault="007B3DB2"/>
        </w:tc>
        <w:tc>
          <w:tcPr>
            <w:tcW w:w="133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F3A7C6E" w14:textId="77777777" w:rsidR="007B3DB2" w:rsidRPr="0063248C" w:rsidRDefault="007B3DB2"/>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1C45630"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42B3B31"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98A92C6"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减：前期计入其他综合收益当期转入留存收益</w:t>
            </w:r>
          </w:p>
        </w:tc>
        <w:tc>
          <w:tcPr>
            <w:tcW w:w="1024" w:type="dxa"/>
            <w:tcBorders>
              <w:top w:val="single" w:sz="2" w:space="0" w:color="auto"/>
              <w:left w:val="single" w:sz="2" w:space="0" w:color="auto"/>
              <w:bottom w:val="single" w:sz="2" w:space="0" w:color="auto"/>
              <w:right w:val="single" w:sz="2" w:space="0" w:color="auto"/>
            </w:tcBorders>
            <w:shd w:val="clear" w:color="auto" w:fill="D3D3D3"/>
            <w:vAlign w:val="center"/>
          </w:tcPr>
          <w:p w14:paraId="542DBD2D" w14:textId="77777777" w:rsidR="007B3DB2" w:rsidRPr="0063248C" w:rsidRDefault="00000000">
            <w:pPr>
              <w:spacing w:before="40" w:after="40" w:line="240" w:lineRule="exact"/>
              <w:jc w:val="center"/>
              <w:rPr>
                <w:rFonts w:cs="宋体"/>
                <w:sz w:val="18"/>
                <w:szCs w:val="18"/>
              </w:rPr>
            </w:pPr>
            <w:r w:rsidRPr="0063248C">
              <w:rPr>
                <w:rFonts w:cs="宋体"/>
                <w:sz w:val="18"/>
                <w:szCs w:val="18"/>
              </w:rPr>
              <w:t>减：所得税费用</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79BF3BF0" w14:textId="77777777" w:rsidR="007B3DB2" w:rsidRPr="0063248C" w:rsidRDefault="00000000">
            <w:pPr>
              <w:spacing w:before="40" w:after="40" w:line="240" w:lineRule="exact"/>
              <w:jc w:val="center"/>
              <w:rPr>
                <w:rFonts w:cs="宋体"/>
                <w:sz w:val="18"/>
                <w:szCs w:val="18"/>
              </w:rPr>
            </w:pPr>
            <w:r w:rsidRPr="0063248C">
              <w:rPr>
                <w:rFonts w:cs="宋体"/>
                <w:sz w:val="18"/>
                <w:szCs w:val="18"/>
              </w:rPr>
              <w:t>税后归属于母公司</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386B692A" w14:textId="77777777" w:rsidR="007B3DB2" w:rsidRPr="0063248C" w:rsidRDefault="00000000">
            <w:pPr>
              <w:spacing w:before="40" w:after="40" w:line="240" w:lineRule="exact"/>
              <w:jc w:val="center"/>
              <w:rPr>
                <w:rFonts w:cs="宋体"/>
                <w:sz w:val="18"/>
                <w:szCs w:val="18"/>
              </w:rPr>
            </w:pPr>
            <w:r w:rsidRPr="0063248C">
              <w:rPr>
                <w:rFonts w:cs="宋体"/>
                <w:sz w:val="18"/>
                <w:szCs w:val="18"/>
              </w:rPr>
              <w:t>税后归属于少数股东</w:t>
            </w: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BAE3738" w14:textId="77777777" w:rsidR="007B3DB2" w:rsidRPr="0063248C" w:rsidRDefault="007B3DB2"/>
        </w:tc>
      </w:tr>
      <w:tr w:rsidR="007B3DB2" w:rsidRPr="0063248C" w14:paraId="4BD0C803" w14:textId="77777777" w:rsidTr="000F65D3">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6B7F30E" w14:textId="77777777" w:rsidR="007B3DB2" w:rsidRPr="0063248C" w:rsidRDefault="00000000">
            <w:pPr>
              <w:spacing w:before="40" w:after="40" w:line="240" w:lineRule="exact"/>
              <w:rPr>
                <w:rFonts w:cs="宋体"/>
                <w:sz w:val="18"/>
                <w:szCs w:val="18"/>
              </w:rPr>
            </w:pPr>
            <w:r w:rsidRPr="0063248C">
              <w:rPr>
                <w:rFonts w:cs="宋体"/>
                <w:sz w:val="18"/>
                <w:szCs w:val="18"/>
              </w:rPr>
              <w:t>一、不能重分类进损益的其他综合收益</w:t>
            </w:r>
          </w:p>
        </w:tc>
        <w:tc>
          <w:tcPr>
            <w:tcW w:w="1339" w:type="dxa"/>
            <w:tcBorders>
              <w:top w:val="single" w:sz="2" w:space="0" w:color="auto"/>
              <w:left w:val="single" w:sz="2" w:space="0" w:color="auto"/>
              <w:bottom w:val="single" w:sz="2" w:space="0" w:color="auto"/>
              <w:right w:val="single" w:sz="2" w:space="0" w:color="auto"/>
            </w:tcBorders>
            <w:vAlign w:val="center"/>
          </w:tcPr>
          <w:p w14:paraId="39F442FE"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c>
          <w:tcPr>
            <w:tcW w:w="803" w:type="dxa"/>
            <w:tcBorders>
              <w:top w:val="single" w:sz="2" w:space="0" w:color="auto"/>
              <w:left w:val="single" w:sz="2" w:space="0" w:color="auto"/>
              <w:bottom w:val="single" w:sz="2" w:space="0" w:color="auto"/>
              <w:right w:val="single" w:sz="2" w:space="0" w:color="auto"/>
            </w:tcBorders>
            <w:vAlign w:val="center"/>
          </w:tcPr>
          <w:p w14:paraId="6ABADB1E" w14:textId="77777777" w:rsidR="007B3DB2" w:rsidRPr="0063248C" w:rsidRDefault="007B3DB2">
            <w:pPr>
              <w:spacing w:line="240" w:lineRule="exact"/>
              <w:jc w:val="right"/>
              <w:rPr>
                <w:rFonts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D750DBB" w14:textId="77777777" w:rsidR="007B3DB2" w:rsidRPr="0063248C" w:rsidRDefault="007B3DB2">
            <w:pPr>
              <w:spacing w:line="240" w:lineRule="exact"/>
              <w:jc w:val="right"/>
              <w:rPr>
                <w:rFonts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E9C6DC4" w14:textId="77777777" w:rsidR="007B3DB2" w:rsidRPr="0063248C" w:rsidRDefault="007B3DB2">
            <w:pPr>
              <w:spacing w:line="240" w:lineRule="exact"/>
              <w:jc w:val="right"/>
              <w:rPr>
                <w:rFonts w:cs="宋体"/>
                <w:sz w:val="18"/>
                <w:szCs w:val="18"/>
              </w:rPr>
            </w:pPr>
          </w:p>
        </w:tc>
        <w:tc>
          <w:tcPr>
            <w:tcW w:w="1024" w:type="dxa"/>
            <w:tcBorders>
              <w:top w:val="single" w:sz="2" w:space="0" w:color="auto"/>
              <w:left w:val="single" w:sz="2" w:space="0" w:color="auto"/>
              <w:bottom w:val="single" w:sz="2" w:space="0" w:color="auto"/>
              <w:right w:val="single" w:sz="2" w:space="0" w:color="auto"/>
            </w:tcBorders>
            <w:vAlign w:val="center"/>
          </w:tcPr>
          <w:p w14:paraId="422BBFD6"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36B4119"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4AD1314"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EC1CC8B"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r>
      <w:tr w:rsidR="007B3DB2" w:rsidRPr="0063248C" w14:paraId="780D2D36" w14:textId="77777777" w:rsidTr="000F65D3">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395FAED"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其他权益工具投资公允价值变动</w:t>
            </w:r>
          </w:p>
        </w:tc>
        <w:tc>
          <w:tcPr>
            <w:tcW w:w="1339" w:type="dxa"/>
            <w:tcBorders>
              <w:top w:val="single" w:sz="2" w:space="0" w:color="auto"/>
              <w:left w:val="single" w:sz="2" w:space="0" w:color="auto"/>
              <w:bottom w:val="single" w:sz="2" w:space="0" w:color="auto"/>
              <w:right w:val="single" w:sz="2" w:space="0" w:color="auto"/>
            </w:tcBorders>
            <w:vAlign w:val="center"/>
          </w:tcPr>
          <w:p w14:paraId="4BC815C9"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c>
          <w:tcPr>
            <w:tcW w:w="803" w:type="dxa"/>
            <w:tcBorders>
              <w:top w:val="single" w:sz="2" w:space="0" w:color="auto"/>
              <w:left w:val="single" w:sz="2" w:space="0" w:color="auto"/>
              <w:bottom w:val="single" w:sz="2" w:space="0" w:color="auto"/>
              <w:right w:val="single" w:sz="2" w:space="0" w:color="auto"/>
            </w:tcBorders>
            <w:vAlign w:val="center"/>
          </w:tcPr>
          <w:p w14:paraId="55F8A8FE" w14:textId="77777777" w:rsidR="007B3DB2" w:rsidRPr="0063248C" w:rsidRDefault="007B3DB2">
            <w:pPr>
              <w:spacing w:line="240" w:lineRule="exact"/>
              <w:jc w:val="right"/>
              <w:rPr>
                <w:rFonts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F780478" w14:textId="77777777" w:rsidR="007B3DB2" w:rsidRPr="0063248C" w:rsidRDefault="007B3DB2">
            <w:pPr>
              <w:spacing w:line="240" w:lineRule="exact"/>
              <w:jc w:val="right"/>
              <w:rPr>
                <w:rFonts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A505485" w14:textId="77777777" w:rsidR="007B3DB2" w:rsidRPr="0063248C" w:rsidRDefault="007B3DB2">
            <w:pPr>
              <w:spacing w:line="240" w:lineRule="exact"/>
              <w:jc w:val="right"/>
              <w:rPr>
                <w:rFonts w:cs="宋体"/>
                <w:sz w:val="18"/>
                <w:szCs w:val="18"/>
              </w:rPr>
            </w:pPr>
          </w:p>
        </w:tc>
        <w:tc>
          <w:tcPr>
            <w:tcW w:w="1024" w:type="dxa"/>
            <w:tcBorders>
              <w:top w:val="single" w:sz="2" w:space="0" w:color="auto"/>
              <w:left w:val="single" w:sz="2" w:space="0" w:color="auto"/>
              <w:bottom w:val="single" w:sz="2" w:space="0" w:color="auto"/>
              <w:right w:val="single" w:sz="2" w:space="0" w:color="auto"/>
            </w:tcBorders>
            <w:vAlign w:val="center"/>
          </w:tcPr>
          <w:p w14:paraId="76C765DA"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A9B5FFE"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15BE8099"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8582195"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r>
      <w:tr w:rsidR="007B3DB2" w:rsidRPr="0063248C" w14:paraId="59A49485" w14:textId="77777777" w:rsidTr="000F65D3">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C8C79E3" w14:textId="77777777" w:rsidR="007B3DB2" w:rsidRPr="0063248C" w:rsidRDefault="00000000">
            <w:pPr>
              <w:spacing w:before="40" w:after="40" w:line="240" w:lineRule="exact"/>
              <w:rPr>
                <w:rFonts w:cs="宋体"/>
                <w:sz w:val="18"/>
                <w:szCs w:val="18"/>
              </w:rPr>
            </w:pPr>
            <w:r w:rsidRPr="0063248C">
              <w:rPr>
                <w:rFonts w:cs="宋体"/>
                <w:sz w:val="18"/>
                <w:szCs w:val="18"/>
              </w:rPr>
              <w:t>其他综合收益合计</w:t>
            </w:r>
          </w:p>
        </w:tc>
        <w:tc>
          <w:tcPr>
            <w:tcW w:w="1339" w:type="dxa"/>
            <w:tcBorders>
              <w:top w:val="single" w:sz="2" w:space="0" w:color="auto"/>
              <w:left w:val="single" w:sz="2" w:space="0" w:color="auto"/>
              <w:bottom w:val="single" w:sz="2" w:space="0" w:color="auto"/>
              <w:right w:val="single" w:sz="2" w:space="0" w:color="auto"/>
            </w:tcBorders>
            <w:vAlign w:val="center"/>
          </w:tcPr>
          <w:p w14:paraId="242CCA51"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c>
          <w:tcPr>
            <w:tcW w:w="803" w:type="dxa"/>
            <w:tcBorders>
              <w:top w:val="single" w:sz="2" w:space="0" w:color="auto"/>
              <w:left w:val="single" w:sz="2" w:space="0" w:color="auto"/>
              <w:bottom w:val="single" w:sz="2" w:space="0" w:color="auto"/>
              <w:right w:val="single" w:sz="2" w:space="0" w:color="auto"/>
            </w:tcBorders>
            <w:vAlign w:val="center"/>
          </w:tcPr>
          <w:p w14:paraId="655A3886" w14:textId="77777777" w:rsidR="007B3DB2" w:rsidRPr="0063248C" w:rsidRDefault="007B3DB2">
            <w:pPr>
              <w:spacing w:line="240" w:lineRule="exact"/>
              <w:jc w:val="right"/>
              <w:rPr>
                <w:rFonts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137683C" w14:textId="77777777" w:rsidR="007B3DB2" w:rsidRPr="0063248C" w:rsidRDefault="007B3DB2">
            <w:pPr>
              <w:spacing w:line="240" w:lineRule="exact"/>
              <w:jc w:val="right"/>
              <w:rPr>
                <w:rFonts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5A6B3CA" w14:textId="77777777" w:rsidR="007B3DB2" w:rsidRPr="0063248C" w:rsidRDefault="007B3DB2">
            <w:pPr>
              <w:spacing w:line="240" w:lineRule="exact"/>
              <w:jc w:val="right"/>
              <w:rPr>
                <w:rFonts w:cs="宋体"/>
                <w:sz w:val="18"/>
                <w:szCs w:val="18"/>
              </w:rPr>
            </w:pPr>
          </w:p>
        </w:tc>
        <w:tc>
          <w:tcPr>
            <w:tcW w:w="1024" w:type="dxa"/>
            <w:tcBorders>
              <w:top w:val="single" w:sz="2" w:space="0" w:color="auto"/>
              <w:left w:val="single" w:sz="2" w:space="0" w:color="auto"/>
              <w:bottom w:val="single" w:sz="2" w:space="0" w:color="auto"/>
              <w:right w:val="single" w:sz="2" w:space="0" w:color="auto"/>
            </w:tcBorders>
            <w:vAlign w:val="center"/>
          </w:tcPr>
          <w:p w14:paraId="774C3F18"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31D7F71"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DAEF87A" w14:textId="77777777" w:rsidR="007B3DB2" w:rsidRPr="0063248C" w:rsidRDefault="007B3DB2">
            <w:pPr>
              <w:spacing w:line="240" w:lineRule="exact"/>
              <w:jc w:val="right"/>
              <w:rPr>
                <w:rFonts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C7F45C7" w14:textId="77777777" w:rsidR="007B3DB2" w:rsidRPr="0063248C" w:rsidRDefault="00000000">
            <w:pPr>
              <w:spacing w:line="240" w:lineRule="exact"/>
              <w:jc w:val="right"/>
              <w:rPr>
                <w:rFonts w:cs="宋体"/>
                <w:sz w:val="18"/>
                <w:szCs w:val="18"/>
              </w:rPr>
            </w:pPr>
            <w:r w:rsidRPr="0063248C">
              <w:rPr>
                <w:rFonts w:cs="宋体"/>
                <w:sz w:val="18"/>
                <w:szCs w:val="18"/>
              </w:rPr>
              <w:t>-12,100,000.00</w:t>
            </w:r>
          </w:p>
        </w:tc>
      </w:tr>
    </w:tbl>
    <w:p w14:paraId="19E2991F" w14:textId="77777777" w:rsidR="007B3DB2" w:rsidRPr="0063248C" w:rsidRDefault="00000000">
      <w:pPr>
        <w:spacing w:before="100" w:after="100" w:line="240" w:lineRule="exact"/>
        <w:rPr>
          <w:rFonts w:cs="宋体"/>
          <w:sz w:val="18"/>
          <w:szCs w:val="18"/>
        </w:rPr>
      </w:pPr>
      <w:r w:rsidRPr="0063248C">
        <w:rPr>
          <w:rFonts w:cs="宋体"/>
          <w:sz w:val="18"/>
          <w:szCs w:val="18"/>
        </w:rPr>
        <w:t>其他说明，包括对现金流量套期损益的有效部分转为被套</w:t>
      </w:r>
      <w:proofErr w:type="gramStart"/>
      <w:r w:rsidRPr="0063248C">
        <w:rPr>
          <w:rFonts w:cs="宋体"/>
          <w:sz w:val="18"/>
          <w:szCs w:val="18"/>
        </w:rPr>
        <w:t>期项目</w:t>
      </w:r>
      <w:proofErr w:type="gramEnd"/>
      <w:r w:rsidRPr="0063248C">
        <w:rPr>
          <w:rFonts w:cs="宋体"/>
          <w:sz w:val="18"/>
          <w:szCs w:val="18"/>
        </w:rPr>
        <w:t>初始确认金额调整：</w:t>
      </w:r>
    </w:p>
    <w:p w14:paraId="2518F5D5" w14:textId="77777777" w:rsidR="00517D34" w:rsidRPr="0063248C" w:rsidRDefault="00000000">
      <w:pPr>
        <w:pStyle w:val="a3"/>
        <w:divId w:val="929050225"/>
        <w:rPr>
          <w:rFonts w:ascii="Times New Roman" w:hAnsi="Times New Roman"/>
          <w:sz w:val="18"/>
          <w:szCs w:val="18"/>
        </w:rPr>
      </w:pPr>
      <w:r w:rsidRPr="0063248C">
        <w:rPr>
          <w:rFonts w:ascii="Times New Roman" w:hAnsi="Times New Roman" w:hint="eastAsia"/>
          <w:sz w:val="18"/>
          <w:szCs w:val="18"/>
        </w:rPr>
        <w:t>无</w:t>
      </w:r>
    </w:p>
    <w:p w14:paraId="499BAF5D" w14:textId="77777777" w:rsidR="007B3DB2" w:rsidRPr="0063248C" w:rsidRDefault="00000000">
      <w:pPr>
        <w:pStyle w:val="3"/>
        <w:spacing w:line="280" w:lineRule="exact"/>
        <w:jc w:val="left"/>
        <w:rPr>
          <w:rFonts w:cs="宋体"/>
          <w:b/>
          <w:bCs/>
        </w:rPr>
      </w:pPr>
      <w:bookmarkStart w:id="360" w:name="_Toc989249"/>
      <w:r w:rsidRPr="0063248C">
        <w:rPr>
          <w:rFonts w:cs="宋体"/>
          <w:b/>
          <w:bCs/>
        </w:rPr>
        <w:t>58</w:t>
      </w:r>
      <w:r w:rsidRPr="0063248C">
        <w:rPr>
          <w:rFonts w:cs="宋体"/>
          <w:b/>
          <w:bCs/>
        </w:rPr>
        <w:t>、专项储备</w:t>
      </w:r>
      <w:bookmarkEnd w:id="360"/>
    </w:p>
    <w:p w14:paraId="0A68C106" w14:textId="77777777" w:rsidR="00517D34" w:rsidRPr="0063248C" w:rsidRDefault="00000000">
      <w:pPr>
        <w:pStyle w:val="a3"/>
        <w:divId w:val="839542185"/>
        <w:rPr>
          <w:rFonts w:ascii="Times New Roman" w:hAnsi="Times New Roman"/>
          <w:sz w:val="18"/>
          <w:szCs w:val="18"/>
        </w:rPr>
      </w:pPr>
      <w:r w:rsidRPr="0063248C">
        <w:rPr>
          <w:rFonts w:ascii="Times New Roman" w:hAnsi="Times New Roman" w:hint="eastAsia"/>
          <w:sz w:val="18"/>
          <w:szCs w:val="18"/>
        </w:rPr>
        <w:t>无</w:t>
      </w:r>
    </w:p>
    <w:p w14:paraId="6FC1B4EE" w14:textId="77777777" w:rsidR="007B3DB2" w:rsidRPr="0063248C" w:rsidRDefault="00000000">
      <w:pPr>
        <w:pStyle w:val="3"/>
        <w:spacing w:line="280" w:lineRule="exact"/>
        <w:jc w:val="left"/>
        <w:rPr>
          <w:rFonts w:cs="宋体"/>
          <w:b/>
          <w:bCs/>
        </w:rPr>
      </w:pPr>
      <w:bookmarkStart w:id="361" w:name="_Toc989250"/>
      <w:r w:rsidRPr="0063248C">
        <w:rPr>
          <w:rFonts w:cs="宋体"/>
          <w:b/>
          <w:bCs/>
        </w:rPr>
        <w:t>59</w:t>
      </w:r>
      <w:r w:rsidRPr="0063248C">
        <w:rPr>
          <w:rFonts w:cs="宋体"/>
          <w:b/>
          <w:bCs/>
        </w:rPr>
        <w:t>、盈余公积</w:t>
      </w:r>
      <w:bookmarkEnd w:id="361"/>
    </w:p>
    <w:p w14:paraId="7546FFAD"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755D660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FCB7B5F"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48B82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CCDF622"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46825EE"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A84026A"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2AAD454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B1F6233" w14:textId="77777777" w:rsidR="007B3DB2" w:rsidRPr="0063248C" w:rsidRDefault="00000000">
            <w:pPr>
              <w:spacing w:before="40" w:after="40" w:line="240" w:lineRule="exact"/>
              <w:rPr>
                <w:rFonts w:cs="宋体"/>
                <w:sz w:val="18"/>
                <w:szCs w:val="18"/>
              </w:rPr>
            </w:pPr>
            <w:r w:rsidRPr="0063248C">
              <w:rPr>
                <w:rFonts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14:paraId="1E070197" w14:textId="77777777" w:rsidR="007B3DB2" w:rsidRPr="0063248C" w:rsidRDefault="00000000">
            <w:pPr>
              <w:spacing w:line="240" w:lineRule="exact"/>
              <w:jc w:val="right"/>
              <w:rPr>
                <w:rFonts w:cs="宋体"/>
                <w:sz w:val="18"/>
                <w:szCs w:val="18"/>
              </w:rPr>
            </w:pPr>
            <w:r w:rsidRPr="0063248C">
              <w:rPr>
                <w:rFonts w:cs="宋体"/>
                <w:sz w:val="18"/>
                <w:szCs w:val="18"/>
              </w:rPr>
              <w:t>131,858,964.58</w:t>
            </w:r>
          </w:p>
        </w:tc>
        <w:tc>
          <w:tcPr>
            <w:tcW w:w="1928" w:type="dxa"/>
            <w:tcBorders>
              <w:top w:val="single" w:sz="2" w:space="0" w:color="auto"/>
              <w:left w:val="single" w:sz="2" w:space="0" w:color="auto"/>
              <w:bottom w:val="single" w:sz="2" w:space="0" w:color="auto"/>
              <w:right w:val="single" w:sz="2" w:space="0" w:color="auto"/>
            </w:tcBorders>
            <w:vAlign w:val="center"/>
          </w:tcPr>
          <w:p w14:paraId="0DD4C724"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6E855EB"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A34E7CC" w14:textId="77777777" w:rsidR="007B3DB2" w:rsidRPr="0063248C" w:rsidRDefault="00000000">
            <w:pPr>
              <w:spacing w:line="240" w:lineRule="exact"/>
              <w:jc w:val="right"/>
              <w:rPr>
                <w:rFonts w:cs="宋体"/>
                <w:sz w:val="18"/>
                <w:szCs w:val="18"/>
              </w:rPr>
            </w:pPr>
            <w:r w:rsidRPr="0063248C">
              <w:rPr>
                <w:rFonts w:cs="宋体"/>
                <w:sz w:val="18"/>
                <w:szCs w:val="18"/>
              </w:rPr>
              <w:t>131,858,964.58</w:t>
            </w:r>
          </w:p>
        </w:tc>
      </w:tr>
      <w:tr w:rsidR="007B3DB2" w:rsidRPr="0063248C" w14:paraId="0683D18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4471878" w14:textId="77777777" w:rsidR="007B3DB2" w:rsidRPr="0063248C" w:rsidRDefault="00000000">
            <w:pPr>
              <w:spacing w:before="40" w:after="40" w:line="240" w:lineRule="exact"/>
              <w:rPr>
                <w:rFonts w:cs="宋体"/>
                <w:sz w:val="18"/>
                <w:szCs w:val="18"/>
              </w:rPr>
            </w:pPr>
            <w:r w:rsidRPr="0063248C">
              <w:rPr>
                <w:rFonts w:cs="宋体"/>
                <w:sz w:val="18"/>
                <w:szCs w:val="18"/>
              </w:rPr>
              <w:t>任意盈余公积</w:t>
            </w:r>
          </w:p>
        </w:tc>
        <w:tc>
          <w:tcPr>
            <w:tcW w:w="1928" w:type="dxa"/>
            <w:tcBorders>
              <w:top w:val="single" w:sz="2" w:space="0" w:color="auto"/>
              <w:left w:val="single" w:sz="2" w:space="0" w:color="auto"/>
              <w:bottom w:val="single" w:sz="2" w:space="0" w:color="auto"/>
              <w:right w:val="single" w:sz="2" w:space="0" w:color="auto"/>
            </w:tcBorders>
            <w:vAlign w:val="center"/>
          </w:tcPr>
          <w:p w14:paraId="46829A78" w14:textId="77777777" w:rsidR="007B3DB2" w:rsidRPr="0063248C" w:rsidRDefault="00000000">
            <w:pPr>
              <w:spacing w:line="240" w:lineRule="exact"/>
              <w:jc w:val="right"/>
              <w:rPr>
                <w:rFonts w:cs="宋体"/>
                <w:sz w:val="18"/>
                <w:szCs w:val="18"/>
              </w:rPr>
            </w:pPr>
            <w:r w:rsidRPr="0063248C">
              <w:rPr>
                <w:rFonts w:cs="宋体"/>
                <w:sz w:val="18"/>
                <w:szCs w:val="18"/>
              </w:rPr>
              <w:t>131,858,964.58</w:t>
            </w:r>
          </w:p>
        </w:tc>
        <w:tc>
          <w:tcPr>
            <w:tcW w:w="1928" w:type="dxa"/>
            <w:tcBorders>
              <w:top w:val="single" w:sz="2" w:space="0" w:color="auto"/>
              <w:left w:val="single" w:sz="2" w:space="0" w:color="auto"/>
              <w:bottom w:val="single" w:sz="2" w:space="0" w:color="auto"/>
              <w:right w:val="single" w:sz="2" w:space="0" w:color="auto"/>
            </w:tcBorders>
            <w:vAlign w:val="center"/>
          </w:tcPr>
          <w:p w14:paraId="1B6CD67F"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96D8501"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9943A0D" w14:textId="77777777" w:rsidR="007B3DB2" w:rsidRPr="0063248C" w:rsidRDefault="00000000">
            <w:pPr>
              <w:spacing w:line="240" w:lineRule="exact"/>
              <w:jc w:val="right"/>
              <w:rPr>
                <w:rFonts w:cs="宋体"/>
                <w:sz w:val="18"/>
                <w:szCs w:val="18"/>
              </w:rPr>
            </w:pPr>
            <w:r w:rsidRPr="0063248C">
              <w:rPr>
                <w:rFonts w:cs="宋体"/>
                <w:sz w:val="18"/>
                <w:szCs w:val="18"/>
              </w:rPr>
              <w:t>131,858,964.58</w:t>
            </w:r>
          </w:p>
        </w:tc>
      </w:tr>
      <w:tr w:rsidR="007B3DB2" w:rsidRPr="0063248C" w14:paraId="2C41094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A09E27E"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3842A2F6"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c>
          <w:tcPr>
            <w:tcW w:w="1928" w:type="dxa"/>
            <w:tcBorders>
              <w:top w:val="single" w:sz="2" w:space="0" w:color="auto"/>
              <w:left w:val="single" w:sz="2" w:space="0" w:color="auto"/>
              <w:bottom w:val="single" w:sz="2" w:space="0" w:color="auto"/>
              <w:right w:val="single" w:sz="2" w:space="0" w:color="auto"/>
            </w:tcBorders>
            <w:vAlign w:val="center"/>
          </w:tcPr>
          <w:p w14:paraId="6F729121"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936900F"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D4146AB" w14:textId="77777777" w:rsidR="007B3DB2" w:rsidRPr="0063248C" w:rsidRDefault="00000000">
            <w:pPr>
              <w:spacing w:line="240" w:lineRule="exact"/>
              <w:jc w:val="right"/>
              <w:rPr>
                <w:rFonts w:cs="宋体"/>
                <w:sz w:val="18"/>
                <w:szCs w:val="18"/>
              </w:rPr>
            </w:pPr>
            <w:r w:rsidRPr="0063248C">
              <w:rPr>
                <w:rFonts w:cs="宋体"/>
                <w:sz w:val="18"/>
                <w:szCs w:val="18"/>
              </w:rPr>
              <w:t>263,717,929.16</w:t>
            </w:r>
          </w:p>
        </w:tc>
      </w:tr>
    </w:tbl>
    <w:p w14:paraId="560EC07D" w14:textId="77777777" w:rsidR="007B3DB2" w:rsidRPr="0063248C" w:rsidRDefault="00000000">
      <w:pPr>
        <w:spacing w:before="100" w:after="100" w:line="240" w:lineRule="exact"/>
        <w:rPr>
          <w:rFonts w:cs="宋体"/>
          <w:sz w:val="18"/>
          <w:szCs w:val="18"/>
        </w:rPr>
      </w:pPr>
      <w:r w:rsidRPr="0063248C">
        <w:rPr>
          <w:rFonts w:cs="宋体"/>
          <w:sz w:val="18"/>
          <w:szCs w:val="18"/>
        </w:rPr>
        <w:t>盈余公积说明，包括本期增减变动情况、变动原因说明：</w:t>
      </w:r>
    </w:p>
    <w:p w14:paraId="0EFB5C5F" w14:textId="77777777" w:rsidR="00517D34" w:rsidRPr="0063248C" w:rsidRDefault="00000000">
      <w:pPr>
        <w:pStyle w:val="a3"/>
        <w:spacing w:before="0" w:beforeAutospacing="0" w:after="0" w:afterAutospacing="0"/>
        <w:ind w:firstLine="360"/>
        <w:jc w:val="both"/>
        <w:divId w:val="583732062"/>
        <w:rPr>
          <w:rFonts w:ascii="Times New Roman" w:hAnsi="Times New Roman"/>
        </w:rPr>
      </w:pPr>
      <w:r w:rsidRPr="0063248C">
        <w:rPr>
          <w:rFonts w:ascii="Times New Roman" w:hAnsi="Times New Roman" w:hint="eastAsia"/>
          <w:sz w:val="18"/>
          <w:szCs w:val="18"/>
        </w:rPr>
        <w:t>根据《公司法》、公司章程的规定，本公司按净利润的</w:t>
      </w:r>
      <w:r w:rsidRPr="0063248C">
        <w:rPr>
          <w:rFonts w:ascii="Times New Roman" w:hAnsi="Times New Roman" w:hint="eastAsia"/>
          <w:sz w:val="18"/>
          <w:szCs w:val="18"/>
        </w:rPr>
        <w:t xml:space="preserve"> </w:t>
      </w:r>
      <w:r w:rsidRPr="0063248C">
        <w:rPr>
          <w:rFonts w:ascii="Times New Roman" w:hAnsi="Times New Roman" w:cs="Times New Roman"/>
          <w:sz w:val="18"/>
          <w:szCs w:val="18"/>
        </w:rPr>
        <w:t>10%</w:t>
      </w:r>
      <w:r w:rsidRPr="0063248C">
        <w:rPr>
          <w:rFonts w:ascii="Times New Roman" w:hAnsi="Times New Roman" w:hint="eastAsia"/>
          <w:sz w:val="18"/>
          <w:szCs w:val="18"/>
        </w:rPr>
        <w:t>提取法定盈余公积。法定盈余公积累计额达到本公司注册资本</w:t>
      </w:r>
      <w:r w:rsidRPr="0063248C">
        <w:rPr>
          <w:rFonts w:ascii="Times New Roman" w:hAnsi="Times New Roman" w:hint="eastAsia"/>
          <w:sz w:val="18"/>
          <w:szCs w:val="18"/>
        </w:rPr>
        <w:t xml:space="preserve"> </w:t>
      </w:r>
      <w:r w:rsidRPr="0063248C">
        <w:rPr>
          <w:rFonts w:ascii="Times New Roman" w:hAnsi="Times New Roman" w:cs="Times New Roman"/>
          <w:sz w:val="18"/>
          <w:szCs w:val="18"/>
        </w:rPr>
        <w:t>50%</w:t>
      </w:r>
      <w:r w:rsidRPr="0063248C">
        <w:rPr>
          <w:rFonts w:ascii="Times New Roman" w:hAnsi="Times New Roman" w:hint="eastAsia"/>
          <w:sz w:val="18"/>
          <w:szCs w:val="18"/>
        </w:rPr>
        <w:t>以上的，不再提取。</w:t>
      </w:r>
    </w:p>
    <w:p w14:paraId="5C135DA2" w14:textId="77777777" w:rsidR="00517D34" w:rsidRPr="0063248C" w:rsidRDefault="00000000">
      <w:pPr>
        <w:pStyle w:val="a3"/>
        <w:spacing w:before="0" w:beforeAutospacing="0" w:after="0" w:afterAutospacing="0"/>
        <w:ind w:firstLine="360"/>
        <w:jc w:val="both"/>
        <w:divId w:val="583732062"/>
        <w:rPr>
          <w:rFonts w:ascii="Times New Roman" w:hAnsi="Times New Roman"/>
        </w:rPr>
      </w:pPr>
      <w:r w:rsidRPr="0063248C">
        <w:rPr>
          <w:rFonts w:ascii="Times New Roman" w:hAnsi="Times New Roman" w:hint="eastAsia"/>
          <w:sz w:val="18"/>
          <w:szCs w:val="18"/>
        </w:rPr>
        <w:t>本公司在提取法定盈余公积金后，可提取任意盈余公积金。经批准，任意盈余公积金可用于弥补以前年度亏损或增加股本。</w:t>
      </w:r>
    </w:p>
    <w:p w14:paraId="6DFC07BC" w14:textId="77777777" w:rsidR="007B3DB2" w:rsidRPr="0063248C" w:rsidRDefault="00000000">
      <w:pPr>
        <w:pStyle w:val="3"/>
        <w:spacing w:line="280" w:lineRule="exact"/>
        <w:jc w:val="left"/>
        <w:rPr>
          <w:rFonts w:cs="宋体"/>
          <w:b/>
          <w:bCs/>
        </w:rPr>
      </w:pPr>
      <w:bookmarkStart w:id="362" w:name="_Toc989251"/>
      <w:r w:rsidRPr="0063248C">
        <w:rPr>
          <w:rFonts w:cs="宋体"/>
          <w:b/>
          <w:bCs/>
        </w:rPr>
        <w:t>60</w:t>
      </w:r>
      <w:r w:rsidRPr="0063248C">
        <w:rPr>
          <w:rFonts w:cs="宋体"/>
          <w:b/>
          <w:bCs/>
        </w:rPr>
        <w:t>、未分配利润</w:t>
      </w:r>
      <w:bookmarkEnd w:id="362"/>
    </w:p>
    <w:p w14:paraId="78C1A91C"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5040D1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819414"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1A9550"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DEF3EE"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w:t>
            </w:r>
          </w:p>
        </w:tc>
      </w:tr>
      <w:tr w:rsidR="007B3DB2" w:rsidRPr="0063248C" w14:paraId="1EAB3F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AFD00A" w14:textId="77777777" w:rsidR="007B3DB2" w:rsidRPr="0063248C" w:rsidRDefault="00000000">
            <w:pPr>
              <w:spacing w:before="40" w:after="40" w:line="240" w:lineRule="exact"/>
              <w:rPr>
                <w:rFonts w:cs="宋体"/>
                <w:sz w:val="18"/>
                <w:szCs w:val="18"/>
              </w:rPr>
            </w:pPr>
            <w:r w:rsidRPr="0063248C">
              <w:rPr>
                <w:rFonts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30CCF05E" w14:textId="77777777" w:rsidR="007B3DB2" w:rsidRPr="0063248C" w:rsidRDefault="00000000">
            <w:pPr>
              <w:spacing w:line="240" w:lineRule="exact"/>
              <w:jc w:val="right"/>
              <w:rPr>
                <w:rFonts w:cs="宋体"/>
                <w:sz w:val="18"/>
                <w:szCs w:val="18"/>
              </w:rPr>
            </w:pPr>
            <w:r w:rsidRPr="0063248C">
              <w:rPr>
                <w:rFonts w:cs="宋体"/>
                <w:sz w:val="18"/>
                <w:szCs w:val="18"/>
              </w:rPr>
              <w:t>-515,299,374.16</w:t>
            </w:r>
          </w:p>
        </w:tc>
        <w:tc>
          <w:tcPr>
            <w:tcW w:w="3213" w:type="dxa"/>
            <w:tcBorders>
              <w:top w:val="single" w:sz="2" w:space="0" w:color="auto"/>
              <w:left w:val="single" w:sz="2" w:space="0" w:color="auto"/>
              <w:bottom w:val="single" w:sz="2" w:space="0" w:color="auto"/>
              <w:right w:val="single" w:sz="2" w:space="0" w:color="auto"/>
            </w:tcBorders>
            <w:vAlign w:val="center"/>
          </w:tcPr>
          <w:p w14:paraId="412E0CBB" w14:textId="77777777" w:rsidR="007B3DB2" w:rsidRPr="0063248C" w:rsidRDefault="00000000">
            <w:pPr>
              <w:spacing w:line="240" w:lineRule="exact"/>
              <w:jc w:val="right"/>
              <w:rPr>
                <w:rFonts w:cs="宋体"/>
                <w:sz w:val="18"/>
                <w:szCs w:val="18"/>
              </w:rPr>
            </w:pPr>
            <w:r w:rsidRPr="0063248C">
              <w:rPr>
                <w:rFonts w:cs="宋体"/>
                <w:sz w:val="18"/>
                <w:szCs w:val="18"/>
              </w:rPr>
              <w:t>1,022,982,107.97</w:t>
            </w:r>
          </w:p>
        </w:tc>
      </w:tr>
      <w:tr w:rsidR="007B3DB2" w:rsidRPr="0063248C" w14:paraId="60DA33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BC259F" w14:textId="77777777" w:rsidR="007B3DB2" w:rsidRPr="0063248C" w:rsidRDefault="00000000">
            <w:pPr>
              <w:spacing w:before="40" w:after="40" w:line="240" w:lineRule="exact"/>
              <w:rPr>
                <w:rFonts w:cs="宋体"/>
                <w:sz w:val="18"/>
                <w:szCs w:val="18"/>
              </w:rPr>
            </w:pPr>
            <w:r w:rsidRPr="0063248C">
              <w:rPr>
                <w:rFonts w:cs="宋体"/>
                <w:sz w:val="18"/>
                <w:szCs w:val="18"/>
              </w:rPr>
              <w:t>调整期初未分配利润合计数（调增</w:t>
            </w:r>
            <w:r w:rsidRPr="0063248C">
              <w:rPr>
                <w:rFonts w:cs="宋体"/>
                <w:sz w:val="18"/>
                <w:szCs w:val="18"/>
              </w:rPr>
              <w:t>+</w:t>
            </w:r>
            <w:r w:rsidRPr="0063248C">
              <w:rPr>
                <w:rFonts w:cs="宋体"/>
                <w:sz w:val="18"/>
                <w:szCs w:val="18"/>
              </w:rPr>
              <w:t>，</w:t>
            </w:r>
            <w:r w:rsidRPr="0063248C">
              <w:rPr>
                <w:rFonts w:cs="宋体"/>
                <w:sz w:val="18"/>
                <w:szCs w:val="18"/>
              </w:rPr>
              <w:lastRenderedPageBreak/>
              <w:t>调减</w:t>
            </w:r>
            <w:r w:rsidRPr="0063248C">
              <w:rPr>
                <w:rFonts w:cs="宋体"/>
                <w:sz w:val="18"/>
                <w:szCs w:val="18"/>
              </w:rPr>
              <w:t>-</w:t>
            </w:r>
            <w:r w:rsidRPr="0063248C">
              <w:rPr>
                <w:rFonts w:cs="宋体"/>
                <w:sz w:val="18"/>
                <w:szCs w:val="18"/>
              </w:rPr>
              <w:t>）</w:t>
            </w:r>
          </w:p>
        </w:tc>
        <w:tc>
          <w:tcPr>
            <w:tcW w:w="3213" w:type="dxa"/>
            <w:tcBorders>
              <w:top w:val="single" w:sz="2" w:space="0" w:color="auto"/>
              <w:left w:val="single" w:sz="2" w:space="0" w:color="auto"/>
              <w:bottom w:val="single" w:sz="2" w:space="0" w:color="auto"/>
              <w:right w:val="single" w:sz="2" w:space="0" w:color="auto"/>
            </w:tcBorders>
            <w:vAlign w:val="center"/>
          </w:tcPr>
          <w:p w14:paraId="0EFBFF6F"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83016A" w14:textId="77777777" w:rsidR="007B3DB2" w:rsidRPr="0063248C" w:rsidRDefault="00000000">
            <w:pPr>
              <w:spacing w:line="240" w:lineRule="exact"/>
              <w:jc w:val="right"/>
              <w:rPr>
                <w:rFonts w:cs="宋体"/>
                <w:sz w:val="18"/>
                <w:szCs w:val="18"/>
              </w:rPr>
            </w:pPr>
            <w:r w:rsidRPr="0063248C">
              <w:rPr>
                <w:rFonts w:cs="宋体"/>
                <w:sz w:val="18"/>
                <w:szCs w:val="18"/>
              </w:rPr>
              <w:t>72,221.95</w:t>
            </w:r>
          </w:p>
        </w:tc>
      </w:tr>
      <w:tr w:rsidR="007B3DB2" w:rsidRPr="0063248C" w14:paraId="1AE535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EDD055" w14:textId="77777777" w:rsidR="007B3DB2" w:rsidRPr="0063248C" w:rsidRDefault="00000000">
            <w:pPr>
              <w:spacing w:before="40" w:after="40" w:line="240" w:lineRule="exact"/>
              <w:rPr>
                <w:rFonts w:cs="宋体"/>
                <w:sz w:val="18"/>
                <w:szCs w:val="18"/>
              </w:rPr>
            </w:pPr>
            <w:r w:rsidRPr="0063248C">
              <w:rPr>
                <w:rFonts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175E26CC" w14:textId="77777777" w:rsidR="007B3DB2" w:rsidRPr="0063248C" w:rsidRDefault="00000000">
            <w:pPr>
              <w:spacing w:line="240" w:lineRule="exact"/>
              <w:jc w:val="right"/>
              <w:rPr>
                <w:rFonts w:cs="宋体"/>
                <w:sz w:val="18"/>
                <w:szCs w:val="18"/>
              </w:rPr>
            </w:pPr>
            <w:r w:rsidRPr="0063248C">
              <w:rPr>
                <w:rFonts w:cs="宋体"/>
                <w:sz w:val="18"/>
                <w:szCs w:val="18"/>
              </w:rPr>
              <w:t>-515,299,374.16</w:t>
            </w:r>
          </w:p>
        </w:tc>
        <w:tc>
          <w:tcPr>
            <w:tcW w:w="3213" w:type="dxa"/>
            <w:tcBorders>
              <w:top w:val="single" w:sz="2" w:space="0" w:color="auto"/>
              <w:left w:val="single" w:sz="2" w:space="0" w:color="auto"/>
              <w:bottom w:val="single" w:sz="2" w:space="0" w:color="auto"/>
              <w:right w:val="single" w:sz="2" w:space="0" w:color="auto"/>
            </w:tcBorders>
            <w:vAlign w:val="center"/>
          </w:tcPr>
          <w:p w14:paraId="12031264" w14:textId="77777777" w:rsidR="007B3DB2" w:rsidRPr="0063248C" w:rsidRDefault="00000000">
            <w:pPr>
              <w:spacing w:line="240" w:lineRule="exact"/>
              <w:jc w:val="right"/>
              <w:rPr>
                <w:rFonts w:cs="宋体"/>
                <w:sz w:val="18"/>
                <w:szCs w:val="18"/>
              </w:rPr>
            </w:pPr>
            <w:r w:rsidRPr="0063248C">
              <w:rPr>
                <w:rFonts w:cs="宋体"/>
                <w:sz w:val="18"/>
                <w:szCs w:val="18"/>
              </w:rPr>
              <w:t>1,023,054,329.92</w:t>
            </w:r>
          </w:p>
        </w:tc>
      </w:tr>
      <w:tr w:rsidR="007B3DB2" w:rsidRPr="0063248C" w14:paraId="2C2710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380D65" w14:textId="77777777" w:rsidR="007B3DB2" w:rsidRPr="0063248C" w:rsidRDefault="00000000">
            <w:pPr>
              <w:spacing w:before="40" w:after="40" w:line="240" w:lineRule="exact"/>
              <w:rPr>
                <w:rFonts w:cs="宋体"/>
                <w:sz w:val="18"/>
                <w:szCs w:val="18"/>
              </w:rPr>
            </w:pPr>
            <w:r w:rsidRPr="0063248C">
              <w:rPr>
                <w:rFonts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14:paraId="0F66CA4A" w14:textId="77777777" w:rsidR="007B3DB2" w:rsidRPr="0063248C" w:rsidRDefault="00000000">
            <w:pPr>
              <w:spacing w:line="240" w:lineRule="exact"/>
              <w:jc w:val="right"/>
              <w:rPr>
                <w:rFonts w:cs="宋体"/>
                <w:sz w:val="18"/>
                <w:szCs w:val="18"/>
              </w:rPr>
            </w:pPr>
            <w:r w:rsidRPr="0063248C">
              <w:rPr>
                <w:rFonts w:cs="宋体"/>
                <w:sz w:val="18"/>
                <w:szCs w:val="18"/>
              </w:rPr>
              <w:t>58,152,622.01</w:t>
            </w:r>
          </w:p>
        </w:tc>
        <w:tc>
          <w:tcPr>
            <w:tcW w:w="3213" w:type="dxa"/>
            <w:tcBorders>
              <w:top w:val="single" w:sz="2" w:space="0" w:color="auto"/>
              <w:left w:val="single" w:sz="2" w:space="0" w:color="auto"/>
              <w:bottom w:val="single" w:sz="2" w:space="0" w:color="auto"/>
              <w:right w:val="single" w:sz="2" w:space="0" w:color="auto"/>
            </w:tcBorders>
            <w:vAlign w:val="center"/>
          </w:tcPr>
          <w:p w14:paraId="756B3040" w14:textId="77777777" w:rsidR="007B3DB2" w:rsidRPr="0063248C" w:rsidRDefault="00000000">
            <w:pPr>
              <w:spacing w:line="240" w:lineRule="exact"/>
              <w:jc w:val="right"/>
              <w:rPr>
                <w:rFonts w:cs="宋体"/>
                <w:sz w:val="18"/>
                <w:szCs w:val="18"/>
              </w:rPr>
            </w:pPr>
            <w:r w:rsidRPr="0063248C">
              <w:rPr>
                <w:rFonts w:cs="宋体"/>
                <w:sz w:val="18"/>
                <w:szCs w:val="18"/>
              </w:rPr>
              <w:t>-624,337,418.82</w:t>
            </w:r>
          </w:p>
        </w:tc>
      </w:tr>
      <w:tr w:rsidR="007B3DB2" w:rsidRPr="0063248C" w14:paraId="04138D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ABCF92" w14:textId="77777777" w:rsidR="007B3DB2" w:rsidRPr="0063248C" w:rsidRDefault="00000000">
            <w:pPr>
              <w:spacing w:before="40" w:after="40" w:line="240" w:lineRule="exact"/>
              <w:rPr>
                <w:rFonts w:cs="宋体"/>
                <w:sz w:val="18"/>
                <w:szCs w:val="18"/>
              </w:rPr>
            </w:pPr>
            <w:r w:rsidRPr="0063248C">
              <w:rPr>
                <w:rFonts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674703AE" w14:textId="77777777" w:rsidR="007B3DB2" w:rsidRPr="0063248C" w:rsidRDefault="00000000">
            <w:pPr>
              <w:spacing w:line="240" w:lineRule="exact"/>
              <w:jc w:val="right"/>
              <w:rPr>
                <w:rFonts w:cs="宋体"/>
                <w:sz w:val="18"/>
                <w:szCs w:val="18"/>
              </w:rPr>
            </w:pPr>
            <w:r w:rsidRPr="0063248C">
              <w:rPr>
                <w:rFonts w:cs="宋体"/>
                <w:sz w:val="18"/>
                <w:szCs w:val="18"/>
              </w:rPr>
              <w:t>-457,146,752.15</w:t>
            </w:r>
          </w:p>
        </w:tc>
        <w:tc>
          <w:tcPr>
            <w:tcW w:w="3213" w:type="dxa"/>
            <w:tcBorders>
              <w:top w:val="single" w:sz="2" w:space="0" w:color="auto"/>
              <w:left w:val="single" w:sz="2" w:space="0" w:color="auto"/>
              <w:bottom w:val="single" w:sz="2" w:space="0" w:color="auto"/>
              <w:right w:val="single" w:sz="2" w:space="0" w:color="auto"/>
            </w:tcBorders>
            <w:vAlign w:val="center"/>
          </w:tcPr>
          <w:p w14:paraId="2A651CEE" w14:textId="77777777" w:rsidR="007B3DB2" w:rsidRPr="0063248C" w:rsidRDefault="00000000">
            <w:pPr>
              <w:spacing w:line="240" w:lineRule="exact"/>
              <w:jc w:val="right"/>
              <w:rPr>
                <w:rFonts w:cs="宋体"/>
                <w:sz w:val="18"/>
                <w:szCs w:val="18"/>
              </w:rPr>
            </w:pPr>
            <w:r w:rsidRPr="0063248C">
              <w:rPr>
                <w:rFonts w:cs="宋体"/>
                <w:sz w:val="18"/>
                <w:szCs w:val="18"/>
              </w:rPr>
              <w:t>398,716,911.10</w:t>
            </w:r>
          </w:p>
        </w:tc>
      </w:tr>
    </w:tbl>
    <w:p w14:paraId="7D26A7C7" w14:textId="77777777" w:rsidR="007B3DB2" w:rsidRPr="0063248C" w:rsidRDefault="00000000">
      <w:pPr>
        <w:spacing w:before="100" w:after="100" w:line="240" w:lineRule="exact"/>
        <w:rPr>
          <w:rFonts w:cs="宋体"/>
          <w:sz w:val="18"/>
          <w:szCs w:val="18"/>
        </w:rPr>
      </w:pPr>
      <w:r w:rsidRPr="0063248C">
        <w:rPr>
          <w:rFonts w:cs="宋体"/>
          <w:sz w:val="18"/>
          <w:szCs w:val="18"/>
        </w:rPr>
        <w:t>调整期初未分配利润明细：</w:t>
      </w:r>
    </w:p>
    <w:p w14:paraId="4EFF7B2C"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、由于《企业会计准则》及其相关新规定进行追溯调整，影响期初未分配利润</w:t>
      </w:r>
      <w:r w:rsidRPr="0063248C">
        <w:rPr>
          <w:rFonts w:cs="宋体"/>
          <w:sz w:val="18"/>
          <w:szCs w:val="18"/>
        </w:rPr>
        <w:t>0.00</w:t>
      </w:r>
      <w:r w:rsidRPr="0063248C">
        <w:rPr>
          <w:rFonts w:cs="宋体"/>
          <w:sz w:val="18"/>
          <w:szCs w:val="18"/>
        </w:rPr>
        <w:t>元。</w:t>
      </w:r>
    </w:p>
    <w:p w14:paraId="3A2526D1"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、由于会计政策变更，影响期初未分配利润</w:t>
      </w:r>
      <w:r w:rsidRPr="0063248C">
        <w:rPr>
          <w:rFonts w:cs="宋体"/>
          <w:sz w:val="18"/>
          <w:szCs w:val="18"/>
        </w:rPr>
        <w:t>0.00</w:t>
      </w:r>
      <w:r w:rsidRPr="0063248C">
        <w:rPr>
          <w:rFonts w:cs="宋体"/>
          <w:sz w:val="18"/>
          <w:szCs w:val="18"/>
        </w:rPr>
        <w:t>元。</w:t>
      </w:r>
    </w:p>
    <w:p w14:paraId="3E4F05FB"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、由于重大会计差错更正，影响期初未分配利润</w:t>
      </w:r>
      <w:r w:rsidRPr="0063248C">
        <w:rPr>
          <w:rFonts w:cs="宋体"/>
          <w:sz w:val="18"/>
          <w:szCs w:val="18"/>
        </w:rPr>
        <w:t>0.00</w:t>
      </w:r>
      <w:r w:rsidRPr="0063248C">
        <w:rPr>
          <w:rFonts w:cs="宋体"/>
          <w:sz w:val="18"/>
          <w:szCs w:val="18"/>
        </w:rPr>
        <w:t>元。</w:t>
      </w:r>
    </w:p>
    <w:p w14:paraId="78A530CB" w14:textId="77777777" w:rsidR="007B3DB2" w:rsidRPr="0063248C" w:rsidRDefault="00000000">
      <w:pPr>
        <w:spacing w:before="40" w:after="40" w:line="240" w:lineRule="exact"/>
        <w:rPr>
          <w:rFonts w:cs="宋体"/>
          <w:sz w:val="18"/>
          <w:szCs w:val="18"/>
        </w:rPr>
      </w:pPr>
      <w:r w:rsidRPr="0063248C">
        <w:rPr>
          <w:rFonts w:cs="宋体"/>
          <w:sz w:val="18"/>
          <w:szCs w:val="18"/>
        </w:rPr>
        <w:t>4)</w:t>
      </w:r>
      <w:r w:rsidRPr="0063248C">
        <w:rPr>
          <w:rFonts w:cs="宋体"/>
          <w:sz w:val="18"/>
          <w:szCs w:val="18"/>
        </w:rPr>
        <w:t>、由于同</w:t>
      </w:r>
      <w:proofErr w:type="gramStart"/>
      <w:r w:rsidRPr="0063248C">
        <w:rPr>
          <w:rFonts w:cs="宋体"/>
          <w:sz w:val="18"/>
          <w:szCs w:val="18"/>
        </w:rPr>
        <w:t>一控制</w:t>
      </w:r>
      <w:proofErr w:type="gramEnd"/>
      <w:r w:rsidRPr="0063248C">
        <w:rPr>
          <w:rFonts w:cs="宋体"/>
          <w:sz w:val="18"/>
          <w:szCs w:val="18"/>
        </w:rPr>
        <w:t>导致的合并范围变更，影响期初未分配利润</w:t>
      </w:r>
      <w:r w:rsidRPr="0063248C">
        <w:rPr>
          <w:rFonts w:cs="宋体"/>
          <w:sz w:val="18"/>
          <w:szCs w:val="18"/>
        </w:rPr>
        <w:t>0.00</w:t>
      </w:r>
      <w:r w:rsidRPr="0063248C">
        <w:rPr>
          <w:rFonts w:cs="宋体"/>
          <w:sz w:val="18"/>
          <w:szCs w:val="18"/>
        </w:rPr>
        <w:t>元。</w:t>
      </w:r>
    </w:p>
    <w:p w14:paraId="744DC7F1" w14:textId="77777777" w:rsidR="007B3DB2" w:rsidRPr="0063248C" w:rsidRDefault="00000000">
      <w:pPr>
        <w:spacing w:before="40" w:after="40" w:line="240" w:lineRule="exact"/>
        <w:rPr>
          <w:rFonts w:cs="宋体"/>
          <w:sz w:val="18"/>
          <w:szCs w:val="18"/>
        </w:rPr>
      </w:pPr>
      <w:r w:rsidRPr="0063248C">
        <w:rPr>
          <w:rFonts w:cs="宋体"/>
          <w:sz w:val="18"/>
          <w:szCs w:val="18"/>
        </w:rPr>
        <w:t>5)</w:t>
      </w:r>
      <w:r w:rsidRPr="0063248C">
        <w:rPr>
          <w:rFonts w:cs="宋体"/>
          <w:sz w:val="18"/>
          <w:szCs w:val="18"/>
        </w:rPr>
        <w:t>、其他调整合计影响期初未分配利润</w:t>
      </w:r>
      <w:r w:rsidRPr="0063248C">
        <w:rPr>
          <w:rFonts w:cs="宋体"/>
          <w:sz w:val="18"/>
          <w:szCs w:val="18"/>
        </w:rPr>
        <w:t>0.00</w:t>
      </w:r>
      <w:r w:rsidRPr="0063248C">
        <w:rPr>
          <w:rFonts w:cs="宋体"/>
          <w:sz w:val="18"/>
          <w:szCs w:val="18"/>
        </w:rPr>
        <w:t>元。</w:t>
      </w:r>
    </w:p>
    <w:p w14:paraId="66FC4D7A" w14:textId="77777777" w:rsidR="007B3DB2" w:rsidRPr="0063248C" w:rsidRDefault="00000000">
      <w:pPr>
        <w:pStyle w:val="3"/>
        <w:spacing w:line="280" w:lineRule="exact"/>
        <w:jc w:val="left"/>
        <w:rPr>
          <w:rFonts w:cs="宋体"/>
          <w:b/>
          <w:bCs/>
        </w:rPr>
      </w:pPr>
      <w:bookmarkStart w:id="363" w:name="_Toc989252"/>
      <w:r w:rsidRPr="0063248C">
        <w:rPr>
          <w:rFonts w:cs="宋体"/>
          <w:b/>
          <w:bCs/>
        </w:rPr>
        <w:t>61</w:t>
      </w:r>
      <w:r w:rsidRPr="0063248C">
        <w:rPr>
          <w:rFonts w:cs="宋体"/>
          <w:b/>
          <w:bCs/>
        </w:rPr>
        <w:t>、营业收入和营业成本</w:t>
      </w:r>
      <w:bookmarkEnd w:id="363"/>
    </w:p>
    <w:p w14:paraId="783534EE"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37EB34E3"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3C9914"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BC96F9B"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9CB50E4"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6044BF5C"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558BE2F"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884E31F" w14:textId="77777777" w:rsidR="007B3DB2" w:rsidRPr="0063248C" w:rsidRDefault="00000000">
            <w:pPr>
              <w:spacing w:before="40" w:after="40" w:line="240" w:lineRule="exact"/>
              <w:jc w:val="center"/>
              <w:rPr>
                <w:rFonts w:cs="宋体"/>
                <w:sz w:val="18"/>
                <w:szCs w:val="18"/>
              </w:rPr>
            </w:pPr>
            <w:r w:rsidRPr="0063248C">
              <w:rPr>
                <w:rFonts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D09F222" w14:textId="77777777" w:rsidR="007B3DB2" w:rsidRPr="0063248C" w:rsidRDefault="00000000">
            <w:pPr>
              <w:spacing w:before="40" w:after="40" w:line="240" w:lineRule="exact"/>
              <w:jc w:val="center"/>
              <w:rPr>
                <w:rFonts w:cs="宋体"/>
                <w:sz w:val="18"/>
                <w:szCs w:val="18"/>
              </w:rPr>
            </w:pPr>
            <w:r w:rsidRPr="0063248C">
              <w:rPr>
                <w:rFonts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19ABBF8" w14:textId="77777777" w:rsidR="007B3DB2" w:rsidRPr="0063248C" w:rsidRDefault="00000000">
            <w:pPr>
              <w:spacing w:before="40" w:after="40" w:line="240" w:lineRule="exact"/>
              <w:jc w:val="center"/>
              <w:rPr>
                <w:rFonts w:cs="宋体"/>
                <w:sz w:val="18"/>
                <w:szCs w:val="18"/>
              </w:rPr>
            </w:pPr>
            <w:r w:rsidRPr="0063248C">
              <w:rPr>
                <w:rFonts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82A0D15" w14:textId="77777777" w:rsidR="007B3DB2" w:rsidRPr="0063248C" w:rsidRDefault="00000000">
            <w:pPr>
              <w:spacing w:before="40" w:after="40" w:line="240" w:lineRule="exact"/>
              <w:jc w:val="center"/>
              <w:rPr>
                <w:rFonts w:cs="宋体"/>
                <w:sz w:val="18"/>
                <w:szCs w:val="18"/>
              </w:rPr>
            </w:pPr>
            <w:r w:rsidRPr="0063248C">
              <w:rPr>
                <w:rFonts w:cs="宋体"/>
                <w:sz w:val="18"/>
                <w:szCs w:val="18"/>
              </w:rPr>
              <w:t>成本</w:t>
            </w:r>
          </w:p>
        </w:tc>
      </w:tr>
      <w:tr w:rsidR="007B3DB2" w:rsidRPr="0063248C" w14:paraId="1A379A2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86E195E" w14:textId="77777777" w:rsidR="007B3DB2" w:rsidRPr="0063248C" w:rsidRDefault="00000000">
            <w:pPr>
              <w:spacing w:before="40" w:after="40" w:line="240" w:lineRule="exact"/>
              <w:rPr>
                <w:rFonts w:cs="宋体"/>
                <w:sz w:val="18"/>
                <w:szCs w:val="18"/>
              </w:rPr>
            </w:pPr>
            <w:r w:rsidRPr="0063248C">
              <w:rPr>
                <w:rFonts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14:paraId="42D00909" w14:textId="77777777" w:rsidR="007B3DB2" w:rsidRPr="0063248C" w:rsidRDefault="00000000">
            <w:pPr>
              <w:spacing w:line="240" w:lineRule="exact"/>
              <w:jc w:val="right"/>
              <w:rPr>
                <w:rFonts w:cs="宋体"/>
                <w:sz w:val="18"/>
                <w:szCs w:val="18"/>
              </w:rPr>
            </w:pPr>
            <w:r w:rsidRPr="0063248C">
              <w:rPr>
                <w:rFonts w:cs="宋体"/>
                <w:sz w:val="18"/>
                <w:szCs w:val="18"/>
              </w:rPr>
              <w:t>5,020,163,105.35</w:t>
            </w:r>
          </w:p>
        </w:tc>
        <w:tc>
          <w:tcPr>
            <w:tcW w:w="1928" w:type="dxa"/>
            <w:tcBorders>
              <w:top w:val="single" w:sz="2" w:space="0" w:color="auto"/>
              <w:left w:val="single" w:sz="2" w:space="0" w:color="auto"/>
              <w:bottom w:val="single" w:sz="2" w:space="0" w:color="auto"/>
              <w:right w:val="single" w:sz="2" w:space="0" w:color="auto"/>
            </w:tcBorders>
            <w:vAlign w:val="center"/>
          </w:tcPr>
          <w:p w14:paraId="41F76899" w14:textId="77777777" w:rsidR="007B3DB2" w:rsidRPr="0063248C" w:rsidRDefault="00000000">
            <w:pPr>
              <w:spacing w:line="240" w:lineRule="exact"/>
              <w:jc w:val="right"/>
              <w:rPr>
                <w:rFonts w:cs="宋体"/>
                <w:sz w:val="18"/>
                <w:szCs w:val="18"/>
              </w:rPr>
            </w:pPr>
            <w:r w:rsidRPr="0063248C">
              <w:rPr>
                <w:rFonts w:cs="宋体"/>
                <w:sz w:val="18"/>
                <w:szCs w:val="18"/>
              </w:rPr>
              <w:t>4,775,003,539.01</w:t>
            </w:r>
          </w:p>
        </w:tc>
        <w:tc>
          <w:tcPr>
            <w:tcW w:w="1928" w:type="dxa"/>
            <w:tcBorders>
              <w:top w:val="single" w:sz="2" w:space="0" w:color="auto"/>
              <w:left w:val="single" w:sz="2" w:space="0" w:color="auto"/>
              <w:bottom w:val="single" w:sz="2" w:space="0" w:color="auto"/>
              <w:right w:val="single" w:sz="2" w:space="0" w:color="auto"/>
            </w:tcBorders>
            <w:vAlign w:val="center"/>
          </w:tcPr>
          <w:p w14:paraId="4B74969D" w14:textId="77777777" w:rsidR="007B3DB2" w:rsidRPr="0063248C" w:rsidRDefault="00000000">
            <w:pPr>
              <w:spacing w:line="240" w:lineRule="exact"/>
              <w:jc w:val="right"/>
              <w:rPr>
                <w:rFonts w:cs="宋体"/>
                <w:sz w:val="18"/>
                <w:szCs w:val="18"/>
              </w:rPr>
            </w:pPr>
            <w:r w:rsidRPr="0063248C">
              <w:rPr>
                <w:rFonts w:cs="宋体"/>
                <w:sz w:val="18"/>
                <w:szCs w:val="18"/>
              </w:rPr>
              <w:t>6,718,526,542.23</w:t>
            </w:r>
          </w:p>
        </w:tc>
        <w:tc>
          <w:tcPr>
            <w:tcW w:w="1928" w:type="dxa"/>
            <w:tcBorders>
              <w:top w:val="single" w:sz="2" w:space="0" w:color="auto"/>
              <w:left w:val="single" w:sz="2" w:space="0" w:color="auto"/>
              <w:bottom w:val="single" w:sz="2" w:space="0" w:color="auto"/>
              <w:right w:val="single" w:sz="2" w:space="0" w:color="auto"/>
            </w:tcBorders>
            <w:vAlign w:val="center"/>
          </w:tcPr>
          <w:p w14:paraId="52C2E77D" w14:textId="77777777" w:rsidR="007B3DB2" w:rsidRPr="0063248C" w:rsidRDefault="00000000">
            <w:pPr>
              <w:spacing w:line="240" w:lineRule="exact"/>
              <w:jc w:val="right"/>
              <w:rPr>
                <w:rFonts w:cs="宋体"/>
                <w:sz w:val="18"/>
                <w:szCs w:val="18"/>
              </w:rPr>
            </w:pPr>
            <w:r w:rsidRPr="0063248C">
              <w:rPr>
                <w:rFonts w:cs="宋体"/>
                <w:sz w:val="18"/>
                <w:szCs w:val="18"/>
              </w:rPr>
              <w:t>6,787,762,540.52</w:t>
            </w:r>
          </w:p>
        </w:tc>
      </w:tr>
      <w:tr w:rsidR="007B3DB2" w:rsidRPr="0063248C" w14:paraId="4EBE43F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2227C2C" w14:textId="77777777" w:rsidR="007B3DB2" w:rsidRPr="0063248C" w:rsidRDefault="00000000">
            <w:pPr>
              <w:spacing w:before="40" w:after="40" w:line="240" w:lineRule="exact"/>
              <w:rPr>
                <w:rFonts w:cs="宋体"/>
                <w:sz w:val="18"/>
                <w:szCs w:val="18"/>
              </w:rPr>
            </w:pPr>
            <w:r w:rsidRPr="0063248C">
              <w:rPr>
                <w:rFonts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14:paraId="60029D4B" w14:textId="77777777" w:rsidR="007B3DB2" w:rsidRPr="0063248C" w:rsidRDefault="00000000">
            <w:pPr>
              <w:spacing w:line="240" w:lineRule="exact"/>
              <w:jc w:val="right"/>
              <w:rPr>
                <w:rFonts w:cs="宋体"/>
                <w:sz w:val="18"/>
                <w:szCs w:val="18"/>
              </w:rPr>
            </w:pPr>
            <w:r w:rsidRPr="0063248C">
              <w:rPr>
                <w:rFonts w:cs="宋体"/>
                <w:sz w:val="18"/>
                <w:szCs w:val="18"/>
              </w:rPr>
              <w:t>23,968,915.95</w:t>
            </w:r>
          </w:p>
        </w:tc>
        <w:tc>
          <w:tcPr>
            <w:tcW w:w="1928" w:type="dxa"/>
            <w:tcBorders>
              <w:top w:val="single" w:sz="2" w:space="0" w:color="auto"/>
              <w:left w:val="single" w:sz="2" w:space="0" w:color="auto"/>
              <w:bottom w:val="single" w:sz="2" w:space="0" w:color="auto"/>
              <w:right w:val="single" w:sz="2" w:space="0" w:color="auto"/>
            </w:tcBorders>
            <w:vAlign w:val="center"/>
          </w:tcPr>
          <w:p w14:paraId="5F592301" w14:textId="77777777" w:rsidR="007B3DB2" w:rsidRPr="0063248C" w:rsidRDefault="00000000">
            <w:pPr>
              <w:spacing w:line="240" w:lineRule="exact"/>
              <w:jc w:val="right"/>
              <w:rPr>
                <w:rFonts w:cs="宋体"/>
                <w:sz w:val="18"/>
                <w:szCs w:val="18"/>
              </w:rPr>
            </w:pPr>
            <w:r w:rsidRPr="0063248C">
              <w:rPr>
                <w:rFonts w:cs="宋体"/>
                <w:sz w:val="18"/>
                <w:szCs w:val="18"/>
              </w:rPr>
              <w:t>17,936,268.14</w:t>
            </w:r>
          </w:p>
        </w:tc>
        <w:tc>
          <w:tcPr>
            <w:tcW w:w="1928" w:type="dxa"/>
            <w:tcBorders>
              <w:top w:val="single" w:sz="2" w:space="0" w:color="auto"/>
              <w:left w:val="single" w:sz="2" w:space="0" w:color="auto"/>
              <w:bottom w:val="single" w:sz="2" w:space="0" w:color="auto"/>
              <w:right w:val="single" w:sz="2" w:space="0" w:color="auto"/>
            </w:tcBorders>
            <w:vAlign w:val="center"/>
          </w:tcPr>
          <w:p w14:paraId="79A0D89E" w14:textId="77777777" w:rsidR="007B3DB2" w:rsidRPr="0063248C" w:rsidRDefault="00000000">
            <w:pPr>
              <w:spacing w:line="240" w:lineRule="exact"/>
              <w:jc w:val="right"/>
              <w:rPr>
                <w:rFonts w:cs="宋体"/>
                <w:sz w:val="18"/>
                <w:szCs w:val="18"/>
              </w:rPr>
            </w:pPr>
            <w:r w:rsidRPr="0063248C">
              <w:rPr>
                <w:rFonts w:cs="宋体"/>
                <w:sz w:val="18"/>
                <w:szCs w:val="18"/>
              </w:rPr>
              <w:t>7,895,551.26</w:t>
            </w:r>
          </w:p>
        </w:tc>
        <w:tc>
          <w:tcPr>
            <w:tcW w:w="1928" w:type="dxa"/>
            <w:tcBorders>
              <w:top w:val="single" w:sz="2" w:space="0" w:color="auto"/>
              <w:left w:val="single" w:sz="2" w:space="0" w:color="auto"/>
              <w:bottom w:val="single" w:sz="2" w:space="0" w:color="auto"/>
              <w:right w:val="single" w:sz="2" w:space="0" w:color="auto"/>
            </w:tcBorders>
            <w:vAlign w:val="center"/>
          </w:tcPr>
          <w:p w14:paraId="2AA31DE2" w14:textId="77777777" w:rsidR="007B3DB2" w:rsidRPr="0063248C" w:rsidRDefault="00000000">
            <w:pPr>
              <w:spacing w:line="240" w:lineRule="exact"/>
              <w:jc w:val="right"/>
              <w:rPr>
                <w:rFonts w:cs="宋体"/>
                <w:sz w:val="18"/>
                <w:szCs w:val="18"/>
              </w:rPr>
            </w:pPr>
            <w:r w:rsidRPr="0063248C">
              <w:rPr>
                <w:rFonts w:cs="宋体"/>
                <w:sz w:val="18"/>
                <w:szCs w:val="18"/>
              </w:rPr>
              <w:t>3,490,456.11</w:t>
            </w:r>
          </w:p>
        </w:tc>
      </w:tr>
      <w:tr w:rsidR="007B3DB2" w:rsidRPr="0063248C" w14:paraId="7C5CFE7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412A0C"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02F702BA" w14:textId="77777777" w:rsidR="007B3DB2" w:rsidRPr="0063248C" w:rsidRDefault="00000000">
            <w:pPr>
              <w:spacing w:line="240" w:lineRule="exact"/>
              <w:jc w:val="right"/>
              <w:rPr>
                <w:rFonts w:cs="宋体"/>
                <w:sz w:val="18"/>
                <w:szCs w:val="18"/>
              </w:rPr>
            </w:pPr>
            <w:r w:rsidRPr="0063248C">
              <w:rPr>
                <w:rFonts w:cs="宋体"/>
                <w:sz w:val="18"/>
                <w:szCs w:val="18"/>
              </w:rPr>
              <w:t>5,044,132,021.30</w:t>
            </w:r>
          </w:p>
        </w:tc>
        <w:tc>
          <w:tcPr>
            <w:tcW w:w="1928" w:type="dxa"/>
            <w:tcBorders>
              <w:top w:val="single" w:sz="2" w:space="0" w:color="auto"/>
              <w:left w:val="single" w:sz="2" w:space="0" w:color="auto"/>
              <w:bottom w:val="single" w:sz="2" w:space="0" w:color="auto"/>
              <w:right w:val="single" w:sz="2" w:space="0" w:color="auto"/>
            </w:tcBorders>
            <w:vAlign w:val="center"/>
          </w:tcPr>
          <w:p w14:paraId="5930507E" w14:textId="77777777" w:rsidR="007B3DB2" w:rsidRPr="0063248C" w:rsidRDefault="00000000">
            <w:pPr>
              <w:spacing w:line="240" w:lineRule="exact"/>
              <w:jc w:val="right"/>
              <w:rPr>
                <w:rFonts w:cs="宋体"/>
                <w:sz w:val="18"/>
                <w:szCs w:val="18"/>
              </w:rPr>
            </w:pPr>
            <w:r w:rsidRPr="0063248C">
              <w:rPr>
                <w:rFonts w:cs="宋体"/>
                <w:sz w:val="18"/>
                <w:szCs w:val="18"/>
              </w:rPr>
              <w:t>4,792,939,807.15</w:t>
            </w:r>
          </w:p>
        </w:tc>
        <w:tc>
          <w:tcPr>
            <w:tcW w:w="1928" w:type="dxa"/>
            <w:tcBorders>
              <w:top w:val="single" w:sz="2" w:space="0" w:color="auto"/>
              <w:left w:val="single" w:sz="2" w:space="0" w:color="auto"/>
              <w:bottom w:val="single" w:sz="2" w:space="0" w:color="auto"/>
              <w:right w:val="single" w:sz="2" w:space="0" w:color="auto"/>
            </w:tcBorders>
            <w:vAlign w:val="center"/>
          </w:tcPr>
          <w:p w14:paraId="2D8CD116" w14:textId="77777777" w:rsidR="007B3DB2" w:rsidRPr="0063248C" w:rsidRDefault="00000000">
            <w:pPr>
              <w:spacing w:line="240" w:lineRule="exact"/>
              <w:jc w:val="right"/>
              <w:rPr>
                <w:rFonts w:cs="宋体"/>
                <w:sz w:val="18"/>
                <w:szCs w:val="18"/>
              </w:rPr>
            </w:pPr>
            <w:r w:rsidRPr="0063248C">
              <w:rPr>
                <w:rFonts w:cs="宋体"/>
                <w:sz w:val="18"/>
                <w:szCs w:val="18"/>
              </w:rPr>
              <w:t>6,726,422,093.49</w:t>
            </w:r>
          </w:p>
        </w:tc>
        <w:tc>
          <w:tcPr>
            <w:tcW w:w="1928" w:type="dxa"/>
            <w:tcBorders>
              <w:top w:val="single" w:sz="2" w:space="0" w:color="auto"/>
              <w:left w:val="single" w:sz="2" w:space="0" w:color="auto"/>
              <w:bottom w:val="single" w:sz="2" w:space="0" w:color="auto"/>
              <w:right w:val="single" w:sz="2" w:space="0" w:color="auto"/>
            </w:tcBorders>
            <w:vAlign w:val="center"/>
          </w:tcPr>
          <w:p w14:paraId="0E3E0546" w14:textId="77777777" w:rsidR="007B3DB2" w:rsidRPr="0063248C" w:rsidRDefault="00000000">
            <w:pPr>
              <w:spacing w:line="240" w:lineRule="exact"/>
              <w:jc w:val="right"/>
              <w:rPr>
                <w:rFonts w:cs="宋体"/>
                <w:sz w:val="18"/>
                <w:szCs w:val="18"/>
              </w:rPr>
            </w:pPr>
            <w:r w:rsidRPr="0063248C">
              <w:rPr>
                <w:rFonts w:cs="宋体"/>
                <w:sz w:val="18"/>
                <w:szCs w:val="18"/>
              </w:rPr>
              <w:t>6,791,252,996.63</w:t>
            </w:r>
          </w:p>
        </w:tc>
      </w:tr>
    </w:tbl>
    <w:p w14:paraId="169AB8E8" w14:textId="77777777" w:rsidR="007B3DB2" w:rsidRPr="0063248C" w:rsidRDefault="00000000">
      <w:pPr>
        <w:spacing w:before="100" w:after="100" w:line="240" w:lineRule="exact"/>
        <w:rPr>
          <w:rFonts w:cs="宋体"/>
          <w:sz w:val="18"/>
          <w:szCs w:val="18"/>
        </w:rPr>
      </w:pPr>
      <w:r w:rsidRPr="0063248C">
        <w:rPr>
          <w:rFonts w:cs="宋体"/>
          <w:sz w:val="18"/>
          <w:szCs w:val="18"/>
        </w:rPr>
        <w:t>营业收入、营业成本的分解信息：</w:t>
      </w:r>
    </w:p>
    <w:p w14:paraId="48B44D0F"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562"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34"/>
        <w:gridCol w:w="1598"/>
        <w:gridCol w:w="1521"/>
        <w:gridCol w:w="992"/>
        <w:gridCol w:w="1134"/>
        <w:gridCol w:w="1559"/>
        <w:gridCol w:w="1624"/>
      </w:tblGrid>
      <w:tr w:rsidR="000F65D3" w:rsidRPr="0063248C" w14:paraId="7F1E4C7F" w14:textId="77777777" w:rsidTr="000F65D3">
        <w:trPr>
          <w:trHeight w:val="243"/>
        </w:trPr>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7FD1BCE" w14:textId="77777777" w:rsidR="000F65D3" w:rsidRPr="0063248C" w:rsidRDefault="000F65D3">
            <w:pPr>
              <w:spacing w:before="40" w:after="40" w:line="240" w:lineRule="exact"/>
              <w:jc w:val="center"/>
              <w:rPr>
                <w:rFonts w:cs="宋体"/>
                <w:sz w:val="18"/>
                <w:szCs w:val="18"/>
              </w:rPr>
            </w:pPr>
            <w:r w:rsidRPr="0063248C">
              <w:rPr>
                <w:rFonts w:cs="宋体"/>
                <w:sz w:val="18"/>
                <w:szCs w:val="18"/>
              </w:rPr>
              <w:t>合同分类</w:t>
            </w:r>
          </w:p>
        </w:tc>
        <w:tc>
          <w:tcPr>
            <w:tcW w:w="31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4208221" w14:textId="77777777" w:rsidR="000F65D3" w:rsidRPr="0063248C" w:rsidRDefault="000F65D3">
            <w:pPr>
              <w:spacing w:before="40" w:after="40" w:line="240" w:lineRule="exact"/>
              <w:jc w:val="center"/>
              <w:rPr>
                <w:rFonts w:cs="宋体"/>
                <w:sz w:val="18"/>
                <w:szCs w:val="18"/>
              </w:rPr>
            </w:pPr>
            <w:r w:rsidRPr="0063248C">
              <w:rPr>
                <w:rFonts w:cs="宋体"/>
                <w:sz w:val="18"/>
                <w:szCs w:val="18"/>
              </w:rPr>
              <w:t>分部</w:t>
            </w:r>
            <w:r w:rsidRPr="0063248C">
              <w:rPr>
                <w:rFonts w:cs="宋体"/>
                <w:sz w:val="18"/>
                <w:szCs w:val="18"/>
              </w:rPr>
              <w:t>1</w:t>
            </w:r>
          </w:p>
        </w:tc>
        <w:tc>
          <w:tcPr>
            <w:tcW w:w="212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E2D1316" w14:textId="77777777" w:rsidR="000F65D3" w:rsidRPr="0063248C" w:rsidRDefault="000F65D3">
            <w:pPr>
              <w:spacing w:before="40" w:after="40" w:line="240" w:lineRule="exact"/>
              <w:jc w:val="center"/>
              <w:rPr>
                <w:rFonts w:cs="宋体"/>
                <w:sz w:val="18"/>
                <w:szCs w:val="18"/>
              </w:rPr>
            </w:pPr>
            <w:r w:rsidRPr="0063248C">
              <w:rPr>
                <w:rFonts w:cs="宋体"/>
                <w:sz w:val="18"/>
                <w:szCs w:val="18"/>
              </w:rPr>
              <w:t>分部</w:t>
            </w:r>
            <w:r w:rsidRPr="0063248C">
              <w:rPr>
                <w:rFonts w:cs="宋体"/>
                <w:sz w:val="18"/>
                <w:szCs w:val="18"/>
              </w:rPr>
              <w:t>2</w:t>
            </w:r>
          </w:p>
        </w:tc>
        <w:tc>
          <w:tcPr>
            <w:tcW w:w="318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056DB0C" w14:textId="77777777" w:rsidR="000F65D3" w:rsidRPr="0063248C" w:rsidRDefault="000F65D3">
            <w:pPr>
              <w:spacing w:before="40" w:after="40" w:line="240" w:lineRule="exact"/>
              <w:jc w:val="center"/>
              <w:rPr>
                <w:rFonts w:cs="宋体"/>
                <w:sz w:val="18"/>
                <w:szCs w:val="18"/>
              </w:rPr>
            </w:pPr>
            <w:r w:rsidRPr="0063248C">
              <w:rPr>
                <w:rFonts w:cs="宋体"/>
                <w:sz w:val="18"/>
                <w:szCs w:val="18"/>
              </w:rPr>
              <w:t>合计</w:t>
            </w:r>
          </w:p>
        </w:tc>
      </w:tr>
      <w:tr w:rsidR="000F65D3" w:rsidRPr="0063248C" w14:paraId="6F8C8C76" w14:textId="77777777" w:rsidTr="000F65D3">
        <w:trPr>
          <w:trHeight w:val="243"/>
        </w:trPr>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69AEFB" w14:textId="77777777" w:rsidR="000F65D3" w:rsidRPr="0063248C" w:rsidRDefault="000F65D3"/>
        </w:tc>
        <w:tc>
          <w:tcPr>
            <w:tcW w:w="1598" w:type="dxa"/>
            <w:tcBorders>
              <w:top w:val="single" w:sz="2" w:space="0" w:color="auto"/>
              <w:left w:val="single" w:sz="2" w:space="0" w:color="auto"/>
              <w:bottom w:val="single" w:sz="2" w:space="0" w:color="auto"/>
              <w:right w:val="single" w:sz="2" w:space="0" w:color="auto"/>
            </w:tcBorders>
            <w:shd w:val="clear" w:color="auto" w:fill="D3D3D3"/>
            <w:vAlign w:val="center"/>
          </w:tcPr>
          <w:p w14:paraId="196A9CFE" w14:textId="77777777" w:rsidR="000F65D3" w:rsidRPr="0063248C" w:rsidRDefault="000F65D3">
            <w:pPr>
              <w:spacing w:before="40" w:after="40" w:line="240" w:lineRule="exact"/>
              <w:jc w:val="center"/>
              <w:rPr>
                <w:rFonts w:cs="宋体"/>
                <w:sz w:val="18"/>
                <w:szCs w:val="18"/>
              </w:rPr>
            </w:pPr>
            <w:r w:rsidRPr="0063248C">
              <w:rPr>
                <w:rFonts w:cs="宋体"/>
                <w:sz w:val="18"/>
                <w:szCs w:val="18"/>
              </w:rPr>
              <w:t>营业收入</w:t>
            </w:r>
          </w:p>
        </w:tc>
        <w:tc>
          <w:tcPr>
            <w:tcW w:w="1521" w:type="dxa"/>
            <w:tcBorders>
              <w:top w:val="single" w:sz="2" w:space="0" w:color="auto"/>
              <w:left w:val="single" w:sz="2" w:space="0" w:color="auto"/>
              <w:bottom w:val="single" w:sz="2" w:space="0" w:color="auto"/>
              <w:right w:val="single" w:sz="2" w:space="0" w:color="auto"/>
            </w:tcBorders>
            <w:shd w:val="clear" w:color="auto" w:fill="D3D3D3"/>
            <w:vAlign w:val="center"/>
          </w:tcPr>
          <w:p w14:paraId="2A156C87" w14:textId="77777777" w:rsidR="000F65D3" w:rsidRPr="0063248C" w:rsidRDefault="000F65D3">
            <w:pPr>
              <w:spacing w:before="40" w:after="40" w:line="240" w:lineRule="exact"/>
              <w:jc w:val="center"/>
              <w:rPr>
                <w:rFonts w:cs="宋体"/>
                <w:sz w:val="18"/>
                <w:szCs w:val="18"/>
              </w:rPr>
            </w:pPr>
            <w:r w:rsidRPr="0063248C">
              <w:rPr>
                <w:rFonts w:cs="宋体"/>
                <w:sz w:val="18"/>
                <w:szCs w:val="18"/>
              </w:rPr>
              <w:t>营业成本</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12F14FFC" w14:textId="77777777" w:rsidR="000F65D3" w:rsidRPr="0063248C" w:rsidRDefault="000F65D3">
            <w:pPr>
              <w:spacing w:before="40" w:after="40" w:line="240" w:lineRule="exact"/>
              <w:jc w:val="center"/>
              <w:rPr>
                <w:rFonts w:cs="宋体"/>
                <w:sz w:val="18"/>
                <w:szCs w:val="18"/>
              </w:rPr>
            </w:pPr>
            <w:r w:rsidRPr="0063248C">
              <w:rPr>
                <w:rFonts w:cs="宋体"/>
                <w:sz w:val="18"/>
                <w:szCs w:val="18"/>
              </w:rPr>
              <w:t>营业收入</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E964153" w14:textId="77777777" w:rsidR="000F65D3" w:rsidRPr="0063248C" w:rsidRDefault="000F65D3">
            <w:pPr>
              <w:spacing w:before="40" w:after="40" w:line="240" w:lineRule="exact"/>
              <w:jc w:val="center"/>
              <w:rPr>
                <w:rFonts w:cs="宋体"/>
                <w:sz w:val="18"/>
                <w:szCs w:val="18"/>
              </w:rPr>
            </w:pPr>
            <w:r w:rsidRPr="0063248C">
              <w:rPr>
                <w:rFonts w:cs="宋体"/>
                <w:sz w:val="18"/>
                <w:szCs w:val="18"/>
              </w:rPr>
              <w:t>营业成本</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1C982CC8" w14:textId="77777777" w:rsidR="000F65D3" w:rsidRPr="0063248C" w:rsidRDefault="000F65D3">
            <w:pPr>
              <w:spacing w:before="40" w:after="40" w:line="240" w:lineRule="exact"/>
              <w:jc w:val="center"/>
              <w:rPr>
                <w:rFonts w:cs="宋体"/>
                <w:sz w:val="18"/>
                <w:szCs w:val="18"/>
              </w:rPr>
            </w:pPr>
            <w:r w:rsidRPr="0063248C">
              <w:rPr>
                <w:rFonts w:cs="宋体"/>
                <w:sz w:val="18"/>
                <w:szCs w:val="18"/>
              </w:rPr>
              <w:t>营业收入</w:t>
            </w:r>
          </w:p>
        </w:tc>
        <w:tc>
          <w:tcPr>
            <w:tcW w:w="1624" w:type="dxa"/>
            <w:tcBorders>
              <w:top w:val="single" w:sz="2" w:space="0" w:color="auto"/>
              <w:left w:val="single" w:sz="2" w:space="0" w:color="auto"/>
              <w:bottom w:val="single" w:sz="2" w:space="0" w:color="auto"/>
              <w:right w:val="single" w:sz="2" w:space="0" w:color="auto"/>
            </w:tcBorders>
            <w:shd w:val="clear" w:color="auto" w:fill="D3D3D3"/>
            <w:vAlign w:val="center"/>
          </w:tcPr>
          <w:p w14:paraId="14FAAB5B" w14:textId="77777777" w:rsidR="000F65D3" w:rsidRPr="0063248C" w:rsidRDefault="000F65D3">
            <w:pPr>
              <w:spacing w:before="40" w:after="40" w:line="240" w:lineRule="exact"/>
              <w:jc w:val="center"/>
              <w:rPr>
                <w:rFonts w:cs="宋体"/>
                <w:sz w:val="18"/>
                <w:szCs w:val="18"/>
              </w:rPr>
            </w:pPr>
            <w:r w:rsidRPr="0063248C">
              <w:rPr>
                <w:rFonts w:cs="宋体"/>
                <w:sz w:val="18"/>
                <w:szCs w:val="18"/>
              </w:rPr>
              <w:t>营业成本</w:t>
            </w:r>
          </w:p>
        </w:tc>
      </w:tr>
      <w:tr w:rsidR="000F65D3" w:rsidRPr="0063248C" w14:paraId="6A524936"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DF572DD" w14:textId="77777777" w:rsidR="000F65D3" w:rsidRPr="0063248C" w:rsidRDefault="000F65D3">
            <w:pPr>
              <w:spacing w:before="40" w:after="40" w:line="240" w:lineRule="exact"/>
              <w:rPr>
                <w:rFonts w:cs="宋体"/>
                <w:sz w:val="18"/>
                <w:szCs w:val="18"/>
              </w:rPr>
            </w:pPr>
            <w:r w:rsidRPr="0063248C">
              <w:rPr>
                <w:rFonts w:cs="宋体"/>
                <w:sz w:val="18"/>
                <w:szCs w:val="18"/>
              </w:rPr>
              <w:t>业务类型</w:t>
            </w:r>
          </w:p>
        </w:tc>
        <w:tc>
          <w:tcPr>
            <w:tcW w:w="1598" w:type="dxa"/>
            <w:tcBorders>
              <w:top w:val="single" w:sz="2" w:space="0" w:color="auto"/>
              <w:left w:val="single" w:sz="2" w:space="0" w:color="auto"/>
              <w:bottom w:val="single" w:sz="2" w:space="0" w:color="auto"/>
              <w:right w:val="single" w:sz="2" w:space="0" w:color="auto"/>
            </w:tcBorders>
            <w:vAlign w:val="center"/>
          </w:tcPr>
          <w:p w14:paraId="4C448CFC" w14:textId="77777777" w:rsidR="000F65D3" w:rsidRPr="0063248C" w:rsidRDefault="000F65D3">
            <w:pPr>
              <w:spacing w:line="240" w:lineRule="exact"/>
              <w:jc w:val="right"/>
              <w:rPr>
                <w:rFonts w:cs="宋体"/>
                <w:sz w:val="18"/>
                <w:szCs w:val="18"/>
              </w:rPr>
            </w:pPr>
          </w:p>
        </w:tc>
        <w:tc>
          <w:tcPr>
            <w:tcW w:w="1521" w:type="dxa"/>
            <w:tcBorders>
              <w:top w:val="single" w:sz="2" w:space="0" w:color="auto"/>
              <w:left w:val="single" w:sz="2" w:space="0" w:color="auto"/>
              <w:bottom w:val="single" w:sz="2" w:space="0" w:color="auto"/>
              <w:right w:val="single" w:sz="2" w:space="0" w:color="auto"/>
            </w:tcBorders>
            <w:vAlign w:val="center"/>
          </w:tcPr>
          <w:p w14:paraId="7CE16D65" w14:textId="77777777" w:rsidR="000F65D3" w:rsidRPr="0063248C" w:rsidRDefault="000F65D3">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F2EB154"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D55C43F"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88022CB" w14:textId="77777777" w:rsidR="000F65D3" w:rsidRPr="0063248C" w:rsidRDefault="000F65D3">
            <w:pPr>
              <w:spacing w:line="240" w:lineRule="exact"/>
              <w:jc w:val="right"/>
              <w:rPr>
                <w:rFonts w:cs="宋体"/>
                <w:sz w:val="18"/>
                <w:szCs w:val="18"/>
              </w:rPr>
            </w:pPr>
          </w:p>
        </w:tc>
        <w:tc>
          <w:tcPr>
            <w:tcW w:w="1624" w:type="dxa"/>
            <w:tcBorders>
              <w:top w:val="single" w:sz="2" w:space="0" w:color="auto"/>
              <w:left w:val="single" w:sz="2" w:space="0" w:color="auto"/>
              <w:bottom w:val="single" w:sz="2" w:space="0" w:color="auto"/>
              <w:right w:val="single" w:sz="2" w:space="0" w:color="auto"/>
            </w:tcBorders>
            <w:vAlign w:val="center"/>
          </w:tcPr>
          <w:p w14:paraId="16C3A309" w14:textId="77777777" w:rsidR="000F65D3" w:rsidRPr="0063248C" w:rsidRDefault="000F65D3">
            <w:pPr>
              <w:spacing w:line="240" w:lineRule="exact"/>
              <w:jc w:val="right"/>
              <w:rPr>
                <w:rFonts w:cs="宋体"/>
                <w:sz w:val="18"/>
                <w:szCs w:val="18"/>
              </w:rPr>
            </w:pPr>
          </w:p>
        </w:tc>
      </w:tr>
      <w:tr w:rsidR="000F65D3" w:rsidRPr="0063248C" w14:paraId="14DB1C79"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1CF9E9D" w14:textId="77777777" w:rsidR="000F65D3" w:rsidRPr="0063248C" w:rsidRDefault="000F65D3">
            <w:pPr>
              <w:spacing w:before="40" w:after="40" w:line="240" w:lineRule="exact"/>
              <w:rPr>
                <w:rFonts w:cs="宋体"/>
                <w:sz w:val="18"/>
                <w:szCs w:val="18"/>
              </w:rPr>
            </w:pPr>
            <w:r w:rsidRPr="0063248C">
              <w:rPr>
                <w:rFonts w:cs="宋体"/>
                <w:sz w:val="18"/>
                <w:szCs w:val="18"/>
              </w:rPr>
              <w:t>其中：</w:t>
            </w:r>
          </w:p>
        </w:tc>
        <w:tc>
          <w:tcPr>
            <w:tcW w:w="1598" w:type="dxa"/>
            <w:tcBorders>
              <w:top w:val="single" w:sz="2" w:space="0" w:color="auto"/>
              <w:left w:val="single" w:sz="2" w:space="0" w:color="auto"/>
              <w:bottom w:val="single" w:sz="2" w:space="0" w:color="auto"/>
              <w:right w:val="single" w:sz="2" w:space="0" w:color="auto"/>
            </w:tcBorders>
            <w:shd w:val="clear" w:color="auto" w:fill="D3D3D3"/>
            <w:vAlign w:val="center"/>
          </w:tcPr>
          <w:p w14:paraId="4504F2DB" w14:textId="77777777" w:rsidR="000F65D3" w:rsidRPr="0063248C" w:rsidRDefault="000F65D3"/>
        </w:tc>
        <w:tc>
          <w:tcPr>
            <w:tcW w:w="1521" w:type="dxa"/>
            <w:tcBorders>
              <w:top w:val="single" w:sz="2" w:space="0" w:color="auto"/>
              <w:left w:val="single" w:sz="2" w:space="0" w:color="auto"/>
              <w:bottom w:val="single" w:sz="2" w:space="0" w:color="auto"/>
              <w:right w:val="single" w:sz="2" w:space="0" w:color="auto"/>
            </w:tcBorders>
            <w:shd w:val="clear" w:color="auto" w:fill="D3D3D3"/>
            <w:vAlign w:val="center"/>
          </w:tcPr>
          <w:p w14:paraId="69E5A548" w14:textId="77777777" w:rsidR="000F65D3" w:rsidRPr="0063248C" w:rsidRDefault="000F65D3"/>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A02A050" w14:textId="77777777" w:rsidR="000F65D3" w:rsidRPr="0063248C" w:rsidRDefault="000F65D3"/>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1CCD8C8" w14:textId="77777777" w:rsidR="000F65D3" w:rsidRPr="0063248C" w:rsidRDefault="000F65D3"/>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66A19499" w14:textId="77777777" w:rsidR="000F65D3" w:rsidRPr="0063248C" w:rsidRDefault="000F65D3"/>
        </w:tc>
        <w:tc>
          <w:tcPr>
            <w:tcW w:w="1624" w:type="dxa"/>
            <w:tcBorders>
              <w:top w:val="single" w:sz="2" w:space="0" w:color="auto"/>
              <w:left w:val="single" w:sz="2" w:space="0" w:color="auto"/>
              <w:bottom w:val="single" w:sz="2" w:space="0" w:color="auto"/>
              <w:right w:val="single" w:sz="2" w:space="0" w:color="auto"/>
            </w:tcBorders>
            <w:shd w:val="clear" w:color="auto" w:fill="D3D3D3"/>
            <w:vAlign w:val="center"/>
          </w:tcPr>
          <w:p w14:paraId="5FCE9FF3" w14:textId="77777777" w:rsidR="000F65D3" w:rsidRPr="0063248C" w:rsidRDefault="000F65D3"/>
        </w:tc>
      </w:tr>
      <w:tr w:rsidR="000F65D3" w:rsidRPr="0063248C" w14:paraId="28D59E44"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34E016B7" w14:textId="77777777" w:rsidR="000F65D3" w:rsidRPr="0063248C" w:rsidRDefault="000F65D3">
            <w:pPr>
              <w:spacing w:line="240" w:lineRule="exact"/>
              <w:rPr>
                <w:rFonts w:cs="宋体"/>
                <w:sz w:val="18"/>
                <w:szCs w:val="18"/>
              </w:rPr>
            </w:pPr>
            <w:r w:rsidRPr="0063248C">
              <w:rPr>
                <w:rFonts w:cs="宋体"/>
                <w:sz w:val="18"/>
                <w:szCs w:val="18"/>
              </w:rPr>
              <w:t>鲜冻肉</w:t>
            </w:r>
          </w:p>
        </w:tc>
        <w:tc>
          <w:tcPr>
            <w:tcW w:w="1598" w:type="dxa"/>
            <w:tcBorders>
              <w:top w:val="single" w:sz="2" w:space="0" w:color="auto"/>
              <w:left w:val="single" w:sz="2" w:space="0" w:color="auto"/>
              <w:bottom w:val="single" w:sz="2" w:space="0" w:color="auto"/>
              <w:right w:val="single" w:sz="2" w:space="0" w:color="auto"/>
            </w:tcBorders>
            <w:vAlign w:val="center"/>
          </w:tcPr>
          <w:p w14:paraId="13D42C45" w14:textId="77777777" w:rsidR="000F65D3" w:rsidRPr="0063248C" w:rsidRDefault="000F65D3">
            <w:pPr>
              <w:spacing w:line="240" w:lineRule="exact"/>
              <w:jc w:val="right"/>
              <w:rPr>
                <w:rFonts w:cs="宋体"/>
                <w:sz w:val="18"/>
                <w:szCs w:val="18"/>
              </w:rPr>
            </w:pPr>
            <w:r w:rsidRPr="0063248C">
              <w:rPr>
                <w:rFonts w:cs="宋体"/>
                <w:sz w:val="18"/>
                <w:szCs w:val="18"/>
              </w:rPr>
              <w:t>3,900,971,821.83</w:t>
            </w:r>
          </w:p>
        </w:tc>
        <w:tc>
          <w:tcPr>
            <w:tcW w:w="1521" w:type="dxa"/>
            <w:tcBorders>
              <w:top w:val="single" w:sz="2" w:space="0" w:color="auto"/>
              <w:left w:val="single" w:sz="2" w:space="0" w:color="auto"/>
              <w:bottom w:val="single" w:sz="2" w:space="0" w:color="auto"/>
              <w:right w:val="single" w:sz="2" w:space="0" w:color="auto"/>
            </w:tcBorders>
            <w:vAlign w:val="center"/>
          </w:tcPr>
          <w:p w14:paraId="4DB318F9" w14:textId="77777777" w:rsidR="000F65D3" w:rsidRPr="0063248C" w:rsidRDefault="000F65D3">
            <w:pPr>
              <w:spacing w:line="240" w:lineRule="exact"/>
              <w:jc w:val="right"/>
              <w:rPr>
                <w:rFonts w:cs="宋体"/>
                <w:sz w:val="18"/>
                <w:szCs w:val="18"/>
              </w:rPr>
            </w:pPr>
            <w:r w:rsidRPr="0063248C">
              <w:rPr>
                <w:rFonts w:cs="宋体"/>
                <w:sz w:val="18"/>
                <w:szCs w:val="18"/>
              </w:rPr>
              <w:t>3,791,677,951.86</w:t>
            </w:r>
          </w:p>
        </w:tc>
        <w:tc>
          <w:tcPr>
            <w:tcW w:w="992" w:type="dxa"/>
            <w:tcBorders>
              <w:top w:val="single" w:sz="2" w:space="0" w:color="auto"/>
              <w:left w:val="single" w:sz="2" w:space="0" w:color="auto"/>
              <w:bottom w:val="single" w:sz="2" w:space="0" w:color="auto"/>
              <w:right w:val="single" w:sz="2" w:space="0" w:color="auto"/>
            </w:tcBorders>
            <w:vAlign w:val="center"/>
          </w:tcPr>
          <w:p w14:paraId="6AD1F45A"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398101E"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2EBCC91" w14:textId="77777777" w:rsidR="000F65D3" w:rsidRPr="0063248C" w:rsidRDefault="000F65D3">
            <w:pPr>
              <w:spacing w:line="240" w:lineRule="exact"/>
              <w:jc w:val="right"/>
              <w:rPr>
                <w:rFonts w:cs="宋体"/>
                <w:sz w:val="18"/>
                <w:szCs w:val="18"/>
              </w:rPr>
            </w:pPr>
            <w:r w:rsidRPr="0063248C">
              <w:rPr>
                <w:rFonts w:cs="宋体"/>
                <w:sz w:val="18"/>
                <w:szCs w:val="18"/>
              </w:rPr>
              <w:t>3,900,971,821.83</w:t>
            </w:r>
          </w:p>
        </w:tc>
        <w:tc>
          <w:tcPr>
            <w:tcW w:w="1624" w:type="dxa"/>
            <w:tcBorders>
              <w:top w:val="single" w:sz="2" w:space="0" w:color="auto"/>
              <w:left w:val="single" w:sz="2" w:space="0" w:color="auto"/>
              <w:bottom w:val="single" w:sz="2" w:space="0" w:color="auto"/>
              <w:right w:val="single" w:sz="2" w:space="0" w:color="auto"/>
            </w:tcBorders>
            <w:vAlign w:val="center"/>
          </w:tcPr>
          <w:p w14:paraId="2B139205" w14:textId="77777777" w:rsidR="000F65D3" w:rsidRPr="0063248C" w:rsidRDefault="000F65D3">
            <w:pPr>
              <w:spacing w:line="240" w:lineRule="exact"/>
              <w:jc w:val="right"/>
              <w:rPr>
                <w:rFonts w:cs="宋体"/>
                <w:sz w:val="18"/>
                <w:szCs w:val="18"/>
              </w:rPr>
            </w:pPr>
            <w:r w:rsidRPr="0063248C">
              <w:rPr>
                <w:rFonts w:cs="宋体"/>
                <w:sz w:val="18"/>
                <w:szCs w:val="18"/>
              </w:rPr>
              <w:t>3,791,677,951.86</w:t>
            </w:r>
          </w:p>
        </w:tc>
      </w:tr>
      <w:tr w:rsidR="000F65D3" w:rsidRPr="0063248C" w14:paraId="44FB2327"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26255605" w14:textId="77777777" w:rsidR="000F65D3" w:rsidRPr="0063248C" w:rsidRDefault="000F65D3">
            <w:pPr>
              <w:spacing w:line="240" w:lineRule="exact"/>
              <w:rPr>
                <w:rFonts w:cs="宋体"/>
                <w:sz w:val="18"/>
                <w:szCs w:val="18"/>
              </w:rPr>
            </w:pPr>
            <w:r w:rsidRPr="0063248C">
              <w:rPr>
                <w:rFonts w:cs="宋体"/>
                <w:sz w:val="18"/>
                <w:szCs w:val="18"/>
              </w:rPr>
              <w:t>熟食制品</w:t>
            </w:r>
          </w:p>
        </w:tc>
        <w:tc>
          <w:tcPr>
            <w:tcW w:w="1598" w:type="dxa"/>
            <w:tcBorders>
              <w:top w:val="single" w:sz="2" w:space="0" w:color="auto"/>
              <w:left w:val="single" w:sz="2" w:space="0" w:color="auto"/>
              <w:bottom w:val="single" w:sz="2" w:space="0" w:color="auto"/>
              <w:right w:val="single" w:sz="2" w:space="0" w:color="auto"/>
            </w:tcBorders>
            <w:vAlign w:val="center"/>
          </w:tcPr>
          <w:p w14:paraId="0161C3F4" w14:textId="77777777" w:rsidR="000F65D3" w:rsidRPr="0063248C" w:rsidRDefault="000F65D3">
            <w:pPr>
              <w:spacing w:line="240" w:lineRule="exact"/>
              <w:jc w:val="right"/>
              <w:rPr>
                <w:rFonts w:cs="宋体"/>
                <w:sz w:val="18"/>
                <w:szCs w:val="18"/>
              </w:rPr>
            </w:pPr>
            <w:r w:rsidRPr="0063248C">
              <w:rPr>
                <w:rFonts w:cs="宋体"/>
                <w:sz w:val="18"/>
                <w:szCs w:val="18"/>
              </w:rPr>
              <w:t>109,106,289.03</w:t>
            </w:r>
          </w:p>
        </w:tc>
        <w:tc>
          <w:tcPr>
            <w:tcW w:w="1521" w:type="dxa"/>
            <w:tcBorders>
              <w:top w:val="single" w:sz="2" w:space="0" w:color="auto"/>
              <w:left w:val="single" w:sz="2" w:space="0" w:color="auto"/>
              <w:bottom w:val="single" w:sz="2" w:space="0" w:color="auto"/>
              <w:right w:val="single" w:sz="2" w:space="0" w:color="auto"/>
            </w:tcBorders>
            <w:vAlign w:val="center"/>
          </w:tcPr>
          <w:p w14:paraId="1EA71BB8" w14:textId="77777777" w:rsidR="000F65D3" w:rsidRPr="0063248C" w:rsidRDefault="000F65D3">
            <w:pPr>
              <w:spacing w:line="240" w:lineRule="exact"/>
              <w:jc w:val="right"/>
              <w:rPr>
                <w:rFonts w:cs="宋体"/>
                <w:sz w:val="18"/>
                <w:szCs w:val="18"/>
              </w:rPr>
            </w:pPr>
            <w:r w:rsidRPr="0063248C">
              <w:rPr>
                <w:rFonts w:cs="宋体"/>
                <w:sz w:val="18"/>
                <w:szCs w:val="18"/>
              </w:rPr>
              <w:t>81,898,528.90</w:t>
            </w:r>
          </w:p>
        </w:tc>
        <w:tc>
          <w:tcPr>
            <w:tcW w:w="992" w:type="dxa"/>
            <w:tcBorders>
              <w:top w:val="single" w:sz="2" w:space="0" w:color="auto"/>
              <w:left w:val="single" w:sz="2" w:space="0" w:color="auto"/>
              <w:bottom w:val="single" w:sz="2" w:space="0" w:color="auto"/>
              <w:right w:val="single" w:sz="2" w:space="0" w:color="auto"/>
            </w:tcBorders>
            <w:vAlign w:val="center"/>
          </w:tcPr>
          <w:p w14:paraId="0BDF1E8A"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A3580F"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FD24630" w14:textId="77777777" w:rsidR="000F65D3" w:rsidRPr="0063248C" w:rsidRDefault="000F65D3">
            <w:pPr>
              <w:spacing w:line="240" w:lineRule="exact"/>
              <w:jc w:val="right"/>
              <w:rPr>
                <w:rFonts w:cs="宋体"/>
                <w:sz w:val="18"/>
                <w:szCs w:val="18"/>
              </w:rPr>
            </w:pPr>
            <w:r w:rsidRPr="0063248C">
              <w:rPr>
                <w:rFonts w:cs="宋体"/>
                <w:sz w:val="18"/>
                <w:szCs w:val="18"/>
              </w:rPr>
              <w:t>109,106,289.03</w:t>
            </w:r>
          </w:p>
        </w:tc>
        <w:tc>
          <w:tcPr>
            <w:tcW w:w="1624" w:type="dxa"/>
            <w:tcBorders>
              <w:top w:val="single" w:sz="2" w:space="0" w:color="auto"/>
              <w:left w:val="single" w:sz="2" w:space="0" w:color="auto"/>
              <w:bottom w:val="single" w:sz="2" w:space="0" w:color="auto"/>
              <w:right w:val="single" w:sz="2" w:space="0" w:color="auto"/>
            </w:tcBorders>
            <w:vAlign w:val="center"/>
          </w:tcPr>
          <w:p w14:paraId="40DBA2A3" w14:textId="77777777" w:rsidR="000F65D3" w:rsidRPr="0063248C" w:rsidRDefault="000F65D3">
            <w:pPr>
              <w:spacing w:line="240" w:lineRule="exact"/>
              <w:jc w:val="right"/>
              <w:rPr>
                <w:rFonts w:cs="宋体"/>
                <w:sz w:val="18"/>
                <w:szCs w:val="18"/>
              </w:rPr>
            </w:pPr>
            <w:r w:rsidRPr="0063248C">
              <w:rPr>
                <w:rFonts w:cs="宋体"/>
                <w:sz w:val="18"/>
                <w:szCs w:val="18"/>
              </w:rPr>
              <w:t>81,898,528.90</w:t>
            </w:r>
          </w:p>
        </w:tc>
      </w:tr>
      <w:tr w:rsidR="000F65D3" w:rsidRPr="0063248C" w14:paraId="3F01A3AD"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71806422" w14:textId="77777777" w:rsidR="000F65D3" w:rsidRPr="0063248C" w:rsidRDefault="000F65D3">
            <w:pPr>
              <w:spacing w:line="240" w:lineRule="exact"/>
              <w:rPr>
                <w:rFonts w:cs="宋体"/>
                <w:sz w:val="18"/>
                <w:szCs w:val="18"/>
              </w:rPr>
            </w:pPr>
            <w:r w:rsidRPr="0063248C">
              <w:rPr>
                <w:rFonts w:cs="宋体"/>
                <w:sz w:val="18"/>
                <w:szCs w:val="18"/>
              </w:rPr>
              <w:t>预制食品</w:t>
            </w:r>
          </w:p>
        </w:tc>
        <w:tc>
          <w:tcPr>
            <w:tcW w:w="1598" w:type="dxa"/>
            <w:tcBorders>
              <w:top w:val="single" w:sz="2" w:space="0" w:color="auto"/>
              <w:left w:val="single" w:sz="2" w:space="0" w:color="auto"/>
              <w:bottom w:val="single" w:sz="2" w:space="0" w:color="auto"/>
              <w:right w:val="single" w:sz="2" w:space="0" w:color="auto"/>
            </w:tcBorders>
            <w:vAlign w:val="center"/>
          </w:tcPr>
          <w:p w14:paraId="658E6BCD" w14:textId="77777777" w:rsidR="000F65D3" w:rsidRPr="0063248C" w:rsidRDefault="000F65D3">
            <w:pPr>
              <w:spacing w:line="240" w:lineRule="exact"/>
              <w:jc w:val="right"/>
              <w:rPr>
                <w:rFonts w:cs="宋体"/>
                <w:sz w:val="18"/>
                <w:szCs w:val="18"/>
              </w:rPr>
            </w:pPr>
            <w:r w:rsidRPr="0063248C">
              <w:rPr>
                <w:rFonts w:cs="宋体"/>
                <w:sz w:val="18"/>
                <w:szCs w:val="18"/>
              </w:rPr>
              <w:t>972,704,396.10</w:t>
            </w:r>
          </w:p>
        </w:tc>
        <w:tc>
          <w:tcPr>
            <w:tcW w:w="1521" w:type="dxa"/>
            <w:tcBorders>
              <w:top w:val="single" w:sz="2" w:space="0" w:color="auto"/>
              <w:left w:val="single" w:sz="2" w:space="0" w:color="auto"/>
              <w:bottom w:val="single" w:sz="2" w:space="0" w:color="auto"/>
              <w:right w:val="single" w:sz="2" w:space="0" w:color="auto"/>
            </w:tcBorders>
            <w:vAlign w:val="center"/>
          </w:tcPr>
          <w:p w14:paraId="23CA96A1" w14:textId="77777777" w:rsidR="000F65D3" w:rsidRPr="0063248C" w:rsidRDefault="000F65D3">
            <w:pPr>
              <w:spacing w:line="240" w:lineRule="exact"/>
              <w:jc w:val="right"/>
              <w:rPr>
                <w:rFonts w:cs="宋体"/>
                <w:sz w:val="18"/>
                <w:szCs w:val="18"/>
              </w:rPr>
            </w:pPr>
            <w:r w:rsidRPr="0063248C">
              <w:rPr>
                <w:rFonts w:cs="宋体"/>
                <w:sz w:val="18"/>
                <w:szCs w:val="18"/>
              </w:rPr>
              <w:t>863,813,315.47</w:t>
            </w:r>
          </w:p>
        </w:tc>
        <w:tc>
          <w:tcPr>
            <w:tcW w:w="992" w:type="dxa"/>
            <w:tcBorders>
              <w:top w:val="single" w:sz="2" w:space="0" w:color="auto"/>
              <w:left w:val="single" w:sz="2" w:space="0" w:color="auto"/>
              <w:bottom w:val="single" w:sz="2" w:space="0" w:color="auto"/>
              <w:right w:val="single" w:sz="2" w:space="0" w:color="auto"/>
            </w:tcBorders>
            <w:vAlign w:val="center"/>
          </w:tcPr>
          <w:p w14:paraId="2E015B55"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519923E"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64BC379" w14:textId="77777777" w:rsidR="000F65D3" w:rsidRPr="0063248C" w:rsidRDefault="000F65D3">
            <w:pPr>
              <w:spacing w:line="240" w:lineRule="exact"/>
              <w:jc w:val="right"/>
              <w:rPr>
                <w:rFonts w:cs="宋体"/>
                <w:sz w:val="18"/>
                <w:szCs w:val="18"/>
              </w:rPr>
            </w:pPr>
            <w:r w:rsidRPr="0063248C">
              <w:rPr>
                <w:rFonts w:cs="宋体"/>
                <w:sz w:val="18"/>
                <w:szCs w:val="18"/>
              </w:rPr>
              <w:t>972,704,396.10</w:t>
            </w:r>
          </w:p>
        </w:tc>
        <w:tc>
          <w:tcPr>
            <w:tcW w:w="1624" w:type="dxa"/>
            <w:tcBorders>
              <w:top w:val="single" w:sz="2" w:space="0" w:color="auto"/>
              <w:left w:val="single" w:sz="2" w:space="0" w:color="auto"/>
              <w:bottom w:val="single" w:sz="2" w:space="0" w:color="auto"/>
              <w:right w:val="single" w:sz="2" w:space="0" w:color="auto"/>
            </w:tcBorders>
            <w:vAlign w:val="center"/>
          </w:tcPr>
          <w:p w14:paraId="3396E5FB" w14:textId="77777777" w:rsidR="000F65D3" w:rsidRPr="0063248C" w:rsidRDefault="000F65D3">
            <w:pPr>
              <w:spacing w:line="240" w:lineRule="exact"/>
              <w:jc w:val="right"/>
              <w:rPr>
                <w:rFonts w:cs="宋体"/>
                <w:sz w:val="18"/>
                <w:szCs w:val="18"/>
              </w:rPr>
            </w:pPr>
            <w:r w:rsidRPr="0063248C">
              <w:rPr>
                <w:rFonts w:cs="宋体"/>
                <w:sz w:val="18"/>
                <w:szCs w:val="18"/>
              </w:rPr>
              <w:t>863,813,315.47</w:t>
            </w:r>
          </w:p>
        </w:tc>
      </w:tr>
      <w:tr w:rsidR="000F65D3" w:rsidRPr="0063248C" w14:paraId="72BF9CCF"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3CF1075A" w14:textId="77777777" w:rsidR="000F65D3" w:rsidRPr="0063248C" w:rsidRDefault="000F65D3">
            <w:pPr>
              <w:spacing w:line="240" w:lineRule="exact"/>
              <w:rPr>
                <w:rFonts w:cs="宋体"/>
                <w:sz w:val="18"/>
                <w:szCs w:val="18"/>
              </w:rPr>
            </w:pPr>
            <w:r w:rsidRPr="0063248C">
              <w:rPr>
                <w:rFonts w:cs="宋体"/>
                <w:sz w:val="18"/>
                <w:szCs w:val="18"/>
              </w:rPr>
              <w:t>进口贸易</w:t>
            </w:r>
          </w:p>
        </w:tc>
        <w:tc>
          <w:tcPr>
            <w:tcW w:w="1598" w:type="dxa"/>
            <w:tcBorders>
              <w:top w:val="single" w:sz="2" w:space="0" w:color="auto"/>
              <w:left w:val="single" w:sz="2" w:space="0" w:color="auto"/>
              <w:bottom w:val="single" w:sz="2" w:space="0" w:color="auto"/>
              <w:right w:val="single" w:sz="2" w:space="0" w:color="auto"/>
            </w:tcBorders>
            <w:vAlign w:val="center"/>
          </w:tcPr>
          <w:p w14:paraId="05B3E9EE" w14:textId="77777777" w:rsidR="000F65D3" w:rsidRPr="0063248C" w:rsidRDefault="000F65D3">
            <w:pPr>
              <w:spacing w:line="240" w:lineRule="exact"/>
              <w:jc w:val="right"/>
              <w:rPr>
                <w:rFonts w:cs="宋体"/>
                <w:sz w:val="18"/>
                <w:szCs w:val="18"/>
              </w:rPr>
            </w:pPr>
            <w:r w:rsidRPr="0063248C">
              <w:rPr>
                <w:rFonts w:cs="宋体"/>
                <w:sz w:val="18"/>
                <w:szCs w:val="18"/>
              </w:rPr>
              <w:t>17,694,799.22</w:t>
            </w:r>
          </w:p>
        </w:tc>
        <w:tc>
          <w:tcPr>
            <w:tcW w:w="1521" w:type="dxa"/>
            <w:tcBorders>
              <w:top w:val="single" w:sz="2" w:space="0" w:color="auto"/>
              <w:left w:val="single" w:sz="2" w:space="0" w:color="auto"/>
              <w:bottom w:val="single" w:sz="2" w:space="0" w:color="auto"/>
              <w:right w:val="single" w:sz="2" w:space="0" w:color="auto"/>
            </w:tcBorders>
            <w:vAlign w:val="center"/>
          </w:tcPr>
          <w:p w14:paraId="622207F5" w14:textId="77777777" w:rsidR="000F65D3" w:rsidRPr="0063248C" w:rsidRDefault="000F65D3">
            <w:pPr>
              <w:spacing w:line="240" w:lineRule="exact"/>
              <w:jc w:val="right"/>
              <w:rPr>
                <w:rFonts w:cs="宋体"/>
                <w:sz w:val="18"/>
                <w:szCs w:val="18"/>
              </w:rPr>
            </w:pPr>
            <w:r w:rsidRPr="0063248C">
              <w:rPr>
                <w:rFonts w:cs="宋体"/>
                <w:sz w:val="18"/>
                <w:szCs w:val="18"/>
              </w:rPr>
              <w:t>17,963,015.37</w:t>
            </w:r>
          </w:p>
        </w:tc>
        <w:tc>
          <w:tcPr>
            <w:tcW w:w="992" w:type="dxa"/>
            <w:tcBorders>
              <w:top w:val="single" w:sz="2" w:space="0" w:color="auto"/>
              <w:left w:val="single" w:sz="2" w:space="0" w:color="auto"/>
              <w:bottom w:val="single" w:sz="2" w:space="0" w:color="auto"/>
              <w:right w:val="single" w:sz="2" w:space="0" w:color="auto"/>
            </w:tcBorders>
            <w:vAlign w:val="center"/>
          </w:tcPr>
          <w:p w14:paraId="4E981A32"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C31C1FC"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2E46FED" w14:textId="77777777" w:rsidR="000F65D3" w:rsidRPr="0063248C" w:rsidRDefault="000F65D3">
            <w:pPr>
              <w:spacing w:line="240" w:lineRule="exact"/>
              <w:jc w:val="right"/>
              <w:rPr>
                <w:rFonts w:cs="宋体"/>
                <w:sz w:val="18"/>
                <w:szCs w:val="18"/>
              </w:rPr>
            </w:pPr>
            <w:r w:rsidRPr="0063248C">
              <w:rPr>
                <w:rFonts w:cs="宋体"/>
                <w:sz w:val="18"/>
                <w:szCs w:val="18"/>
              </w:rPr>
              <w:t>17,694,799.22</w:t>
            </w:r>
          </w:p>
        </w:tc>
        <w:tc>
          <w:tcPr>
            <w:tcW w:w="1624" w:type="dxa"/>
            <w:tcBorders>
              <w:top w:val="single" w:sz="2" w:space="0" w:color="auto"/>
              <w:left w:val="single" w:sz="2" w:space="0" w:color="auto"/>
              <w:bottom w:val="single" w:sz="2" w:space="0" w:color="auto"/>
              <w:right w:val="single" w:sz="2" w:space="0" w:color="auto"/>
            </w:tcBorders>
            <w:vAlign w:val="center"/>
          </w:tcPr>
          <w:p w14:paraId="60A69C1B" w14:textId="77777777" w:rsidR="000F65D3" w:rsidRPr="0063248C" w:rsidRDefault="000F65D3">
            <w:pPr>
              <w:spacing w:line="240" w:lineRule="exact"/>
              <w:jc w:val="right"/>
              <w:rPr>
                <w:rFonts w:cs="宋体"/>
                <w:sz w:val="18"/>
                <w:szCs w:val="18"/>
              </w:rPr>
            </w:pPr>
            <w:r w:rsidRPr="0063248C">
              <w:rPr>
                <w:rFonts w:cs="宋体"/>
                <w:sz w:val="18"/>
                <w:szCs w:val="18"/>
              </w:rPr>
              <w:t>17,963,015.37</w:t>
            </w:r>
          </w:p>
        </w:tc>
      </w:tr>
      <w:tr w:rsidR="000F65D3" w:rsidRPr="0063248C" w14:paraId="12FDF806"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3BEFABB5" w14:textId="77777777" w:rsidR="000F65D3" w:rsidRPr="0063248C" w:rsidRDefault="000F65D3">
            <w:pPr>
              <w:spacing w:line="240" w:lineRule="exact"/>
              <w:rPr>
                <w:rFonts w:cs="宋体"/>
                <w:sz w:val="18"/>
                <w:szCs w:val="18"/>
              </w:rPr>
            </w:pPr>
            <w:r w:rsidRPr="0063248C">
              <w:rPr>
                <w:rFonts w:cs="宋体"/>
                <w:sz w:val="18"/>
                <w:szCs w:val="18"/>
              </w:rPr>
              <w:t>其他</w:t>
            </w:r>
          </w:p>
        </w:tc>
        <w:tc>
          <w:tcPr>
            <w:tcW w:w="1598" w:type="dxa"/>
            <w:tcBorders>
              <w:top w:val="single" w:sz="2" w:space="0" w:color="auto"/>
              <w:left w:val="single" w:sz="2" w:space="0" w:color="auto"/>
              <w:bottom w:val="single" w:sz="2" w:space="0" w:color="auto"/>
              <w:right w:val="single" w:sz="2" w:space="0" w:color="auto"/>
            </w:tcBorders>
            <w:vAlign w:val="center"/>
          </w:tcPr>
          <w:p w14:paraId="749B17FE" w14:textId="77777777" w:rsidR="000F65D3" w:rsidRPr="0063248C" w:rsidRDefault="000F65D3">
            <w:pPr>
              <w:spacing w:line="240" w:lineRule="exact"/>
              <w:jc w:val="right"/>
              <w:rPr>
                <w:rFonts w:cs="宋体"/>
                <w:sz w:val="18"/>
                <w:szCs w:val="18"/>
              </w:rPr>
            </w:pPr>
            <w:r w:rsidRPr="0063248C">
              <w:rPr>
                <w:rFonts w:cs="宋体"/>
                <w:sz w:val="18"/>
                <w:szCs w:val="18"/>
              </w:rPr>
              <w:t>43,654,715.12</w:t>
            </w:r>
          </w:p>
        </w:tc>
        <w:tc>
          <w:tcPr>
            <w:tcW w:w="1521" w:type="dxa"/>
            <w:tcBorders>
              <w:top w:val="single" w:sz="2" w:space="0" w:color="auto"/>
              <w:left w:val="single" w:sz="2" w:space="0" w:color="auto"/>
              <w:bottom w:val="single" w:sz="2" w:space="0" w:color="auto"/>
              <w:right w:val="single" w:sz="2" w:space="0" w:color="auto"/>
            </w:tcBorders>
            <w:vAlign w:val="center"/>
          </w:tcPr>
          <w:p w14:paraId="7CF451EC" w14:textId="77777777" w:rsidR="000F65D3" w:rsidRPr="0063248C" w:rsidRDefault="000F65D3">
            <w:pPr>
              <w:spacing w:line="240" w:lineRule="exact"/>
              <w:jc w:val="right"/>
              <w:rPr>
                <w:rFonts w:cs="宋体"/>
                <w:sz w:val="18"/>
                <w:szCs w:val="18"/>
              </w:rPr>
            </w:pPr>
            <w:r w:rsidRPr="0063248C">
              <w:rPr>
                <w:rFonts w:cs="宋体"/>
                <w:sz w:val="18"/>
                <w:szCs w:val="18"/>
              </w:rPr>
              <w:t>37,586,995.55</w:t>
            </w:r>
          </w:p>
        </w:tc>
        <w:tc>
          <w:tcPr>
            <w:tcW w:w="992" w:type="dxa"/>
            <w:tcBorders>
              <w:top w:val="single" w:sz="2" w:space="0" w:color="auto"/>
              <w:left w:val="single" w:sz="2" w:space="0" w:color="auto"/>
              <w:bottom w:val="single" w:sz="2" w:space="0" w:color="auto"/>
              <w:right w:val="single" w:sz="2" w:space="0" w:color="auto"/>
            </w:tcBorders>
            <w:vAlign w:val="center"/>
          </w:tcPr>
          <w:p w14:paraId="43F7C53E"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356B4C4"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1D3ECCC" w14:textId="77777777" w:rsidR="000F65D3" w:rsidRPr="0063248C" w:rsidRDefault="000F65D3">
            <w:pPr>
              <w:spacing w:line="240" w:lineRule="exact"/>
              <w:jc w:val="right"/>
              <w:rPr>
                <w:rFonts w:cs="宋体"/>
                <w:sz w:val="18"/>
                <w:szCs w:val="18"/>
              </w:rPr>
            </w:pPr>
            <w:r w:rsidRPr="0063248C">
              <w:rPr>
                <w:rFonts w:cs="宋体"/>
                <w:sz w:val="18"/>
                <w:szCs w:val="18"/>
              </w:rPr>
              <w:t>43,654,715.12</w:t>
            </w:r>
          </w:p>
        </w:tc>
        <w:tc>
          <w:tcPr>
            <w:tcW w:w="1624" w:type="dxa"/>
            <w:tcBorders>
              <w:top w:val="single" w:sz="2" w:space="0" w:color="auto"/>
              <w:left w:val="single" w:sz="2" w:space="0" w:color="auto"/>
              <w:bottom w:val="single" w:sz="2" w:space="0" w:color="auto"/>
              <w:right w:val="single" w:sz="2" w:space="0" w:color="auto"/>
            </w:tcBorders>
            <w:vAlign w:val="center"/>
          </w:tcPr>
          <w:p w14:paraId="2A301E0F" w14:textId="77777777" w:rsidR="000F65D3" w:rsidRPr="0063248C" w:rsidRDefault="000F65D3">
            <w:pPr>
              <w:spacing w:line="240" w:lineRule="exact"/>
              <w:jc w:val="right"/>
              <w:rPr>
                <w:rFonts w:cs="宋体"/>
                <w:sz w:val="18"/>
                <w:szCs w:val="18"/>
              </w:rPr>
            </w:pPr>
            <w:r w:rsidRPr="0063248C">
              <w:rPr>
                <w:rFonts w:cs="宋体"/>
                <w:sz w:val="18"/>
                <w:szCs w:val="18"/>
              </w:rPr>
              <w:t>37,586,995.55</w:t>
            </w:r>
          </w:p>
        </w:tc>
      </w:tr>
      <w:tr w:rsidR="000F65D3" w:rsidRPr="0063248C" w14:paraId="5F9F8497"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420B81A" w14:textId="77777777" w:rsidR="000F65D3" w:rsidRPr="0063248C" w:rsidRDefault="000F65D3">
            <w:pPr>
              <w:spacing w:before="40" w:after="40" w:line="240" w:lineRule="exact"/>
              <w:rPr>
                <w:rFonts w:cs="宋体"/>
                <w:sz w:val="18"/>
                <w:szCs w:val="18"/>
              </w:rPr>
            </w:pPr>
            <w:r w:rsidRPr="0063248C">
              <w:rPr>
                <w:rFonts w:cs="宋体"/>
                <w:sz w:val="18"/>
                <w:szCs w:val="18"/>
              </w:rPr>
              <w:t>按经营地区分类</w:t>
            </w:r>
          </w:p>
        </w:tc>
        <w:tc>
          <w:tcPr>
            <w:tcW w:w="1598" w:type="dxa"/>
            <w:tcBorders>
              <w:top w:val="single" w:sz="2" w:space="0" w:color="auto"/>
              <w:left w:val="single" w:sz="2" w:space="0" w:color="auto"/>
              <w:bottom w:val="single" w:sz="2" w:space="0" w:color="auto"/>
              <w:right w:val="single" w:sz="2" w:space="0" w:color="auto"/>
            </w:tcBorders>
            <w:vAlign w:val="center"/>
          </w:tcPr>
          <w:p w14:paraId="66438094" w14:textId="77777777" w:rsidR="000F65D3" w:rsidRPr="0063248C" w:rsidRDefault="000F65D3">
            <w:pPr>
              <w:spacing w:line="240" w:lineRule="exact"/>
              <w:jc w:val="right"/>
              <w:rPr>
                <w:rFonts w:cs="宋体"/>
                <w:sz w:val="18"/>
                <w:szCs w:val="18"/>
              </w:rPr>
            </w:pPr>
          </w:p>
        </w:tc>
        <w:tc>
          <w:tcPr>
            <w:tcW w:w="1521" w:type="dxa"/>
            <w:tcBorders>
              <w:top w:val="single" w:sz="2" w:space="0" w:color="auto"/>
              <w:left w:val="single" w:sz="2" w:space="0" w:color="auto"/>
              <w:bottom w:val="single" w:sz="2" w:space="0" w:color="auto"/>
              <w:right w:val="single" w:sz="2" w:space="0" w:color="auto"/>
            </w:tcBorders>
            <w:vAlign w:val="center"/>
          </w:tcPr>
          <w:p w14:paraId="46A8A461" w14:textId="77777777" w:rsidR="000F65D3" w:rsidRPr="0063248C" w:rsidRDefault="000F65D3">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EB6E552"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9884A96"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AB5AF93" w14:textId="77777777" w:rsidR="000F65D3" w:rsidRPr="0063248C" w:rsidRDefault="000F65D3">
            <w:pPr>
              <w:spacing w:line="240" w:lineRule="exact"/>
              <w:jc w:val="right"/>
              <w:rPr>
                <w:rFonts w:cs="宋体"/>
                <w:sz w:val="18"/>
                <w:szCs w:val="18"/>
              </w:rPr>
            </w:pPr>
          </w:p>
        </w:tc>
        <w:tc>
          <w:tcPr>
            <w:tcW w:w="1624" w:type="dxa"/>
            <w:tcBorders>
              <w:top w:val="single" w:sz="2" w:space="0" w:color="auto"/>
              <w:left w:val="single" w:sz="2" w:space="0" w:color="auto"/>
              <w:bottom w:val="single" w:sz="2" w:space="0" w:color="auto"/>
              <w:right w:val="single" w:sz="2" w:space="0" w:color="auto"/>
            </w:tcBorders>
            <w:vAlign w:val="center"/>
          </w:tcPr>
          <w:p w14:paraId="171D71B2" w14:textId="77777777" w:rsidR="000F65D3" w:rsidRPr="0063248C" w:rsidRDefault="000F65D3">
            <w:pPr>
              <w:spacing w:line="240" w:lineRule="exact"/>
              <w:jc w:val="right"/>
              <w:rPr>
                <w:rFonts w:cs="宋体"/>
                <w:sz w:val="18"/>
                <w:szCs w:val="18"/>
              </w:rPr>
            </w:pPr>
          </w:p>
        </w:tc>
      </w:tr>
      <w:tr w:rsidR="000F65D3" w:rsidRPr="0063248C" w14:paraId="4F0E82EB"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5AE8746" w14:textId="77777777" w:rsidR="000F65D3" w:rsidRPr="0063248C" w:rsidRDefault="000F65D3">
            <w:pPr>
              <w:spacing w:before="40" w:after="40" w:line="240" w:lineRule="exact"/>
              <w:rPr>
                <w:rFonts w:cs="宋体"/>
                <w:sz w:val="18"/>
                <w:szCs w:val="18"/>
              </w:rPr>
            </w:pPr>
            <w:r w:rsidRPr="0063248C">
              <w:rPr>
                <w:rFonts w:cs="宋体"/>
                <w:sz w:val="18"/>
                <w:szCs w:val="18"/>
              </w:rPr>
              <w:t xml:space="preserve">　其中：</w:t>
            </w:r>
          </w:p>
        </w:tc>
        <w:tc>
          <w:tcPr>
            <w:tcW w:w="1598" w:type="dxa"/>
            <w:tcBorders>
              <w:top w:val="single" w:sz="2" w:space="0" w:color="auto"/>
              <w:left w:val="single" w:sz="2" w:space="0" w:color="auto"/>
              <w:bottom w:val="single" w:sz="2" w:space="0" w:color="auto"/>
              <w:right w:val="single" w:sz="2" w:space="0" w:color="auto"/>
            </w:tcBorders>
            <w:shd w:val="clear" w:color="auto" w:fill="D3D3D3"/>
            <w:vAlign w:val="center"/>
          </w:tcPr>
          <w:p w14:paraId="138849EC" w14:textId="77777777" w:rsidR="000F65D3" w:rsidRPr="0063248C" w:rsidRDefault="000F65D3"/>
        </w:tc>
        <w:tc>
          <w:tcPr>
            <w:tcW w:w="1521" w:type="dxa"/>
            <w:tcBorders>
              <w:top w:val="single" w:sz="2" w:space="0" w:color="auto"/>
              <w:left w:val="single" w:sz="2" w:space="0" w:color="auto"/>
              <w:bottom w:val="single" w:sz="2" w:space="0" w:color="auto"/>
              <w:right w:val="single" w:sz="2" w:space="0" w:color="auto"/>
            </w:tcBorders>
            <w:shd w:val="clear" w:color="auto" w:fill="D3D3D3"/>
            <w:vAlign w:val="center"/>
          </w:tcPr>
          <w:p w14:paraId="6E888CC4" w14:textId="77777777" w:rsidR="000F65D3" w:rsidRPr="0063248C" w:rsidRDefault="000F65D3"/>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78D3796" w14:textId="77777777" w:rsidR="000F65D3" w:rsidRPr="0063248C" w:rsidRDefault="000F65D3"/>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F9A3D0C" w14:textId="77777777" w:rsidR="000F65D3" w:rsidRPr="0063248C" w:rsidRDefault="000F65D3"/>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2C7DBEDD" w14:textId="77777777" w:rsidR="000F65D3" w:rsidRPr="0063248C" w:rsidRDefault="000F65D3"/>
        </w:tc>
        <w:tc>
          <w:tcPr>
            <w:tcW w:w="1624" w:type="dxa"/>
            <w:tcBorders>
              <w:top w:val="single" w:sz="2" w:space="0" w:color="auto"/>
              <w:left w:val="single" w:sz="2" w:space="0" w:color="auto"/>
              <w:bottom w:val="single" w:sz="2" w:space="0" w:color="auto"/>
              <w:right w:val="single" w:sz="2" w:space="0" w:color="auto"/>
            </w:tcBorders>
            <w:shd w:val="clear" w:color="auto" w:fill="D3D3D3"/>
            <w:vAlign w:val="center"/>
          </w:tcPr>
          <w:p w14:paraId="6F0FDFED" w14:textId="77777777" w:rsidR="000F65D3" w:rsidRPr="0063248C" w:rsidRDefault="000F65D3"/>
        </w:tc>
      </w:tr>
      <w:tr w:rsidR="000F65D3" w:rsidRPr="0063248C" w14:paraId="73A30C11"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7AC13E52" w14:textId="77777777" w:rsidR="000F65D3" w:rsidRPr="0063248C" w:rsidRDefault="000F65D3">
            <w:pPr>
              <w:spacing w:line="240" w:lineRule="exact"/>
              <w:rPr>
                <w:rFonts w:cs="宋体"/>
                <w:sz w:val="18"/>
                <w:szCs w:val="18"/>
              </w:rPr>
            </w:pPr>
            <w:r w:rsidRPr="0063248C">
              <w:rPr>
                <w:rFonts w:cs="宋体"/>
                <w:sz w:val="18"/>
                <w:szCs w:val="18"/>
              </w:rPr>
              <w:t>山东省内</w:t>
            </w:r>
          </w:p>
        </w:tc>
        <w:tc>
          <w:tcPr>
            <w:tcW w:w="1598" w:type="dxa"/>
            <w:tcBorders>
              <w:top w:val="single" w:sz="2" w:space="0" w:color="auto"/>
              <w:left w:val="single" w:sz="2" w:space="0" w:color="auto"/>
              <w:bottom w:val="single" w:sz="2" w:space="0" w:color="auto"/>
              <w:right w:val="single" w:sz="2" w:space="0" w:color="auto"/>
            </w:tcBorders>
            <w:vAlign w:val="center"/>
          </w:tcPr>
          <w:p w14:paraId="6280BE88" w14:textId="77777777" w:rsidR="000F65D3" w:rsidRPr="0063248C" w:rsidRDefault="000F65D3">
            <w:pPr>
              <w:spacing w:line="240" w:lineRule="exact"/>
              <w:jc w:val="right"/>
              <w:rPr>
                <w:rFonts w:cs="宋体"/>
                <w:sz w:val="18"/>
                <w:szCs w:val="18"/>
              </w:rPr>
            </w:pPr>
            <w:r w:rsidRPr="0063248C">
              <w:rPr>
                <w:rFonts w:cs="宋体"/>
                <w:sz w:val="18"/>
                <w:szCs w:val="18"/>
              </w:rPr>
              <w:t>1,923,714,400.53</w:t>
            </w:r>
          </w:p>
        </w:tc>
        <w:tc>
          <w:tcPr>
            <w:tcW w:w="1521" w:type="dxa"/>
            <w:tcBorders>
              <w:top w:val="single" w:sz="2" w:space="0" w:color="auto"/>
              <w:left w:val="single" w:sz="2" w:space="0" w:color="auto"/>
              <w:bottom w:val="single" w:sz="2" w:space="0" w:color="auto"/>
              <w:right w:val="single" w:sz="2" w:space="0" w:color="auto"/>
            </w:tcBorders>
            <w:vAlign w:val="center"/>
          </w:tcPr>
          <w:p w14:paraId="001A533B" w14:textId="77777777" w:rsidR="000F65D3" w:rsidRPr="0063248C" w:rsidRDefault="000F65D3">
            <w:pPr>
              <w:spacing w:line="240" w:lineRule="exact"/>
              <w:jc w:val="right"/>
              <w:rPr>
                <w:rFonts w:cs="宋体"/>
                <w:sz w:val="18"/>
                <w:szCs w:val="18"/>
              </w:rPr>
            </w:pPr>
            <w:r w:rsidRPr="0063248C">
              <w:rPr>
                <w:rFonts w:cs="宋体"/>
                <w:sz w:val="18"/>
                <w:szCs w:val="18"/>
              </w:rPr>
              <w:t>1,775,959,164.89</w:t>
            </w:r>
          </w:p>
        </w:tc>
        <w:tc>
          <w:tcPr>
            <w:tcW w:w="992" w:type="dxa"/>
            <w:tcBorders>
              <w:top w:val="single" w:sz="2" w:space="0" w:color="auto"/>
              <w:left w:val="single" w:sz="2" w:space="0" w:color="auto"/>
              <w:bottom w:val="single" w:sz="2" w:space="0" w:color="auto"/>
              <w:right w:val="single" w:sz="2" w:space="0" w:color="auto"/>
            </w:tcBorders>
            <w:vAlign w:val="center"/>
          </w:tcPr>
          <w:p w14:paraId="0CF7C086"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7A1901A"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C4C53A2" w14:textId="77777777" w:rsidR="000F65D3" w:rsidRPr="0063248C" w:rsidRDefault="000F65D3">
            <w:pPr>
              <w:spacing w:line="240" w:lineRule="exact"/>
              <w:jc w:val="right"/>
              <w:rPr>
                <w:rFonts w:cs="宋体"/>
                <w:sz w:val="18"/>
                <w:szCs w:val="18"/>
              </w:rPr>
            </w:pPr>
            <w:r w:rsidRPr="0063248C">
              <w:rPr>
                <w:rFonts w:cs="宋体"/>
                <w:sz w:val="18"/>
                <w:szCs w:val="18"/>
              </w:rPr>
              <w:t>1,923,714,400.53</w:t>
            </w:r>
          </w:p>
        </w:tc>
        <w:tc>
          <w:tcPr>
            <w:tcW w:w="1624" w:type="dxa"/>
            <w:tcBorders>
              <w:top w:val="single" w:sz="2" w:space="0" w:color="auto"/>
              <w:left w:val="single" w:sz="2" w:space="0" w:color="auto"/>
              <w:bottom w:val="single" w:sz="2" w:space="0" w:color="auto"/>
              <w:right w:val="single" w:sz="2" w:space="0" w:color="auto"/>
            </w:tcBorders>
            <w:vAlign w:val="center"/>
          </w:tcPr>
          <w:p w14:paraId="3731269C" w14:textId="77777777" w:rsidR="000F65D3" w:rsidRPr="0063248C" w:rsidRDefault="000F65D3">
            <w:pPr>
              <w:spacing w:line="240" w:lineRule="exact"/>
              <w:jc w:val="right"/>
              <w:rPr>
                <w:rFonts w:cs="宋体"/>
                <w:sz w:val="18"/>
                <w:szCs w:val="18"/>
              </w:rPr>
            </w:pPr>
            <w:r w:rsidRPr="0063248C">
              <w:rPr>
                <w:rFonts w:cs="宋体"/>
                <w:sz w:val="18"/>
                <w:szCs w:val="18"/>
              </w:rPr>
              <w:t>1,775,959,164.89</w:t>
            </w:r>
          </w:p>
        </w:tc>
      </w:tr>
      <w:tr w:rsidR="000F65D3" w:rsidRPr="0063248C" w14:paraId="56530B98"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5112E528" w14:textId="77777777" w:rsidR="000F65D3" w:rsidRPr="0063248C" w:rsidRDefault="000F65D3">
            <w:pPr>
              <w:spacing w:line="240" w:lineRule="exact"/>
              <w:rPr>
                <w:rFonts w:cs="宋体"/>
                <w:sz w:val="18"/>
                <w:szCs w:val="18"/>
              </w:rPr>
            </w:pPr>
            <w:r w:rsidRPr="0063248C">
              <w:rPr>
                <w:rFonts w:cs="宋体"/>
                <w:sz w:val="18"/>
                <w:szCs w:val="18"/>
              </w:rPr>
              <w:t>华东其他地区</w:t>
            </w:r>
          </w:p>
        </w:tc>
        <w:tc>
          <w:tcPr>
            <w:tcW w:w="1598" w:type="dxa"/>
            <w:tcBorders>
              <w:top w:val="single" w:sz="2" w:space="0" w:color="auto"/>
              <w:left w:val="single" w:sz="2" w:space="0" w:color="auto"/>
              <w:bottom w:val="single" w:sz="2" w:space="0" w:color="auto"/>
              <w:right w:val="single" w:sz="2" w:space="0" w:color="auto"/>
            </w:tcBorders>
            <w:vAlign w:val="center"/>
          </w:tcPr>
          <w:p w14:paraId="5CEE0878" w14:textId="77777777" w:rsidR="000F65D3" w:rsidRPr="0063248C" w:rsidRDefault="000F65D3">
            <w:pPr>
              <w:spacing w:line="240" w:lineRule="exact"/>
              <w:jc w:val="right"/>
              <w:rPr>
                <w:rFonts w:cs="宋体"/>
                <w:sz w:val="18"/>
                <w:szCs w:val="18"/>
              </w:rPr>
            </w:pPr>
            <w:r w:rsidRPr="0063248C">
              <w:rPr>
                <w:rFonts w:cs="宋体"/>
                <w:sz w:val="18"/>
                <w:szCs w:val="18"/>
              </w:rPr>
              <w:t>1,335,385,848.75</w:t>
            </w:r>
          </w:p>
        </w:tc>
        <w:tc>
          <w:tcPr>
            <w:tcW w:w="1521" w:type="dxa"/>
            <w:tcBorders>
              <w:top w:val="single" w:sz="2" w:space="0" w:color="auto"/>
              <w:left w:val="single" w:sz="2" w:space="0" w:color="auto"/>
              <w:bottom w:val="single" w:sz="2" w:space="0" w:color="auto"/>
              <w:right w:val="single" w:sz="2" w:space="0" w:color="auto"/>
            </w:tcBorders>
            <w:vAlign w:val="center"/>
          </w:tcPr>
          <w:p w14:paraId="32C7D4BD" w14:textId="77777777" w:rsidR="000F65D3" w:rsidRPr="0063248C" w:rsidRDefault="000F65D3">
            <w:pPr>
              <w:spacing w:line="240" w:lineRule="exact"/>
              <w:jc w:val="right"/>
              <w:rPr>
                <w:rFonts w:cs="宋体"/>
                <w:sz w:val="18"/>
                <w:szCs w:val="18"/>
              </w:rPr>
            </w:pPr>
            <w:r w:rsidRPr="0063248C">
              <w:rPr>
                <w:rFonts w:cs="宋体"/>
                <w:sz w:val="18"/>
                <w:szCs w:val="18"/>
              </w:rPr>
              <w:t>1,269,039,937.40</w:t>
            </w:r>
          </w:p>
        </w:tc>
        <w:tc>
          <w:tcPr>
            <w:tcW w:w="992" w:type="dxa"/>
            <w:tcBorders>
              <w:top w:val="single" w:sz="2" w:space="0" w:color="auto"/>
              <w:left w:val="single" w:sz="2" w:space="0" w:color="auto"/>
              <w:bottom w:val="single" w:sz="2" w:space="0" w:color="auto"/>
              <w:right w:val="single" w:sz="2" w:space="0" w:color="auto"/>
            </w:tcBorders>
            <w:vAlign w:val="center"/>
          </w:tcPr>
          <w:p w14:paraId="373914C7"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3DEE006"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41120AB" w14:textId="77777777" w:rsidR="000F65D3" w:rsidRPr="0063248C" w:rsidRDefault="000F65D3">
            <w:pPr>
              <w:spacing w:line="240" w:lineRule="exact"/>
              <w:jc w:val="right"/>
              <w:rPr>
                <w:rFonts w:cs="宋体"/>
                <w:sz w:val="18"/>
                <w:szCs w:val="18"/>
              </w:rPr>
            </w:pPr>
            <w:r w:rsidRPr="0063248C">
              <w:rPr>
                <w:rFonts w:cs="宋体"/>
                <w:sz w:val="18"/>
                <w:szCs w:val="18"/>
              </w:rPr>
              <w:t>1,335,385,848.75</w:t>
            </w:r>
          </w:p>
        </w:tc>
        <w:tc>
          <w:tcPr>
            <w:tcW w:w="1624" w:type="dxa"/>
            <w:tcBorders>
              <w:top w:val="single" w:sz="2" w:space="0" w:color="auto"/>
              <w:left w:val="single" w:sz="2" w:space="0" w:color="auto"/>
              <w:bottom w:val="single" w:sz="2" w:space="0" w:color="auto"/>
              <w:right w:val="single" w:sz="2" w:space="0" w:color="auto"/>
            </w:tcBorders>
            <w:vAlign w:val="center"/>
          </w:tcPr>
          <w:p w14:paraId="501F281F" w14:textId="77777777" w:rsidR="000F65D3" w:rsidRPr="0063248C" w:rsidRDefault="000F65D3">
            <w:pPr>
              <w:spacing w:line="240" w:lineRule="exact"/>
              <w:jc w:val="right"/>
              <w:rPr>
                <w:rFonts w:cs="宋体"/>
                <w:sz w:val="18"/>
                <w:szCs w:val="18"/>
              </w:rPr>
            </w:pPr>
            <w:r w:rsidRPr="0063248C">
              <w:rPr>
                <w:rFonts w:cs="宋体"/>
                <w:sz w:val="18"/>
                <w:szCs w:val="18"/>
              </w:rPr>
              <w:t>1,269,039,937.40</w:t>
            </w:r>
          </w:p>
        </w:tc>
      </w:tr>
      <w:tr w:rsidR="000F65D3" w:rsidRPr="0063248C" w14:paraId="1F296D9C"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4AF0BA5B" w14:textId="77777777" w:rsidR="000F65D3" w:rsidRPr="0063248C" w:rsidRDefault="000F65D3">
            <w:pPr>
              <w:spacing w:line="240" w:lineRule="exact"/>
              <w:rPr>
                <w:rFonts w:cs="宋体"/>
                <w:sz w:val="18"/>
                <w:szCs w:val="18"/>
              </w:rPr>
            </w:pPr>
            <w:r w:rsidRPr="0063248C">
              <w:rPr>
                <w:rFonts w:cs="宋体"/>
                <w:sz w:val="18"/>
                <w:szCs w:val="18"/>
              </w:rPr>
              <w:t>华中地区</w:t>
            </w:r>
          </w:p>
        </w:tc>
        <w:tc>
          <w:tcPr>
            <w:tcW w:w="1598" w:type="dxa"/>
            <w:tcBorders>
              <w:top w:val="single" w:sz="2" w:space="0" w:color="auto"/>
              <w:left w:val="single" w:sz="2" w:space="0" w:color="auto"/>
              <w:bottom w:val="single" w:sz="2" w:space="0" w:color="auto"/>
              <w:right w:val="single" w:sz="2" w:space="0" w:color="auto"/>
            </w:tcBorders>
            <w:vAlign w:val="center"/>
          </w:tcPr>
          <w:p w14:paraId="102A23BB" w14:textId="77777777" w:rsidR="000F65D3" w:rsidRPr="0063248C" w:rsidRDefault="000F65D3">
            <w:pPr>
              <w:spacing w:line="240" w:lineRule="exact"/>
              <w:jc w:val="right"/>
              <w:rPr>
                <w:rFonts w:cs="宋体"/>
                <w:sz w:val="18"/>
                <w:szCs w:val="18"/>
              </w:rPr>
            </w:pPr>
            <w:r w:rsidRPr="0063248C">
              <w:rPr>
                <w:rFonts w:cs="宋体"/>
                <w:sz w:val="18"/>
                <w:szCs w:val="18"/>
              </w:rPr>
              <w:t>702,945,146.05</w:t>
            </w:r>
          </w:p>
        </w:tc>
        <w:tc>
          <w:tcPr>
            <w:tcW w:w="1521" w:type="dxa"/>
            <w:tcBorders>
              <w:top w:val="single" w:sz="2" w:space="0" w:color="auto"/>
              <w:left w:val="single" w:sz="2" w:space="0" w:color="auto"/>
              <w:bottom w:val="single" w:sz="2" w:space="0" w:color="auto"/>
              <w:right w:val="single" w:sz="2" w:space="0" w:color="auto"/>
            </w:tcBorders>
            <w:vAlign w:val="center"/>
          </w:tcPr>
          <w:p w14:paraId="3BA97B46" w14:textId="77777777" w:rsidR="000F65D3" w:rsidRPr="0063248C" w:rsidRDefault="000F65D3">
            <w:pPr>
              <w:spacing w:line="240" w:lineRule="exact"/>
              <w:jc w:val="right"/>
              <w:rPr>
                <w:rFonts w:cs="宋体"/>
                <w:sz w:val="18"/>
                <w:szCs w:val="18"/>
              </w:rPr>
            </w:pPr>
            <w:r w:rsidRPr="0063248C">
              <w:rPr>
                <w:rFonts w:cs="宋体"/>
                <w:sz w:val="18"/>
                <w:szCs w:val="18"/>
              </w:rPr>
              <w:t>685,659,548.00</w:t>
            </w:r>
          </w:p>
        </w:tc>
        <w:tc>
          <w:tcPr>
            <w:tcW w:w="992" w:type="dxa"/>
            <w:tcBorders>
              <w:top w:val="single" w:sz="2" w:space="0" w:color="auto"/>
              <w:left w:val="single" w:sz="2" w:space="0" w:color="auto"/>
              <w:bottom w:val="single" w:sz="2" w:space="0" w:color="auto"/>
              <w:right w:val="single" w:sz="2" w:space="0" w:color="auto"/>
            </w:tcBorders>
            <w:vAlign w:val="center"/>
          </w:tcPr>
          <w:p w14:paraId="6FEB0B10"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7144E77"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69CDB6D" w14:textId="77777777" w:rsidR="000F65D3" w:rsidRPr="0063248C" w:rsidRDefault="000F65D3">
            <w:pPr>
              <w:spacing w:line="240" w:lineRule="exact"/>
              <w:jc w:val="right"/>
              <w:rPr>
                <w:rFonts w:cs="宋体"/>
                <w:sz w:val="18"/>
                <w:szCs w:val="18"/>
              </w:rPr>
            </w:pPr>
            <w:r w:rsidRPr="0063248C">
              <w:rPr>
                <w:rFonts w:cs="宋体"/>
                <w:sz w:val="18"/>
                <w:szCs w:val="18"/>
              </w:rPr>
              <w:t>702,945,146.05</w:t>
            </w:r>
          </w:p>
        </w:tc>
        <w:tc>
          <w:tcPr>
            <w:tcW w:w="1624" w:type="dxa"/>
            <w:tcBorders>
              <w:top w:val="single" w:sz="2" w:space="0" w:color="auto"/>
              <w:left w:val="single" w:sz="2" w:space="0" w:color="auto"/>
              <w:bottom w:val="single" w:sz="2" w:space="0" w:color="auto"/>
              <w:right w:val="single" w:sz="2" w:space="0" w:color="auto"/>
            </w:tcBorders>
            <w:vAlign w:val="center"/>
          </w:tcPr>
          <w:p w14:paraId="7A9AC94C" w14:textId="77777777" w:rsidR="000F65D3" w:rsidRPr="0063248C" w:rsidRDefault="000F65D3">
            <w:pPr>
              <w:spacing w:line="240" w:lineRule="exact"/>
              <w:jc w:val="right"/>
              <w:rPr>
                <w:rFonts w:cs="宋体"/>
                <w:sz w:val="18"/>
                <w:szCs w:val="18"/>
              </w:rPr>
            </w:pPr>
            <w:r w:rsidRPr="0063248C">
              <w:rPr>
                <w:rFonts w:cs="宋体"/>
                <w:sz w:val="18"/>
                <w:szCs w:val="18"/>
              </w:rPr>
              <w:t>685,659,548.00</w:t>
            </w:r>
          </w:p>
        </w:tc>
      </w:tr>
      <w:tr w:rsidR="000F65D3" w:rsidRPr="0063248C" w14:paraId="4F4EC518"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135EBD09" w14:textId="77777777" w:rsidR="000F65D3" w:rsidRPr="0063248C" w:rsidRDefault="000F65D3">
            <w:pPr>
              <w:spacing w:line="240" w:lineRule="exact"/>
              <w:rPr>
                <w:rFonts w:cs="宋体"/>
                <w:sz w:val="18"/>
                <w:szCs w:val="18"/>
              </w:rPr>
            </w:pPr>
            <w:r w:rsidRPr="0063248C">
              <w:rPr>
                <w:rFonts w:cs="宋体"/>
                <w:sz w:val="18"/>
                <w:szCs w:val="18"/>
              </w:rPr>
              <w:t>华北地区</w:t>
            </w:r>
          </w:p>
        </w:tc>
        <w:tc>
          <w:tcPr>
            <w:tcW w:w="1598" w:type="dxa"/>
            <w:tcBorders>
              <w:top w:val="single" w:sz="2" w:space="0" w:color="auto"/>
              <w:left w:val="single" w:sz="2" w:space="0" w:color="auto"/>
              <w:bottom w:val="single" w:sz="2" w:space="0" w:color="auto"/>
              <w:right w:val="single" w:sz="2" w:space="0" w:color="auto"/>
            </w:tcBorders>
            <w:vAlign w:val="center"/>
          </w:tcPr>
          <w:p w14:paraId="3486C10F" w14:textId="77777777" w:rsidR="000F65D3" w:rsidRPr="0063248C" w:rsidRDefault="000F65D3">
            <w:pPr>
              <w:spacing w:line="240" w:lineRule="exact"/>
              <w:jc w:val="right"/>
              <w:rPr>
                <w:rFonts w:cs="宋体"/>
                <w:sz w:val="18"/>
                <w:szCs w:val="18"/>
              </w:rPr>
            </w:pPr>
            <w:r w:rsidRPr="0063248C">
              <w:rPr>
                <w:rFonts w:cs="宋体"/>
                <w:sz w:val="18"/>
                <w:szCs w:val="18"/>
              </w:rPr>
              <w:t>261,682,334.26</w:t>
            </w:r>
          </w:p>
        </w:tc>
        <w:tc>
          <w:tcPr>
            <w:tcW w:w="1521" w:type="dxa"/>
            <w:tcBorders>
              <w:top w:val="single" w:sz="2" w:space="0" w:color="auto"/>
              <w:left w:val="single" w:sz="2" w:space="0" w:color="auto"/>
              <w:bottom w:val="single" w:sz="2" w:space="0" w:color="auto"/>
              <w:right w:val="single" w:sz="2" w:space="0" w:color="auto"/>
            </w:tcBorders>
            <w:vAlign w:val="center"/>
          </w:tcPr>
          <w:p w14:paraId="30A93E88" w14:textId="77777777" w:rsidR="000F65D3" w:rsidRPr="0063248C" w:rsidRDefault="000F65D3">
            <w:pPr>
              <w:spacing w:line="240" w:lineRule="exact"/>
              <w:jc w:val="right"/>
              <w:rPr>
                <w:rFonts w:cs="宋体"/>
                <w:sz w:val="18"/>
                <w:szCs w:val="18"/>
              </w:rPr>
            </w:pPr>
            <w:r w:rsidRPr="0063248C">
              <w:rPr>
                <w:rFonts w:cs="宋体"/>
                <w:sz w:val="18"/>
                <w:szCs w:val="18"/>
              </w:rPr>
              <w:t>258,674,351.85</w:t>
            </w:r>
          </w:p>
        </w:tc>
        <w:tc>
          <w:tcPr>
            <w:tcW w:w="992" w:type="dxa"/>
            <w:tcBorders>
              <w:top w:val="single" w:sz="2" w:space="0" w:color="auto"/>
              <w:left w:val="single" w:sz="2" w:space="0" w:color="auto"/>
              <w:bottom w:val="single" w:sz="2" w:space="0" w:color="auto"/>
              <w:right w:val="single" w:sz="2" w:space="0" w:color="auto"/>
            </w:tcBorders>
            <w:vAlign w:val="center"/>
          </w:tcPr>
          <w:p w14:paraId="67D0B854"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D3C4EF3"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A1E4F38" w14:textId="77777777" w:rsidR="000F65D3" w:rsidRPr="0063248C" w:rsidRDefault="000F65D3">
            <w:pPr>
              <w:spacing w:line="240" w:lineRule="exact"/>
              <w:jc w:val="right"/>
              <w:rPr>
                <w:rFonts w:cs="宋体"/>
                <w:sz w:val="18"/>
                <w:szCs w:val="18"/>
              </w:rPr>
            </w:pPr>
            <w:r w:rsidRPr="0063248C">
              <w:rPr>
                <w:rFonts w:cs="宋体"/>
                <w:sz w:val="18"/>
                <w:szCs w:val="18"/>
              </w:rPr>
              <w:t>261,682,334.26</w:t>
            </w:r>
          </w:p>
        </w:tc>
        <w:tc>
          <w:tcPr>
            <w:tcW w:w="1624" w:type="dxa"/>
            <w:tcBorders>
              <w:top w:val="single" w:sz="2" w:space="0" w:color="auto"/>
              <w:left w:val="single" w:sz="2" w:space="0" w:color="auto"/>
              <w:bottom w:val="single" w:sz="2" w:space="0" w:color="auto"/>
              <w:right w:val="single" w:sz="2" w:space="0" w:color="auto"/>
            </w:tcBorders>
            <w:vAlign w:val="center"/>
          </w:tcPr>
          <w:p w14:paraId="77D20676" w14:textId="77777777" w:rsidR="000F65D3" w:rsidRPr="0063248C" w:rsidRDefault="000F65D3">
            <w:pPr>
              <w:spacing w:line="240" w:lineRule="exact"/>
              <w:jc w:val="right"/>
              <w:rPr>
                <w:rFonts w:cs="宋体"/>
                <w:sz w:val="18"/>
                <w:szCs w:val="18"/>
              </w:rPr>
            </w:pPr>
            <w:r w:rsidRPr="0063248C">
              <w:rPr>
                <w:rFonts w:cs="宋体"/>
                <w:sz w:val="18"/>
                <w:szCs w:val="18"/>
              </w:rPr>
              <w:t>258,674,351.85</w:t>
            </w:r>
          </w:p>
        </w:tc>
      </w:tr>
      <w:tr w:rsidR="000F65D3" w:rsidRPr="0063248C" w14:paraId="043097BC"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1BEBF6AC" w14:textId="77777777" w:rsidR="000F65D3" w:rsidRPr="0063248C" w:rsidRDefault="000F65D3">
            <w:pPr>
              <w:spacing w:line="240" w:lineRule="exact"/>
              <w:rPr>
                <w:rFonts w:cs="宋体"/>
                <w:sz w:val="18"/>
                <w:szCs w:val="18"/>
              </w:rPr>
            </w:pPr>
            <w:r w:rsidRPr="0063248C">
              <w:rPr>
                <w:rFonts w:cs="宋体"/>
                <w:sz w:val="18"/>
                <w:szCs w:val="18"/>
              </w:rPr>
              <w:t>华南地区</w:t>
            </w:r>
          </w:p>
        </w:tc>
        <w:tc>
          <w:tcPr>
            <w:tcW w:w="1598" w:type="dxa"/>
            <w:tcBorders>
              <w:top w:val="single" w:sz="2" w:space="0" w:color="auto"/>
              <w:left w:val="single" w:sz="2" w:space="0" w:color="auto"/>
              <w:bottom w:val="single" w:sz="2" w:space="0" w:color="auto"/>
              <w:right w:val="single" w:sz="2" w:space="0" w:color="auto"/>
            </w:tcBorders>
            <w:vAlign w:val="center"/>
          </w:tcPr>
          <w:p w14:paraId="4662ECDD" w14:textId="77777777" w:rsidR="000F65D3" w:rsidRPr="0063248C" w:rsidRDefault="000F65D3">
            <w:pPr>
              <w:spacing w:line="240" w:lineRule="exact"/>
              <w:jc w:val="right"/>
              <w:rPr>
                <w:rFonts w:cs="宋体"/>
                <w:sz w:val="18"/>
                <w:szCs w:val="18"/>
              </w:rPr>
            </w:pPr>
            <w:r w:rsidRPr="0063248C">
              <w:rPr>
                <w:rFonts w:cs="宋体"/>
                <w:sz w:val="18"/>
                <w:szCs w:val="18"/>
              </w:rPr>
              <w:t>103,608,239.11</w:t>
            </w:r>
          </w:p>
        </w:tc>
        <w:tc>
          <w:tcPr>
            <w:tcW w:w="1521" w:type="dxa"/>
            <w:tcBorders>
              <w:top w:val="single" w:sz="2" w:space="0" w:color="auto"/>
              <w:left w:val="single" w:sz="2" w:space="0" w:color="auto"/>
              <w:bottom w:val="single" w:sz="2" w:space="0" w:color="auto"/>
              <w:right w:val="single" w:sz="2" w:space="0" w:color="auto"/>
            </w:tcBorders>
            <w:vAlign w:val="center"/>
          </w:tcPr>
          <w:p w14:paraId="5C25C5F5" w14:textId="77777777" w:rsidR="000F65D3" w:rsidRPr="0063248C" w:rsidRDefault="000F65D3">
            <w:pPr>
              <w:spacing w:line="240" w:lineRule="exact"/>
              <w:jc w:val="right"/>
              <w:rPr>
                <w:rFonts w:cs="宋体"/>
                <w:sz w:val="18"/>
                <w:szCs w:val="18"/>
              </w:rPr>
            </w:pPr>
            <w:r w:rsidRPr="0063248C">
              <w:rPr>
                <w:rFonts w:cs="宋体"/>
                <w:sz w:val="18"/>
                <w:szCs w:val="18"/>
              </w:rPr>
              <w:t>97,380,239.41</w:t>
            </w:r>
          </w:p>
        </w:tc>
        <w:tc>
          <w:tcPr>
            <w:tcW w:w="992" w:type="dxa"/>
            <w:tcBorders>
              <w:top w:val="single" w:sz="2" w:space="0" w:color="auto"/>
              <w:left w:val="single" w:sz="2" w:space="0" w:color="auto"/>
              <w:bottom w:val="single" w:sz="2" w:space="0" w:color="auto"/>
              <w:right w:val="single" w:sz="2" w:space="0" w:color="auto"/>
            </w:tcBorders>
            <w:vAlign w:val="center"/>
          </w:tcPr>
          <w:p w14:paraId="30282285"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EC10BFB"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95D6A5D" w14:textId="77777777" w:rsidR="000F65D3" w:rsidRPr="0063248C" w:rsidRDefault="000F65D3">
            <w:pPr>
              <w:spacing w:line="240" w:lineRule="exact"/>
              <w:jc w:val="right"/>
              <w:rPr>
                <w:rFonts w:cs="宋体"/>
                <w:sz w:val="18"/>
                <w:szCs w:val="18"/>
              </w:rPr>
            </w:pPr>
            <w:r w:rsidRPr="0063248C">
              <w:rPr>
                <w:rFonts w:cs="宋体"/>
                <w:sz w:val="18"/>
                <w:szCs w:val="18"/>
              </w:rPr>
              <w:t>103,608,239.11</w:t>
            </w:r>
          </w:p>
        </w:tc>
        <w:tc>
          <w:tcPr>
            <w:tcW w:w="1624" w:type="dxa"/>
            <w:tcBorders>
              <w:top w:val="single" w:sz="2" w:space="0" w:color="auto"/>
              <w:left w:val="single" w:sz="2" w:space="0" w:color="auto"/>
              <w:bottom w:val="single" w:sz="2" w:space="0" w:color="auto"/>
              <w:right w:val="single" w:sz="2" w:space="0" w:color="auto"/>
            </w:tcBorders>
            <w:vAlign w:val="center"/>
          </w:tcPr>
          <w:p w14:paraId="4FC64421" w14:textId="77777777" w:rsidR="000F65D3" w:rsidRPr="0063248C" w:rsidRDefault="000F65D3">
            <w:pPr>
              <w:spacing w:line="240" w:lineRule="exact"/>
              <w:jc w:val="right"/>
              <w:rPr>
                <w:rFonts w:cs="宋体"/>
                <w:sz w:val="18"/>
                <w:szCs w:val="18"/>
              </w:rPr>
            </w:pPr>
            <w:r w:rsidRPr="0063248C">
              <w:rPr>
                <w:rFonts w:cs="宋体"/>
                <w:sz w:val="18"/>
                <w:szCs w:val="18"/>
              </w:rPr>
              <w:t>97,380,239.41</w:t>
            </w:r>
          </w:p>
        </w:tc>
      </w:tr>
      <w:tr w:rsidR="000F65D3" w:rsidRPr="0063248C" w14:paraId="68B9DDD2"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5739B06E" w14:textId="77777777" w:rsidR="000F65D3" w:rsidRPr="0063248C" w:rsidRDefault="000F65D3">
            <w:pPr>
              <w:spacing w:line="240" w:lineRule="exact"/>
              <w:rPr>
                <w:rFonts w:cs="宋体"/>
                <w:sz w:val="18"/>
                <w:szCs w:val="18"/>
              </w:rPr>
            </w:pPr>
            <w:r w:rsidRPr="0063248C">
              <w:rPr>
                <w:rFonts w:cs="宋体"/>
                <w:sz w:val="18"/>
                <w:szCs w:val="18"/>
              </w:rPr>
              <w:t>东北地区</w:t>
            </w:r>
          </w:p>
        </w:tc>
        <w:tc>
          <w:tcPr>
            <w:tcW w:w="1598" w:type="dxa"/>
            <w:tcBorders>
              <w:top w:val="single" w:sz="2" w:space="0" w:color="auto"/>
              <w:left w:val="single" w:sz="2" w:space="0" w:color="auto"/>
              <w:bottom w:val="single" w:sz="2" w:space="0" w:color="auto"/>
              <w:right w:val="single" w:sz="2" w:space="0" w:color="auto"/>
            </w:tcBorders>
            <w:vAlign w:val="center"/>
          </w:tcPr>
          <w:p w14:paraId="5B326172" w14:textId="77777777" w:rsidR="000F65D3" w:rsidRPr="0063248C" w:rsidRDefault="000F65D3">
            <w:pPr>
              <w:spacing w:line="240" w:lineRule="exact"/>
              <w:jc w:val="right"/>
              <w:rPr>
                <w:rFonts w:cs="宋体"/>
                <w:sz w:val="18"/>
                <w:szCs w:val="18"/>
              </w:rPr>
            </w:pPr>
            <w:r w:rsidRPr="0063248C">
              <w:rPr>
                <w:rFonts w:cs="宋体"/>
                <w:sz w:val="18"/>
                <w:szCs w:val="18"/>
              </w:rPr>
              <w:t>393,493,451.20</w:t>
            </w:r>
          </w:p>
        </w:tc>
        <w:tc>
          <w:tcPr>
            <w:tcW w:w="1521" w:type="dxa"/>
            <w:tcBorders>
              <w:top w:val="single" w:sz="2" w:space="0" w:color="auto"/>
              <w:left w:val="single" w:sz="2" w:space="0" w:color="auto"/>
              <w:bottom w:val="single" w:sz="2" w:space="0" w:color="auto"/>
              <w:right w:val="single" w:sz="2" w:space="0" w:color="auto"/>
            </w:tcBorders>
            <w:vAlign w:val="center"/>
          </w:tcPr>
          <w:p w14:paraId="36D14B6D" w14:textId="77777777" w:rsidR="000F65D3" w:rsidRPr="0063248C" w:rsidRDefault="000F65D3">
            <w:pPr>
              <w:spacing w:line="240" w:lineRule="exact"/>
              <w:jc w:val="right"/>
              <w:rPr>
                <w:rFonts w:cs="宋体"/>
                <w:sz w:val="18"/>
                <w:szCs w:val="18"/>
              </w:rPr>
            </w:pPr>
            <w:r w:rsidRPr="0063248C">
              <w:rPr>
                <w:rFonts w:cs="宋体"/>
                <w:sz w:val="18"/>
                <w:szCs w:val="18"/>
              </w:rPr>
              <w:t>390,778,563.65</w:t>
            </w:r>
          </w:p>
        </w:tc>
        <w:tc>
          <w:tcPr>
            <w:tcW w:w="992" w:type="dxa"/>
            <w:tcBorders>
              <w:top w:val="single" w:sz="2" w:space="0" w:color="auto"/>
              <w:left w:val="single" w:sz="2" w:space="0" w:color="auto"/>
              <w:bottom w:val="single" w:sz="2" w:space="0" w:color="auto"/>
              <w:right w:val="single" w:sz="2" w:space="0" w:color="auto"/>
            </w:tcBorders>
            <w:vAlign w:val="center"/>
          </w:tcPr>
          <w:p w14:paraId="1647557D"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9A75B6D"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4DC6242" w14:textId="77777777" w:rsidR="000F65D3" w:rsidRPr="0063248C" w:rsidRDefault="000F65D3">
            <w:pPr>
              <w:spacing w:line="240" w:lineRule="exact"/>
              <w:jc w:val="right"/>
              <w:rPr>
                <w:rFonts w:cs="宋体"/>
                <w:sz w:val="18"/>
                <w:szCs w:val="18"/>
              </w:rPr>
            </w:pPr>
            <w:r w:rsidRPr="0063248C">
              <w:rPr>
                <w:rFonts w:cs="宋体"/>
                <w:sz w:val="18"/>
                <w:szCs w:val="18"/>
              </w:rPr>
              <w:t>393,493,451.20</w:t>
            </w:r>
          </w:p>
        </w:tc>
        <w:tc>
          <w:tcPr>
            <w:tcW w:w="1624" w:type="dxa"/>
            <w:tcBorders>
              <w:top w:val="single" w:sz="2" w:space="0" w:color="auto"/>
              <w:left w:val="single" w:sz="2" w:space="0" w:color="auto"/>
              <w:bottom w:val="single" w:sz="2" w:space="0" w:color="auto"/>
              <w:right w:val="single" w:sz="2" w:space="0" w:color="auto"/>
            </w:tcBorders>
            <w:vAlign w:val="center"/>
          </w:tcPr>
          <w:p w14:paraId="45B26AD9" w14:textId="77777777" w:rsidR="000F65D3" w:rsidRPr="0063248C" w:rsidRDefault="000F65D3">
            <w:pPr>
              <w:spacing w:line="240" w:lineRule="exact"/>
              <w:jc w:val="right"/>
              <w:rPr>
                <w:rFonts w:cs="宋体"/>
                <w:sz w:val="18"/>
                <w:szCs w:val="18"/>
              </w:rPr>
            </w:pPr>
            <w:r w:rsidRPr="0063248C">
              <w:rPr>
                <w:rFonts w:cs="宋体"/>
                <w:sz w:val="18"/>
                <w:szCs w:val="18"/>
              </w:rPr>
              <w:t>390,778,563.65</w:t>
            </w:r>
          </w:p>
        </w:tc>
      </w:tr>
      <w:tr w:rsidR="000F65D3" w:rsidRPr="0063248C" w14:paraId="3B373965"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3D7FBD12" w14:textId="77777777" w:rsidR="000F65D3" w:rsidRPr="0063248C" w:rsidRDefault="000F65D3">
            <w:pPr>
              <w:spacing w:line="240" w:lineRule="exact"/>
              <w:rPr>
                <w:rFonts w:cs="宋体"/>
                <w:sz w:val="18"/>
                <w:szCs w:val="18"/>
              </w:rPr>
            </w:pPr>
            <w:r w:rsidRPr="0063248C">
              <w:rPr>
                <w:rFonts w:cs="宋体"/>
                <w:sz w:val="18"/>
                <w:szCs w:val="18"/>
              </w:rPr>
              <w:t>西南地区</w:t>
            </w:r>
          </w:p>
        </w:tc>
        <w:tc>
          <w:tcPr>
            <w:tcW w:w="1598" w:type="dxa"/>
            <w:tcBorders>
              <w:top w:val="single" w:sz="2" w:space="0" w:color="auto"/>
              <w:left w:val="single" w:sz="2" w:space="0" w:color="auto"/>
              <w:bottom w:val="single" w:sz="2" w:space="0" w:color="auto"/>
              <w:right w:val="single" w:sz="2" w:space="0" w:color="auto"/>
            </w:tcBorders>
            <w:vAlign w:val="center"/>
          </w:tcPr>
          <w:p w14:paraId="68853813" w14:textId="77777777" w:rsidR="000F65D3" w:rsidRPr="0063248C" w:rsidRDefault="000F65D3">
            <w:pPr>
              <w:spacing w:line="240" w:lineRule="exact"/>
              <w:jc w:val="right"/>
              <w:rPr>
                <w:rFonts w:cs="宋体"/>
                <w:sz w:val="18"/>
                <w:szCs w:val="18"/>
              </w:rPr>
            </w:pPr>
            <w:r w:rsidRPr="0063248C">
              <w:rPr>
                <w:rFonts w:cs="宋体"/>
                <w:sz w:val="18"/>
                <w:szCs w:val="18"/>
              </w:rPr>
              <w:t>304,347,229.90</w:t>
            </w:r>
          </w:p>
        </w:tc>
        <w:tc>
          <w:tcPr>
            <w:tcW w:w="1521" w:type="dxa"/>
            <w:tcBorders>
              <w:top w:val="single" w:sz="2" w:space="0" w:color="auto"/>
              <w:left w:val="single" w:sz="2" w:space="0" w:color="auto"/>
              <w:bottom w:val="single" w:sz="2" w:space="0" w:color="auto"/>
              <w:right w:val="single" w:sz="2" w:space="0" w:color="auto"/>
            </w:tcBorders>
            <w:vAlign w:val="center"/>
          </w:tcPr>
          <w:p w14:paraId="59C51741" w14:textId="77777777" w:rsidR="000F65D3" w:rsidRPr="0063248C" w:rsidRDefault="000F65D3">
            <w:pPr>
              <w:spacing w:line="240" w:lineRule="exact"/>
              <w:jc w:val="right"/>
              <w:rPr>
                <w:rFonts w:cs="宋体"/>
                <w:sz w:val="18"/>
                <w:szCs w:val="18"/>
              </w:rPr>
            </w:pPr>
            <w:r w:rsidRPr="0063248C">
              <w:rPr>
                <w:rFonts w:cs="宋体"/>
                <w:sz w:val="18"/>
                <w:szCs w:val="18"/>
              </w:rPr>
              <w:t>297,218,093.01</w:t>
            </w:r>
          </w:p>
        </w:tc>
        <w:tc>
          <w:tcPr>
            <w:tcW w:w="992" w:type="dxa"/>
            <w:tcBorders>
              <w:top w:val="single" w:sz="2" w:space="0" w:color="auto"/>
              <w:left w:val="single" w:sz="2" w:space="0" w:color="auto"/>
              <w:bottom w:val="single" w:sz="2" w:space="0" w:color="auto"/>
              <w:right w:val="single" w:sz="2" w:space="0" w:color="auto"/>
            </w:tcBorders>
            <w:vAlign w:val="center"/>
          </w:tcPr>
          <w:p w14:paraId="7919F718"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42955CB"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286F439" w14:textId="77777777" w:rsidR="000F65D3" w:rsidRPr="0063248C" w:rsidRDefault="000F65D3">
            <w:pPr>
              <w:spacing w:line="240" w:lineRule="exact"/>
              <w:jc w:val="right"/>
              <w:rPr>
                <w:rFonts w:cs="宋体"/>
                <w:sz w:val="18"/>
                <w:szCs w:val="18"/>
              </w:rPr>
            </w:pPr>
            <w:r w:rsidRPr="0063248C">
              <w:rPr>
                <w:rFonts w:cs="宋体"/>
                <w:sz w:val="18"/>
                <w:szCs w:val="18"/>
              </w:rPr>
              <w:t>304,347,229.90</w:t>
            </w:r>
          </w:p>
        </w:tc>
        <w:tc>
          <w:tcPr>
            <w:tcW w:w="1624" w:type="dxa"/>
            <w:tcBorders>
              <w:top w:val="single" w:sz="2" w:space="0" w:color="auto"/>
              <w:left w:val="single" w:sz="2" w:space="0" w:color="auto"/>
              <w:bottom w:val="single" w:sz="2" w:space="0" w:color="auto"/>
              <w:right w:val="single" w:sz="2" w:space="0" w:color="auto"/>
            </w:tcBorders>
            <w:vAlign w:val="center"/>
          </w:tcPr>
          <w:p w14:paraId="3E54185B" w14:textId="77777777" w:rsidR="000F65D3" w:rsidRPr="0063248C" w:rsidRDefault="000F65D3">
            <w:pPr>
              <w:spacing w:line="240" w:lineRule="exact"/>
              <w:jc w:val="right"/>
              <w:rPr>
                <w:rFonts w:cs="宋体"/>
                <w:sz w:val="18"/>
                <w:szCs w:val="18"/>
              </w:rPr>
            </w:pPr>
            <w:r w:rsidRPr="0063248C">
              <w:rPr>
                <w:rFonts w:cs="宋体"/>
                <w:sz w:val="18"/>
                <w:szCs w:val="18"/>
              </w:rPr>
              <w:t>297,218,093.01</w:t>
            </w:r>
          </w:p>
        </w:tc>
      </w:tr>
      <w:tr w:rsidR="000F65D3" w:rsidRPr="0063248C" w14:paraId="10172B8B" w14:textId="77777777" w:rsidTr="000F65D3">
        <w:trPr>
          <w:trHeight w:val="243"/>
        </w:trPr>
        <w:tc>
          <w:tcPr>
            <w:tcW w:w="1134" w:type="dxa"/>
            <w:tcBorders>
              <w:top w:val="single" w:sz="2" w:space="0" w:color="auto"/>
              <w:left w:val="single" w:sz="2" w:space="0" w:color="auto"/>
              <w:bottom w:val="single" w:sz="2" w:space="0" w:color="auto"/>
              <w:right w:val="single" w:sz="2" w:space="0" w:color="auto"/>
            </w:tcBorders>
            <w:vAlign w:val="center"/>
          </w:tcPr>
          <w:p w14:paraId="50A1A577" w14:textId="77777777" w:rsidR="000F65D3" w:rsidRPr="0063248C" w:rsidRDefault="000F65D3">
            <w:pPr>
              <w:spacing w:line="240" w:lineRule="exact"/>
              <w:rPr>
                <w:rFonts w:cs="宋体"/>
                <w:sz w:val="18"/>
                <w:szCs w:val="18"/>
              </w:rPr>
            </w:pPr>
            <w:r w:rsidRPr="0063248C">
              <w:rPr>
                <w:rFonts w:cs="宋体"/>
                <w:sz w:val="18"/>
                <w:szCs w:val="18"/>
              </w:rPr>
              <w:t>西北地区及其他</w:t>
            </w:r>
          </w:p>
        </w:tc>
        <w:tc>
          <w:tcPr>
            <w:tcW w:w="1598" w:type="dxa"/>
            <w:tcBorders>
              <w:top w:val="single" w:sz="2" w:space="0" w:color="auto"/>
              <w:left w:val="single" w:sz="2" w:space="0" w:color="auto"/>
              <w:bottom w:val="single" w:sz="2" w:space="0" w:color="auto"/>
              <w:right w:val="single" w:sz="2" w:space="0" w:color="auto"/>
            </w:tcBorders>
            <w:vAlign w:val="center"/>
          </w:tcPr>
          <w:p w14:paraId="6455B4E6" w14:textId="77777777" w:rsidR="000F65D3" w:rsidRPr="0063248C" w:rsidRDefault="000F65D3">
            <w:pPr>
              <w:spacing w:line="240" w:lineRule="exact"/>
              <w:jc w:val="right"/>
              <w:rPr>
                <w:rFonts w:cs="宋体"/>
                <w:sz w:val="18"/>
                <w:szCs w:val="18"/>
              </w:rPr>
            </w:pPr>
            <w:r w:rsidRPr="0063248C">
              <w:rPr>
                <w:rFonts w:cs="宋体"/>
                <w:sz w:val="18"/>
                <w:szCs w:val="18"/>
              </w:rPr>
              <w:t>18,955,371.50</w:t>
            </w:r>
          </w:p>
        </w:tc>
        <w:tc>
          <w:tcPr>
            <w:tcW w:w="1521" w:type="dxa"/>
            <w:tcBorders>
              <w:top w:val="single" w:sz="2" w:space="0" w:color="auto"/>
              <w:left w:val="single" w:sz="2" w:space="0" w:color="auto"/>
              <w:bottom w:val="single" w:sz="2" w:space="0" w:color="auto"/>
              <w:right w:val="single" w:sz="2" w:space="0" w:color="auto"/>
            </w:tcBorders>
            <w:vAlign w:val="center"/>
          </w:tcPr>
          <w:p w14:paraId="4709C042" w14:textId="77777777" w:rsidR="000F65D3" w:rsidRPr="0063248C" w:rsidRDefault="000F65D3">
            <w:pPr>
              <w:spacing w:line="240" w:lineRule="exact"/>
              <w:jc w:val="right"/>
              <w:rPr>
                <w:rFonts w:cs="宋体"/>
                <w:sz w:val="18"/>
                <w:szCs w:val="18"/>
              </w:rPr>
            </w:pPr>
            <w:r w:rsidRPr="0063248C">
              <w:rPr>
                <w:rFonts w:cs="宋体"/>
                <w:sz w:val="18"/>
                <w:szCs w:val="18"/>
              </w:rPr>
              <w:t>18,229,908.94</w:t>
            </w:r>
          </w:p>
        </w:tc>
        <w:tc>
          <w:tcPr>
            <w:tcW w:w="992" w:type="dxa"/>
            <w:tcBorders>
              <w:top w:val="single" w:sz="2" w:space="0" w:color="auto"/>
              <w:left w:val="single" w:sz="2" w:space="0" w:color="auto"/>
              <w:bottom w:val="single" w:sz="2" w:space="0" w:color="auto"/>
              <w:right w:val="single" w:sz="2" w:space="0" w:color="auto"/>
            </w:tcBorders>
            <w:vAlign w:val="center"/>
          </w:tcPr>
          <w:p w14:paraId="5C21829C" w14:textId="77777777" w:rsidR="000F65D3" w:rsidRPr="0063248C" w:rsidRDefault="000F65D3">
            <w:pPr>
              <w:spacing w:line="240" w:lineRule="exact"/>
              <w:jc w:val="right"/>
              <w:rPr>
                <w:rFonts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C9C8453" w14:textId="77777777" w:rsidR="000F65D3" w:rsidRPr="0063248C" w:rsidRDefault="000F65D3">
            <w:pPr>
              <w:spacing w:line="240" w:lineRule="exact"/>
              <w:jc w:val="right"/>
              <w:rPr>
                <w:rFonts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420F4F2" w14:textId="77777777" w:rsidR="000F65D3" w:rsidRPr="0063248C" w:rsidRDefault="000F65D3">
            <w:pPr>
              <w:spacing w:line="240" w:lineRule="exact"/>
              <w:jc w:val="right"/>
              <w:rPr>
                <w:rFonts w:cs="宋体"/>
                <w:sz w:val="18"/>
                <w:szCs w:val="18"/>
              </w:rPr>
            </w:pPr>
            <w:r w:rsidRPr="0063248C">
              <w:rPr>
                <w:rFonts w:cs="宋体"/>
                <w:sz w:val="18"/>
                <w:szCs w:val="18"/>
              </w:rPr>
              <w:t>18,955,371.50</w:t>
            </w:r>
          </w:p>
        </w:tc>
        <w:tc>
          <w:tcPr>
            <w:tcW w:w="1624" w:type="dxa"/>
            <w:tcBorders>
              <w:top w:val="single" w:sz="2" w:space="0" w:color="auto"/>
              <w:left w:val="single" w:sz="2" w:space="0" w:color="auto"/>
              <w:bottom w:val="single" w:sz="2" w:space="0" w:color="auto"/>
              <w:right w:val="single" w:sz="2" w:space="0" w:color="auto"/>
            </w:tcBorders>
            <w:vAlign w:val="center"/>
          </w:tcPr>
          <w:p w14:paraId="6F61A581" w14:textId="77777777" w:rsidR="000F65D3" w:rsidRPr="0063248C" w:rsidRDefault="000F65D3">
            <w:pPr>
              <w:spacing w:line="240" w:lineRule="exact"/>
              <w:jc w:val="right"/>
              <w:rPr>
                <w:rFonts w:cs="宋体"/>
                <w:sz w:val="18"/>
                <w:szCs w:val="18"/>
              </w:rPr>
            </w:pPr>
            <w:r w:rsidRPr="0063248C">
              <w:rPr>
                <w:rFonts w:cs="宋体"/>
                <w:sz w:val="18"/>
                <w:szCs w:val="18"/>
              </w:rPr>
              <w:t>18,229,908.94</w:t>
            </w:r>
          </w:p>
        </w:tc>
      </w:tr>
    </w:tbl>
    <w:p w14:paraId="6DE13098" w14:textId="77777777" w:rsidR="007B3DB2" w:rsidRPr="0063248C" w:rsidRDefault="00000000">
      <w:pPr>
        <w:spacing w:before="100" w:after="100" w:line="240" w:lineRule="exact"/>
        <w:rPr>
          <w:rFonts w:cs="宋体"/>
          <w:sz w:val="18"/>
          <w:szCs w:val="18"/>
        </w:rPr>
      </w:pPr>
      <w:r w:rsidRPr="0063248C">
        <w:rPr>
          <w:rFonts w:cs="宋体"/>
          <w:sz w:val="18"/>
          <w:szCs w:val="18"/>
        </w:rPr>
        <w:t>与履约义务相关的信息：</w:t>
      </w:r>
    </w:p>
    <w:p w14:paraId="027AD501" w14:textId="77777777" w:rsidR="00517D34" w:rsidRPr="0063248C" w:rsidRDefault="00000000">
      <w:pPr>
        <w:pStyle w:val="a3"/>
        <w:divId w:val="579945970"/>
        <w:rPr>
          <w:rFonts w:ascii="Times New Roman" w:hAnsi="Times New Roman"/>
          <w:sz w:val="18"/>
          <w:szCs w:val="18"/>
        </w:rPr>
      </w:pPr>
      <w:r w:rsidRPr="0063248C">
        <w:rPr>
          <w:rFonts w:ascii="Times New Roman" w:hAnsi="Times New Roman" w:hint="eastAsia"/>
          <w:sz w:val="18"/>
          <w:szCs w:val="18"/>
        </w:rPr>
        <w:t>无</w:t>
      </w:r>
    </w:p>
    <w:p w14:paraId="3D4A3AB1" w14:textId="77777777" w:rsidR="007B3DB2" w:rsidRPr="0063248C" w:rsidRDefault="00000000">
      <w:pPr>
        <w:spacing w:before="100" w:after="100" w:line="240" w:lineRule="exact"/>
        <w:rPr>
          <w:rFonts w:cs="宋体"/>
          <w:sz w:val="18"/>
          <w:szCs w:val="18"/>
        </w:rPr>
      </w:pPr>
      <w:r w:rsidRPr="0063248C">
        <w:rPr>
          <w:rFonts w:cs="宋体"/>
          <w:sz w:val="18"/>
          <w:szCs w:val="18"/>
        </w:rPr>
        <w:lastRenderedPageBreak/>
        <w:t>与分摊至剩余履约义务的交易价格相关的信息：</w:t>
      </w:r>
    </w:p>
    <w:p w14:paraId="32EBC8DB" w14:textId="77777777" w:rsidR="006D579E" w:rsidRPr="0063248C" w:rsidRDefault="006D579E" w:rsidP="006D579E">
      <w:pPr>
        <w:spacing w:before="40" w:after="40" w:line="240" w:lineRule="exact"/>
        <w:rPr>
          <w:rFonts w:cs="宋体"/>
          <w:sz w:val="18"/>
          <w:szCs w:val="18"/>
        </w:rPr>
      </w:pPr>
      <w:r>
        <w:rPr>
          <w:rFonts w:cs="宋体" w:hint="eastAsia"/>
          <w:sz w:val="18"/>
          <w:szCs w:val="18"/>
        </w:rPr>
        <w:t>无</w:t>
      </w:r>
    </w:p>
    <w:p w14:paraId="7F69BDE7" w14:textId="77777777" w:rsidR="007B3DB2" w:rsidRPr="0063248C" w:rsidRDefault="00000000">
      <w:pPr>
        <w:spacing w:before="100" w:after="100" w:line="240" w:lineRule="exact"/>
        <w:rPr>
          <w:rFonts w:cs="宋体"/>
          <w:sz w:val="18"/>
          <w:szCs w:val="18"/>
        </w:rPr>
      </w:pPr>
      <w:r w:rsidRPr="0063248C">
        <w:rPr>
          <w:rFonts w:cs="宋体"/>
          <w:sz w:val="18"/>
          <w:szCs w:val="18"/>
        </w:rPr>
        <w:t>合同中可变对</w:t>
      </w:r>
      <w:proofErr w:type="gramStart"/>
      <w:r w:rsidRPr="0063248C">
        <w:rPr>
          <w:rFonts w:cs="宋体"/>
          <w:sz w:val="18"/>
          <w:szCs w:val="18"/>
        </w:rPr>
        <w:t>价相关</w:t>
      </w:r>
      <w:proofErr w:type="gramEnd"/>
      <w:r w:rsidRPr="0063248C">
        <w:rPr>
          <w:rFonts w:cs="宋体"/>
          <w:sz w:val="18"/>
          <w:szCs w:val="18"/>
        </w:rPr>
        <w:t>信息：</w:t>
      </w:r>
    </w:p>
    <w:p w14:paraId="16A731B2" w14:textId="77777777" w:rsidR="00517D34" w:rsidRPr="0063248C" w:rsidRDefault="00000000">
      <w:pPr>
        <w:pStyle w:val="a3"/>
        <w:divId w:val="2014725006"/>
        <w:rPr>
          <w:rFonts w:ascii="Times New Roman" w:hAnsi="Times New Roman"/>
          <w:sz w:val="18"/>
          <w:szCs w:val="18"/>
        </w:rPr>
      </w:pPr>
      <w:r w:rsidRPr="0063248C">
        <w:rPr>
          <w:rFonts w:ascii="Times New Roman" w:hAnsi="Times New Roman" w:hint="eastAsia"/>
          <w:sz w:val="18"/>
          <w:szCs w:val="18"/>
        </w:rPr>
        <w:t>无</w:t>
      </w:r>
    </w:p>
    <w:p w14:paraId="272A26FF" w14:textId="77777777" w:rsidR="007B3DB2" w:rsidRPr="0063248C" w:rsidRDefault="00000000">
      <w:pPr>
        <w:spacing w:before="100" w:after="100" w:line="240" w:lineRule="exact"/>
        <w:rPr>
          <w:rFonts w:cs="宋体"/>
          <w:sz w:val="18"/>
          <w:szCs w:val="18"/>
        </w:rPr>
      </w:pPr>
      <w:r w:rsidRPr="0063248C">
        <w:rPr>
          <w:rFonts w:cs="宋体"/>
          <w:sz w:val="18"/>
          <w:szCs w:val="18"/>
        </w:rPr>
        <w:t>重大合同变更或重大交易价格调整</w:t>
      </w:r>
    </w:p>
    <w:p w14:paraId="5F4E99AA" w14:textId="77777777" w:rsidR="00517D34" w:rsidRPr="0063248C" w:rsidRDefault="00000000">
      <w:pPr>
        <w:pStyle w:val="a3"/>
        <w:divId w:val="845510983"/>
        <w:rPr>
          <w:rFonts w:ascii="Times New Roman" w:hAnsi="Times New Roman"/>
          <w:sz w:val="18"/>
          <w:szCs w:val="18"/>
        </w:rPr>
      </w:pPr>
      <w:r w:rsidRPr="0063248C">
        <w:rPr>
          <w:rFonts w:ascii="Times New Roman" w:hAnsi="Times New Roman" w:hint="eastAsia"/>
          <w:sz w:val="18"/>
          <w:szCs w:val="18"/>
        </w:rPr>
        <w:t>无</w:t>
      </w:r>
    </w:p>
    <w:p w14:paraId="6569ECCA" w14:textId="77777777" w:rsidR="007B3DB2" w:rsidRPr="0063248C" w:rsidRDefault="00000000">
      <w:pPr>
        <w:pStyle w:val="3"/>
        <w:spacing w:line="280" w:lineRule="exact"/>
        <w:jc w:val="left"/>
        <w:rPr>
          <w:rFonts w:cs="宋体"/>
          <w:b/>
          <w:bCs/>
        </w:rPr>
      </w:pPr>
      <w:bookmarkStart w:id="364" w:name="_Toc989253"/>
      <w:r w:rsidRPr="0063248C">
        <w:rPr>
          <w:rFonts w:cs="宋体"/>
          <w:b/>
          <w:bCs/>
        </w:rPr>
        <w:t>62</w:t>
      </w:r>
      <w:r w:rsidRPr="0063248C">
        <w:rPr>
          <w:rFonts w:cs="宋体"/>
          <w:b/>
          <w:bCs/>
        </w:rPr>
        <w:t>、税金及附加</w:t>
      </w:r>
      <w:bookmarkEnd w:id="364"/>
    </w:p>
    <w:p w14:paraId="2BAE0003"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4E9549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434BE1"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C2D9F2"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2FDF46"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6F577A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2E17D6" w14:textId="77777777" w:rsidR="007B3DB2" w:rsidRPr="0063248C" w:rsidRDefault="00000000">
            <w:pPr>
              <w:spacing w:before="40" w:after="40" w:line="240" w:lineRule="exact"/>
              <w:rPr>
                <w:rFonts w:cs="宋体"/>
                <w:sz w:val="18"/>
                <w:szCs w:val="18"/>
              </w:rPr>
            </w:pPr>
            <w:r w:rsidRPr="0063248C">
              <w:rPr>
                <w:rFonts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13554CA7" w14:textId="77777777" w:rsidR="007B3DB2" w:rsidRPr="0063248C" w:rsidRDefault="00000000">
            <w:pPr>
              <w:spacing w:line="240" w:lineRule="exact"/>
              <w:jc w:val="right"/>
              <w:rPr>
                <w:rFonts w:cs="宋体"/>
                <w:sz w:val="18"/>
                <w:szCs w:val="18"/>
              </w:rPr>
            </w:pPr>
            <w:r w:rsidRPr="0063248C">
              <w:rPr>
                <w:rFonts w:cs="宋体"/>
                <w:sz w:val="18"/>
                <w:szCs w:val="18"/>
              </w:rPr>
              <w:t>80,901.75</w:t>
            </w:r>
          </w:p>
        </w:tc>
        <w:tc>
          <w:tcPr>
            <w:tcW w:w="3213" w:type="dxa"/>
            <w:tcBorders>
              <w:top w:val="single" w:sz="2" w:space="0" w:color="auto"/>
              <w:left w:val="single" w:sz="2" w:space="0" w:color="auto"/>
              <w:bottom w:val="single" w:sz="2" w:space="0" w:color="auto"/>
              <w:right w:val="single" w:sz="2" w:space="0" w:color="auto"/>
            </w:tcBorders>
            <w:vAlign w:val="center"/>
          </w:tcPr>
          <w:p w14:paraId="4A6A6953" w14:textId="77777777" w:rsidR="007B3DB2" w:rsidRPr="0063248C" w:rsidRDefault="00000000">
            <w:pPr>
              <w:spacing w:line="240" w:lineRule="exact"/>
              <w:jc w:val="right"/>
              <w:rPr>
                <w:rFonts w:cs="宋体"/>
                <w:sz w:val="18"/>
                <w:szCs w:val="18"/>
              </w:rPr>
            </w:pPr>
            <w:r w:rsidRPr="0063248C">
              <w:rPr>
                <w:rFonts w:cs="宋体"/>
                <w:sz w:val="18"/>
                <w:szCs w:val="18"/>
              </w:rPr>
              <w:t>89,236.95</w:t>
            </w:r>
          </w:p>
        </w:tc>
      </w:tr>
      <w:tr w:rsidR="007B3DB2" w:rsidRPr="0063248C" w14:paraId="1FC033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F064F0" w14:textId="77777777" w:rsidR="007B3DB2" w:rsidRPr="0063248C" w:rsidRDefault="00000000">
            <w:pPr>
              <w:spacing w:before="40" w:after="40" w:line="240" w:lineRule="exact"/>
              <w:rPr>
                <w:rFonts w:cs="宋体"/>
                <w:sz w:val="18"/>
                <w:szCs w:val="18"/>
              </w:rPr>
            </w:pPr>
            <w:r w:rsidRPr="0063248C">
              <w:rPr>
                <w:rFonts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665D064E" w14:textId="77777777" w:rsidR="007B3DB2" w:rsidRPr="0063248C" w:rsidRDefault="00000000">
            <w:pPr>
              <w:spacing w:line="240" w:lineRule="exact"/>
              <w:jc w:val="right"/>
              <w:rPr>
                <w:rFonts w:cs="宋体"/>
                <w:sz w:val="18"/>
                <w:szCs w:val="18"/>
              </w:rPr>
            </w:pPr>
            <w:r w:rsidRPr="0063248C">
              <w:rPr>
                <w:rFonts w:cs="宋体"/>
                <w:sz w:val="18"/>
                <w:szCs w:val="18"/>
              </w:rPr>
              <w:t>57,777.93</w:t>
            </w:r>
          </w:p>
        </w:tc>
        <w:tc>
          <w:tcPr>
            <w:tcW w:w="3213" w:type="dxa"/>
            <w:tcBorders>
              <w:top w:val="single" w:sz="2" w:space="0" w:color="auto"/>
              <w:left w:val="single" w:sz="2" w:space="0" w:color="auto"/>
              <w:bottom w:val="single" w:sz="2" w:space="0" w:color="auto"/>
              <w:right w:val="single" w:sz="2" w:space="0" w:color="auto"/>
            </w:tcBorders>
            <w:vAlign w:val="center"/>
          </w:tcPr>
          <w:p w14:paraId="19C7C43E" w14:textId="77777777" w:rsidR="007B3DB2" w:rsidRPr="0063248C" w:rsidRDefault="00000000">
            <w:pPr>
              <w:spacing w:line="240" w:lineRule="exact"/>
              <w:jc w:val="right"/>
              <w:rPr>
                <w:rFonts w:cs="宋体"/>
                <w:sz w:val="18"/>
                <w:szCs w:val="18"/>
              </w:rPr>
            </w:pPr>
            <w:r w:rsidRPr="0063248C">
              <w:rPr>
                <w:rFonts w:cs="宋体"/>
                <w:sz w:val="18"/>
                <w:szCs w:val="18"/>
              </w:rPr>
              <w:t>64,422.47</w:t>
            </w:r>
          </w:p>
        </w:tc>
      </w:tr>
      <w:tr w:rsidR="007B3DB2" w:rsidRPr="0063248C" w14:paraId="0A6896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78F99B" w14:textId="77777777" w:rsidR="007B3DB2" w:rsidRPr="0063248C" w:rsidRDefault="00000000">
            <w:pPr>
              <w:spacing w:before="40" w:after="40" w:line="240" w:lineRule="exact"/>
              <w:rPr>
                <w:rFonts w:cs="宋体"/>
                <w:sz w:val="18"/>
                <w:szCs w:val="18"/>
              </w:rPr>
            </w:pPr>
            <w:r w:rsidRPr="0063248C">
              <w:rPr>
                <w:rFonts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5B0C6D20" w14:textId="77777777" w:rsidR="007B3DB2" w:rsidRPr="0063248C" w:rsidRDefault="00000000">
            <w:pPr>
              <w:spacing w:line="240" w:lineRule="exact"/>
              <w:jc w:val="right"/>
              <w:rPr>
                <w:rFonts w:cs="宋体"/>
                <w:sz w:val="18"/>
                <w:szCs w:val="18"/>
              </w:rPr>
            </w:pPr>
            <w:r w:rsidRPr="0063248C">
              <w:rPr>
                <w:rFonts w:cs="宋体"/>
                <w:sz w:val="18"/>
                <w:szCs w:val="18"/>
              </w:rPr>
              <w:t>3,478,855.68</w:t>
            </w:r>
          </w:p>
        </w:tc>
        <w:tc>
          <w:tcPr>
            <w:tcW w:w="3213" w:type="dxa"/>
            <w:tcBorders>
              <w:top w:val="single" w:sz="2" w:space="0" w:color="auto"/>
              <w:left w:val="single" w:sz="2" w:space="0" w:color="auto"/>
              <w:bottom w:val="single" w:sz="2" w:space="0" w:color="auto"/>
              <w:right w:val="single" w:sz="2" w:space="0" w:color="auto"/>
            </w:tcBorders>
            <w:vAlign w:val="center"/>
          </w:tcPr>
          <w:p w14:paraId="06C338D9" w14:textId="77777777" w:rsidR="007B3DB2" w:rsidRPr="0063248C" w:rsidRDefault="00000000">
            <w:pPr>
              <w:spacing w:line="240" w:lineRule="exact"/>
              <w:jc w:val="right"/>
              <w:rPr>
                <w:rFonts w:cs="宋体"/>
                <w:sz w:val="18"/>
                <w:szCs w:val="18"/>
              </w:rPr>
            </w:pPr>
            <w:r w:rsidRPr="0063248C">
              <w:rPr>
                <w:rFonts w:cs="宋体"/>
                <w:sz w:val="18"/>
                <w:szCs w:val="18"/>
              </w:rPr>
              <w:t>3,463,965.78</w:t>
            </w:r>
          </w:p>
        </w:tc>
      </w:tr>
      <w:tr w:rsidR="007B3DB2" w:rsidRPr="0063248C" w14:paraId="77E893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666D81" w14:textId="77777777" w:rsidR="007B3DB2" w:rsidRPr="0063248C" w:rsidRDefault="00000000">
            <w:pPr>
              <w:spacing w:before="40" w:after="40" w:line="240" w:lineRule="exact"/>
              <w:rPr>
                <w:rFonts w:cs="宋体"/>
                <w:sz w:val="18"/>
                <w:szCs w:val="18"/>
              </w:rPr>
            </w:pPr>
            <w:r w:rsidRPr="0063248C">
              <w:rPr>
                <w:rFonts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1983ECB8" w14:textId="77777777" w:rsidR="007B3DB2" w:rsidRPr="0063248C" w:rsidRDefault="00000000">
            <w:pPr>
              <w:spacing w:line="240" w:lineRule="exact"/>
              <w:jc w:val="right"/>
              <w:rPr>
                <w:rFonts w:cs="宋体"/>
                <w:sz w:val="18"/>
                <w:szCs w:val="18"/>
              </w:rPr>
            </w:pPr>
            <w:r w:rsidRPr="0063248C">
              <w:rPr>
                <w:rFonts w:cs="宋体"/>
                <w:sz w:val="18"/>
                <w:szCs w:val="18"/>
              </w:rPr>
              <w:t>1,973,619.67</w:t>
            </w:r>
          </w:p>
        </w:tc>
        <w:tc>
          <w:tcPr>
            <w:tcW w:w="3213" w:type="dxa"/>
            <w:tcBorders>
              <w:top w:val="single" w:sz="2" w:space="0" w:color="auto"/>
              <w:left w:val="single" w:sz="2" w:space="0" w:color="auto"/>
              <w:bottom w:val="single" w:sz="2" w:space="0" w:color="auto"/>
              <w:right w:val="single" w:sz="2" w:space="0" w:color="auto"/>
            </w:tcBorders>
            <w:vAlign w:val="center"/>
          </w:tcPr>
          <w:p w14:paraId="751D162C" w14:textId="77777777" w:rsidR="007B3DB2" w:rsidRPr="0063248C" w:rsidRDefault="00000000">
            <w:pPr>
              <w:spacing w:line="240" w:lineRule="exact"/>
              <w:jc w:val="right"/>
              <w:rPr>
                <w:rFonts w:cs="宋体"/>
                <w:sz w:val="18"/>
                <w:szCs w:val="18"/>
              </w:rPr>
            </w:pPr>
            <w:r w:rsidRPr="0063248C">
              <w:rPr>
                <w:rFonts w:cs="宋体"/>
                <w:sz w:val="18"/>
                <w:szCs w:val="18"/>
              </w:rPr>
              <w:t>2,468,475.14</w:t>
            </w:r>
          </w:p>
        </w:tc>
      </w:tr>
      <w:tr w:rsidR="007B3DB2" w:rsidRPr="0063248C" w14:paraId="60154F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63865C" w14:textId="77777777" w:rsidR="007B3DB2" w:rsidRPr="0063248C" w:rsidRDefault="00000000">
            <w:pPr>
              <w:spacing w:before="40" w:after="40" w:line="240" w:lineRule="exact"/>
              <w:rPr>
                <w:rFonts w:cs="宋体"/>
                <w:sz w:val="18"/>
                <w:szCs w:val="18"/>
              </w:rPr>
            </w:pPr>
            <w:r w:rsidRPr="0063248C">
              <w:rPr>
                <w:rFonts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14:paraId="75263CE1" w14:textId="77777777" w:rsidR="007B3DB2" w:rsidRPr="0063248C" w:rsidRDefault="00000000">
            <w:pPr>
              <w:spacing w:line="240" w:lineRule="exact"/>
              <w:jc w:val="right"/>
              <w:rPr>
                <w:rFonts w:cs="宋体"/>
                <w:sz w:val="18"/>
                <w:szCs w:val="18"/>
              </w:rPr>
            </w:pPr>
            <w:r w:rsidRPr="0063248C">
              <w:rPr>
                <w:rFonts w:cs="宋体"/>
                <w:sz w:val="18"/>
                <w:szCs w:val="18"/>
              </w:rPr>
              <w:t>22,152.99</w:t>
            </w:r>
          </w:p>
        </w:tc>
        <w:tc>
          <w:tcPr>
            <w:tcW w:w="3213" w:type="dxa"/>
            <w:tcBorders>
              <w:top w:val="single" w:sz="2" w:space="0" w:color="auto"/>
              <w:left w:val="single" w:sz="2" w:space="0" w:color="auto"/>
              <w:bottom w:val="single" w:sz="2" w:space="0" w:color="auto"/>
              <w:right w:val="single" w:sz="2" w:space="0" w:color="auto"/>
            </w:tcBorders>
            <w:vAlign w:val="center"/>
          </w:tcPr>
          <w:p w14:paraId="56FA6C30" w14:textId="77777777" w:rsidR="007B3DB2" w:rsidRPr="0063248C" w:rsidRDefault="00000000">
            <w:pPr>
              <w:spacing w:line="240" w:lineRule="exact"/>
              <w:jc w:val="right"/>
              <w:rPr>
                <w:rFonts w:cs="宋体"/>
                <w:sz w:val="18"/>
                <w:szCs w:val="18"/>
              </w:rPr>
            </w:pPr>
            <w:r w:rsidRPr="0063248C">
              <w:rPr>
                <w:rFonts w:cs="宋体"/>
                <w:sz w:val="18"/>
                <w:szCs w:val="18"/>
              </w:rPr>
              <w:t>28,736.42</w:t>
            </w:r>
          </w:p>
        </w:tc>
      </w:tr>
      <w:tr w:rsidR="007B3DB2" w:rsidRPr="0063248C" w14:paraId="219BEC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92B280" w14:textId="77777777" w:rsidR="007B3DB2" w:rsidRPr="0063248C" w:rsidRDefault="00000000">
            <w:pPr>
              <w:spacing w:before="40" w:after="40" w:line="240" w:lineRule="exact"/>
              <w:rPr>
                <w:rFonts w:cs="宋体"/>
                <w:sz w:val="18"/>
                <w:szCs w:val="18"/>
              </w:rPr>
            </w:pPr>
            <w:r w:rsidRPr="0063248C">
              <w:rPr>
                <w:rFonts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14:paraId="12D69AD1" w14:textId="77777777" w:rsidR="007B3DB2" w:rsidRPr="0063248C" w:rsidRDefault="00000000">
            <w:pPr>
              <w:spacing w:line="240" w:lineRule="exact"/>
              <w:jc w:val="right"/>
              <w:rPr>
                <w:rFonts w:cs="宋体"/>
                <w:sz w:val="18"/>
                <w:szCs w:val="18"/>
              </w:rPr>
            </w:pPr>
            <w:r w:rsidRPr="0063248C">
              <w:rPr>
                <w:rFonts w:cs="宋体"/>
                <w:sz w:val="18"/>
                <w:szCs w:val="18"/>
              </w:rPr>
              <w:t>3,282,778.97</w:t>
            </w:r>
          </w:p>
        </w:tc>
        <w:tc>
          <w:tcPr>
            <w:tcW w:w="3213" w:type="dxa"/>
            <w:tcBorders>
              <w:top w:val="single" w:sz="2" w:space="0" w:color="auto"/>
              <w:left w:val="single" w:sz="2" w:space="0" w:color="auto"/>
              <w:bottom w:val="single" w:sz="2" w:space="0" w:color="auto"/>
              <w:right w:val="single" w:sz="2" w:space="0" w:color="auto"/>
            </w:tcBorders>
            <w:vAlign w:val="center"/>
          </w:tcPr>
          <w:p w14:paraId="4DFDEDE3" w14:textId="77777777" w:rsidR="007B3DB2" w:rsidRPr="0063248C" w:rsidRDefault="00000000">
            <w:pPr>
              <w:spacing w:line="240" w:lineRule="exact"/>
              <w:jc w:val="right"/>
              <w:rPr>
                <w:rFonts w:cs="宋体"/>
                <w:sz w:val="18"/>
                <w:szCs w:val="18"/>
              </w:rPr>
            </w:pPr>
            <w:r w:rsidRPr="0063248C">
              <w:rPr>
                <w:rFonts w:cs="宋体"/>
                <w:sz w:val="18"/>
                <w:szCs w:val="18"/>
              </w:rPr>
              <w:t>4,625,569.12</w:t>
            </w:r>
          </w:p>
        </w:tc>
      </w:tr>
      <w:tr w:rsidR="007B3DB2" w:rsidRPr="0063248C" w14:paraId="7773521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5CD4FA1" w14:textId="77777777" w:rsidR="007B3DB2" w:rsidRPr="0063248C" w:rsidRDefault="00000000">
            <w:pPr>
              <w:spacing w:line="240" w:lineRule="exact"/>
              <w:rPr>
                <w:rFonts w:cs="宋体"/>
                <w:sz w:val="18"/>
                <w:szCs w:val="18"/>
              </w:rPr>
            </w:pPr>
            <w:r w:rsidRPr="0063248C">
              <w:rPr>
                <w:rFonts w:cs="宋体"/>
                <w:sz w:val="18"/>
                <w:szCs w:val="18"/>
              </w:rPr>
              <w:t>水利建设基金</w:t>
            </w:r>
          </w:p>
        </w:tc>
        <w:tc>
          <w:tcPr>
            <w:tcW w:w="3213" w:type="dxa"/>
            <w:tcBorders>
              <w:top w:val="single" w:sz="2" w:space="0" w:color="auto"/>
              <w:left w:val="single" w:sz="2" w:space="0" w:color="auto"/>
              <w:bottom w:val="single" w:sz="2" w:space="0" w:color="auto"/>
              <w:right w:val="single" w:sz="2" w:space="0" w:color="auto"/>
            </w:tcBorders>
            <w:vAlign w:val="center"/>
          </w:tcPr>
          <w:p w14:paraId="6074BEDC" w14:textId="77777777" w:rsidR="007B3DB2" w:rsidRPr="0063248C" w:rsidRDefault="00000000">
            <w:pPr>
              <w:spacing w:line="240" w:lineRule="exact"/>
              <w:jc w:val="right"/>
              <w:rPr>
                <w:rFonts w:cs="宋体"/>
                <w:sz w:val="18"/>
                <w:szCs w:val="18"/>
              </w:rPr>
            </w:pPr>
            <w:r w:rsidRPr="0063248C">
              <w:rPr>
                <w:rFonts w:cs="宋体"/>
                <w:sz w:val="18"/>
                <w:szCs w:val="18"/>
              </w:rPr>
              <w:t>2,717.26</w:t>
            </w:r>
          </w:p>
        </w:tc>
        <w:tc>
          <w:tcPr>
            <w:tcW w:w="3213" w:type="dxa"/>
            <w:tcBorders>
              <w:top w:val="single" w:sz="2" w:space="0" w:color="auto"/>
              <w:left w:val="single" w:sz="2" w:space="0" w:color="auto"/>
              <w:bottom w:val="single" w:sz="2" w:space="0" w:color="auto"/>
              <w:right w:val="single" w:sz="2" w:space="0" w:color="auto"/>
            </w:tcBorders>
            <w:vAlign w:val="center"/>
          </w:tcPr>
          <w:p w14:paraId="79CAE2FF" w14:textId="77777777" w:rsidR="007B3DB2" w:rsidRPr="0063248C" w:rsidRDefault="00000000">
            <w:pPr>
              <w:spacing w:line="240" w:lineRule="exact"/>
              <w:jc w:val="right"/>
              <w:rPr>
                <w:rFonts w:cs="宋体"/>
                <w:sz w:val="18"/>
                <w:szCs w:val="18"/>
              </w:rPr>
            </w:pPr>
            <w:r w:rsidRPr="0063248C">
              <w:rPr>
                <w:rFonts w:cs="宋体"/>
                <w:sz w:val="18"/>
                <w:szCs w:val="18"/>
              </w:rPr>
              <w:t>1,478.58</w:t>
            </w:r>
          </w:p>
        </w:tc>
      </w:tr>
      <w:tr w:rsidR="007B3DB2" w:rsidRPr="0063248C" w14:paraId="1854866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E21F795" w14:textId="77777777" w:rsidR="007B3DB2" w:rsidRPr="0063248C" w:rsidRDefault="00000000">
            <w:pPr>
              <w:spacing w:line="240" w:lineRule="exact"/>
              <w:rPr>
                <w:rFonts w:cs="宋体"/>
                <w:sz w:val="18"/>
                <w:szCs w:val="18"/>
              </w:rPr>
            </w:pPr>
            <w:r w:rsidRPr="0063248C">
              <w:rPr>
                <w:rFonts w:cs="宋体"/>
                <w:sz w:val="18"/>
                <w:szCs w:val="18"/>
              </w:rPr>
              <w:t>水资源税</w:t>
            </w:r>
          </w:p>
        </w:tc>
        <w:tc>
          <w:tcPr>
            <w:tcW w:w="3213" w:type="dxa"/>
            <w:tcBorders>
              <w:top w:val="single" w:sz="2" w:space="0" w:color="auto"/>
              <w:left w:val="single" w:sz="2" w:space="0" w:color="auto"/>
              <w:bottom w:val="single" w:sz="2" w:space="0" w:color="auto"/>
              <w:right w:val="single" w:sz="2" w:space="0" w:color="auto"/>
            </w:tcBorders>
            <w:vAlign w:val="center"/>
          </w:tcPr>
          <w:p w14:paraId="1823C8E7" w14:textId="77777777" w:rsidR="007B3DB2" w:rsidRPr="0063248C" w:rsidRDefault="00000000">
            <w:pPr>
              <w:spacing w:line="240" w:lineRule="exact"/>
              <w:jc w:val="right"/>
              <w:rPr>
                <w:rFonts w:cs="宋体"/>
                <w:sz w:val="18"/>
                <w:szCs w:val="18"/>
              </w:rPr>
            </w:pPr>
            <w:r w:rsidRPr="0063248C">
              <w:rPr>
                <w:rFonts w:cs="宋体"/>
                <w:sz w:val="18"/>
                <w:szCs w:val="18"/>
              </w:rPr>
              <w:t>242,615.10</w:t>
            </w:r>
          </w:p>
        </w:tc>
        <w:tc>
          <w:tcPr>
            <w:tcW w:w="3213" w:type="dxa"/>
            <w:tcBorders>
              <w:top w:val="single" w:sz="2" w:space="0" w:color="auto"/>
              <w:left w:val="single" w:sz="2" w:space="0" w:color="auto"/>
              <w:bottom w:val="single" w:sz="2" w:space="0" w:color="auto"/>
              <w:right w:val="single" w:sz="2" w:space="0" w:color="auto"/>
            </w:tcBorders>
            <w:vAlign w:val="center"/>
          </w:tcPr>
          <w:p w14:paraId="2FDEFB1E" w14:textId="77777777" w:rsidR="007B3DB2" w:rsidRPr="0063248C" w:rsidRDefault="00000000">
            <w:pPr>
              <w:spacing w:line="240" w:lineRule="exact"/>
              <w:jc w:val="right"/>
              <w:rPr>
                <w:rFonts w:cs="宋体"/>
                <w:sz w:val="18"/>
                <w:szCs w:val="18"/>
              </w:rPr>
            </w:pPr>
            <w:r w:rsidRPr="0063248C">
              <w:rPr>
                <w:rFonts w:cs="宋体"/>
                <w:sz w:val="18"/>
                <w:szCs w:val="18"/>
              </w:rPr>
              <w:t>296,060.60</w:t>
            </w:r>
          </w:p>
        </w:tc>
      </w:tr>
      <w:tr w:rsidR="007B3DB2" w:rsidRPr="0063248C" w14:paraId="16C7E63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DB471A8" w14:textId="77777777" w:rsidR="007B3DB2" w:rsidRPr="0063248C" w:rsidRDefault="00000000">
            <w:pPr>
              <w:spacing w:line="240" w:lineRule="exact"/>
              <w:rPr>
                <w:rFonts w:cs="宋体"/>
                <w:sz w:val="18"/>
                <w:szCs w:val="18"/>
              </w:rPr>
            </w:pPr>
            <w:r w:rsidRPr="0063248C">
              <w:rPr>
                <w:rFonts w:cs="宋体"/>
                <w:sz w:val="18"/>
                <w:szCs w:val="18"/>
              </w:rPr>
              <w:t>环保税</w:t>
            </w:r>
          </w:p>
        </w:tc>
        <w:tc>
          <w:tcPr>
            <w:tcW w:w="3213" w:type="dxa"/>
            <w:tcBorders>
              <w:top w:val="single" w:sz="2" w:space="0" w:color="auto"/>
              <w:left w:val="single" w:sz="2" w:space="0" w:color="auto"/>
              <w:bottom w:val="single" w:sz="2" w:space="0" w:color="auto"/>
              <w:right w:val="single" w:sz="2" w:space="0" w:color="auto"/>
            </w:tcBorders>
            <w:vAlign w:val="center"/>
          </w:tcPr>
          <w:p w14:paraId="0E79373D" w14:textId="77777777" w:rsidR="007B3DB2" w:rsidRPr="0063248C" w:rsidRDefault="00000000">
            <w:pPr>
              <w:spacing w:line="240" w:lineRule="exact"/>
              <w:jc w:val="right"/>
              <w:rPr>
                <w:rFonts w:cs="宋体"/>
                <w:sz w:val="18"/>
                <w:szCs w:val="18"/>
              </w:rPr>
            </w:pPr>
            <w:r w:rsidRPr="0063248C">
              <w:rPr>
                <w:rFonts w:cs="宋体"/>
                <w:sz w:val="18"/>
                <w:szCs w:val="18"/>
              </w:rPr>
              <w:t>20,869.13</w:t>
            </w:r>
          </w:p>
        </w:tc>
        <w:tc>
          <w:tcPr>
            <w:tcW w:w="3213" w:type="dxa"/>
            <w:tcBorders>
              <w:top w:val="single" w:sz="2" w:space="0" w:color="auto"/>
              <w:left w:val="single" w:sz="2" w:space="0" w:color="auto"/>
              <w:bottom w:val="single" w:sz="2" w:space="0" w:color="auto"/>
              <w:right w:val="single" w:sz="2" w:space="0" w:color="auto"/>
            </w:tcBorders>
            <w:vAlign w:val="center"/>
          </w:tcPr>
          <w:p w14:paraId="5B48E6B7" w14:textId="77777777" w:rsidR="007B3DB2" w:rsidRPr="0063248C" w:rsidRDefault="00000000">
            <w:pPr>
              <w:spacing w:line="240" w:lineRule="exact"/>
              <w:jc w:val="right"/>
              <w:rPr>
                <w:rFonts w:cs="宋体"/>
                <w:sz w:val="18"/>
                <w:szCs w:val="18"/>
              </w:rPr>
            </w:pPr>
            <w:r w:rsidRPr="0063248C">
              <w:rPr>
                <w:rFonts w:cs="宋体"/>
                <w:sz w:val="18"/>
                <w:szCs w:val="18"/>
              </w:rPr>
              <w:t>16,903.41</w:t>
            </w:r>
          </w:p>
        </w:tc>
      </w:tr>
      <w:tr w:rsidR="007B3DB2" w:rsidRPr="0063248C" w14:paraId="334EB4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D8208E"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765A720" w14:textId="77777777" w:rsidR="007B3DB2" w:rsidRPr="0063248C" w:rsidRDefault="00000000">
            <w:pPr>
              <w:spacing w:line="240" w:lineRule="exact"/>
              <w:jc w:val="right"/>
              <w:rPr>
                <w:rFonts w:cs="宋体"/>
                <w:sz w:val="18"/>
                <w:szCs w:val="18"/>
              </w:rPr>
            </w:pPr>
            <w:r w:rsidRPr="0063248C">
              <w:rPr>
                <w:rFonts w:cs="宋体"/>
                <w:sz w:val="18"/>
                <w:szCs w:val="18"/>
              </w:rPr>
              <w:t>9,162,288.48</w:t>
            </w:r>
          </w:p>
        </w:tc>
        <w:tc>
          <w:tcPr>
            <w:tcW w:w="3213" w:type="dxa"/>
            <w:tcBorders>
              <w:top w:val="single" w:sz="2" w:space="0" w:color="auto"/>
              <w:left w:val="single" w:sz="2" w:space="0" w:color="auto"/>
              <w:bottom w:val="single" w:sz="2" w:space="0" w:color="auto"/>
              <w:right w:val="single" w:sz="2" w:space="0" w:color="auto"/>
            </w:tcBorders>
            <w:vAlign w:val="center"/>
          </w:tcPr>
          <w:p w14:paraId="51C951AA" w14:textId="77777777" w:rsidR="007B3DB2" w:rsidRPr="0063248C" w:rsidRDefault="00000000">
            <w:pPr>
              <w:spacing w:line="240" w:lineRule="exact"/>
              <w:jc w:val="right"/>
              <w:rPr>
                <w:rFonts w:cs="宋体"/>
                <w:sz w:val="18"/>
                <w:szCs w:val="18"/>
              </w:rPr>
            </w:pPr>
            <w:r w:rsidRPr="0063248C">
              <w:rPr>
                <w:rFonts w:cs="宋体"/>
                <w:sz w:val="18"/>
                <w:szCs w:val="18"/>
              </w:rPr>
              <w:t>11,054,848.47</w:t>
            </w:r>
          </w:p>
        </w:tc>
      </w:tr>
    </w:tbl>
    <w:p w14:paraId="6D7C338E"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50D2C92B" w14:textId="77777777" w:rsidR="00517D34" w:rsidRPr="0063248C" w:rsidRDefault="00000000">
      <w:pPr>
        <w:pStyle w:val="a3"/>
        <w:divId w:val="914322931"/>
        <w:rPr>
          <w:rFonts w:ascii="Times New Roman" w:hAnsi="Times New Roman"/>
          <w:sz w:val="18"/>
          <w:szCs w:val="18"/>
        </w:rPr>
      </w:pPr>
      <w:r w:rsidRPr="0063248C">
        <w:rPr>
          <w:rFonts w:ascii="Times New Roman" w:hAnsi="Times New Roman" w:hint="eastAsia"/>
          <w:sz w:val="18"/>
          <w:szCs w:val="18"/>
        </w:rPr>
        <w:t>无</w:t>
      </w:r>
    </w:p>
    <w:p w14:paraId="417C56C1" w14:textId="77777777" w:rsidR="007B3DB2" w:rsidRPr="0063248C" w:rsidRDefault="00000000">
      <w:pPr>
        <w:pStyle w:val="3"/>
        <w:spacing w:line="280" w:lineRule="exact"/>
        <w:jc w:val="left"/>
        <w:rPr>
          <w:rFonts w:cs="宋体"/>
          <w:b/>
          <w:bCs/>
        </w:rPr>
      </w:pPr>
      <w:bookmarkStart w:id="365" w:name="_Toc989254"/>
      <w:r w:rsidRPr="0063248C">
        <w:rPr>
          <w:rFonts w:cs="宋体"/>
          <w:b/>
          <w:bCs/>
        </w:rPr>
        <w:t>63</w:t>
      </w:r>
      <w:r w:rsidRPr="0063248C">
        <w:rPr>
          <w:rFonts w:cs="宋体"/>
          <w:b/>
          <w:bCs/>
        </w:rPr>
        <w:t>、管理费用</w:t>
      </w:r>
      <w:bookmarkEnd w:id="365"/>
    </w:p>
    <w:p w14:paraId="5A1905AD"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304B0E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FB9657"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C34EF0"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B82408"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4F48C63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A73D0BE" w14:textId="77777777" w:rsidR="007B3DB2" w:rsidRPr="0063248C" w:rsidRDefault="00000000">
            <w:pPr>
              <w:spacing w:line="240" w:lineRule="exact"/>
              <w:rPr>
                <w:rFonts w:cs="宋体"/>
                <w:sz w:val="18"/>
                <w:szCs w:val="18"/>
              </w:rPr>
            </w:pPr>
            <w:r w:rsidRPr="0063248C">
              <w:rPr>
                <w:rFonts w:cs="宋体"/>
                <w:sz w:val="18"/>
                <w:szCs w:val="18"/>
              </w:rPr>
              <w:t>工资</w:t>
            </w:r>
          </w:p>
        </w:tc>
        <w:tc>
          <w:tcPr>
            <w:tcW w:w="3213" w:type="dxa"/>
            <w:tcBorders>
              <w:top w:val="single" w:sz="2" w:space="0" w:color="auto"/>
              <w:left w:val="single" w:sz="2" w:space="0" w:color="auto"/>
              <w:bottom w:val="single" w:sz="2" w:space="0" w:color="auto"/>
              <w:right w:val="single" w:sz="2" w:space="0" w:color="auto"/>
            </w:tcBorders>
            <w:vAlign w:val="center"/>
          </w:tcPr>
          <w:p w14:paraId="581BEEA0" w14:textId="77777777" w:rsidR="007B3DB2" w:rsidRPr="0063248C" w:rsidRDefault="00000000">
            <w:pPr>
              <w:spacing w:line="240" w:lineRule="exact"/>
              <w:jc w:val="right"/>
              <w:rPr>
                <w:rFonts w:cs="宋体"/>
                <w:sz w:val="18"/>
                <w:szCs w:val="18"/>
              </w:rPr>
            </w:pPr>
            <w:r w:rsidRPr="0063248C">
              <w:rPr>
                <w:rFonts w:cs="宋体"/>
                <w:sz w:val="18"/>
                <w:szCs w:val="18"/>
              </w:rPr>
              <w:t>47,291,648.66</w:t>
            </w:r>
          </w:p>
        </w:tc>
        <w:tc>
          <w:tcPr>
            <w:tcW w:w="3213" w:type="dxa"/>
            <w:tcBorders>
              <w:top w:val="single" w:sz="2" w:space="0" w:color="auto"/>
              <w:left w:val="single" w:sz="2" w:space="0" w:color="auto"/>
              <w:bottom w:val="single" w:sz="2" w:space="0" w:color="auto"/>
              <w:right w:val="single" w:sz="2" w:space="0" w:color="auto"/>
            </w:tcBorders>
            <w:vAlign w:val="center"/>
          </w:tcPr>
          <w:p w14:paraId="429E55A7" w14:textId="77777777" w:rsidR="007B3DB2" w:rsidRPr="0063248C" w:rsidRDefault="00000000">
            <w:pPr>
              <w:spacing w:line="240" w:lineRule="exact"/>
              <w:jc w:val="right"/>
              <w:rPr>
                <w:rFonts w:cs="宋体"/>
                <w:sz w:val="18"/>
                <w:szCs w:val="18"/>
              </w:rPr>
            </w:pPr>
            <w:r w:rsidRPr="0063248C">
              <w:rPr>
                <w:rFonts w:cs="宋体"/>
                <w:sz w:val="18"/>
                <w:szCs w:val="18"/>
              </w:rPr>
              <w:t>61,637,074.68</w:t>
            </w:r>
          </w:p>
        </w:tc>
      </w:tr>
      <w:tr w:rsidR="007B3DB2" w:rsidRPr="0063248C" w14:paraId="636A981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5E981C0" w14:textId="77777777" w:rsidR="007B3DB2" w:rsidRPr="0063248C" w:rsidRDefault="00000000">
            <w:pPr>
              <w:spacing w:line="240" w:lineRule="exact"/>
              <w:rPr>
                <w:rFonts w:cs="宋体"/>
                <w:sz w:val="18"/>
                <w:szCs w:val="18"/>
              </w:rPr>
            </w:pPr>
            <w:r w:rsidRPr="0063248C">
              <w:rPr>
                <w:rFonts w:cs="宋体"/>
                <w:sz w:val="18"/>
                <w:szCs w:val="18"/>
              </w:rPr>
              <w:t>仓储费</w:t>
            </w:r>
          </w:p>
        </w:tc>
        <w:tc>
          <w:tcPr>
            <w:tcW w:w="3213" w:type="dxa"/>
            <w:tcBorders>
              <w:top w:val="single" w:sz="2" w:space="0" w:color="auto"/>
              <w:left w:val="single" w:sz="2" w:space="0" w:color="auto"/>
              <w:bottom w:val="single" w:sz="2" w:space="0" w:color="auto"/>
              <w:right w:val="single" w:sz="2" w:space="0" w:color="auto"/>
            </w:tcBorders>
            <w:vAlign w:val="center"/>
          </w:tcPr>
          <w:p w14:paraId="5A23850E" w14:textId="77777777" w:rsidR="007B3DB2" w:rsidRPr="0063248C" w:rsidRDefault="00000000">
            <w:pPr>
              <w:spacing w:line="240" w:lineRule="exact"/>
              <w:jc w:val="right"/>
              <w:rPr>
                <w:rFonts w:cs="宋体"/>
                <w:sz w:val="18"/>
                <w:szCs w:val="18"/>
              </w:rPr>
            </w:pPr>
            <w:r w:rsidRPr="0063248C">
              <w:rPr>
                <w:rFonts w:cs="宋体"/>
                <w:sz w:val="18"/>
                <w:szCs w:val="18"/>
              </w:rPr>
              <w:t>7,165,618.87</w:t>
            </w:r>
          </w:p>
        </w:tc>
        <w:tc>
          <w:tcPr>
            <w:tcW w:w="3213" w:type="dxa"/>
            <w:tcBorders>
              <w:top w:val="single" w:sz="2" w:space="0" w:color="auto"/>
              <w:left w:val="single" w:sz="2" w:space="0" w:color="auto"/>
              <w:bottom w:val="single" w:sz="2" w:space="0" w:color="auto"/>
              <w:right w:val="single" w:sz="2" w:space="0" w:color="auto"/>
            </w:tcBorders>
            <w:vAlign w:val="center"/>
          </w:tcPr>
          <w:p w14:paraId="1FB44FEA" w14:textId="77777777" w:rsidR="007B3DB2" w:rsidRPr="0063248C" w:rsidRDefault="00000000">
            <w:pPr>
              <w:spacing w:line="240" w:lineRule="exact"/>
              <w:jc w:val="right"/>
              <w:rPr>
                <w:rFonts w:cs="宋体"/>
                <w:sz w:val="18"/>
                <w:szCs w:val="18"/>
              </w:rPr>
            </w:pPr>
            <w:r w:rsidRPr="0063248C">
              <w:rPr>
                <w:rFonts w:cs="宋体"/>
                <w:sz w:val="18"/>
                <w:szCs w:val="18"/>
              </w:rPr>
              <w:t>6,117,190.12</w:t>
            </w:r>
          </w:p>
        </w:tc>
      </w:tr>
      <w:tr w:rsidR="007B3DB2" w:rsidRPr="0063248C" w14:paraId="3120B48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B590977" w14:textId="77777777" w:rsidR="007B3DB2" w:rsidRPr="0063248C" w:rsidRDefault="00000000">
            <w:pPr>
              <w:spacing w:line="240" w:lineRule="exact"/>
              <w:rPr>
                <w:rFonts w:cs="宋体"/>
                <w:sz w:val="18"/>
                <w:szCs w:val="18"/>
              </w:rPr>
            </w:pPr>
            <w:r w:rsidRPr="0063248C">
              <w:rPr>
                <w:rFonts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14:paraId="71CCD7AB" w14:textId="77777777" w:rsidR="007B3DB2" w:rsidRPr="0063248C" w:rsidRDefault="00000000">
            <w:pPr>
              <w:spacing w:line="240" w:lineRule="exact"/>
              <w:jc w:val="right"/>
              <w:rPr>
                <w:rFonts w:cs="宋体"/>
                <w:sz w:val="18"/>
                <w:szCs w:val="18"/>
              </w:rPr>
            </w:pPr>
            <w:r w:rsidRPr="0063248C">
              <w:rPr>
                <w:rFonts w:cs="宋体"/>
                <w:sz w:val="18"/>
                <w:szCs w:val="18"/>
              </w:rPr>
              <w:t>22,127,443.86</w:t>
            </w:r>
          </w:p>
        </w:tc>
        <w:tc>
          <w:tcPr>
            <w:tcW w:w="3213" w:type="dxa"/>
            <w:tcBorders>
              <w:top w:val="single" w:sz="2" w:space="0" w:color="auto"/>
              <w:left w:val="single" w:sz="2" w:space="0" w:color="auto"/>
              <w:bottom w:val="single" w:sz="2" w:space="0" w:color="auto"/>
              <w:right w:val="single" w:sz="2" w:space="0" w:color="auto"/>
            </w:tcBorders>
            <w:vAlign w:val="center"/>
          </w:tcPr>
          <w:p w14:paraId="5A7AB939" w14:textId="77777777" w:rsidR="007B3DB2" w:rsidRPr="0063248C" w:rsidRDefault="00000000">
            <w:pPr>
              <w:spacing w:line="240" w:lineRule="exact"/>
              <w:jc w:val="right"/>
              <w:rPr>
                <w:rFonts w:cs="宋体"/>
                <w:sz w:val="18"/>
                <w:szCs w:val="18"/>
              </w:rPr>
            </w:pPr>
            <w:r w:rsidRPr="0063248C">
              <w:rPr>
                <w:rFonts w:cs="宋体"/>
                <w:sz w:val="18"/>
                <w:szCs w:val="18"/>
              </w:rPr>
              <w:t>13,355,558.87</w:t>
            </w:r>
          </w:p>
        </w:tc>
      </w:tr>
      <w:tr w:rsidR="007B3DB2" w:rsidRPr="0063248C" w14:paraId="4367DAD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EBA32F9" w14:textId="77777777" w:rsidR="007B3DB2" w:rsidRPr="0063248C" w:rsidRDefault="00000000">
            <w:pPr>
              <w:spacing w:line="240" w:lineRule="exact"/>
              <w:rPr>
                <w:rFonts w:cs="宋体"/>
                <w:sz w:val="18"/>
                <w:szCs w:val="18"/>
              </w:rPr>
            </w:pPr>
            <w:r w:rsidRPr="0063248C">
              <w:rPr>
                <w:rFonts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14:paraId="5842606F" w14:textId="77777777" w:rsidR="007B3DB2" w:rsidRPr="0063248C" w:rsidRDefault="00000000">
            <w:pPr>
              <w:spacing w:line="240" w:lineRule="exact"/>
              <w:jc w:val="right"/>
              <w:rPr>
                <w:rFonts w:cs="宋体"/>
                <w:sz w:val="18"/>
                <w:szCs w:val="18"/>
              </w:rPr>
            </w:pPr>
            <w:r w:rsidRPr="0063248C">
              <w:rPr>
                <w:rFonts w:cs="宋体"/>
                <w:sz w:val="18"/>
                <w:szCs w:val="18"/>
              </w:rPr>
              <w:t>2,323,706.19</w:t>
            </w:r>
          </w:p>
        </w:tc>
        <w:tc>
          <w:tcPr>
            <w:tcW w:w="3213" w:type="dxa"/>
            <w:tcBorders>
              <w:top w:val="single" w:sz="2" w:space="0" w:color="auto"/>
              <w:left w:val="single" w:sz="2" w:space="0" w:color="auto"/>
              <w:bottom w:val="single" w:sz="2" w:space="0" w:color="auto"/>
              <w:right w:val="single" w:sz="2" w:space="0" w:color="auto"/>
            </w:tcBorders>
            <w:vAlign w:val="center"/>
          </w:tcPr>
          <w:p w14:paraId="057A6456" w14:textId="77777777" w:rsidR="007B3DB2" w:rsidRPr="0063248C" w:rsidRDefault="00000000">
            <w:pPr>
              <w:spacing w:line="240" w:lineRule="exact"/>
              <w:jc w:val="right"/>
              <w:rPr>
                <w:rFonts w:cs="宋体"/>
                <w:sz w:val="18"/>
                <w:szCs w:val="18"/>
              </w:rPr>
            </w:pPr>
            <w:r w:rsidRPr="0063248C">
              <w:rPr>
                <w:rFonts w:cs="宋体"/>
                <w:sz w:val="18"/>
                <w:szCs w:val="18"/>
              </w:rPr>
              <w:t>2,390,120.90</w:t>
            </w:r>
          </w:p>
        </w:tc>
      </w:tr>
      <w:tr w:rsidR="007B3DB2" w:rsidRPr="0063248C" w14:paraId="6D68B3B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24301F0" w14:textId="77777777" w:rsidR="007B3DB2" w:rsidRPr="0063248C" w:rsidRDefault="00000000">
            <w:pPr>
              <w:spacing w:line="240" w:lineRule="exact"/>
              <w:rPr>
                <w:rFonts w:cs="宋体"/>
                <w:sz w:val="18"/>
                <w:szCs w:val="18"/>
              </w:rPr>
            </w:pPr>
            <w:r w:rsidRPr="0063248C">
              <w:rPr>
                <w:rFonts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14:paraId="5FADFE85" w14:textId="77777777" w:rsidR="007B3DB2" w:rsidRPr="0063248C" w:rsidRDefault="00000000">
            <w:pPr>
              <w:spacing w:line="240" w:lineRule="exact"/>
              <w:jc w:val="right"/>
              <w:rPr>
                <w:rFonts w:cs="宋体"/>
                <w:sz w:val="18"/>
                <w:szCs w:val="18"/>
              </w:rPr>
            </w:pPr>
            <w:r w:rsidRPr="0063248C">
              <w:rPr>
                <w:rFonts w:cs="宋体"/>
                <w:sz w:val="18"/>
                <w:szCs w:val="18"/>
              </w:rPr>
              <w:t>1,530,996.97</w:t>
            </w:r>
          </w:p>
        </w:tc>
        <w:tc>
          <w:tcPr>
            <w:tcW w:w="3213" w:type="dxa"/>
            <w:tcBorders>
              <w:top w:val="single" w:sz="2" w:space="0" w:color="auto"/>
              <w:left w:val="single" w:sz="2" w:space="0" w:color="auto"/>
              <w:bottom w:val="single" w:sz="2" w:space="0" w:color="auto"/>
              <w:right w:val="single" w:sz="2" w:space="0" w:color="auto"/>
            </w:tcBorders>
            <w:vAlign w:val="center"/>
          </w:tcPr>
          <w:p w14:paraId="310A2636" w14:textId="77777777" w:rsidR="007B3DB2" w:rsidRPr="0063248C" w:rsidRDefault="00000000">
            <w:pPr>
              <w:spacing w:line="240" w:lineRule="exact"/>
              <w:jc w:val="right"/>
              <w:rPr>
                <w:rFonts w:cs="宋体"/>
                <w:sz w:val="18"/>
                <w:szCs w:val="18"/>
              </w:rPr>
            </w:pPr>
            <w:r w:rsidRPr="0063248C">
              <w:rPr>
                <w:rFonts w:cs="宋体"/>
                <w:sz w:val="18"/>
                <w:szCs w:val="18"/>
              </w:rPr>
              <w:t>1,839,287.34</w:t>
            </w:r>
          </w:p>
        </w:tc>
      </w:tr>
      <w:tr w:rsidR="007B3DB2" w:rsidRPr="0063248C" w14:paraId="16A3052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4C2717A" w14:textId="77777777" w:rsidR="007B3DB2" w:rsidRPr="0063248C" w:rsidRDefault="00000000">
            <w:pPr>
              <w:spacing w:line="240" w:lineRule="exact"/>
              <w:rPr>
                <w:rFonts w:cs="宋体"/>
                <w:sz w:val="18"/>
                <w:szCs w:val="18"/>
              </w:rPr>
            </w:pPr>
            <w:r w:rsidRPr="0063248C">
              <w:rPr>
                <w:rFonts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14:paraId="12884FFB" w14:textId="77777777" w:rsidR="007B3DB2" w:rsidRPr="0063248C" w:rsidRDefault="00000000">
            <w:pPr>
              <w:spacing w:line="240" w:lineRule="exact"/>
              <w:jc w:val="right"/>
              <w:rPr>
                <w:rFonts w:cs="宋体"/>
                <w:sz w:val="18"/>
                <w:szCs w:val="18"/>
              </w:rPr>
            </w:pPr>
            <w:r w:rsidRPr="0063248C">
              <w:rPr>
                <w:rFonts w:cs="宋体"/>
                <w:sz w:val="18"/>
                <w:szCs w:val="18"/>
              </w:rPr>
              <w:t>956,186.91</w:t>
            </w:r>
          </w:p>
        </w:tc>
        <w:tc>
          <w:tcPr>
            <w:tcW w:w="3213" w:type="dxa"/>
            <w:tcBorders>
              <w:top w:val="single" w:sz="2" w:space="0" w:color="auto"/>
              <w:left w:val="single" w:sz="2" w:space="0" w:color="auto"/>
              <w:bottom w:val="single" w:sz="2" w:space="0" w:color="auto"/>
              <w:right w:val="single" w:sz="2" w:space="0" w:color="auto"/>
            </w:tcBorders>
            <w:vAlign w:val="center"/>
          </w:tcPr>
          <w:p w14:paraId="127110ED" w14:textId="77777777" w:rsidR="007B3DB2" w:rsidRPr="0063248C" w:rsidRDefault="00000000">
            <w:pPr>
              <w:spacing w:line="240" w:lineRule="exact"/>
              <w:jc w:val="right"/>
              <w:rPr>
                <w:rFonts w:cs="宋体"/>
                <w:sz w:val="18"/>
                <w:szCs w:val="18"/>
              </w:rPr>
            </w:pPr>
            <w:r w:rsidRPr="0063248C">
              <w:rPr>
                <w:rFonts w:cs="宋体"/>
                <w:sz w:val="18"/>
                <w:szCs w:val="18"/>
              </w:rPr>
              <w:t>789,643.74</w:t>
            </w:r>
          </w:p>
        </w:tc>
      </w:tr>
      <w:tr w:rsidR="007B3DB2" w:rsidRPr="0063248C" w14:paraId="633EB6E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70A6837" w14:textId="77777777" w:rsidR="007B3DB2" w:rsidRPr="0063248C" w:rsidRDefault="00000000">
            <w:pPr>
              <w:spacing w:line="240" w:lineRule="exact"/>
              <w:rPr>
                <w:rFonts w:cs="宋体"/>
                <w:sz w:val="18"/>
                <w:szCs w:val="18"/>
              </w:rPr>
            </w:pPr>
            <w:r w:rsidRPr="0063248C">
              <w:rPr>
                <w:rFonts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54CC9CB" w14:textId="77777777" w:rsidR="007B3DB2" w:rsidRPr="0063248C" w:rsidRDefault="00000000">
            <w:pPr>
              <w:spacing w:line="240" w:lineRule="exact"/>
              <w:jc w:val="right"/>
              <w:rPr>
                <w:rFonts w:cs="宋体"/>
                <w:sz w:val="18"/>
                <w:szCs w:val="18"/>
              </w:rPr>
            </w:pPr>
            <w:r w:rsidRPr="0063248C">
              <w:rPr>
                <w:rFonts w:cs="宋体"/>
                <w:sz w:val="18"/>
                <w:szCs w:val="18"/>
              </w:rPr>
              <w:t>32,466,538.03</w:t>
            </w:r>
          </w:p>
        </w:tc>
        <w:tc>
          <w:tcPr>
            <w:tcW w:w="3213" w:type="dxa"/>
            <w:tcBorders>
              <w:top w:val="single" w:sz="2" w:space="0" w:color="auto"/>
              <w:left w:val="single" w:sz="2" w:space="0" w:color="auto"/>
              <w:bottom w:val="single" w:sz="2" w:space="0" w:color="auto"/>
              <w:right w:val="single" w:sz="2" w:space="0" w:color="auto"/>
            </w:tcBorders>
            <w:vAlign w:val="center"/>
          </w:tcPr>
          <w:p w14:paraId="5DE632FB" w14:textId="77777777" w:rsidR="007B3DB2" w:rsidRPr="0063248C" w:rsidRDefault="00000000">
            <w:pPr>
              <w:spacing w:line="240" w:lineRule="exact"/>
              <w:jc w:val="right"/>
              <w:rPr>
                <w:rFonts w:cs="宋体"/>
                <w:sz w:val="18"/>
                <w:szCs w:val="18"/>
              </w:rPr>
            </w:pPr>
            <w:r w:rsidRPr="0063248C">
              <w:rPr>
                <w:rFonts w:cs="宋体"/>
                <w:sz w:val="18"/>
                <w:szCs w:val="18"/>
              </w:rPr>
              <w:t>47,711,264.03</w:t>
            </w:r>
          </w:p>
        </w:tc>
      </w:tr>
      <w:tr w:rsidR="007B3DB2" w:rsidRPr="0063248C" w14:paraId="1C77B6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FB8F16"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8AD30AA" w14:textId="77777777" w:rsidR="007B3DB2" w:rsidRPr="0063248C" w:rsidRDefault="00000000">
            <w:pPr>
              <w:spacing w:line="240" w:lineRule="exact"/>
              <w:jc w:val="right"/>
              <w:rPr>
                <w:rFonts w:cs="宋体"/>
                <w:sz w:val="18"/>
                <w:szCs w:val="18"/>
              </w:rPr>
            </w:pPr>
            <w:r w:rsidRPr="0063248C">
              <w:rPr>
                <w:rFonts w:cs="宋体"/>
                <w:sz w:val="18"/>
                <w:szCs w:val="18"/>
              </w:rPr>
              <w:t>113,862,139.49</w:t>
            </w:r>
          </w:p>
        </w:tc>
        <w:tc>
          <w:tcPr>
            <w:tcW w:w="3213" w:type="dxa"/>
            <w:tcBorders>
              <w:top w:val="single" w:sz="2" w:space="0" w:color="auto"/>
              <w:left w:val="single" w:sz="2" w:space="0" w:color="auto"/>
              <w:bottom w:val="single" w:sz="2" w:space="0" w:color="auto"/>
              <w:right w:val="single" w:sz="2" w:space="0" w:color="auto"/>
            </w:tcBorders>
            <w:vAlign w:val="center"/>
          </w:tcPr>
          <w:p w14:paraId="77308BFF" w14:textId="77777777" w:rsidR="007B3DB2" w:rsidRPr="0063248C" w:rsidRDefault="00000000">
            <w:pPr>
              <w:spacing w:line="240" w:lineRule="exact"/>
              <w:jc w:val="right"/>
              <w:rPr>
                <w:rFonts w:cs="宋体"/>
                <w:sz w:val="18"/>
                <w:szCs w:val="18"/>
              </w:rPr>
            </w:pPr>
            <w:r w:rsidRPr="0063248C">
              <w:rPr>
                <w:rFonts w:cs="宋体"/>
                <w:sz w:val="18"/>
                <w:szCs w:val="18"/>
              </w:rPr>
              <w:t>133,840,139.68</w:t>
            </w:r>
          </w:p>
        </w:tc>
      </w:tr>
    </w:tbl>
    <w:p w14:paraId="37962A22"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16DB1F23" w14:textId="77777777" w:rsidR="00517D34" w:rsidRPr="0063248C" w:rsidRDefault="00000000">
      <w:pPr>
        <w:pStyle w:val="a3"/>
        <w:divId w:val="291832221"/>
        <w:rPr>
          <w:rFonts w:ascii="Times New Roman" w:hAnsi="Times New Roman"/>
          <w:sz w:val="18"/>
          <w:szCs w:val="18"/>
        </w:rPr>
      </w:pPr>
      <w:r w:rsidRPr="0063248C">
        <w:rPr>
          <w:rFonts w:ascii="Times New Roman" w:hAnsi="Times New Roman" w:hint="eastAsia"/>
          <w:sz w:val="18"/>
          <w:szCs w:val="18"/>
        </w:rPr>
        <w:t>无</w:t>
      </w:r>
    </w:p>
    <w:p w14:paraId="6F4651D0" w14:textId="77777777" w:rsidR="007B3DB2" w:rsidRPr="0063248C" w:rsidRDefault="00000000">
      <w:pPr>
        <w:pStyle w:val="3"/>
        <w:spacing w:line="280" w:lineRule="exact"/>
        <w:jc w:val="left"/>
        <w:rPr>
          <w:rFonts w:cs="宋体"/>
          <w:b/>
          <w:bCs/>
        </w:rPr>
      </w:pPr>
      <w:bookmarkStart w:id="366" w:name="_Toc989255"/>
      <w:r w:rsidRPr="0063248C">
        <w:rPr>
          <w:rFonts w:cs="宋体"/>
          <w:b/>
          <w:bCs/>
        </w:rPr>
        <w:t>64</w:t>
      </w:r>
      <w:r w:rsidRPr="0063248C">
        <w:rPr>
          <w:rFonts w:cs="宋体"/>
          <w:b/>
          <w:bCs/>
        </w:rPr>
        <w:t>、销售费用</w:t>
      </w:r>
      <w:bookmarkEnd w:id="366"/>
    </w:p>
    <w:p w14:paraId="77BD7911"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7F976F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DA7F95" w14:textId="77777777" w:rsidR="007B3DB2" w:rsidRPr="0063248C" w:rsidRDefault="00000000">
            <w:pPr>
              <w:spacing w:before="40" w:after="40" w:line="240" w:lineRule="exact"/>
              <w:jc w:val="center"/>
              <w:rPr>
                <w:rFonts w:cs="宋体"/>
                <w:sz w:val="18"/>
                <w:szCs w:val="18"/>
              </w:rPr>
            </w:pPr>
            <w:r w:rsidRPr="0063248C">
              <w:rPr>
                <w:rFonts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5D3B16"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B0B187"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45BD8C2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FA3D50D" w14:textId="77777777" w:rsidR="007B3DB2" w:rsidRPr="0063248C" w:rsidRDefault="00000000">
            <w:pPr>
              <w:spacing w:line="240" w:lineRule="exact"/>
              <w:rPr>
                <w:rFonts w:cs="宋体"/>
                <w:sz w:val="18"/>
                <w:szCs w:val="18"/>
              </w:rPr>
            </w:pPr>
            <w:r w:rsidRPr="0063248C">
              <w:rPr>
                <w:rFonts w:cs="宋体"/>
                <w:sz w:val="18"/>
                <w:szCs w:val="18"/>
              </w:rPr>
              <w:t>工资</w:t>
            </w:r>
          </w:p>
        </w:tc>
        <w:tc>
          <w:tcPr>
            <w:tcW w:w="3213" w:type="dxa"/>
            <w:tcBorders>
              <w:top w:val="single" w:sz="2" w:space="0" w:color="auto"/>
              <w:left w:val="single" w:sz="2" w:space="0" w:color="auto"/>
              <w:bottom w:val="single" w:sz="2" w:space="0" w:color="auto"/>
              <w:right w:val="single" w:sz="2" w:space="0" w:color="auto"/>
            </w:tcBorders>
            <w:vAlign w:val="center"/>
          </w:tcPr>
          <w:p w14:paraId="7B313D25" w14:textId="77777777" w:rsidR="007B3DB2" w:rsidRPr="0063248C" w:rsidRDefault="00000000">
            <w:pPr>
              <w:spacing w:line="240" w:lineRule="exact"/>
              <w:jc w:val="right"/>
              <w:rPr>
                <w:rFonts w:cs="宋体"/>
                <w:sz w:val="18"/>
                <w:szCs w:val="18"/>
              </w:rPr>
            </w:pPr>
            <w:r w:rsidRPr="0063248C">
              <w:rPr>
                <w:rFonts w:cs="宋体"/>
                <w:sz w:val="18"/>
                <w:szCs w:val="18"/>
              </w:rPr>
              <w:t>33,637,888.58</w:t>
            </w:r>
          </w:p>
        </w:tc>
        <w:tc>
          <w:tcPr>
            <w:tcW w:w="3213" w:type="dxa"/>
            <w:tcBorders>
              <w:top w:val="single" w:sz="2" w:space="0" w:color="auto"/>
              <w:left w:val="single" w:sz="2" w:space="0" w:color="auto"/>
              <w:bottom w:val="single" w:sz="2" w:space="0" w:color="auto"/>
              <w:right w:val="single" w:sz="2" w:space="0" w:color="auto"/>
            </w:tcBorders>
            <w:vAlign w:val="center"/>
          </w:tcPr>
          <w:p w14:paraId="2B03A429" w14:textId="77777777" w:rsidR="007B3DB2" w:rsidRPr="0063248C" w:rsidRDefault="00000000">
            <w:pPr>
              <w:spacing w:line="240" w:lineRule="exact"/>
              <w:jc w:val="right"/>
              <w:rPr>
                <w:rFonts w:cs="宋体"/>
                <w:sz w:val="18"/>
                <w:szCs w:val="18"/>
              </w:rPr>
            </w:pPr>
            <w:r w:rsidRPr="0063248C">
              <w:rPr>
                <w:rFonts w:cs="宋体"/>
                <w:sz w:val="18"/>
                <w:szCs w:val="18"/>
              </w:rPr>
              <w:t>40,870,376.23</w:t>
            </w:r>
          </w:p>
        </w:tc>
      </w:tr>
      <w:tr w:rsidR="007B3DB2" w:rsidRPr="0063248C" w14:paraId="6458B5B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3B6135A" w14:textId="77777777" w:rsidR="007B3DB2" w:rsidRPr="0063248C" w:rsidRDefault="00000000">
            <w:pPr>
              <w:spacing w:line="240" w:lineRule="exact"/>
              <w:rPr>
                <w:rFonts w:cs="宋体"/>
                <w:sz w:val="18"/>
                <w:szCs w:val="18"/>
              </w:rPr>
            </w:pPr>
            <w:r w:rsidRPr="0063248C">
              <w:rPr>
                <w:rFonts w:cs="宋体"/>
                <w:sz w:val="18"/>
                <w:szCs w:val="18"/>
              </w:rPr>
              <w:t>广告费</w:t>
            </w:r>
          </w:p>
        </w:tc>
        <w:tc>
          <w:tcPr>
            <w:tcW w:w="3213" w:type="dxa"/>
            <w:tcBorders>
              <w:top w:val="single" w:sz="2" w:space="0" w:color="auto"/>
              <w:left w:val="single" w:sz="2" w:space="0" w:color="auto"/>
              <w:bottom w:val="single" w:sz="2" w:space="0" w:color="auto"/>
              <w:right w:val="single" w:sz="2" w:space="0" w:color="auto"/>
            </w:tcBorders>
            <w:vAlign w:val="center"/>
          </w:tcPr>
          <w:p w14:paraId="4B11281B" w14:textId="77777777" w:rsidR="007B3DB2" w:rsidRPr="0063248C" w:rsidRDefault="00000000">
            <w:pPr>
              <w:spacing w:line="240" w:lineRule="exact"/>
              <w:jc w:val="right"/>
              <w:rPr>
                <w:rFonts w:cs="宋体"/>
                <w:sz w:val="18"/>
                <w:szCs w:val="18"/>
              </w:rPr>
            </w:pPr>
            <w:r w:rsidRPr="0063248C">
              <w:rPr>
                <w:rFonts w:cs="宋体"/>
                <w:sz w:val="18"/>
                <w:szCs w:val="18"/>
              </w:rPr>
              <w:t>9,296.12</w:t>
            </w:r>
          </w:p>
        </w:tc>
        <w:tc>
          <w:tcPr>
            <w:tcW w:w="3213" w:type="dxa"/>
            <w:tcBorders>
              <w:top w:val="single" w:sz="2" w:space="0" w:color="auto"/>
              <w:left w:val="single" w:sz="2" w:space="0" w:color="auto"/>
              <w:bottom w:val="single" w:sz="2" w:space="0" w:color="auto"/>
              <w:right w:val="single" w:sz="2" w:space="0" w:color="auto"/>
            </w:tcBorders>
            <w:vAlign w:val="center"/>
          </w:tcPr>
          <w:p w14:paraId="6C3C676D" w14:textId="77777777" w:rsidR="007B3DB2" w:rsidRPr="0063248C" w:rsidRDefault="00000000">
            <w:pPr>
              <w:spacing w:line="240" w:lineRule="exact"/>
              <w:jc w:val="right"/>
              <w:rPr>
                <w:rFonts w:cs="宋体"/>
                <w:sz w:val="18"/>
                <w:szCs w:val="18"/>
              </w:rPr>
            </w:pPr>
            <w:r w:rsidRPr="0063248C">
              <w:rPr>
                <w:rFonts w:cs="宋体"/>
                <w:sz w:val="18"/>
                <w:szCs w:val="18"/>
              </w:rPr>
              <w:t>19,887.86</w:t>
            </w:r>
          </w:p>
        </w:tc>
      </w:tr>
      <w:tr w:rsidR="007B3DB2" w:rsidRPr="0063248C" w14:paraId="28CBFEA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A3FDD5C" w14:textId="77777777" w:rsidR="007B3DB2" w:rsidRPr="0063248C" w:rsidRDefault="00000000">
            <w:pPr>
              <w:spacing w:line="240" w:lineRule="exact"/>
              <w:rPr>
                <w:rFonts w:cs="宋体"/>
                <w:sz w:val="18"/>
                <w:szCs w:val="18"/>
              </w:rPr>
            </w:pPr>
            <w:r w:rsidRPr="0063248C">
              <w:rPr>
                <w:rFonts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14:paraId="3F1BEEE2" w14:textId="77777777" w:rsidR="007B3DB2" w:rsidRPr="0063248C" w:rsidRDefault="00000000">
            <w:pPr>
              <w:spacing w:line="240" w:lineRule="exact"/>
              <w:jc w:val="right"/>
              <w:rPr>
                <w:rFonts w:cs="宋体"/>
                <w:sz w:val="18"/>
                <w:szCs w:val="18"/>
              </w:rPr>
            </w:pPr>
            <w:r w:rsidRPr="0063248C">
              <w:rPr>
                <w:rFonts w:cs="宋体"/>
                <w:sz w:val="18"/>
                <w:szCs w:val="18"/>
              </w:rPr>
              <w:t>1,302,573.96</w:t>
            </w:r>
          </w:p>
        </w:tc>
        <w:tc>
          <w:tcPr>
            <w:tcW w:w="3213" w:type="dxa"/>
            <w:tcBorders>
              <w:top w:val="single" w:sz="2" w:space="0" w:color="auto"/>
              <w:left w:val="single" w:sz="2" w:space="0" w:color="auto"/>
              <w:bottom w:val="single" w:sz="2" w:space="0" w:color="auto"/>
              <w:right w:val="single" w:sz="2" w:space="0" w:color="auto"/>
            </w:tcBorders>
            <w:vAlign w:val="center"/>
          </w:tcPr>
          <w:p w14:paraId="2DA8337D" w14:textId="77777777" w:rsidR="007B3DB2" w:rsidRPr="0063248C" w:rsidRDefault="00000000">
            <w:pPr>
              <w:spacing w:line="240" w:lineRule="exact"/>
              <w:jc w:val="right"/>
              <w:rPr>
                <w:rFonts w:cs="宋体"/>
                <w:sz w:val="18"/>
                <w:szCs w:val="18"/>
              </w:rPr>
            </w:pPr>
            <w:r w:rsidRPr="0063248C">
              <w:rPr>
                <w:rFonts w:cs="宋体"/>
                <w:sz w:val="18"/>
                <w:szCs w:val="18"/>
              </w:rPr>
              <w:t>1,614,072.93</w:t>
            </w:r>
          </w:p>
        </w:tc>
      </w:tr>
      <w:tr w:rsidR="007B3DB2" w:rsidRPr="0063248C" w14:paraId="7C28D03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4F52802" w14:textId="77777777" w:rsidR="007B3DB2" w:rsidRPr="0063248C" w:rsidRDefault="00000000">
            <w:pPr>
              <w:spacing w:line="240" w:lineRule="exact"/>
              <w:rPr>
                <w:rFonts w:cs="宋体"/>
                <w:sz w:val="18"/>
                <w:szCs w:val="18"/>
              </w:rPr>
            </w:pPr>
            <w:r w:rsidRPr="0063248C">
              <w:rPr>
                <w:rFonts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14:paraId="3C0C9850" w14:textId="77777777" w:rsidR="007B3DB2" w:rsidRPr="0063248C" w:rsidRDefault="00000000">
            <w:pPr>
              <w:spacing w:line="240" w:lineRule="exact"/>
              <w:jc w:val="right"/>
              <w:rPr>
                <w:rFonts w:cs="宋体"/>
                <w:sz w:val="18"/>
                <w:szCs w:val="18"/>
              </w:rPr>
            </w:pPr>
            <w:r w:rsidRPr="0063248C">
              <w:rPr>
                <w:rFonts w:cs="宋体"/>
                <w:sz w:val="18"/>
                <w:szCs w:val="18"/>
              </w:rPr>
              <w:t>266,764.80</w:t>
            </w:r>
          </w:p>
        </w:tc>
        <w:tc>
          <w:tcPr>
            <w:tcW w:w="3213" w:type="dxa"/>
            <w:tcBorders>
              <w:top w:val="single" w:sz="2" w:space="0" w:color="auto"/>
              <w:left w:val="single" w:sz="2" w:space="0" w:color="auto"/>
              <w:bottom w:val="single" w:sz="2" w:space="0" w:color="auto"/>
              <w:right w:val="single" w:sz="2" w:space="0" w:color="auto"/>
            </w:tcBorders>
            <w:vAlign w:val="center"/>
          </w:tcPr>
          <w:p w14:paraId="4A3C08C2" w14:textId="77777777" w:rsidR="007B3DB2" w:rsidRPr="0063248C" w:rsidRDefault="00000000">
            <w:pPr>
              <w:spacing w:line="240" w:lineRule="exact"/>
              <w:jc w:val="right"/>
              <w:rPr>
                <w:rFonts w:cs="宋体"/>
                <w:sz w:val="18"/>
                <w:szCs w:val="18"/>
              </w:rPr>
            </w:pPr>
            <w:r w:rsidRPr="0063248C">
              <w:rPr>
                <w:rFonts w:cs="宋体"/>
                <w:sz w:val="18"/>
                <w:szCs w:val="18"/>
              </w:rPr>
              <w:t>446,777.88</w:t>
            </w:r>
          </w:p>
        </w:tc>
      </w:tr>
      <w:tr w:rsidR="007B3DB2" w:rsidRPr="0063248C" w14:paraId="376E606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4C7E036" w14:textId="77777777" w:rsidR="007B3DB2" w:rsidRPr="0063248C" w:rsidRDefault="00000000">
            <w:pPr>
              <w:spacing w:line="240" w:lineRule="exact"/>
              <w:rPr>
                <w:rFonts w:cs="宋体"/>
                <w:sz w:val="18"/>
                <w:szCs w:val="18"/>
              </w:rPr>
            </w:pPr>
            <w:r w:rsidRPr="0063248C">
              <w:rPr>
                <w:rFonts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14:paraId="42F14D8F" w14:textId="77777777" w:rsidR="007B3DB2" w:rsidRPr="0063248C" w:rsidRDefault="00000000">
            <w:pPr>
              <w:spacing w:line="240" w:lineRule="exact"/>
              <w:jc w:val="right"/>
              <w:rPr>
                <w:rFonts w:cs="宋体"/>
                <w:sz w:val="18"/>
                <w:szCs w:val="18"/>
              </w:rPr>
            </w:pPr>
            <w:r w:rsidRPr="0063248C">
              <w:rPr>
                <w:rFonts w:cs="宋体"/>
                <w:sz w:val="18"/>
                <w:szCs w:val="18"/>
              </w:rPr>
              <w:t>1,066,905.14</w:t>
            </w:r>
          </w:p>
        </w:tc>
        <w:tc>
          <w:tcPr>
            <w:tcW w:w="3213" w:type="dxa"/>
            <w:tcBorders>
              <w:top w:val="single" w:sz="2" w:space="0" w:color="auto"/>
              <w:left w:val="single" w:sz="2" w:space="0" w:color="auto"/>
              <w:bottom w:val="single" w:sz="2" w:space="0" w:color="auto"/>
              <w:right w:val="single" w:sz="2" w:space="0" w:color="auto"/>
            </w:tcBorders>
            <w:vAlign w:val="center"/>
          </w:tcPr>
          <w:p w14:paraId="3E394DE7" w14:textId="77777777" w:rsidR="007B3DB2" w:rsidRPr="0063248C" w:rsidRDefault="00000000">
            <w:pPr>
              <w:spacing w:line="240" w:lineRule="exact"/>
              <w:jc w:val="right"/>
              <w:rPr>
                <w:rFonts w:cs="宋体"/>
                <w:sz w:val="18"/>
                <w:szCs w:val="18"/>
              </w:rPr>
            </w:pPr>
            <w:r w:rsidRPr="0063248C">
              <w:rPr>
                <w:rFonts w:cs="宋体"/>
                <w:sz w:val="18"/>
                <w:szCs w:val="18"/>
              </w:rPr>
              <w:t>1,294,780.77</w:t>
            </w:r>
          </w:p>
        </w:tc>
      </w:tr>
      <w:tr w:rsidR="007B3DB2" w:rsidRPr="0063248C" w14:paraId="552504A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075F058" w14:textId="77777777" w:rsidR="007B3DB2" w:rsidRPr="0063248C" w:rsidRDefault="00000000">
            <w:pPr>
              <w:spacing w:line="240" w:lineRule="exact"/>
              <w:rPr>
                <w:rFonts w:cs="宋体"/>
                <w:sz w:val="18"/>
                <w:szCs w:val="18"/>
              </w:rPr>
            </w:pPr>
            <w:r w:rsidRPr="0063248C">
              <w:rPr>
                <w:rFonts w:cs="宋体"/>
                <w:sz w:val="18"/>
                <w:szCs w:val="18"/>
              </w:rPr>
              <w:t>仓储费</w:t>
            </w:r>
          </w:p>
        </w:tc>
        <w:tc>
          <w:tcPr>
            <w:tcW w:w="3213" w:type="dxa"/>
            <w:tcBorders>
              <w:top w:val="single" w:sz="2" w:space="0" w:color="auto"/>
              <w:left w:val="single" w:sz="2" w:space="0" w:color="auto"/>
              <w:bottom w:val="single" w:sz="2" w:space="0" w:color="auto"/>
              <w:right w:val="single" w:sz="2" w:space="0" w:color="auto"/>
            </w:tcBorders>
            <w:vAlign w:val="center"/>
          </w:tcPr>
          <w:p w14:paraId="67922307" w14:textId="77777777" w:rsidR="007B3DB2" w:rsidRPr="0063248C" w:rsidRDefault="00000000">
            <w:pPr>
              <w:spacing w:line="240" w:lineRule="exact"/>
              <w:jc w:val="right"/>
              <w:rPr>
                <w:rFonts w:cs="宋体"/>
                <w:sz w:val="18"/>
                <w:szCs w:val="18"/>
              </w:rPr>
            </w:pPr>
            <w:r w:rsidRPr="0063248C">
              <w:rPr>
                <w:rFonts w:cs="宋体"/>
                <w:sz w:val="18"/>
                <w:szCs w:val="18"/>
              </w:rPr>
              <w:t>382,707.93</w:t>
            </w:r>
          </w:p>
        </w:tc>
        <w:tc>
          <w:tcPr>
            <w:tcW w:w="3213" w:type="dxa"/>
            <w:tcBorders>
              <w:top w:val="single" w:sz="2" w:space="0" w:color="auto"/>
              <w:left w:val="single" w:sz="2" w:space="0" w:color="auto"/>
              <w:bottom w:val="single" w:sz="2" w:space="0" w:color="auto"/>
              <w:right w:val="single" w:sz="2" w:space="0" w:color="auto"/>
            </w:tcBorders>
            <w:vAlign w:val="center"/>
          </w:tcPr>
          <w:p w14:paraId="6C56B32F" w14:textId="77777777" w:rsidR="007B3DB2" w:rsidRPr="0063248C" w:rsidRDefault="00000000">
            <w:pPr>
              <w:spacing w:line="240" w:lineRule="exact"/>
              <w:jc w:val="right"/>
              <w:rPr>
                <w:rFonts w:cs="宋体"/>
                <w:sz w:val="18"/>
                <w:szCs w:val="18"/>
              </w:rPr>
            </w:pPr>
            <w:r w:rsidRPr="0063248C">
              <w:rPr>
                <w:rFonts w:cs="宋体"/>
                <w:sz w:val="18"/>
                <w:szCs w:val="18"/>
              </w:rPr>
              <w:t>10,675,618.04</w:t>
            </w:r>
          </w:p>
        </w:tc>
      </w:tr>
      <w:tr w:rsidR="007B3DB2" w:rsidRPr="0063248C" w14:paraId="6F45FEB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82FD715" w14:textId="77777777" w:rsidR="007B3DB2" w:rsidRPr="0063248C" w:rsidRDefault="00000000">
            <w:pPr>
              <w:spacing w:line="240" w:lineRule="exact"/>
              <w:rPr>
                <w:rFonts w:cs="宋体"/>
                <w:sz w:val="18"/>
                <w:szCs w:val="18"/>
              </w:rPr>
            </w:pPr>
            <w:r w:rsidRPr="0063248C">
              <w:rPr>
                <w:rFonts w:cs="宋体"/>
                <w:sz w:val="18"/>
                <w:szCs w:val="18"/>
              </w:rPr>
              <w:t>服务费</w:t>
            </w:r>
          </w:p>
        </w:tc>
        <w:tc>
          <w:tcPr>
            <w:tcW w:w="3213" w:type="dxa"/>
            <w:tcBorders>
              <w:top w:val="single" w:sz="2" w:space="0" w:color="auto"/>
              <w:left w:val="single" w:sz="2" w:space="0" w:color="auto"/>
              <w:bottom w:val="single" w:sz="2" w:space="0" w:color="auto"/>
              <w:right w:val="single" w:sz="2" w:space="0" w:color="auto"/>
            </w:tcBorders>
            <w:vAlign w:val="center"/>
          </w:tcPr>
          <w:p w14:paraId="2E5AE964" w14:textId="77777777" w:rsidR="007B3DB2" w:rsidRPr="0063248C" w:rsidRDefault="00000000">
            <w:pPr>
              <w:spacing w:line="240" w:lineRule="exact"/>
              <w:jc w:val="right"/>
              <w:rPr>
                <w:rFonts w:cs="宋体"/>
                <w:sz w:val="18"/>
                <w:szCs w:val="18"/>
              </w:rPr>
            </w:pPr>
            <w:r w:rsidRPr="0063248C">
              <w:rPr>
                <w:rFonts w:cs="宋体"/>
                <w:sz w:val="18"/>
                <w:szCs w:val="18"/>
              </w:rPr>
              <w:t>11,414,289.81</w:t>
            </w:r>
          </w:p>
        </w:tc>
        <w:tc>
          <w:tcPr>
            <w:tcW w:w="3213" w:type="dxa"/>
            <w:tcBorders>
              <w:top w:val="single" w:sz="2" w:space="0" w:color="auto"/>
              <w:left w:val="single" w:sz="2" w:space="0" w:color="auto"/>
              <w:bottom w:val="single" w:sz="2" w:space="0" w:color="auto"/>
              <w:right w:val="single" w:sz="2" w:space="0" w:color="auto"/>
            </w:tcBorders>
            <w:vAlign w:val="center"/>
          </w:tcPr>
          <w:p w14:paraId="70B873F9" w14:textId="77777777" w:rsidR="007B3DB2" w:rsidRPr="0063248C" w:rsidRDefault="00000000">
            <w:pPr>
              <w:spacing w:line="240" w:lineRule="exact"/>
              <w:jc w:val="right"/>
              <w:rPr>
                <w:rFonts w:cs="宋体"/>
                <w:sz w:val="18"/>
                <w:szCs w:val="18"/>
              </w:rPr>
            </w:pPr>
            <w:r w:rsidRPr="0063248C">
              <w:rPr>
                <w:rFonts w:cs="宋体"/>
                <w:sz w:val="18"/>
                <w:szCs w:val="18"/>
              </w:rPr>
              <w:t>12,084,088.63</w:t>
            </w:r>
          </w:p>
        </w:tc>
      </w:tr>
      <w:tr w:rsidR="007B3DB2" w:rsidRPr="0063248C" w14:paraId="235C630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B494B48" w14:textId="77777777" w:rsidR="007B3DB2" w:rsidRPr="0063248C" w:rsidRDefault="00000000">
            <w:pPr>
              <w:spacing w:line="240" w:lineRule="exact"/>
              <w:rPr>
                <w:rFonts w:cs="宋体"/>
                <w:sz w:val="18"/>
                <w:szCs w:val="18"/>
              </w:rPr>
            </w:pPr>
            <w:r w:rsidRPr="0063248C">
              <w:rPr>
                <w:rFonts w:cs="宋体"/>
                <w:sz w:val="18"/>
                <w:szCs w:val="18"/>
              </w:rPr>
              <w:t>装卸费</w:t>
            </w:r>
          </w:p>
        </w:tc>
        <w:tc>
          <w:tcPr>
            <w:tcW w:w="3213" w:type="dxa"/>
            <w:tcBorders>
              <w:top w:val="single" w:sz="2" w:space="0" w:color="auto"/>
              <w:left w:val="single" w:sz="2" w:space="0" w:color="auto"/>
              <w:bottom w:val="single" w:sz="2" w:space="0" w:color="auto"/>
              <w:right w:val="single" w:sz="2" w:space="0" w:color="auto"/>
            </w:tcBorders>
            <w:vAlign w:val="center"/>
          </w:tcPr>
          <w:p w14:paraId="75D9E7CA" w14:textId="77777777" w:rsidR="007B3DB2" w:rsidRPr="0063248C" w:rsidRDefault="00000000">
            <w:pPr>
              <w:spacing w:line="240" w:lineRule="exact"/>
              <w:jc w:val="right"/>
              <w:rPr>
                <w:rFonts w:cs="宋体"/>
                <w:sz w:val="18"/>
                <w:szCs w:val="18"/>
              </w:rPr>
            </w:pPr>
            <w:r w:rsidRPr="0063248C">
              <w:rPr>
                <w:rFonts w:cs="宋体"/>
                <w:sz w:val="18"/>
                <w:szCs w:val="18"/>
              </w:rPr>
              <w:t>7,423.78</w:t>
            </w:r>
          </w:p>
        </w:tc>
        <w:tc>
          <w:tcPr>
            <w:tcW w:w="3213" w:type="dxa"/>
            <w:tcBorders>
              <w:top w:val="single" w:sz="2" w:space="0" w:color="auto"/>
              <w:left w:val="single" w:sz="2" w:space="0" w:color="auto"/>
              <w:bottom w:val="single" w:sz="2" w:space="0" w:color="auto"/>
              <w:right w:val="single" w:sz="2" w:space="0" w:color="auto"/>
            </w:tcBorders>
            <w:vAlign w:val="center"/>
          </w:tcPr>
          <w:p w14:paraId="439E1A1B" w14:textId="77777777" w:rsidR="007B3DB2" w:rsidRPr="0063248C" w:rsidRDefault="00000000">
            <w:pPr>
              <w:spacing w:line="240" w:lineRule="exact"/>
              <w:jc w:val="right"/>
              <w:rPr>
                <w:rFonts w:cs="宋体"/>
                <w:sz w:val="18"/>
                <w:szCs w:val="18"/>
              </w:rPr>
            </w:pPr>
            <w:r w:rsidRPr="0063248C">
              <w:rPr>
                <w:rFonts w:cs="宋体"/>
                <w:sz w:val="18"/>
                <w:szCs w:val="18"/>
              </w:rPr>
              <w:t>926,514.25</w:t>
            </w:r>
          </w:p>
        </w:tc>
      </w:tr>
      <w:tr w:rsidR="007B3DB2" w:rsidRPr="0063248C" w14:paraId="6D3B874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A503952" w14:textId="77777777" w:rsidR="007B3DB2" w:rsidRPr="0063248C" w:rsidRDefault="00000000">
            <w:pPr>
              <w:spacing w:line="240" w:lineRule="exact"/>
              <w:rPr>
                <w:rFonts w:cs="宋体"/>
                <w:sz w:val="18"/>
                <w:szCs w:val="18"/>
              </w:rPr>
            </w:pPr>
            <w:r w:rsidRPr="0063248C">
              <w:rPr>
                <w:rFonts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14:paraId="62B3CB97" w14:textId="77777777" w:rsidR="007B3DB2" w:rsidRPr="0063248C" w:rsidRDefault="00000000">
            <w:pPr>
              <w:spacing w:line="240" w:lineRule="exact"/>
              <w:jc w:val="right"/>
              <w:rPr>
                <w:rFonts w:cs="宋体"/>
                <w:sz w:val="18"/>
                <w:szCs w:val="18"/>
              </w:rPr>
            </w:pPr>
            <w:r w:rsidRPr="0063248C">
              <w:rPr>
                <w:rFonts w:cs="宋体"/>
                <w:sz w:val="18"/>
                <w:szCs w:val="18"/>
              </w:rPr>
              <w:t>10,635.69</w:t>
            </w:r>
          </w:p>
        </w:tc>
        <w:tc>
          <w:tcPr>
            <w:tcW w:w="3213" w:type="dxa"/>
            <w:tcBorders>
              <w:top w:val="single" w:sz="2" w:space="0" w:color="auto"/>
              <w:left w:val="single" w:sz="2" w:space="0" w:color="auto"/>
              <w:bottom w:val="single" w:sz="2" w:space="0" w:color="auto"/>
              <w:right w:val="single" w:sz="2" w:space="0" w:color="auto"/>
            </w:tcBorders>
            <w:vAlign w:val="center"/>
          </w:tcPr>
          <w:p w14:paraId="269640AA" w14:textId="77777777" w:rsidR="007B3DB2" w:rsidRPr="0063248C" w:rsidRDefault="00000000">
            <w:pPr>
              <w:spacing w:line="240" w:lineRule="exact"/>
              <w:jc w:val="right"/>
              <w:rPr>
                <w:rFonts w:cs="宋体"/>
                <w:sz w:val="18"/>
                <w:szCs w:val="18"/>
              </w:rPr>
            </w:pPr>
            <w:r w:rsidRPr="0063248C">
              <w:rPr>
                <w:rFonts w:cs="宋体"/>
                <w:sz w:val="18"/>
                <w:szCs w:val="18"/>
              </w:rPr>
              <w:t>18,076.69</w:t>
            </w:r>
          </w:p>
        </w:tc>
      </w:tr>
      <w:tr w:rsidR="007B3DB2" w:rsidRPr="0063248C" w14:paraId="7B7D38D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FC2BB77" w14:textId="77777777" w:rsidR="007B3DB2" w:rsidRPr="0063248C" w:rsidRDefault="00000000">
            <w:pPr>
              <w:spacing w:line="240" w:lineRule="exact"/>
              <w:rPr>
                <w:rFonts w:cs="宋体"/>
                <w:sz w:val="18"/>
                <w:szCs w:val="18"/>
              </w:rPr>
            </w:pPr>
            <w:r w:rsidRPr="0063248C">
              <w:rPr>
                <w:rFonts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0C9E8F16" w14:textId="77777777" w:rsidR="007B3DB2" w:rsidRPr="0063248C" w:rsidRDefault="00000000">
            <w:pPr>
              <w:spacing w:line="240" w:lineRule="exact"/>
              <w:jc w:val="right"/>
              <w:rPr>
                <w:rFonts w:cs="宋体"/>
                <w:sz w:val="18"/>
                <w:szCs w:val="18"/>
              </w:rPr>
            </w:pPr>
            <w:r w:rsidRPr="0063248C">
              <w:rPr>
                <w:rFonts w:cs="宋体"/>
                <w:sz w:val="18"/>
                <w:szCs w:val="18"/>
              </w:rPr>
              <w:t>9,182,026.31</w:t>
            </w:r>
          </w:p>
        </w:tc>
        <w:tc>
          <w:tcPr>
            <w:tcW w:w="3213" w:type="dxa"/>
            <w:tcBorders>
              <w:top w:val="single" w:sz="2" w:space="0" w:color="auto"/>
              <w:left w:val="single" w:sz="2" w:space="0" w:color="auto"/>
              <w:bottom w:val="single" w:sz="2" w:space="0" w:color="auto"/>
              <w:right w:val="single" w:sz="2" w:space="0" w:color="auto"/>
            </w:tcBorders>
            <w:vAlign w:val="center"/>
          </w:tcPr>
          <w:p w14:paraId="39E40414" w14:textId="77777777" w:rsidR="007B3DB2" w:rsidRPr="0063248C" w:rsidRDefault="00000000">
            <w:pPr>
              <w:spacing w:line="240" w:lineRule="exact"/>
              <w:jc w:val="right"/>
              <w:rPr>
                <w:rFonts w:cs="宋体"/>
                <w:sz w:val="18"/>
                <w:szCs w:val="18"/>
              </w:rPr>
            </w:pPr>
            <w:r w:rsidRPr="0063248C">
              <w:rPr>
                <w:rFonts w:cs="宋体"/>
                <w:sz w:val="18"/>
                <w:szCs w:val="18"/>
              </w:rPr>
              <w:t>11,582,579.48</w:t>
            </w:r>
          </w:p>
        </w:tc>
      </w:tr>
      <w:tr w:rsidR="007B3DB2" w:rsidRPr="0063248C" w14:paraId="16E2F9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FBB967"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D045799" w14:textId="77777777" w:rsidR="007B3DB2" w:rsidRPr="0063248C" w:rsidRDefault="00000000">
            <w:pPr>
              <w:spacing w:line="240" w:lineRule="exact"/>
              <w:jc w:val="right"/>
              <w:rPr>
                <w:rFonts w:cs="宋体"/>
                <w:sz w:val="18"/>
                <w:szCs w:val="18"/>
              </w:rPr>
            </w:pPr>
            <w:r w:rsidRPr="0063248C">
              <w:rPr>
                <w:rFonts w:cs="宋体"/>
                <w:sz w:val="18"/>
                <w:szCs w:val="18"/>
              </w:rPr>
              <w:t>57,280,512.12</w:t>
            </w:r>
          </w:p>
        </w:tc>
        <w:tc>
          <w:tcPr>
            <w:tcW w:w="3213" w:type="dxa"/>
            <w:tcBorders>
              <w:top w:val="single" w:sz="2" w:space="0" w:color="auto"/>
              <w:left w:val="single" w:sz="2" w:space="0" w:color="auto"/>
              <w:bottom w:val="single" w:sz="2" w:space="0" w:color="auto"/>
              <w:right w:val="single" w:sz="2" w:space="0" w:color="auto"/>
            </w:tcBorders>
            <w:vAlign w:val="center"/>
          </w:tcPr>
          <w:p w14:paraId="7AA13E61" w14:textId="77777777" w:rsidR="007B3DB2" w:rsidRPr="0063248C" w:rsidRDefault="00000000">
            <w:pPr>
              <w:spacing w:line="240" w:lineRule="exact"/>
              <w:jc w:val="right"/>
              <w:rPr>
                <w:rFonts w:cs="宋体"/>
                <w:sz w:val="18"/>
                <w:szCs w:val="18"/>
              </w:rPr>
            </w:pPr>
            <w:r w:rsidRPr="0063248C">
              <w:rPr>
                <w:rFonts w:cs="宋体"/>
                <w:sz w:val="18"/>
                <w:szCs w:val="18"/>
              </w:rPr>
              <w:t>79,532,772.76</w:t>
            </w:r>
          </w:p>
        </w:tc>
      </w:tr>
    </w:tbl>
    <w:p w14:paraId="1C7B9A57"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4CDCB60D" w14:textId="77777777" w:rsidR="00517D34" w:rsidRPr="0063248C" w:rsidRDefault="00000000">
      <w:pPr>
        <w:pStyle w:val="a3"/>
        <w:divId w:val="2109353790"/>
        <w:rPr>
          <w:rFonts w:ascii="Times New Roman" w:hAnsi="Times New Roman"/>
          <w:sz w:val="18"/>
          <w:szCs w:val="18"/>
        </w:rPr>
      </w:pPr>
      <w:r w:rsidRPr="0063248C">
        <w:rPr>
          <w:rFonts w:ascii="Times New Roman" w:hAnsi="Times New Roman" w:hint="eastAsia"/>
          <w:sz w:val="18"/>
          <w:szCs w:val="18"/>
        </w:rPr>
        <w:t>无</w:t>
      </w:r>
    </w:p>
    <w:p w14:paraId="4A40DE46" w14:textId="77777777" w:rsidR="007B3DB2" w:rsidRPr="0063248C" w:rsidRDefault="00000000">
      <w:pPr>
        <w:pStyle w:val="3"/>
        <w:spacing w:line="280" w:lineRule="exact"/>
        <w:jc w:val="left"/>
        <w:rPr>
          <w:rFonts w:cs="宋体"/>
          <w:b/>
          <w:bCs/>
        </w:rPr>
      </w:pPr>
      <w:bookmarkStart w:id="367" w:name="_Toc989256"/>
      <w:r w:rsidRPr="0063248C">
        <w:rPr>
          <w:rFonts w:cs="宋体"/>
          <w:b/>
          <w:bCs/>
        </w:rPr>
        <w:t>65</w:t>
      </w:r>
      <w:r w:rsidRPr="0063248C">
        <w:rPr>
          <w:rFonts w:cs="宋体"/>
          <w:b/>
          <w:bCs/>
        </w:rPr>
        <w:t>、研发费用</w:t>
      </w:r>
      <w:bookmarkEnd w:id="367"/>
    </w:p>
    <w:p w14:paraId="359BFD32"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6413FF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4D31DE"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7EEF28"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A9C5BF"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191B164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E46B6D8" w14:textId="77777777" w:rsidR="007B3DB2" w:rsidRPr="0063248C" w:rsidRDefault="00000000">
            <w:pPr>
              <w:spacing w:line="240" w:lineRule="exact"/>
              <w:rPr>
                <w:rFonts w:cs="宋体"/>
                <w:sz w:val="18"/>
                <w:szCs w:val="18"/>
              </w:rPr>
            </w:pPr>
            <w:r w:rsidRPr="0063248C">
              <w:rPr>
                <w:rFonts w:cs="宋体"/>
                <w:sz w:val="18"/>
                <w:szCs w:val="18"/>
              </w:rPr>
              <w:t>原材料</w:t>
            </w:r>
          </w:p>
        </w:tc>
        <w:tc>
          <w:tcPr>
            <w:tcW w:w="3213" w:type="dxa"/>
            <w:tcBorders>
              <w:top w:val="single" w:sz="2" w:space="0" w:color="auto"/>
              <w:left w:val="single" w:sz="2" w:space="0" w:color="auto"/>
              <w:bottom w:val="single" w:sz="2" w:space="0" w:color="auto"/>
              <w:right w:val="single" w:sz="2" w:space="0" w:color="auto"/>
            </w:tcBorders>
            <w:vAlign w:val="center"/>
          </w:tcPr>
          <w:p w14:paraId="29E17DB9" w14:textId="77777777" w:rsidR="007B3DB2" w:rsidRPr="0063248C" w:rsidRDefault="00000000">
            <w:pPr>
              <w:spacing w:line="240" w:lineRule="exact"/>
              <w:jc w:val="right"/>
              <w:rPr>
                <w:rFonts w:cs="宋体"/>
                <w:sz w:val="18"/>
                <w:szCs w:val="18"/>
              </w:rPr>
            </w:pPr>
            <w:r w:rsidRPr="0063248C">
              <w:rPr>
                <w:rFonts w:cs="宋体"/>
                <w:sz w:val="18"/>
                <w:szCs w:val="18"/>
              </w:rPr>
              <w:t>562,096.61</w:t>
            </w:r>
          </w:p>
        </w:tc>
        <w:tc>
          <w:tcPr>
            <w:tcW w:w="3213" w:type="dxa"/>
            <w:tcBorders>
              <w:top w:val="single" w:sz="2" w:space="0" w:color="auto"/>
              <w:left w:val="single" w:sz="2" w:space="0" w:color="auto"/>
              <w:bottom w:val="single" w:sz="2" w:space="0" w:color="auto"/>
              <w:right w:val="single" w:sz="2" w:space="0" w:color="auto"/>
            </w:tcBorders>
            <w:vAlign w:val="center"/>
          </w:tcPr>
          <w:p w14:paraId="4AA0E26C" w14:textId="77777777" w:rsidR="007B3DB2" w:rsidRPr="0063248C" w:rsidRDefault="00000000">
            <w:pPr>
              <w:spacing w:line="240" w:lineRule="exact"/>
              <w:jc w:val="right"/>
              <w:rPr>
                <w:rFonts w:cs="宋体"/>
                <w:sz w:val="18"/>
                <w:szCs w:val="18"/>
              </w:rPr>
            </w:pPr>
            <w:r w:rsidRPr="0063248C">
              <w:rPr>
                <w:rFonts w:cs="宋体"/>
                <w:sz w:val="18"/>
                <w:szCs w:val="18"/>
              </w:rPr>
              <w:t>701,120.11</w:t>
            </w:r>
          </w:p>
        </w:tc>
      </w:tr>
      <w:tr w:rsidR="007B3DB2" w:rsidRPr="0063248C" w14:paraId="5108BA2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F31D7B0" w14:textId="77777777" w:rsidR="007B3DB2" w:rsidRPr="0063248C" w:rsidRDefault="00000000">
            <w:pPr>
              <w:spacing w:line="240" w:lineRule="exact"/>
              <w:rPr>
                <w:rFonts w:cs="宋体"/>
                <w:sz w:val="18"/>
                <w:szCs w:val="18"/>
              </w:rPr>
            </w:pPr>
            <w:r w:rsidRPr="0063248C">
              <w:rPr>
                <w:rFonts w:cs="宋体"/>
                <w:sz w:val="18"/>
                <w:szCs w:val="18"/>
              </w:rPr>
              <w:t>工资费用</w:t>
            </w:r>
          </w:p>
        </w:tc>
        <w:tc>
          <w:tcPr>
            <w:tcW w:w="3213" w:type="dxa"/>
            <w:tcBorders>
              <w:top w:val="single" w:sz="2" w:space="0" w:color="auto"/>
              <w:left w:val="single" w:sz="2" w:space="0" w:color="auto"/>
              <w:bottom w:val="single" w:sz="2" w:space="0" w:color="auto"/>
              <w:right w:val="single" w:sz="2" w:space="0" w:color="auto"/>
            </w:tcBorders>
            <w:vAlign w:val="center"/>
          </w:tcPr>
          <w:p w14:paraId="762C627C" w14:textId="77777777" w:rsidR="007B3DB2" w:rsidRPr="0063248C" w:rsidRDefault="00000000">
            <w:pPr>
              <w:spacing w:line="240" w:lineRule="exact"/>
              <w:jc w:val="right"/>
              <w:rPr>
                <w:rFonts w:cs="宋体"/>
                <w:sz w:val="18"/>
                <w:szCs w:val="18"/>
              </w:rPr>
            </w:pPr>
            <w:r w:rsidRPr="0063248C">
              <w:rPr>
                <w:rFonts w:cs="宋体"/>
                <w:sz w:val="18"/>
                <w:szCs w:val="18"/>
              </w:rPr>
              <w:t>1,877,228.26</w:t>
            </w:r>
          </w:p>
        </w:tc>
        <w:tc>
          <w:tcPr>
            <w:tcW w:w="3213" w:type="dxa"/>
            <w:tcBorders>
              <w:top w:val="single" w:sz="2" w:space="0" w:color="auto"/>
              <w:left w:val="single" w:sz="2" w:space="0" w:color="auto"/>
              <w:bottom w:val="single" w:sz="2" w:space="0" w:color="auto"/>
              <w:right w:val="single" w:sz="2" w:space="0" w:color="auto"/>
            </w:tcBorders>
            <w:vAlign w:val="center"/>
          </w:tcPr>
          <w:p w14:paraId="1FCB304D" w14:textId="77777777" w:rsidR="007B3DB2" w:rsidRPr="0063248C" w:rsidRDefault="00000000">
            <w:pPr>
              <w:spacing w:line="240" w:lineRule="exact"/>
              <w:jc w:val="right"/>
              <w:rPr>
                <w:rFonts w:cs="宋体"/>
                <w:sz w:val="18"/>
                <w:szCs w:val="18"/>
              </w:rPr>
            </w:pPr>
            <w:r w:rsidRPr="0063248C">
              <w:rPr>
                <w:rFonts w:cs="宋体"/>
                <w:sz w:val="18"/>
                <w:szCs w:val="18"/>
              </w:rPr>
              <w:t>3,621,077.35</w:t>
            </w:r>
          </w:p>
        </w:tc>
      </w:tr>
      <w:tr w:rsidR="007B3DB2" w:rsidRPr="0063248C" w14:paraId="5CE2335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6DB9076" w14:textId="77777777" w:rsidR="007B3DB2" w:rsidRPr="0063248C" w:rsidRDefault="00000000">
            <w:pPr>
              <w:spacing w:line="240" w:lineRule="exact"/>
              <w:rPr>
                <w:rFonts w:cs="宋体"/>
                <w:sz w:val="18"/>
                <w:szCs w:val="18"/>
              </w:rPr>
            </w:pPr>
            <w:r w:rsidRPr="0063248C">
              <w:rPr>
                <w:rFonts w:cs="宋体"/>
                <w:sz w:val="18"/>
                <w:szCs w:val="18"/>
              </w:rPr>
              <w:t>折旧费</w:t>
            </w:r>
          </w:p>
        </w:tc>
        <w:tc>
          <w:tcPr>
            <w:tcW w:w="3213" w:type="dxa"/>
            <w:tcBorders>
              <w:top w:val="single" w:sz="2" w:space="0" w:color="auto"/>
              <w:left w:val="single" w:sz="2" w:space="0" w:color="auto"/>
              <w:bottom w:val="single" w:sz="2" w:space="0" w:color="auto"/>
              <w:right w:val="single" w:sz="2" w:space="0" w:color="auto"/>
            </w:tcBorders>
            <w:vAlign w:val="center"/>
          </w:tcPr>
          <w:p w14:paraId="4041F494" w14:textId="77777777" w:rsidR="007B3DB2" w:rsidRPr="0063248C" w:rsidRDefault="00000000">
            <w:pPr>
              <w:spacing w:line="240" w:lineRule="exact"/>
              <w:jc w:val="right"/>
              <w:rPr>
                <w:rFonts w:cs="宋体"/>
                <w:sz w:val="18"/>
                <w:szCs w:val="18"/>
              </w:rPr>
            </w:pPr>
            <w:r w:rsidRPr="0063248C">
              <w:rPr>
                <w:rFonts w:cs="宋体"/>
                <w:sz w:val="18"/>
                <w:szCs w:val="18"/>
              </w:rPr>
              <w:t>449,175.95</w:t>
            </w:r>
          </w:p>
        </w:tc>
        <w:tc>
          <w:tcPr>
            <w:tcW w:w="3213" w:type="dxa"/>
            <w:tcBorders>
              <w:top w:val="single" w:sz="2" w:space="0" w:color="auto"/>
              <w:left w:val="single" w:sz="2" w:space="0" w:color="auto"/>
              <w:bottom w:val="single" w:sz="2" w:space="0" w:color="auto"/>
              <w:right w:val="single" w:sz="2" w:space="0" w:color="auto"/>
            </w:tcBorders>
            <w:vAlign w:val="center"/>
          </w:tcPr>
          <w:p w14:paraId="3D50B951" w14:textId="77777777" w:rsidR="007B3DB2" w:rsidRPr="0063248C" w:rsidRDefault="00000000">
            <w:pPr>
              <w:spacing w:line="240" w:lineRule="exact"/>
              <w:jc w:val="right"/>
              <w:rPr>
                <w:rFonts w:cs="宋体"/>
                <w:sz w:val="18"/>
                <w:szCs w:val="18"/>
              </w:rPr>
            </w:pPr>
            <w:r w:rsidRPr="0063248C">
              <w:rPr>
                <w:rFonts w:cs="宋体"/>
                <w:sz w:val="18"/>
                <w:szCs w:val="18"/>
              </w:rPr>
              <w:t>270,574.37</w:t>
            </w:r>
          </w:p>
        </w:tc>
      </w:tr>
      <w:tr w:rsidR="007B3DB2" w:rsidRPr="0063248C" w14:paraId="1E875B4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CD76A90" w14:textId="77777777" w:rsidR="007B3DB2" w:rsidRPr="0063248C" w:rsidRDefault="00000000">
            <w:pPr>
              <w:spacing w:line="240" w:lineRule="exact"/>
              <w:rPr>
                <w:rFonts w:cs="宋体"/>
                <w:sz w:val="18"/>
                <w:szCs w:val="18"/>
              </w:rPr>
            </w:pPr>
            <w:r w:rsidRPr="0063248C">
              <w:rPr>
                <w:rFonts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14:paraId="1F2002BC" w14:textId="77777777" w:rsidR="007B3DB2" w:rsidRPr="0063248C" w:rsidRDefault="00000000">
            <w:pPr>
              <w:spacing w:line="240" w:lineRule="exact"/>
              <w:jc w:val="right"/>
              <w:rPr>
                <w:rFonts w:cs="宋体"/>
                <w:sz w:val="18"/>
                <w:szCs w:val="18"/>
              </w:rPr>
            </w:pPr>
            <w:r w:rsidRPr="0063248C">
              <w:rPr>
                <w:rFonts w:cs="宋体"/>
                <w:sz w:val="18"/>
                <w:szCs w:val="18"/>
              </w:rPr>
              <w:t>136,275.81</w:t>
            </w:r>
          </w:p>
        </w:tc>
        <w:tc>
          <w:tcPr>
            <w:tcW w:w="3213" w:type="dxa"/>
            <w:tcBorders>
              <w:top w:val="single" w:sz="2" w:space="0" w:color="auto"/>
              <w:left w:val="single" w:sz="2" w:space="0" w:color="auto"/>
              <w:bottom w:val="single" w:sz="2" w:space="0" w:color="auto"/>
              <w:right w:val="single" w:sz="2" w:space="0" w:color="auto"/>
            </w:tcBorders>
            <w:vAlign w:val="center"/>
          </w:tcPr>
          <w:p w14:paraId="2A15B9D8" w14:textId="77777777" w:rsidR="007B3DB2" w:rsidRPr="0063248C" w:rsidRDefault="00000000">
            <w:pPr>
              <w:spacing w:line="240" w:lineRule="exact"/>
              <w:jc w:val="right"/>
              <w:rPr>
                <w:rFonts w:cs="宋体"/>
                <w:sz w:val="18"/>
                <w:szCs w:val="18"/>
              </w:rPr>
            </w:pPr>
            <w:r w:rsidRPr="0063248C">
              <w:rPr>
                <w:rFonts w:cs="宋体"/>
                <w:sz w:val="18"/>
                <w:szCs w:val="18"/>
              </w:rPr>
              <w:t>195,333.68</w:t>
            </w:r>
          </w:p>
        </w:tc>
      </w:tr>
      <w:tr w:rsidR="007B3DB2" w:rsidRPr="0063248C" w14:paraId="05D4954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9C4808A" w14:textId="77777777" w:rsidR="007B3DB2" w:rsidRPr="0063248C" w:rsidRDefault="00000000">
            <w:pPr>
              <w:spacing w:line="240" w:lineRule="exact"/>
              <w:rPr>
                <w:rFonts w:cs="宋体"/>
                <w:sz w:val="18"/>
                <w:szCs w:val="18"/>
              </w:rPr>
            </w:pPr>
            <w:r w:rsidRPr="0063248C">
              <w:rPr>
                <w:rFonts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14:paraId="12840341" w14:textId="77777777" w:rsidR="007B3DB2" w:rsidRPr="0063248C" w:rsidRDefault="00000000">
            <w:pPr>
              <w:spacing w:line="240" w:lineRule="exact"/>
              <w:jc w:val="right"/>
              <w:rPr>
                <w:rFonts w:cs="宋体"/>
                <w:sz w:val="18"/>
                <w:szCs w:val="18"/>
              </w:rPr>
            </w:pPr>
            <w:r w:rsidRPr="0063248C">
              <w:rPr>
                <w:rFonts w:cs="宋体"/>
                <w:sz w:val="18"/>
                <w:szCs w:val="18"/>
              </w:rPr>
              <w:t>112,331.46</w:t>
            </w:r>
          </w:p>
        </w:tc>
        <w:tc>
          <w:tcPr>
            <w:tcW w:w="3213" w:type="dxa"/>
            <w:tcBorders>
              <w:top w:val="single" w:sz="2" w:space="0" w:color="auto"/>
              <w:left w:val="single" w:sz="2" w:space="0" w:color="auto"/>
              <w:bottom w:val="single" w:sz="2" w:space="0" w:color="auto"/>
              <w:right w:val="single" w:sz="2" w:space="0" w:color="auto"/>
            </w:tcBorders>
            <w:vAlign w:val="center"/>
          </w:tcPr>
          <w:p w14:paraId="6D7D9546" w14:textId="77777777" w:rsidR="007B3DB2" w:rsidRPr="0063248C" w:rsidRDefault="00000000">
            <w:pPr>
              <w:spacing w:line="240" w:lineRule="exact"/>
              <w:jc w:val="right"/>
              <w:rPr>
                <w:rFonts w:cs="宋体"/>
                <w:sz w:val="18"/>
                <w:szCs w:val="18"/>
              </w:rPr>
            </w:pPr>
            <w:r w:rsidRPr="0063248C">
              <w:rPr>
                <w:rFonts w:cs="宋体"/>
                <w:sz w:val="18"/>
                <w:szCs w:val="18"/>
              </w:rPr>
              <w:t>259,293.92</w:t>
            </w:r>
          </w:p>
        </w:tc>
      </w:tr>
      <w:tr w:rsidR="007B3DB2" w:rsidRPr="0063248C" w14:paraId="0E0C76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6F2ED7"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F64BF7B" w14:textId="77777777" w:rsidR="007B3DB2" w:rsidRPr="0063248C" w:rsidRDefault="00000000">
            <w:pPr>
              <w:spacing w:line="240" w:lineRule="exact"/>
              <w:jc w:val="right"/>
              <w:rPr>
                <w:rFonts w:cs="宋体"/>
                <w:sz w:val="18"/>
                <w:szCs w:val="18"/>
              </w:rPr>
            </w:pPr>
            <w:r w:rsidRPr="0063248C">
              <w:rPr>
                <w:rFonts w:cs="宋体"/>
                <w:sz w:val="18"/>
                <w:szCs w:val="18"/>
              </w:rPr>
              <w:t>3,137,108.09</w:t>
            </w:r>
          </w:p>
        </w:tc>
        <w:tc>
          <w:tcPr>
            <w:tcW w:w="3213" w:type="dxa"/>
            <w:tcBorders>
              <w:top w:val="single" w:sz="2" w:space="0" w:color="auto"/>
              <w:left w:val="single" w:sz="2" w:space="0" w:color="auto"/>
              <w:bottom w:val="single" w:sz="2" w:space="0" w:color="auto"/>
              <w:right w:val="single" w:sz="2" w:space="0" w:color="auto"/>
            </w:tcBorders>
            <w:vAlign w:val="center"/>
          </w:tcPr>
          <w:p w14:paraId="27128F34" w14:textId="77777777" w:rsidR="007B3DB2" w:rsidRPr="0063248C" w:rsidRDefault="00000000">
            <w:pPr>
              <w:spacing w:line="240" w:lineRule="exact"/>
              <w:jc w:val="right"/>
              <w:rPr>
                <w:rFonts w:cs="宋体"/>
                <w:sz w:val="18"/>
                <w:szCs w:val="18"/>
              </w:rPr>
            </w:pPr>
            <w:r w:rsidRPr="0063248C">
              <w:rPr>
                <w:rFonts w:cs="宋体"/>
                <w:sz w:val="18"/>
                <w:szCs w:val="18"/>
              </w:rPr>
              <w:t>5,047,399.43</w:t>
            </w:r>
          </w:p>
        </w:tc>
      </w:tr>
    </w:tbl>
    <w:p w14:paraId="0F20CC6B"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784ED892" w14:textId="77777777" w:rsidR="00517D34" w:rsidRPr="0063248C" w:rsidRDefault="00000000">
      <w:pPr>
        <w:pStyle w:val="a3"/>
        <w:divId w:val="1689453966"/>
        <w:rPr>
          <w:rFonts w:ascii="Times New Roman" w:hAnsi="Times New Roman"/>
          <w:sz w:val="18"/>
          <w:szCs w:val="18"/>
        </w:rPr>
      </w:pPr>
      <w:r w:rsidRPr="0063248C">
        <w:rPr>
          <w:rFonts w:ascii="Times New Roman" w:hAnsi="Times New Roman" w:hint="eastAsia"/>
          <w:sz w:val="18"/>
          <w:szCs w:val="18"/>
        </w:rPr>
        <w:t>无</w:t>
      </w:r>
    </w:p>
    <w:p w14:paraId="03D73F9F" w14:textId="77777777" w:rsidR="007B3DB2" w:rsidRPr="0063248C" w:rsidRDefault="00000000">
      <w:pPr>
        <w:pStyle w:val="3"/>
        <w:spacing w:line="280" w:lineRule="exact"/>
        <w:jc w:val="left"/>
        <w:rPr>
          <w:rFonts w:cs="宋体"/>
          <w:b/>
          <w:bCs/>
        </w:rPr>
      </w:pPr>
      <w:bookmarkStart w:id="368" w:name="_Toc989257"/>
      <w:r w:rsidRPr="0063248C">
        <w:rPr>
          <w:rFonts w:cs="宋体"/>
          <w:b/>
          <w:bCs/>
        </w:rPr>
        <w:t>66</w:t>
      </w:r>
      <w:r w:rsidRPr="0063248C">
        <w:rPr>
          <w:rFonts w:cs="宋体"/>
          <w:b/>
          <w:bCs/>
        </w:rPr>
        <w:t>、财务费用</w:t>
      </w:r>
      <w:bookmarkEnd w:id="368"/>
    </w:p>
    <w:p w14:paraId="73B05D7F"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456A90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FFCDD1"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87AE5C"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38B453"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2E25732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440AD62" w14:textId="77777777" w:rsidR="007B3DB2" w:rsidRPr="0063248C" w:rsidRDefault="00000000">
            <w:pPr>
              <w:spacing w:line="240" w:lineRule="exact"/>
              <w:rPr>
                <w:rFonts w:cs="宋体"/>
                <w:sz w:val="18"/>
                <w:szCs w:val="18"/>
              </w:rPr>
            </w:pPr>
            <w:r w:rsidRPr="0063248C">
              <w:rPr>
                <w:rFonts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60485DF1" w14:textId="77777777" w:rsidR="007B3DB2" w:rsidRPr="0063248C" w:rsidRDefault="00000000">
            <w:pPr>
              <w:spacing w:line="240" w:lineRule="exact"/>
              <w:jc w:val="right"/>
              <w:rPr>
                <w:rFonts w:cs="宋体"/>
                <w:sz w:val="18"/>
                <w:szCs w:val="18"/>
              </w:rPr>
            </w:pPr>
            <w:r w:rsidRPr="0063248C">
              <w:rPr>
                <w:rFonts w:cs="宋体"/>
                <w:sz w:val="18"/>
                <w:szCs w:val="18"/>
              </w:rPr>
              <w:t>54,880,293.96</w:t>
            </w:r>
          </w:p>
        </w:tc>
        <w:tc>
          <w:tcPr>
            <w:tcW w:w="3213" w:type="dxa"/>
            <w:tcBorders>
              <w:top w:val="single" w:sz="2" w:space="0" w:color="auto"/>
              <w:left w:val="single" w:sz="2" w:space="0" w:color="auto"/>
              <w:bottom w:val="single" w:sz="2" w:space="0" w:color="auto"/>
              <w:right w:val="single" w:sz="2" w:space="0" w:color="auto"/>
            </w:tcBorders>
            <w:vAlign w:val="center"/>
          </w:tcPr>
          <w:p w14:paraId="5348E27B" w14:textId="77777777" w:rsidR="007B3DB2" w:rsidRPr="0063248C" w:rsidRDefault="00000000">
            <w:pPr>
              <w:spacing w:line="240" w:lineRule="exact"/>
              <w:jc w:val="right"/>
              <w:rPr>
                <w:rFonts w:cs="宋体"/>
                <w:sz w:val="18"/>
                <w:szCs w:val="18"/>
              </w:rPr>
            </w:pPr>
            <w:r w:rsidRPr="0063248C">
              <w:rPr>
                <w:rFonts w:cs="宋体"/>
                <w:sz w:val="18"/>
                <w:szCs w:val="18"/>
              </w:rPr>
              <w:t>48,892,795.35</w:t>
            </w:r>
          </w:p>
        </w:tc>
      </w:tr>
      <w:tr w:rsidR="007B3DB2" w:rsidRPr="0063248C" w14:paraId="3ABB4BF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DBFA3A4" w14:textId="77777777" w:rsidR="007B3DB2" w:rsidRPr="0063248C" w:rsidRDefault="00000000">
            <w:pPr>
              <w:spacing w:line="240" w:lineRule="exact"/>
              <w:rPr>
                <w:rFonts w:cs="宋体"/>
                <w:sz w:val="18"/>
                <w:szCs w:val="18"/>
              </w:rPr>
            </w:pPr>
            <w:r w:rsidRPr="0063248C">
              <w:rPr>
                <w:rFonts w:cs="宋体"/>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6BF5A9CF" w14:textId="77777777" w:rsidR="007B3DB2" w:rsidRPr="0063248C" w:rsidRDefault="00000000">
            <w:pPr>
              <w:spacing w:line="240" w:lineRule="exact"/>
              <w:jc w:val="right"/>
              <w:rPr>
                <w:rFonts w:cs="宋体"/>
                <w:sz w:val="18"/>
                <w:szCs w:val="18"/>
              </w:rPr>
            </w:pPr>
            <w:r w:rsidRPr="0063248C">
              <w:rPr>
                <w:rFonts w:cs="宋体"/>
                <w:sz w:val="18"/>
                <w:szCs w:val="18"/>
              </w:rPr>
              <w:t>-14,682,370.19</w:t>
            </w:r>
          </w:p>
        </w:tc>
        <w:tc>
          <w:tcPr>
            <w:tcW w:w="3213" w:type="dxa"/>
            <w:tcBorders>
              <w:top w:val="single" w:sz="2" w:space="0" w:color="auto"/>
              <w:left w:val="single" w:sz="2" w:space="0" w:color="auto"/>
              <w:bottom w:val="single" w:sz="2" w:space="0" w:color="auto"/>
              <w:right w:val="single" w:sz="2" w:space="0" w:color="auto"/>
            </w:tcBorders>
            <w:vAlign w:val="center"/>
          </w:tcPr>
          <w:p w14:paraId="4A80654E" w14:textId="77777777" w:rsidR="007B3DB2" w:rsidRPr="0063248C" w:rsidRDefault="00000000">
            <w:pPr>
              <w:spacing w:line="240" w:lineRule="exact"/>
              <w:jc w:val="right"/>
              <w:rPr>
                <w:rFonts w:cs="宋体"/>
                <w:sz w:val="18"/>
                <w:szCs w:val="18"/>
              </w:rPr>
            </w:pPr>
            <w:r w:rsidRPr="0063248C">
              <w:rPr>
                <w:rFonts w:cs="宋体"/>
                <w:sz w:val="18"/>
                <w:szCs w:val="18"/>
              </w:rPr>
              <w:t>-19,739,406.54</w:t>
            </w:r>
          </w:p>
        </w:tc>
      </w:tr>
      <w:tr w:rsidR="007B3DB2" w:rsidRPr="0063248C" w14:paraId="68DB2C1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E5DE20D" w14:textId="77777777" w:rsidR="007B3DB2" w:rsidRPr="0063248C" w:rsidRDefault="00000000">
            <w:pPr>
              <w:spacing w:line="240" w:lineRule="exact"/>
              <w:rPr>
                <w:rFonts w:cs="宋体"/>
                <w:sz w:val="18"/>
                <w:szCs w:val="18"/>
              </w:rPr>
            </w:pPr>
            <w:r w:rsidRPr="0063248C">
              <w:rPr>
                <w:rFonts w:cs="宋体"/>
                <w:sz w:val="18"/>
                <w:szCs w:val="18"/>
              </w:rPr>
              <w:t>手续费支出</w:t>
            </w:r>
          </w:p>
        </w:tc>
        <w:tc>
          <w:tcPr>
            <w:tcW w:w="3213" w:type="dxa"/>
            <w:tcBorders>
              <w:top w:val="single" w:sz="2" w:space="0" w:color="auto"/>
              <w:left w:val="single" w:sz="2" w:space="0" w:color="auto"/>
              <w:bottom w:val="single" w:sz="2" w:space="0" w:color="auto"/>
              <w:right w:val="single" w:sz="2" w:space="0" w:color="auto"/>
            </w:tcBorders>
            <w:vAlign w:val="center"/>
          </w:tcPr>
          <w:p w14:paraId="32B5E3B7" w14:textId="77777777" w:rsidR="007B3DB2" w:rsidRPr="0063248C" w:rsidRDefault="00000000">
            <w:pPr>
              <w:spacing w:line="240" w:lineRule="exact"/>
              <w:jc w:val="right"/>
              <w:rPr>
                <w:rFonts w:cs="宋体"/>
                <w:sz w:val="18"/>
                <w:szCs w:val="18"/>
              </w:rPr>
            </w:pPr>
            <w:r w:rsidRPr="0063248C">
              <w:rPr>
                <w:rFonts w:cs="宋体"/>
                <w:sz w:val="18"/>
                <w:szCs w:val="18"/>
              </w:rPr>
              <w:t>1,418,346.30</w:t>
            </w:r>
          </w:p>
        </w:tc>
        <w:tc>
          <w:tcPr>
            <w:tcW w:w="3213" w:type="dxa"/>
            <w:tcBorders>
              <w:top w:val="single" w:sz="2" w:space="0" w:color="auto"/>
              <w:left w:val="single" w:sz="2" w:space="0" w:color="auto"/>
              <w:bottom w:val="single" w:sz="2" w:space="0" w:color="auto"/>
              <w:right w:val="single" w:sz="2" w:space="0" w:color="auto"/>
            </w:tcBorders>
            <w:vAlign w:val="center"/>
          </w:tcPr>
          <w:p w14:paraId="06EDB8E7" w14:textId="77777777" w:rsidR="007B3DB2" w:rsidRPr="0063248C" w:rsidRDefault="00000000">
            <w:pPr>
              <w:spacing w:line="240" w:lineRule="exact"/>
              <w:jc w:val="right"/>
              <w:rPr>
                <w:rFonts w:cs="宋体"/>
                <w:sz w:val="18"/>
                <w:szCs w:val="18"/>
              </w:rPr>
            </w:pPr>
            <w:r w:rsidRPr="0063248C">
              <w:rPr>
                <w:rFonts w:cs="宋体"/>
                <w:sz w:val="18"/>
                <w:szCs w:val="18"/>
              </w:rPr>
              <w:t>1,539,646.57</w:t>
            </w:r>
          </w:p>
        </w:tc>
      </w:tr>
      <w:tr w:rsidR="007B3DB2" w:rsidRPr="0063248C" w14:paraId="2EA7067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B3754B5" w14:textId="77777777" w:rsidR="007B3DB2" w:rsidRPr="0063248C" w:rsidRDefault="00000000">
            <w:pPr>
              <w:spacing w:line="240" w:lineRule="exact"/>
              <w:rPr>
                <w:rFonts w:cs="宋体"/>
                <w:sz w:val="18"/>
                <w:szCs w:val="18"/>
              </w:rPr>
            </w:pPr>
            <w:r w:rsidRPr="0063248C">
              <w:rPr>
                <w:rFonts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14:paraId="54B9823D" w14:textId="77777777" w:rsidR="007B3DB2" w:rsidRPr="0063248C" w:rsidRDefault="00000000">
            <w:pPr>
              <w:spacing w:line="240" w:lineRule="exact"/>
              <w:jc w:val="right"/>
              <w:rPr>
                <w:rFonts w:cs="宋体"/>
                <w:sz w:val="18"/>
                <w:szCs w:val="18"/>
              </w:rPr>
            </w:pPr>
            <w:r w:rsidRPr="0063248C">
              <w:rPr>
                <w:rFonts w:cs="宋体"/>
                <w:sz w:val="18"/>
                <w:szCs w:val="18"/>
              </w:rPr>
              <w:t>-33,195.49</w:t>
            </w:r>
          </w:p>
        </w:tc>
        <w:tc>
          <w:tcPr>
            <w:tcW w:w="3213" w:type="dxa"/>
            <w:tcBorders>
              <w:top w:val="single" w:sz="2" w:space="0" w:color="auto"/>
              <w:left w:val="single" w:sz="2" w:space="0" w:color="auto"/>
              <w:bottom w:val="single" w:sz="2" w:space="0" w:color="auto"/>
              <w:right w:val="single" w:sz="2" w:space="0" w:color="auto"/>
            </w:tcBorders>
            <w:vAlign w:val="center"/>
          </w:tcPr>
          <w:p w14:paraId="6BC639DF" w14:textId="77777777" w:rsidR="007B3DB2" w:rsidRPr="0063248C" w:rsidRDefault="00000000">
            <w:pPr>
              <w:spacing w:line="240" w:lineRule="exact"/>
              <w:jc w:val="right"/>
              <w:rPr>
                <w:rFonts w:cs="宋体"/>
                <w:sz w:val="18"/>
                <w:szCs w:val="18"/>
              </w:rPr>
            </w:pPr>
            <w:r w:rsidRPr="0063248C">
              <w:rPr>
                <w:rFonts w:cs="宋体"/>
                <w:sz w:val="18"/>
                <w:szCs w:val="18"/>
              </w:rPr>
              <w:t>-489,663.10</w:t>
            </w:r>
          </w:p>
        </w:tc>
      </w:tr>
      <w:tr w:rsidR="007B3DB2" w:rsidRPr="0063248C" w14:paraId="5A46A5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AEDC37"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743088A" w14:textId="77777777" w:rsidR="007B3DB2" w:rsidRPr="0063248C" w:rsidRDefault="00000000">
            <w:pPr>
              <w:spacing w:line="240" w:lineRule="exact"/>
              <w:jc w:val="right"/>
              <w:rPr>
                <w:rFonts w:cs="宋体"/>
                <w:sz w:val="18"/>
                <w:szCs w:val="18"/>
              </w:rPr>
            </w:pPr>
            <w:r w:rsidRPr="0063248C">
              <w:rPr>
                <w:rFonts w:cs="宋体"/>
                <w:sz w:val="18"/>
                <w:szCs w:val="18"/>
              </w:rPr>
              <w:t>41,583,074.58</w:t>
            </w:r>
          </w:p>
        </w:tc>
        <w:tc>
          <w:tcPr>
            <w:tcW w:w="3213" w:type="dxa"/>
            <w:tcBorders>
              <w:top w:val="single" w:sz="2" w:space="0" w:color="auto"/>
              <w:left w:val="single" w:sz="2" w:space="0" w:color="auto"/>
              <w:bottom w:val="single" w:sz="2" w:space="0" w:color="auto"/>
              <w:right w:val="single" w:sz="2" w:space="0" w:color="auto"/>
            </w:tcBorders>
            <w:vAlign w:val="center"/>
          </w:tcPr>
          <w:p w14:paraId="71AB78D0" w14:textId="77777777" w:rsidR="007B3DB2" w:rsidRPr="0063248C" w:rsidRDefault="00000000">
            <w:pPr>
              <w:spacing w:line="240" w:lineRule="exact"/>
              <w:jc w:val="right"/>
              <w:rPr>
                <w:rFonts w:cs="宋体"/>
                <w:sz w:val="18"/>
                <w:szCs w:val="18"/>
              </w:rPr>
            </w:pPr>
            <w:r w:rsidRPr="0063248C">
              <w:rPr>
                <w:rFonts w:cs="宋体"/>
                <w:sz w:val="18"/>
                <w:szCs w:val="18"/>
              </w:rPr>
              <w:t>30,203,372.28</w:t>
            </w:r>
          </w:p>
        </w:tc>
      </w:tr>
    </w:tbl>
    <w:p w14:paraId="63561B79"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7968EB63" w14:textId="77777777" w:rsidR="00517D34" w:rsidRPr="0063248C" w:rsidRDefault="00000000">
      <w:pPr>
        <w:pStyle w:val="a3"/>
        <w:divId w:val="506747319"/>
        <w:rPr>
          <w:rFonts w:ascii="Times New Roman" w:hAnsi="Times New Roman"/>
          <w:sz w:val="18"/>
          <w:szCs w:val="18"/>
        </w:rPr>
      </w:pPr>
      <w:r w:rsidRPr="0063248C">
        <w:rPr>
          <w:rFonts w:ascii="Times New Roman" w:hAnsi="Times New Roman" w:hint="eastAsia"/>
          <w:sz w:val="18"/>
          <w:szCs w:val="18"/>
        </w:rPr>
        <w:t>无</w:t>
      </w:r>
    </w:p>
    <w:p w14:paraId="491B2D86" w14:textId="77777777" w:rsidR="007B3DB2" w:rsidRPr="0063248C" w:rsidRDefault="00000000">
      <w:pPr>
        <w:pStyle w:val="3"/>
        <w:spacing w:line="280" w:lineRule="exact"/>
        <w:jc w:val="left"/>
        <w:rPr>
          <w:rFonts w:cs="宋体"/>
          <w:b/>
          <w:bCs/>
        </w:rPr>
      </w:pPr>
      <w:bookmarkStart w:id="369" w:name="_Toc989258"/>
      <w:r w:rsidRPr="0063248C">
        <w:rPr>
          <w:rFonts w:cs="宋体"/>
          <w:b/>
          <w:bCs/>
        </w:rPr>
        <w:t>67</w:t>
      </w:r>
      <w:r w:rsidRPr="0063248C">
        <w:rPr>
          <w:rFonts w:cs="宋体"/>
          <w:b/>
          <w:bCs/>
        </w:rPr>
        <w:t>、其他收益</w:t>
      </w:r>
      <w:bookmarkEnd w:id="369"/>
    </w:p>
    <w:p w14:paraId="32AE518F"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42B3F0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7BB9A8" w14:textId="77777777" w:rsidR="007B3DB2" w:rsidRPr="0063248C" w:rsidRDefault="00000000">
            <w:pPr>
              <w:spacing w:before="40" w:after="40" w:line="240" w:lineRule="exact"/>
              <w:jc w:val="center"/>
              <w:rPr>
                <w:rFonts w:cs="宋体"/>
                <w:sz w:val="18"/>
                <w:szCs w:val="18"/>
              </w:rPr>
            </w:pPr>
            <w:r w:rsidRPr="0063248C">
              <w:rPr>
                <w:rFonts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8E52A5"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05845E"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201CEEB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C2C9C57" w14:textId="77777777" w:rsidR="007B3DB2" w:rsidRPr="0063248C" w:rsidRDefault="00000000">
            <w:pPr>
              <w:spacing w:line="240" w:lineRule="exact"/>
              <w:rPr>
                <w:rFonts w:cs="宋体"/>
                <w:sz w:val="18"/>
                <w:szCs w:val="18"/>
              </w:rPr>
            </w:pPr>
            <w:r w:rsidRPr="0063248C">
              <w:rPr>
                <w:rFonts w:cs="宋体"/>
                <w:sz w:val="18"/>
                <w:szCs w:val="18"/>
              </w:rPr>
              <w:t>与日常活动相关的政府补助</w:t>
            </w:r>
          </w:p>
        </w:tc>
        <w:tc>
          <w:tcPr>
            <w:tcW w:w="3213" w:type="dxa"/>
            <w:tcBorders>
              <w:top w:val="single" w:sz="2" w:space="0" w:color="auto"/>
              <w:left w:val="single" w:sz="2" w:space="0" w:color="auto"/>
              <w:bottom w:val="single" w:sz="2" w:space="0" w:color="auto"/>
              <w:right w:val="single" w:sz="2" w:space="0" w:color="auto"/>
            </w:tcBorders>
            <w:vAlign w:val="center"/>
          </w:tcPr>
          <w:p w14:paraId="26767CB7" w14:textId="77777777" w:rsidR="007B3DB2" w:rsidRPr="0063248C" w:rsidRDefault="00000000">
            <w:pPr>
              <w:spacing w:line="240" w:lineRule="exact"/>
              <w:jc w:val="right"/>
              <w:rPr>
                <w:rFonts w:cs="宋体"/>
                <w:sz w:val="18"/>
                <w:szCs w:val="18"/>
              </w:rPr>
            </w:pPr>
            <w:r w:rsidRPr="0063248C">
              <w:rPr>
                <w:rFonts w:cs="宋体"/>
                <w:sz w:val="18"/>
                <w:szCs w:val="18"/>
              </w:rPr>
              <w:t>6,969,253.10</w:t>
            </w:r>
          </w:p>
        </w:tc>
        <w:tc>
          <w:tcPr>
            <w:tcW w:w="3213" w:type="dxa"/>
            <w:tcBorders>
              <w:top w:val="single" w:sz="2" w:space="0" w:color="auto"/>
              <w:left w:val="single" w:sz="2" w:space="0" w:color="auto"/>
              <w:bottom w:val="single" w:sz="2" w:space="0" w:color="auto"/>
              <w:right w:val="single" w:sz="2" w:space="0" w:color="auto"/>
            </w:tcBorders>
            <w:vAlign w:val="center"/>
          </w:tcPr>
          <w:p w14:paraId="2A9B3A6B" w14:textId="77777777" w:rsidR="007B3DB2" w:rsidRPr="0063248C" w:rsidRDefault="00000000">
            <w:pPr>
              <w:spacing w:line="240" w:lineRule="exact"/>
              <w:jc w:val="right"/>
              <w:rPr>
                <w:rFonts w:cs="宋体"/>
                <w:sz w:val="18"/>
                <w:szCs w:val="18"/>
              </w:rPr>
            </w:pPr>
            <w:r w:rsidRPr="0063248C">
              <w:rPr>
                <w:rFonts w:cs="宋体"/>
                <w:sz w:val="18"/>
                <w:szCs w:val="18"/>
              </w:rPr>
              <w:t>6,210,255.05</w:t>
            </w:r>
          </w:p>
        </w:tc>
      </w:tr>
      <w:tr w:rsidR="007B3DB2" w:rsidRPr="0063248C" w14:paraId="6DEA03C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0FEC623" w14:textId="77777777" w:rsidR="007B3DB2" w:rsidRPr="0063248C" w:rsidRDefault="00000000">
            <w:pPr>
              <w:spacing w:line="240" w:lineRule="exact"/>
              <w:rPr>
                <w:rFonts w:cs="宋体"/>
                <w:sz w:val="18"/>
                <w:szCs w:val="18"/>
              </w:rPr>
            </w:pPr>
            <w:r w:rsidRPr="0063248C">
              <w:rPr>
                <w:rFonts w:cs="宋体"/>
                <w:sz w:val="18"/>
                <w:szCs w:val="18"/>
              </w:rPr>
              <w:t>代扣个人所得税手续费返回</w:t>
            </w:r>
          </w:p>
        </w:tc>
        <w:tc>
          <w:tcPr>
            <w:tcW w:w="3213" w:type="dxa"/>
            <w:tcBorders>
              <w:top w:val="single" w:sz="2" w:space="0" w:color="auto"/>
              <w:left w:val="single" w:sz="2" w:space="0" w:color="auto"/>
              <w:bottom w:val="single" w:sz="2" w:space="0" w:color="auto"/>
              <w:right w:val="single" w:sz="2" w:space="0" w:color="auto"/>
            </w:tcBorders>
            <w:vAlign w:val="center"/>
          </w:tcPr>
          <w:p w14:paraId="1903F686" w14:textId="77777777" w:rsidR="007B3DB2" w:rsidRPr="0063248C" w:rsidRDefault="00000000">
            <w:pPr>
              <w:spacing w:line="240" w:lineRule="exact"/>
              <w:jc w:val="right"/>
              <w:rPr>
                <w:rFonts w:cs="宋体"/>
                <w:sz w:val="18"/>
                <w:szCs w:val="18"/>
              </w:rPr>
            </w:pPr>
            <w:r w:rsidRPr="0063248C">
              <w:rPr>
                <w:rFonts w:cs="宋体"/>
                <w:sz w:val="18"/>
                <w:szCs w:val="18"/>
              </w:rPr>
              <w:t>164,681.34</w:t>
            </w:r>
          </w:p>
        </w:tc>
        <w:tc>
          <w:tcPr>
            <w:tcW w:w="3213" w:type="dxa"/>
            <w:tcBorders>
              <w:top w:val="single" w:sz="2" w:space="0" w:color="auto"/>
              <w:left w:val="single" w:sz="2" w:space="0" w:color="auto"/>
              <w:bottom w:val="single" w:sz="2" w:space="0" w:color="auto"/>
              <w:right w:val="single" w:sz="2" w:space="0" w:color="auto"/>
            </w:tcBorders>
            <w:vAlign w:val="center"/>
          </w:tcPr>
          <w:p w14:paraId="481522EF" w14:textId="77777777" w:rsidR="007B3DB2" w:rsidRPr="0063248C" w:rsidRDefault="00000000">
            <w:pPr>
              <w:spacing w:line="240" w:lineRule="exact"/>
              <w:jc w:val="right"/>
              <w:rPr>
                <w:rFonts w:cs="宋体"/>
                <w:sz w:val="18"/>
                <w:szCs w:val="18"/>
              </w:rPr>
            </w:pPr>
            <w:r w:rsidRPr="0063248C">
              <w:rPr>
                <w:rFonts w:cs="宋体"/>
                <w:sz w:val="18"/>
                <w:szCs w:val="18"/>
              </w:rPr>
              <w:t>102,965.97</w:t>
            </w:r>
          </w:p>
        </w:tc>
      </w:tr>
      <w:tr w:rsidR="007B3DB2" w:rsidRPr="0063248C" w14:paraId="6B853ED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59F40FB" w14:textId="77777777" w:rsidR="007B3DB2" w:rsidRPr="0063248C" w:rsidRDefault="00000000">
            <w:pPr>
              <w:spacing w:line="240" w:lineRule="exact"/>
              <w:rPr>
                <w:rFonts w:cs="宋体"/>
                <w:sz w:val="18"/>
                <w:szCs w:val="18"/>
              </w:rPr>
            </w:pPr>
            <w:r w:rsidRPr="0063248C">
              <w:rPr>
                <w:rFonts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14:paraId="098CC1D1" w14:textId="77777777" w:rsidR="007B3DB2" w:rsidRPr="0063248C" w:rsidRDefault="00000000">
            <w:pPr>
              <w:spacing w:line="240" w:lineRule="exact"/>
              <w:jc w:val="right"/>
              <w:rPr>
                <w:rFonts w:cs="宋体"/>
                <w:sz w:val="18"/>
                <w:szCs w:val="18"/>
              </w:rPr>
            </w:pPr>
            <w:r w:rsidRPr="0063248C">
              <w:rPr>
                <w:rFonts w:cs="宋体"/>
                <w:sz w:val="18"/>
                <w:szCs w:val="18"/>
              </w:rPr>
              <w:t>7,133,934.44</w:t>
            </w:r>
          </w:p>
        </w:tc>
        <w:tc>
          <w:tcPr>
            <w:tcW w:w="3213" w:type="dxa"/>
            <w:tcBorders>
              <w:top w:val="single" w:sz="2" w:space="0" w:color="auto"/>
              <w:left w:val="single" w:sz="2" w:space="0" w:color="auto"/>
              <w:bottom w:val="single" w:sz="2" w:space="0" w:color="auto"/>
              <w:right w:val="single" w:sz="2" w:space="0" w:color="auto"/>
            </w:tcBorders>
            <w:vAlign w:val="center"/>
          </w:tcPr>
          <w:p w14:paraId="77F4203A" w14:textId="77777777" w:rsidR="007B3DB2" w:rsidRPr="0063248C" w:rsidRDefault="00000000">
            <w:pPr>
              <w:spacing w:line="240" w:lineRule="exact"/>
              <w:jc w:val="right"/>
              <w:rPr>
                <w:rFonts w:cs="宋体"/>
                <w:sz w:val="18"/>
                <w:szCs w:val="18"/>
              </w:rPr>
            </w:pPr>
            <w:r w:rsidRPr="0063248C">
              <w:rPr>
                <w:rFonts w:cs="宋体"/>
                <w:sz w:val="18"/>
                <w:szCs w:val="18"/>
              </w:rPr>
              <w:t>6,313,221.02</w:t>
            </w:r>
          </w:p>
        </w:tc>
      </w:tr>
    </w:tbl>
    <w:p w14:paraId="71C89BFD" w14:textId="77777777" w:rsidR="007B3DB2" w:rsidRPr="0063248C" w:rsidRDefault="00000000">
      <w:pPr>
        <w:pStyle w:val="3"/>
        <w:spacing w:line="280" w:lineRule="exact"/>
        <w:jc w:val="left"/>
        <w:rPr>
          <w:rFonts w:cs="宋体"/>
          <w:b/>
          <w:bCs/>
        </w:rPr>
      </w:pPr>
      <w:bookmarkStart w:id="370" w:name="_Toc989259"/>
      <w:r w:rsidRPr="0063248C">
        <w:rPr>
          <w:rFonts w:cs="宋体"/>
          <w:b/>
          <w:bCs/>
        </w:rPr>
        <w:t>68</w:t>
      </w:r>
      <w:r w:rsidRPr="0063248C">
        <w:rPr>
          <w:rFonts w:cs="宋体"/>
          <w:b/>
          <w:bCs/>
        </w:rPr>
        <w:t>、净敞口套期收益</w:t>
      </w:r>
      <w:bookmarkEnd w:id="370"/>
    </w:p>
    <w:p w14:paraId="5858390E" w14:textId="77777777" w:rsidR="00517D34" w:rsidRPr="0063248C" w:rsidRDefault="00000000">
      <w:pPr>
        <w:pStyle w:val="a3"/>
        <w:divId w:val="1732195862"/>
        <w:rPr>
          <w:rFonts w:ascii="Times New Roman" w:hAnsi="Times New Roman"/>
          <w:sz w:val="18"/>
          <w:szCs w:val="18"/>
        </w:rPr>
      </w:pPr>
      <w:r w:rsidRPr="0063248C">
        <w:rPr>
          <w:rFonts w:ascii="Times New Roman" w:hAnsi="Times New Roman" w:hint="eastAsia"/>
          <w:sz w:val="18"/>
          <w:szCs w:val="18"/>
        </w:rPr>
        <w:t>无</w:t>
      </w:r>
    </w:p>
    <w:p w14:paraId="4B91B9FB" w14:textId="77777777" w:rsidR="007B3DB2" w:rsidRPr="0063248C" w:rsidRDefault="00000000">
      <w:pPr>
        <w:pStyle w:val="3"/>
        <w:spacing w:line="280" w:lineRule="exact"/>
        <w:jc w:val="left"/>
        <w:rPr>
          <w:rFonts w:cs="宋体"/>
          <w:b/>
          <w:bCs/>
        </w:rPr>
      </w:pPr>
      <w:bookmarkStart w:id="371" w:name="_Toc989260"/>
      <w:r w:rsidRPr="0063248C">
        <w:rPr>
          <w:rFonts w:cs="宋体"/>
          <w:b/>
          <w:bCs/>
        </w:rPr>
        <w:t>69</w:t>
      </w:r>
      <w:r w:rsidRPr="0063248C">
        <w:rPr>
          <w:rFonts w:cs="宋体"/>
          <w:b/>
          <w:bCs/>
        </w:rPr>
        <w:t>、公允价值变动收益</w:t>
      </w:r>
      <w:bookmarkEnd w:id="371"/>
    </w:p>
    <w:p w14:paraId="18433185" w14:textId="77777777" w:rsidR="00517D34" w:rsidRPr="0063248C" w:rsidRDefault="00000000">
      <w:pPr>
        <w:pStyle w:val="a3"/>
        <w:divId w:val="2146195045"/>
        <w:rPr>
          <w:rFonts w:ascii="Times New Roman" w:hAnsi="Times New Roman"/>
          <w:sz w:val="18"/>
          <w:szCs w:val="18"/>
        </w:rPr>
      </w:pPr>
      <w:r w:rsidRPr="0063248C">
        <w:rPr>
          <w:rFonts w:ascii="Times New Roman" w:hAnsi="Times New Roman" w:hint="eastAsia"/>
          <w:sz w:val="18"/>
          <w:szCs w:val="18"/>
        </w:rPr>
        <w:t>无</w:t>
      </w:r>
    </w:p>
    <w:p w14:paraId="64CF851E" w14:textId="77777777" w:rsidR="007B3DB2" w:rsidRPr="0063248C" w:rsidRDefault="00000000">
      <w:pPr>
        <w:pStyle w:val="3"/>
        <w:spacing w:line="280" w:lineRule="exact"/>
        <w:jc w:val="left"/>
        <w:rPr>
          <w:rFonts w:cs="宋体"/>
          <w:b/>
          <w:bCs/>
        </w:rPr>
      </w:pPr>
      <w:bookmarkStart w:id="372" w:name="_Toc989261"/>
      <w:r w:rsidRPr="0063248C">
        <w:rPr>
          <w:rFonts w:cs="宋体"/>
          <w:b/>
          <w:bCs/>
        </w:rPr>
        <w:t>70</w:t>
      </w:r>
      <w:r w:rsidRPr="0063248C">
        <w:rPr>
          <w:rFonts w:cs="宋体"/>
          <w:b/>
          <w:bCs/>
        </w:rPr>
        <w:t>、投资收益</w:t>
      </w:r>
      <w:bookmarkEnd w:id="372"/>
    </w:p>
    <w:p w14:paraId="6AE43424" w14:textId="77777777" w:rsidR="00517D34" w:rsidRPr="0063248C" w:rsidRDefault="00000000">
      <w:pPr>
        <w:pStyle w:val="a3"/>
        <w:divId w:val="2079745661"/>
        <w:rPr>
          <w:rFonts w:ascii="Times New Roman" w:hAnsi="Times New Roman"/>
          <w:sz w:val="18"/>
          <w:szCs w:val="18"/>
        </w:rPr>
      </w:pPr>
      <w:r w:rsidRPr="0063248C">
        <w:rPr>
          <w:rFonts w:ascii="Times New Roman" w:hAnsi="Times New Roman" w:hint="eastAsia"/>
          <w:sz w:val="18"/>
          <w:szCs w:val="18"/>
        </w:rPr>
        <w:t>无</w:t>
      </w:r>
    </w:p>
    <w:p w14:paraId="4FB139D8" w14:textId="77777777" w:rsidR="007B3DB2" w:rsidRPr="0063248C" w:rsidRDefault="00000000">
      <w:pPr>
        <w:pStyle w:val="3"/>
        <w:spacing w:line="280" w:lineRule="exact"/>
        <w:jc w:val="left"/>
        <w:rPr>
          <w:rFonts w:cs="宋体"/>
          <w:b/>
          <w:bCs/>
        </w:rPr>
      </w:pPr>
      <w:bookmarkStart w:id="373" w:name="_Toc989262"/>
      <w:r w:rsidRPr="0063248C">
        <w:rPr>
          <w:rFonts w:cs="宋体"/>
          <w:b/>
          <w:bCs/>
        </w:rPr>
        <w:t>71</w:t>
      </w:r>
      <w:r w:rsidRPr="0063248C">
        <w:rPr>
          <w:rFonts w:cs="宋体"/>
          <w:b/>
          <w:bCs/>
        </w:rPr>
        <w:t>、信用减值损失</w:t>
      </w:r>
      <w:bookmarkEnd w:id="373"/>
    </w:p>
    <w:p w14:paraId="5D04FB8B"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3194AD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32E8CD"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19CA20"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6C1CAB"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4A09E7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CF131C" w14:textId="77777777" w:rsidR="007B3DB2" w:rsidRPr="0063248C" w:rsidRDefault="00000000">
            <w:pPr>
              <w:spacing w:before="40" w:after="40" w:line="240" w:lineRule="exact"/>
              <w:rPr>
                <w:rFonts w:cs="宋体"/>
                <w:sz w:val="18"/>
                <w:szCs w:val="18"/>
              </w:rPr>
            </w:pPr>
            <w:r w:rsidRPr="0063248C">
              <w:rPr>
                <w:rFonts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361CD617" w14:textId="77777777" w:rsidR="007B3DB2" w:rsidRPr="0063248C" w:rsidRDefault="00000000">
            <w:pPr>
              <w:spacing w:line="240" w:lineRule="exact"/>
              <w:jc w:val="right"/>
              <w:rPr>
                <w:rFonts w:cs="宋体"/>
                <w:sz w:val="18"/>
                <w:szCs w:val="18"/>
              </w:rPr>
            </w:pPr>
            <w:r w:rsidRPr="0063248C">
              <w:rPr>
                <w:rFonts w:cs="宋体"/>
                <w:sz w:val="18"/>
                <w:szCs w:val="18"/>
              </w:rPr>
              <w:t>-3,678,809.35</w:t>
            </w:r>
          </w:p>
        </w:tc>
        <w:tc>
          <w:tcPr>
            <w:tcW w:w="3213" w:type="dxa"/>
            <w:tcBorders>
              <w:top w:val="single" w:sz="2" w:space="0" w:color="auto"/>
              <w:left w:val="single" w:sz="2" w:space="0" w:color="auto"/>
              <w:bottom w:val="single" w:sz="2" w:space="0" w:color="auto"/>
              <w:right w:val="single" w:sz="2" w:space="0" w:color="auto"/>
            </w:tcBorders>
            <w:vAlign w:val="center"/>
          </w:tcPr>
          <w:p w14:paraId="0B4DFDAF" w14:textId="77777777" w:rsidR="007B3DB2" w:rsidRPr="0063248C" w:rsidRDefault="00000000">
            <w:pPr>
              <w:spacing w:line="240" w:lineRule="exact"/>
              <w:jc w:val="right"/>
              <w:rPr>
                <w:rFonts w:cs="宋体"/>
                <w:sz w:val="18"/>
                <w:szCs w:val="18"/>
              </w:rPr>
            </w:pPr>
            <w:r w:rsidRPr="0063248C">
              <w:rPr>
                <w:rFonts w:cs="宋体"/>
                <w:sz w:val="18"/>
                <w:szCs w:val="18"/>
              </w:rPr>
              <w:t>-3,855,381.42</w:t>
            </w:r>
          </w:p>
        </w:tc>
      </w:tr>
      <w:tr w:rsidR="007B3DB2" w:rsidRPr="0063248C" w14:paraId="096157C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9006463" w14:textId="77777777" w:rsidR="007B3DB2" w:rsidRPr="0063248C" w:rsidRDefault="00000000">
            <w:pPr>
              <w:spacing w:line="240" w:lineRule="exact"/>
              <w:rPr>
                <w:rFonts w:cs="宋体"/>
                <w:sz w:val="18"/>
                <w:szCs w:val="18"/>
              </w:rPr>
            </w:pPr>
            <w:r w:rsidRPr="0063248C">
              <w:rPr>
                <w:rFonts w:cs="宋体"/>
                <w:sz w:val="18"/>
                <w:szCs w:val="18"/>
              </w:rPr>
              <w:t>应收账款减值损失</w:t>
            </w:r>
          </w:p>
        </w:tc>
        <w:tc>
          <w:tcPr>
            <w:tcW w:w="3213" w:type="dxa"/>
            <w:tcBorders>
              <w:top w:val="single" w:sz="2" w:space="0" w:color="auto"/>
              <w:left w:val="single" w:sz="2" w:space="0" w:color="auto"/>
              <w:bottom w:val="single" w:sz="2" w:space="0" w:color="auto"/>
              <w:right w:val="single" w:sz="2" w:space="0" w:color="auto"/>
            </w:tcBorders>
            <w:vAlign w:val="center"/>
          </w:tcPr>
          <w:p w14:paraId="1F182CB8" w14:textId="77777777" w:rsidR="007B3DB2" w:rsidRPr="0063248C" w:rsidRDefault="00000000">
            <w:pPr>
              <w:spacing w:line="240" w:lineRule="exact"/>
              <w:jc w:val="right"/>
              <w:rPr>
                <w:rFonts w:cs="宋体"/>
                <w:sz w:val="18"/>
                <w:szCs w:val="18"/>
              </w:rPr>
            </w:pPr>
            <w:r w:rsidRPr="0063248C">
              <w:rPr>
                <w:rFonts w:cs="宋体"/>
                <w:sz w:val="18"/>
                <w:szCs w:val="18"/>
              </w:rPr>
              <w:t>2,385,311.66</w:t>
            </w:r>
          </w:p>
        </w:tc>
        <w:tc>
          <w:tcPr>
            <w:tcW w:w="3213" w:type="dxa"/>
            <w:tcBorders>
              <w:top w:val="single" w:sz="2" w:space="0" w:color="auto"/>
              <w:left w:val="single" w:sz="2" w:space="0" w:color="auto"/>
              <w:bottom w:val="single" w:sz="2" w:space="0" w:color="auto"/>
              <w:right w:val="single" w:sz="2" w:space="0" w:color="auto"/>
            </w:tcBorders>
            <w:vAlign w:val="center"/>
          </w:tcPr>
          <w:p w14:paraId="7D7840F8" w14:textId="77777777" w:rsidR="007B3DB2" w:rsidRPr="0063248C" w:rsidRDefault="00000000">
            <w:pPr>
              <w:spacing w:line="240" w:lineRule="exact"/>
              <w:jc w:val="right"/>
              <w:rPr>
                <w:rFonts w:cs="宋体"/>
                <w:sz w:val="18"/>
                <w:szCs w:val="18"/>
              </w:rPr>
            </w:pPr>
            <w:r w:rsidRPr="0063248C">
              <w:rPr>
                <w:rFonts w:cs="宋体"/>
                <w:sz w:val="18"/>
                <w:szCs w:val="18"/>
              </w:rPr>
              <w:t>6,258,065.29</w:t>
            </w:r>
          </w:p>
        </w:tc>
      </w:tr>
      <w:tr w:rsidR="007B3DB2" w:rsidRPr="0063248C" w14:paraId="24F69E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71B739"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38EF38E" w14:textId="77777777" w:rsidR="007B3DB2" w:rsidRPr="0063248C" w:rsidRDefault="00000000">
            <w:pPr>
              <w:spacing w:line="240" w:lineRule="exact"/>
              <w:jc w:val="right"/>
              <w:rPr>
                <w:rFonts w:cs="宋体"/>
                <w:sz w:val="18"/>
                <w:szCs w:val="18"/>
              </w:rPr>
            </w:pPr>
            <w:r w:rsidRPr="0063248C">
              <w:rPr>
                <w:rFonts w:cs="宋体"/>
                <w:sz w:val="18"/>
                <w:szCs w:val="18"/>
              </w:rPr>
              <w:t>-1,293,497.69</w:t>
            </w:r>
          </w:p>
        </w:tc>
        <w:tc>
          <w:tcPr>
            <w:tcW w:w="3213" w:type="dxa"/>
            <w:tcBorders>
              <w:top w:val="single" w:sz="2" w:space="0" w:color="auto"/>
              <w:left w:val="single" w:sz="2" w:space="0" w:color="auto"/>
              <w:bottom w:val="single" w:sz="2" w:space="0" w:color="auto"/>
              <w:right w:val="single" w:sz="2" w:space="0" w:color="auto"/>
            </w:tcBorders>
            <w:vAlign w:val="center"/>
          </w:tcPr>
          <w:p w14:paraId="1E224D27" w14:textId="77777777" w:rsidR="007B3DB2" w:rsidRPr="0063248C" w:rsidRDefault="00000000">
            <w:pPr>
              <w:spacing w:line="240" w:lineRule="exact"/>
              <w:jc w:val="right"/>
              <w:rPr>
                <w:rFonts w:cs="宋体"/>
                <w:sz w:val="18"/>
                <w:szCs w:val="18"/>
              </w:rPr>
            </w:pPr>
            <w:r w:rsidRPr="0063248C">
              <w:rPr>
                <w:rFonts w:cs="宋体"/>
                <w:sz w:val="18"/>
                <w:szCs w:val="18"/>
              </w:rPr>
              <w:t>2,402,683.87</w:t>
            </w:r>
          </w:p>
        </w:tc>
      </w:tr>
    </w:tbl>
    <w:p w14:paraId="24257342"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4BC363EC" w14:textId="77777777" w:rsidR="00517D34" w:rsidRPr="0063248C" w:rsidRDefault="00000000">
      <w:pPr>
        <w:pStyle w:val="a3"/>
        <w:divId w:val="1762332851"/>
        <w:rPr>
          <w:rFonts w:ascii="Times New Roman" w:hAnsi="Times New Roman"/>
          <w:sz w:val="18"/>
          <w:szCs w:val="18"/>
        </w:rPr>
      </w:pPr>
      <w:r w:rsidRPr="0063248C">
        <w:rPr>
          <w:rFonts w:ascii="Times New Roman" w:hAnsi="Times New Roman" w:hint="eastAsia"/>
          <w:sz w:val="18"/>
          <w:szCs w:val="18"/>
        </w:rPr>
        <w:t>无</w:t>
      </w:r>
    </w:p>
    <w:p w14:paraId="21DD3060" w14:textId="77777777" w:rsidR="007B3DB2" w:rsidRPr="0063248C" w:rsidRDefault="00000000">
      <w:pPr>
        <w:pStyle w:val="3"/>
        <w:spacing w:line="280" w:lineRule="exact"/>
        <w:jc w:val="left"/>
        <w:rPr>
          <w:rFonts w:cs="宋体"/>
          <w:b/>
          <w:bCs/>
        </w:rPr>
      </w:pPr>
      <w:bookmarkStart w:id="374" w:name="_Toc989263"/>
      <w:r w:rsidRPr="0063248C">
        <w:rPr>
          <w:rFonts w:cs="宋体"/>
          <w:b/>
          <w:bCs/>
        </w:rPr>
        <w:t>72</w:t>
      </w:r>
      <w:r w:rsidRPr="0063248C">
        <w:rPr>
          <w:rFonts w:cs="宋体"/>
          <w:b/>
          <w:bCs/>
        </w:rPr>
        <w:t>、资产减值损失</w:t>
      </w:r>
      <w:bookmarkEnd w:id="374"/>
    </w:p>
    <w:p w14:paraId="3D958BF9"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69D44C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2792AB"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328156"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98AA91"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10F185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950850" w14:textId="77777777" w:rsidR="007B3DB2" w:rsidRPr="0063248C" w:rsidRDefault="00000000">
            <w:pPr>
              <w:spacing w:before="40" w:after="40" w:line="240" w:lineRule="exact"/>
              <w:rPr>
                <w:rFonts w:cs="宋体"/>
                <w:sz w:val="18"/>
                <w:szCs w:val="18"/>
              </w:rPr>
            </w:pPr>
            <w:r w:rsidRPr="0063248C">
              <w:rPr>
                <w:rFonts w:cs="宋体"/>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14:paraId="406C929F" w14:textId="77777777" w:rsidR="007B3DB2" w:rsidRPr="0063248C" w:rsidRDefault="00000000">
            <w:pPr>
              <w:spacing w:line="240" w:lineRule="exact"/>
              <w:jc w:val="right"/>
              <w:rPr>
                <w:rFonts w:cs="宋体"/>
                <w:sz w:val="18"/>
                <w:szCs w:val="18"/>
              </w:rPr>
            </w:pPr>
            <w:r w:rsidRPr="0063248C">
              <w:rPr>
                <w:rFonts w:cs="宋体"/>
                <w:sz w:val="18"/>
                <w:szCs w:val="18"/>
              </w:rPr>
              <w:t>29,704,269.59</w:t>
            </w:r>
          </w:p>
        </w:tc>
        <w:tc>
          <w:tcPr>
            <w:tcW w:w="3213" w:type="dxa"/>
            <w:tcBorders>
              <w:top w:val="single" w:sz="2" w:space="0" w:color="auto"/>
              <w:left w:val="single" w:sz="2" w:space="0" w:color="auto"/>
              <w:bottom w:val="single" w:sz="2" w:space="0" w:color="auto"/>
              <w:right w:val="single" w:sz="2" w:space="0" w:color="auto"/>
            </w:tcBorders>
            <w:vAlign w:val="center"/>
          </w:tcPr>
          <w:p w14:paraId="2041A206" w14:textId="77777777" w:rsidR="007B3DB2" w:rsidRPr="0063248C" w:rsidRDefault="00000000">
            <w:pPr>
              <w:spacing w:line="240" w:lineRule="exact"/>
              <w:jc w:val="right"/>
              <w:rPr>
                <w:rFonts w:cs="宋体"/>
                <w:sz w:val="18"/>
                <w:szCs w:val="18"/>
              </w:rPr>
            </w:pPr>
            <w:r w:rsidRPr="0063248C">
              <w:rPr>
                <w:rFonts w:cs="宋体"/>
                <w:sz w:val="18"/>
                <w:szCs w:val="18"/>
              </w:rPr>
              <w:t>-187,857,128.38</w:t>
            </w:r>
          </w:p>
        </w:tc>
      </w:tr>
      <w:tr w:rsidR="007B3DB2" w:rsidRPr="0063248C" w14:paraId="6EA8C1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A94648"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4F9E737" w14:textId="77777777" w:rsidR="007B3DB2" w:rsidRPr="0063248C" w:rsidRDefault="00000000">
            <w:pPr>
              <w:spacing w:line="240" w:lineRule="exact"/>
              <w:jc w:val="right"/>
              <w:rPr>
                <w:rFonts w:cs="宋体"/>
                <w:sz w:val="18"/>
                <w:szCs w:val="18"/>
              </w:rPr>
            </w:pPr>
            <w:r w:rsidRPr="0063248C">
              <w:rPr>
                <w:rFonts w:cs="宋体"/>
                <w:sz w:val="18"/>
                <w:szCs w:val="18"/>
              </w:rPr>
              <w:t>29,704,269.59</w:t>
            </w:r>
          </w:p>
        </w:tc>
        <w:tc>
          <w:tcPr>
            <w:tcW w:w="3213" w:type="dxa"/>
            <w:tcBorders>
              <w:top w:val="single" w:sz="2" w:space="0" w:color="auto"/>
              <w:left w:val="single" w:sz="2" w:space="0" w:color="auto"/>
              <w:bottom w:val="single" w:sz="2" w:space="0" w:color="auto"/>
              <w:right w:val="single" w:sz="2" w:space="0" w:color="auto"/>
            </w:tcBorders>
            <w:vAlign w:val="center"/>
          </w:tcPr>
          <w:p w14:paraId="2227DF28" w14:textId="77777777" w:rsidR="007B3DB2" w:rsidRPr="0063248C" w:rsidRDefault="00000000">
            <w:pPr>
              <w:spacing w:line="240" w:lineRule="exact"/>
              <w:jc w:val="right"/>
              <w:rPr>
                <w:rFonts w:cs="宋体"/>
                <w:sz w:val="18"/>
                <w:szCs w:val="18"/>
              </w:rPr>
            </w:pPr>
            <w:r w:rsidRPr="0063248C">
              <w:rPr>
                <w:rFonts w:cs="宋体"/>
                <w:sz w:val="18"/>
                <w:szCs w:val="18"/>
              </w:rPr>
              <w:t>-187,857,128.38</w:t>
            </w:r>
          </w:p>
        </w:tc>
      </w:tr>
    </w:tbl>
    <w:p w14:paraId="5B14E9CD"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4C5A3942" w14:textId="77777777" w:rsidR="00517D34" w:rsidRPr="0063248C" w:rsidRDefault="00000000">
      <w:pPr>
        <w:pStyle w:val="a3"/>
        <w:divId w:val="784933193"/>
        <w:rPr>
          <w:rFonts w:ascii="Times New Roman" w:hAnsi="Times New Roman"/>
          <w:sz w:val="18"/>
          <w:szCs w:val="18"/>
        </w:rPr>
      </w:pPr>
      <w:r w:rsidRPr="0063248C">
        <w:rPr>
          <w:rFonts w:ascii="Times New Roman" w:hAnsi="Times New Roman" w:hint="eastAsia"/>
          <w:sz w:val="18"/>
          <w:szCs w:val="18"/>
        </w:rPr>
        <w:t>无</w:t>
      </w:r>
    </w:p>
    <w:p w14:paraId="3C53865F" w14:textId="77777777" w:rsidR="007B3DB2" w:rsidRPr="0063248C" w:rsidRDefault="00000000">
      <w:pPr>
        <w:pStyle w:val="3"/>
        <w:spacing w:line="280" w:lineRule="exact"/>
        <w:jc w:val="left"/>
        <w:rPr>
          <w:rFonts w:cs="宋体"/>
          <w:b/>
          <w:bCs/>
        </w:rPr>
      </w:pPr>
      <w:bookmarkStart w:id="375" w:name="_Toc989264"/>
      <w:r w:rsidRPr="0063248C">
        <w:rPr>
          <w:rFonts w:cs="宋体"/>
          <w:b/>
          <w:bCs/>
        </w:rPr>
        <w:t>73</w:t>
      </w:r>
      <w:r w:rsidRPr="0063248C">
        <w:rPr>
          <w:rFonts w:cs="宋体"/>
          <w:b/>
          <w:bCs/>
        </w:rPr>
        <w:t>、资产处置收益</w:t>
      </w:r>
      <w:bookmarkEnd w:id="375"/>
    </w:p>
    <w:p w14:paraId="6B56CBD7"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46CEA6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D6F56E" w14:textId="77777777" w:rsidR="007B3DB2" w:rsidRPr="0063248C" w:rsidRDefault="00000000">
            <w:pPr>
              <w:spacing w:before="40" w:after="40" w:line="240" w:lineRule="exact"/>
              <w:jc w:val="center"/>
              <w:rPr>
                <w:rFonts w:cs="宋体"/>
                <w:sz w:val="18"/>
                <w:szCs w:val="18"/>
              </w:rPr>
            </w:pPr>
            <w:r w:rsidRPr="0063248C">
              <w:rPr>
                <w:rFonts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9286C2"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487574"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02D10F9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0DF0CC5" w14:textId="77777777" w:rsidR="007B3DB2" w:rsidRPr="0063248C" w:rsidRDefault="00000000">
            <w:pPr>
              <w:spacing w:line="240" w:lineRule="exact"/>
              <w:rPr>
                <w:rFonts w:cs="宋体"/>
                <w:sz w:val="18"/>
                <w:szCs w:val="18"/>
              </w:rPr>
            </w:pPr>
            <w:proofErr w:type="gramStart"/>
            <w:r w:rsidRPr="0063248C">
              <w:rPr>
                <w:rFonts w:cs="宋体"/>
                <w:sz w:val="18"/>
                <w:szCs w:val="18"/>
              </w:rPr>
              <w:t>处置非</w:t>
            </w:r>
            <w:proofErr w:type="gramEnd"/>
            <w:r w:rsidRPr="0063248C">
              <w:rPr>
                <w:rFonts w:cs="宋体"/>
                <w:sz w:val="18"/>
                <w:szCs w:val="18"/>
              </w:rPr>
              <w:t>流动资产的利得（损失</w:t>
            </w:r>
            <w:r w:rsidRPr="0063248C">
              <w:rPr>
                <w:rFonts w:cs="宋体"/>
                <w:sz w:val="18"/>
                <w:szCs w:val="18"/>
              </w:rPr>
              <w:t>"-"</w:t>
            </w:r>
            <w:r w:rsidRPr="0063248C">
              <w:rPr>
                <w:rFonts w:cs="宋体"/>
                <w:sz w:val="18"/>
                <w:szCs w:val="18"/>
              </w:rPr>
              <w:t>）</w:t>
            </w:r>
          </w:p>
        </w:tc>
        <w:tc>
          <w:tcPr>
            <w:tcW w:w="3213" w:type="dxa"/>
            <w:tcBorders>
              <w:top w:val="single" w:sz="2" w:space="0" w:color="auto"/>
              <w:left w:val="single" w:sz="2" w:space="0" w:color="auto"/>
              <w:bottom w:val="single" w:sz="2" w:space="0" w:color="auto"/>
              <w:right w:val="single" w:sz="2" w:space="0" w:color="auto"/>
            </w:tcBorders>
            <w:vAlign w:val="center"/>
          </w:tcPr>
          <w:p w14:paraId="07F99F9C" w14:textId="77777777" w:rsidR="007B3DB2" w:rsidRPr="0063248C" w:rsidRDefault="00000000">
            <w:pPr>
              <w:spacing w:line="240" w:lineRule="exact"/>
              <w:jc w:val="right"/>
              <w:rPr>
                <w:rFonts w:cs="宋体"/>
                <w:sz w:val="18"/>
                <w:szCs w:val="18"/>
              </w:rPr>
            </w:pPr>
            <w:r w:rsidRPr="0063248C">
              <w:rPr>
                <w:rFonts w:cs="宋体"/>
                <w:sz w:val="18"/>
                <w:szCs w:val="18"/>
              </w:rPr>
              <w:t>-577,407.87</w:t>
            </w:r>
          </w:p>
        </w:tc>
        <w:tc>
          <w:tcPr>
            <w:tcW w:w="3213" w:type="dxa"/>
            <w:tcBorders>
              <w:top w:val="single" w:sz="2" w:space="0" w:color="auto"/>
              <w:left w:val="single" w:sz="2" w:space="0" w:color="auto"/>
              <w:bottom w:val="single" w:sz="2" w:space="0" w:color="auto"/>
              <w:right w:val="single" w:sz="2" w:space="0" w:color="auto"/>
            </w:tcBorders>
            <w:vAlign w:val="center"/>
          </w:tcPr>
          <w:p w14:paraId="0E6CE670" w14:textId="77777777" w:rsidR="007B3DB2" w:rsidRPr="0063248C" w:rsidRDefault="00000000">
            <w:pPr>
              <w:spacing w:line="240" w:lineRule="exact"/>
              <w:jc w:val="right"/>
              <w:rPr>
                <w:rFonts w:cs="宋体"/>
                <w:sz w:val="18"/>
                <w:szCs w:val="18"/>
              </w:rPr>
            </w:pPr>
            <w:r w:rsidRPr="0063248C">
              <w:rPr>
                <w:rFonts w:cs="宋体"/>
                <w:sz w:val="18"/>
                <w:szCs w:val="18"/>
              </w:rPr>
              <w:t>-169,167,507.67</w:t>
            </w:r>
          </w:p>
        </w:tc>
      </w:tr>
    </w:tbl>
    <w:p w14:paraId="2950258E" w14:textId="77777777" w:rsidR="007B3DB2" w:rsidRPr="0063248C" w:rsidRDefault="00000000">
      <w:pPr>
        <w:pStyle w:val="3"/>
        <w:spacing w:line="280" w:lineRule="exact"/>
        <w:jc w:val="left"/>
        <w:rPr>
          <w:rFonts w:cs="宋体"/>
          <w:b/>
          <w:bCs/>
        </w:rPr>
      </w:pPr>
      <w:bookmarkStart w:id="376" w:name="_Toc989265"/>
      <w:r w:rsidRPr="0063248C">
        <w:rPr>
          <w:rFonts w:cs="宋体"/>
          <w:b/>
          <w:bCs/>
        </w:rPr>
        <w:t>74</w:t>
      </w:r>
      <w:r w:rsidRPr="0063248C">
        <w:rPr>
          <w:rFonts w:cs="宋体"/>
          <w:b/>
          <w:bCs/>
        </w:rPr>
        <w:t>、营业外收入</w:t>
      </w:r>
      <w:bookmarkEnd w:id="376"/>
    </w:p>
    <w:p w14:paraId="02BD86EE"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62597F8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BEE0C20"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653F78A"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E4C3C01"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DA6C828" w14:textId="77777777" w:rsidR="007B3DB2" w:rsidRPr="0063248C" w:rsidRDefault="00000000">
            <w:pPr>
              <w:spacing w:before="40" w:after="40" w:line="240" w:lineRule="exact"/>
              <w:jc w:val="center"/>
              <w:rPr>
                <w:rFonts w:cs="宋体"/>
                <w:sz w:val="18"/>
                <w:szCs w:val="18"/>
              </w:rPr>
            </w:pPr>
            <w:r w:rsidRPr="0063248C">
              <w:rPr>
                <w:rFonts w:cs="宋体"/>
                <w:sz w:val="18"/>
                <w:szCs w:val="18"/>
              </w:rPr>
              <w:t>计入当期非经常性损益的金额</w:t>
            </w:r>
          </w:p>
        </w:tc>
      </w:tr>
      <w:tr w:rsidR="007B3DB2" w:rsidRPr="0063248C" w14:paraId="67AAB0F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E7EEF9C" w14:textId="77777777" w:rsidR="007B3DB2" w:rsidRPr="0063248C" w:rsidRDefault="00000000">
            <w:pPr>
              <w:spacing w:line="240" w:lineRule="exact"/>
              <w:rPr>
                <w:rFonts w:cs="宋体"/>
                <w:sz w:val="18"/>
                <w:szCs w:val="18"/>
              </w:rPr>
            </w:pPr>
            <w:r w:rsidRPr="0063248C">
              <w:rPr>
                <w:rFonts w:cs="宋体"/>
                <w:sz w:val="18"/>
                <w:szCs w:val="18"/>
              </w:rPr>
              <w:lastRenderedPageBreak/>
              <w:t>其他</w:t>
            </w:r>
          </w:p>
        </w:tc>
        <w:tc>
          <w:tcPr>
            <w:tcW w:w="2410" w:type="dxa"/>
            <w:tcBorders>
              <w:top w:val="single" w:sz="2" w:space="0" w:color="auto"/>
              <w:left w:val="single" w:sz="2" w:space="0" w:color="auto"/>
              <w:bottom w:val="single" w:sz="2" w:space="0" w:color="auto"/>
              <w:right w:val="single" w:sz="2" w:space="0" w:color="auto"/>
            </w:tcBorders>
            <w:vAlign w:val="center"/>
          </w:tcPr>
          <w:p w14:paraId="06BAEDAC" w14:textId="77777777" w:rsidR="007B3DB2" w:rsidRPr="0063248C" w:rsidRDefault="00000000">
            <w:pPr>
              <w:spacing w:line="240" w:lineRule="exact"/>
              <w:jc w:val="right"/>
              <w:rPr>
                <w:rFonts w:cs="宋体"/>
                <w:sz w:val="18"/>
                <w:szCs w:val="18"/>
              </w:rPr>
            </w:pPr>
            <w:r w:rsidRPr="0063248C">
              <w:rPr>
                <w:rFonts w:cs="宋体"/>
                <w:sz w:val="18"/>
                <w:szCs w:val="18"/>
              </w:rPr>
              <w:t>1,742,973.97</w:t>
            </w:r>
          </w:p>
        </w:tc>
        <w:tc>
          <w:tcPr>
            <w:tcW w:w="2410" w:type="dxa"/>
            <w:tcBorders>
              <w:top w:val="single" w:sz="2" w:space="0" w:color="auto"/>
              <w:left w:val="single" w:sz="2" w:space="0" w:color="auto"/>
              <w:bottom w:val="single" w:sz="2" w:space="0" w:color="auto"/>
              <w:right w:val="single" w:sz="2" w:space="0" w:color="auto"/>
            </w:tcBorders>
            <w:vAlign w:val="center"/>
          </w:tcPr>
          <w:p w14:paraId="4C3C833A" w14:textId="77777777" w:rsidR="007B3DB2" w:rsidRPr="0063248C" w:rsidRDefault="00000000">
            <w:pPr>
              <w:spacing w:line="240" w:lineRule="exact"/>
              <w:jc w:val="right"/>
              <w:rPr>
                <w:rFonts w:cs="宋体"/>
                <w:sz w:val="18"/>
                <w:szCs w:val="18"/>
              </w:rPr>
            </w:pPr>
            <w:r w:rsidRPr="0063248C">
              <w:rPr>
                <w:rFonts w:cs="宋体"/>
                <w:sz w:val="18"/>
                <w:szCs w:val="18"/>
              </w:rPr>
              <w:t>5,084,589.62</w:t>
            </w:r>
          </w:p>
        </w:tc>
        <w:tc>
          <w:tcPr>
            <w:tcW w:w="2410" w:type="dxa"/>
            <w:tcBorders>
              <w:top w:val="single" w:sz="2" w:space="0" w:color="auto"/>
              <w:left w:val="single" w:sz="2" w:space="0" w:color="auto"/>
              <w:bottom w:val="single" w:sz="2" w:space="0" w:color="auto"/>
              <w:right w:val="single" w:sz="2" w:space="0" w:color="auto"/>
            </w:tcBorders>
            <w:vAlign w:val="center"/>
          </w:tcPr>
          <w:p w14:paraId="48831432" w14:textId="77777777" w:rsidR="007B3DB2" w:rsidRPr="0063248C" w:rsidRDefault="00000000">
            <w:pPr>
              <w:spacing w:line="240" w:lineRule="exact"/>
              <w:jc w:val="right"/>
              <w:rPr>
                <w:rFonts w:cs="宋体"/>
                <w:sz w:val="18"/>
                <w:szCs w:val="18"/>
              </w:rPr>
            </w:pPr>
            <w:r w:rsidRPr="0063248C">
              <w:rPr>
                <w:rFonts w:cs="宋体"/>
                <w:sz w:val="18"/>
                <w:szCs w:val="18"/>
              </w:rPr>
              <w:t>1,742,973.97</w:t>
            </w:r>
          </w:p>
        </w:tc>
      </w:tr>
      <w:tr w:rsidR="007B3DB2" w:rsidRPr="0063248C" w14:paraId="1A664BB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A547FD4"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36B8980C" w14:textId="77777777" w:rsidR="007B3DB2" w:rsidRPr="0063248C" w:rsidRDefault="00000000">
            <w:pPr>
              <w:spacing w:line="240" w:lineRule="exact"/>
              <w:jc w:val="right"/>
              <w:rPr>
                <w:rFonts w:cs="宋体"/>
                <w:sz w:val="18"/>
                <w:szCs w:val="18"/>
              </w:rPr>
            </w:pPr>
            <w:r w:rsidRPr="0063248C">
              <w:rPr>
                <w:rFonts w:cs="宋体"/>
                <w:sz w:val="18"/>
                <w:szCs w:val="18"/>
              </w:rPr>
              <w:t>1,742,973.97</w:t>
            </w:r>
          </w:p>
        </w:tc>
        <w:tc>
          <w:tcPr>
            <w:tcW w:w="2410" w:type="dxa"/>
            <w:tcBorders>
              <w:top w:val="single" w:sz="2" w:space="0" w:color="auto"/>
              <w:left w:val="single" w:sz="2" w:space="0" w:color="auto"/>
              <w:bottom w:val="single" w:sz="2" w:space="0" w:color="auto"/>
              <w:right w:val="single" w:sz="2" w:space="0" w:color="auto"/>
            </w:tcBorders>
            <w:vAlign w:val="center"/>
          </w:tcPr>
          <w:p w14:paraId="62ADC864" w14:textId="77777777" w:rsidR="007B3DB2" w:rsidRPr="0063248C" w:rsidRDefault="00000000">
            <w:pPr>
              <w:spacing w:line="240" w:lineRule="exact"/>
              <w:jc w:val="right"/>
              <w:rPr>
                <w:rFonts w:cs="宋体"/>
                <w:sz w:val="18"/>
                <w:szCs w:val="18"/>
              </w:rPr>
            </w:pPr>
            <w:r w:rsidRPr="0063248C">
              <w:rPr>
                <w:rFonts w:cs="宋体"/>
                <w:sz w:val="18"/>
                <w:szCs w:val="18"/>
              </w:rPr>
              <w:t>5,084,589.62</w:t>
            </w:r>
          </w:p>
        </w:tc>
        <w:tc>
          <w:tcPr>
            <w:tcW w:w="2410" w:type="dxa"/>
            <w:tcBorders>
              <w:top w:val="single" w:sz="2" w:space="0" w:color="auto"/>
              <w:left w:val="single" w:sz="2" w:space="0" w:color="auto"/>
              <w:bottom w:val="single" w:sz="2" w:space="0" w:color="auto"/>
              <w:right w:val="single" w:sz="2" w:space="0" w:color="auto"/>
            </w:tcBorders>
            <w:vAlign w:val="center"/>
          </w:tcPr>
          <w:p w14:paraId="3FEDA1D5" w14:textId="77777777" w:rsidR="007B3DB2" w:rsidRPr="0063248C" w:rsidRDefault="00000000">
            <w:pPr>
              <w:spacing w:line="240" w:lineRule="exact"/>
              <w:jc w:val="right"/>
              <w:rPr>
                <w:rFonts w:cs="宋体"/>
                <w:sz w:val="18"/>
                <w:szCs w:val="18"/>
              </w:rPr>
            </w:pPr>
            <w:r w:rsidRPr="0063248C">
              <w:rPr>
                <w:rFonts w:cs="宋体"/>
                <w:sz w:val="18"/>
                <w:szCs w:val="18"/>
              </w:rPr>
              <w:t>1,742,973.97</w:t>
            </w:r>
          </w:p>
        </w:tc>
      </w:tr>
    </w:tbl>
    <w:p w14:paraId="61743F97"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43B86AF5" w14:textId="77777777" w:rsidR="00517D34" w:rsidRPr="0063248C" w:rsidRDefault="00000000">
      <w:pPr>
        <w:pStyle w:val="a3"/>
        <w:divId w:val="92482747"/>
        <w:rPr>
          <w:rFonts w:ascii="Times New Roman" w:hAnsi="Times New Roman"/>
          <w:sz w:val="18"/>
          <w:szCs w:val="18"/>
        </w:rPr>
      </w:pPr>
      <w:r w:rsidRPr="0063248C">
        <w:rPr>
          <w:rFonts w:ascii="Times New Roman" w:hAnsi="Times New Roman" w:hint="eastAsia"/>
          <w:sz w:val="18"/>
          <w:szCs w:val="18"/>
        </w:rPr>
        <w:t>无</w:t>
      </w:r>
    </w:p>
    <w:p w14:paraId="14EC1073" w14:textId="77777777" w:rsidR="007B3DB2" w:rsidRPr="0063248C" w:rsidRDefault="00000000">
      <w:pPr>
        <w:pStyle w:val="3"/>
        <w:spacing w:line="280" w:lineRule="exact"/>
        <w:jc w:val="left"/>
        <w:rPr>
          <w:rFonts w:cs="宋体"/>
          <w:b/>
          <w:bCs/>
        </w:rPr>
      </w:pPr>
      <w:bookmarkStart w:id="377" w:name="_Toc989266"/>
      <w:r w:rsidRPr="0063248C">
        <w:rPr>
          <w:rFonts w:cs="宋体"/>
          <w:b/>
          <w:bCs/>
        </w:rPr>
        <w:t>75</w:t>
      </w:r>
      <w:r w:rsidRPr="0063248C">
        <w:rPr>
          <w:rFonts w:cs="宋体"/>
          <w:b/>
          <w:bCs/>
        </w:rPr>
        <w:t>、营业外支出</w:t>
      </w:r>
      <w:bookmarkEnd w:id="377"/>
    </w:p>
    <w:p w14:paraId="3F3FBE48"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0DD33A4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B7393F8"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C005354"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389AD3B"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3C7AA0B" w14:textId="77777777" w:rsidR="007B3DB2" w:rsidRPr="0063248C" w:rsidRDefault="00000000">
            <w:pPr>
              <w:spacing w:before="40" w:after="40" w:line="240" w:lineRule="exact"/>
              <w:jc w:val="center"/>
              <w:rPr>
                <w:rFonts w:cs="宋体"/>
                <w:sz w:val="18"/>
                <w:szCs w:val="18"/>
              </w:rPr>
            </w:pPr>
            <w:r w:rsidRPr="0063248C">
              <w:rPr>
                <w:rFonts w:cs="宋体"/>
                <w:sz w:val="18"/>
                <w:szCs w:val="18"/>
              </w:rPr>
              <w:t>计入当期非经常性损益的金额</w:t>
            </w:r>
          </w:p>
        </w:tc>
      </w:tr>
      <w:tr w:rsidR="007B3DB2" w:rsidRPr="0063248C" w14:paraId="53678A7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6F2D79" w14:textId="77777777" w:rsidR="007B3DB2" w:rsidRPr="0063248C" w:rsidRDefault="00000000">
            <w:pPr>
              <w:spacing w:before="40" w:after="40" w:line="240" w:lineRule="exact"/>
              <w:rPr>
                <w:rFonts w:cs="宋体"/>
                <w:sz w:val="18"/>
                <w:szCs w:val="18"/>
              </w:rPr>
            </w:pPr>
            <w:r w:rsidRPr="0063248C">
              <w:rPr>
                <w:rFonts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14:paraId="733074F0" w14:textId="77777777" w:rsidR="007B3DB2" w:rsidRPr="0063248C" w:rsidRDefault="00000000">
            <w:pPr>
              <w:spacing w:line="240" w:lineRule="exact"/>
              <w:jc w:val="right"/>
              <w:rPr>
                <w:rFonts w:cs="宋体"/>
                <w:sz w:val="18"/>
                <w:szCs w:val="18"/>
              </w:rPr>
            </w:pPr>
            <w:r w:rsidRPr="0063248C">
              <w:rPr>
                <w:rFonts w:cs="宋体"/>
                <w:sz w:val="18"/>
                <w:szCs w:val="18"/>
              </w:rPr>
              <w:t>50,000.00</w:t>
            </w:r>
          </w:p>
        </w:tc>
        <w:tc>
          <w:tcPr>
            <w:tcW w:w="2410" w:type="dxa"/>
            <w:tcBorders>
              <w:top w:val="single" w:sz="2" w:space="0" w:color="auto"/>
              <w:left w:val="single" w:sz="2" w:space="0" w:color="auto"/>
              <w:bottom w:val="single" w:sz="2" w:space="0" w:color="auto"/>
              <w:right w:val="single" w:sz="2" w:space="0" w:color="auto"/>
            </w:tcBorders>
            <w:vAlign w:val="center"/>
          </w:tcPr>
          <w:p w14:paraId="2503104D" w14:textId="77777777" w:rsidR="007B3DB2" w:rsidRPr="0063248C" w:rsidRDefault="00000000">
            <w:pPr>
              <w:spacing w:line="240" w:lineRule="exact"/>
              <w:jc w:val="right"/>
              <w:rPr>
                <w:rFonts w:cs="宋体"/>
                <w:sz w:val="18"/>
                <w:szCs w:val="18"/>
              </w:rPr>
            </w:pPr>
            <w:r w:rsidRPr="0063248C">
              <w:rPr>
                <w:rFonts w:cs="宋体"/>
                <w:sz w:val="18"/>
                <w:szCs w:val="18"/>
              </w:rPr>
              <w:t>388,437.30</w:t>
            </w:r>
          </w:p>
        </w:tc>
        <w:tc>
          <w:tcPr>
            <w:tcW w:w="2410" w:type="dxa"/>
            <w:tcBorders>
              <w:top w:val="single" w:sz="2" w:space="0" w:color="auto"/>
              <w:left w:val="single" w:sz="2" w:space="0" w:color="auto"/>
              <w:bottom w:val="single" w:sz="2" w:space="0" w:color="auto"/>
              <w:right w:val="single" w:sz="2" w:space="0" w:color="auto"/>
            </w:tcBorders>
            <w:vAlign w:val="center"/>
          </w:tcPr>
          <w:p w14:paraId="01953038" w14:textId="77777777" w:rsidR="007B3DB2" w:rsidRPr="0063248C" w:rsidRDefault="00000000">
            <w:pPr>
              <w:spacing w:line="240" w:lineRule="exact"/>
              <w:jc w:val="right"/>
              <w:rPr>
                <w:rFonts w:cs="宋体"/>
                <w:sz w:val="18"/>
                <w:szCs w:val="18"/>
              </w:rPr>
            </w:pPr>
            <w:r w:rsidRPr="0063248C">
              <w:rPr>
                <w:rFonts w:cs="宋体"/>
                <w:sz w:val="18"/>
                <w:szCs w:val="18"/>
              </w:rPr>
              <w:t>50,000.00</w:t>
            </w:r>
          </w:p>
        </w:tc>
      </w:tr>
      <w:tr w:rsidR="007B3DB2" w:rsidRPr="0063248C" w14:paraId="1D45FF2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636F070" w14:textId="77777777" w:rsidR="007B3DB2" w:rsidRPr="0063248C" w:rsidRDefault="00000000">
            <w:pPr>
              <w:spacing w:line="240" w:lineRule="exact"/>
              <w:rPr>
                <w:rFonts w:cs="宋体"/>
                <w:sz w:val="18"/>
                <w:szCs w:val="18"/>
              </w:rPr>
            </w:pPr>
            <w:r w:rsidRPr="0063248C">
              <w:rPr>
                <w:rFonts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14:paraId="44B2C065" w14:textId="77777777" w:rsidR="007B3DB2" w:rsidRPr="0063248C" w:rsidRDefault="00000000">
            <w:pPr>
              <w:spacing w:line="240" w:lineRule="exact"/>
              <w:jc w:val="right"/>
              <w:rPr>
                <w:rFonts w:cs="宋体"/>
                <w:sz w:val="18"/>
                <w:szCs w:val="18"/>
              </w:rPr>
            </w:pPr>
            <w:r w:rsidRPr="0063248C">
              <w:rPr>
                <w:rFonts w:cs="宋体"/>
                <w:sz w:val="18"/>
                <w:szCs w:val="18"/>
              </w:rPr>
              <w:t>5,349,475.32</w:t>
            </w:r>
          </w:p>
        </w:tc>
        <w:tc>
          <w:tcPr>
            <w:tcW w:w="2410" w:type="dxa"/>
            <w:tcBorders>
              <w:top w:val="single" w:sz="2" w:space="0" w:color="auto"/>
              <w:left w:val="single" w:sz="2" w:space="0" w:color="auto"/>
              <w:bottom w:val="single" w:sz="2" w:space="0" w:color="auto"/>
              <w:right w:val="single" w:sz="2" w:space="0" w:color="auto"/>
            </w:tcBorders>
            <w:vAlign w:val="center"/>
          </w:tcPr>
          <w:p w14:paraId="188BB604" w14:textId="77777777" w:rsidR="007B3DB2" w:rsidRPr="0063248C" w:rsidRDefault="00000000">
            <w:pPr>
              <w:spacing w:line="240" w:lineRule="exact"/>
              <w:jc w:val="right"/>
              <w:rPr>
                <w:rFonts w:cs="宋体"/>
                <w:sz w:val="18"/>
                <w:szCs w:val="18"/>
              </w:rPr>
            </w:pPr>
            <w:r w:rsidRPr="0063248C">
              <w:rPr>
                <w:rFonts w:cs="宋体"/>
                <w:sz w:val="18"/>
                <w:szCs w:val="18"/>
              </w:rPr>
              <w:t>1,135,714.40</w:t>
            </w:r>
          </w:p>
        </w:tc>
        <w:tc>
          <w:tcPr>
            <w:tcW w:w="2410" w:type="dxa"/>
            <w:tcBorders>
              <w:top w:val="single" w:sz="2" w:space="0" w:color="auto"/>
              <w:left w:val="single" w:sz="2" w:space="0" w:color="auto"/>
              <w:bottom w:val="single" w:sz="2" w:space="0" w:color="auto"/>
              <w:right w:val="single" w:sz="2" w:space="0" w:color="auto"/>
            </w:tcBorders>
            <w:vAlign w:val="center"/>
          </w:tcPr>
          <w:p w14:paraId="42D26A54" w14:textId="77777777" w:rsidR="007B3DB2" w:rsidRPr="0063248C" w:rsidRDefault="00000000">
            <w:pPr>
              <w:spacing w:line="240" w:lineRule="exact"/>
              <w:jc w:val="right"/>
              <w:rPr>
                <w:rFonts w:cs="宋体"/>
                <w:sz w:val="18"/>
                <w:szCs w:val="18"/>
              </w:rPr>
            </w:pPr>
            <w:r w:rsidRPr="0063248C">
              <w:rPr>
                <w:rFonts w:cs="宋体"/>
                <w:sz w:val="18"/>
                <w:szCs w:val="18"/>
              </w:rPr>
              <w:t>5,349,475.32</w:t>
            </w:r>
          </w:p>
        </w:tc>
      </w:tr>
      <w:tr w:rsidR="007B3DB2" w:rsidRPr="0063248C" w14:paraId="0640D84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15AE89E" w14:textId="77777777" w:rsidR="007B3DB2" w:rsidRPr="0063248C" w:rsidRDefault="00000000">
            <w:pPr>
              <w:spacing w:line="240" w:lineRule="exact"/>
              <w:rPr>
                <w:rFonts w:cs="宋体"/>
                <w:sz w:val="18"/>
                <w:szCs w:val="18"/>
              </w:rPr>
            </w:pPr>
            <w:r w:rsidRPr="0063248C">
              <w:rPr>
                <w:rFonts w:cs="宋体"/>
                <w:sz w:val="18"/>
                <w:szCs w:val="18"/>
              </w:rPr>
              <w:t>非流动资产毁损报废损失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14:paraId="379AC0A1" w14:textId="77777777" w:rsidR="007B3DB2" w:rsidRPr="0063248C" w:rsidRDefault="00000000">
            <w:pPr>
              <w:spacing w:line="240" w:lineRule="exact"/>
              <w:jc w:val="right"/>
              <w:rPr>
                <w:rFonts w:cs="宋体"/>
                <w:sz w:val="18"/>
                <w:szCs w:val="18"/>
              </w:rPr>
            </w:pPr>
            <w:r w:rsidRPr="0063248C">
              <w:rPr>
                <w:rFonts w:cs="宋体"/>
                <w:sz w:val="18"/>
                <w:szCs w:val="18"/>
              </w:rPr>
              <w:t>62,989.07</w:t>
            </w:r>
          </w:p>
        </w:tc>
        <w:tc>
          <w:tcPr>
            <w:tcW w:w="2410" w:type="dxa"/>
            <w:tcBorders>
              <w:top w:val="single" w:sz="2" w:space="0" w:color="auto"/>
              <w:left w:val="single" w:sz="2" w:space="0" w:color="auto"/>
              <w:bottom w:val="single" w:sz="2" w:space="0" w:color="auto"/>
              <w:right w:val="single" w:sz="2" w:space="0" w:color="auto"/>
            </w:tcBorders>
            <w:vAlign w:val="center"/>
          </w:tcPr>
          <w:p w14:paraId="46DCA20D" w14:textId="77777777" w:rsidR="007B3DB2" w:rsidRPr="0063248C" w:rsidRDefault="00000000">
            <w:pPr>
              <w:spacing w:line="240" w:lineRule="exact"/>
              <w:jc w:val="right"/>
              <w:rPr>
                <w:rFonts w:cs="宋体"/>
                <w:sz w:val="18"/>
                <w:szCs w:val="18"/>
              </w:rPr>
            </w:pPr>
            <w:r w:rsidRPr="0063248C">
              <w:rPr>
                <w:rFonts w:cs="宋体"/>
                <w:sz w:val="18"/>
                <w:szCs w:val="18"/>
              </w:rPr>
              <w:t>531,689.64</w:t>
            </w:r>
          </w:p>
        </w:tc>
        <w:tc>
          <w:tcPr>
            <w:tcW w:w="2410" w:type="dxa"/>
            <w:tcBorders>
              <w:top w:val="single" w:sz="2" w:space="0" w:color="auto"/>
              <w:left w:val="single" w:sz="2" w:space="0" w:color="auto"/>
              <w:bottom w:val="single" w:sz="2" w:space="0" w:color="auto"/>
              <w:right w:val="single" w:sz="2" w:space="0" w:color="auto"/>
            </w:tcBorders>
            <w:vAlign w:val="center"/>
          </w:tcPr>
          <w:p w14:paraId="1941A417" w14:textId="77777777" w:rsidR="007B3DB2" w:rsidRPr="0063248C" w:rsidRDefault="00000000">
            <w:pPr>
              <w:spacing w:line="240" w:lineRule="exact"/>
              <w:jc w:val="right"/>
              <w:rPr>
                <w:rFonts w:cs="宋体"/>
                <w:sz w:val="18"/>
                <w:szCs w:val="18"/>
              </w:rPr>
            </w:pPr>
            <w:r w:rsidRPr="0063248C">
              <w:rPr>
                <w:rFonts w:cs="宋体"/>
                <w:sz w:val="18"/>
                <w:szCs w:val="18"/>
              </w:rPr>
              <w:t>62,989.07</w:t>
            </w:r>
          </w:p>
        </w:tc>
      </w:tr>
      <w:tr w:rsidR="007B3DB2" w:rsidRPr="0063248C" w14:paraId="676C536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0B4FD8C" w14:textId="77777777" w:rsidR="007B3DB2" w:rsidRPr="0063248C" w:rsidRDefault="00000000">
            <w:pPr>
              <w:spacing w:line="240" w:lineRule="exact"/>
              <w:rPr>
                <w:rFonts w:cs="宋体"/>
                <w:sz w:val="18"/>
                <w:szCs w:val="18"/>
              </w:rPr>
            </w:pPr>
            <w:r w:rsidRPr="0063248C">
              <w:rPr>
                <w:rFonts w:cs="宋体"/>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vAlign w:val="center"/>
          </w:tcPr>
          <w:p w14:paraId="3A6FA5B9" w14:textId="77777777" w:rsidR="007B3DB2" w:rsidRPr="0063248C" w:rsidRDefault="00000000">
            <w:pPr>
              <w:spacing w:line="240" w:lineRule="exact"/>
              <w:jc w:val="right"/>
              <w:rPr>
                <w:rFonts w:cs="宋体"/>
                <w:sz w:val="18"/>
                <w:szCs w:val="18"/>
              </w:rPr>
            </w:pPr>
            <w:r w:rsidRPr="0063248C">
              <w:rPr>
                <w:rFonts w:cs="宋体"/>
                <w:sz w:val="18"/>
                <w:szCs w:val="18"/>
              </w:rPr>
              <w:t>62,989.07</w:t>
            </w:r>
          </w:p>
        </w:tc>
        <w:tc>
          <w:tcPr>
            <w:tcW w:w="2410" w:type="dxa"/>
            <w:tcBorders>
              <w:top w:val="single" w:sz="2" w:space="0" w:color="auto"/>
              <w:left w:val="single" w:sz="2" w:space="0" w:color="auto"/>
              <w:bottom w:val="single" w:sz="2" w:space="0" w:color="auto"/>
              <w:right w:val="single" w:sz="2" w:space="0" w:color="auto"/>
            </w:tcBorders>
            <w:vAlign w:val="center"/>
          </w:tcPr>
          <w:p w14:paraId="68357715" w14:textId="77777777" w:rsidR="007B3DB2" w:rsidRPr="0063248C" w:rsidRDefault="00000000">
            <w:pPr>
              <w:spacing w:line="240" w:lineRule="exact"/>
              <w:jc w:val="right"/>
              <w:rPr>
                <w:rFonts w:cs="宋体"/>
                <w:sz w:val="18"/>
                <w:szCs w:val="18"/>
              </w:rPr>
            </w:pPr>
            <w:r w:rsidRPr="0063248C">
              <w:rPr>
                <w:rFonts w:cs="宋体"/>
                <w:sz w:val="18"/>
                <w:szCs w:val="18"/>
              </w:rPr>
              <w:t>531,689.64</w:t>
            </w:r>
          </w:p>
        </w:tc>
        <w:tc>
          <w:tcPr>
            <w:tcW w:w="2410" w:type="dxa"/>
            <w:tcBorders>
              <w:top w:val="single" w:sz="2" w:space="0" w:color="auto"/>
              <w:left w:val="single" w:sz="2" w:space="0" w:color="auto"/>
              <w:bottom w:val="single" w:sz="2" w:space="0" w:color="auto"/>
              <w:right w:val="single" w:sz="2" w:space="0" w:color="auto"/>
            </w:tcBorders>
            <w:vAlign w:val="center"/>
          </w:tcPr>
          <w:p w14:paraId="662653DE" w14:textId="77777777" w:rsidR="007B3DB2" w:rsidRPr="0063248C" w:rsidRDefault="00000000">
            <w:pPr>
              <w:spacing w:line="240" w:lineRule="exact"/>
              <w:jc w:val="right"/>
              <w:rPr>
                <w:rFonts w:cs="宋体"/>
                <w:sz w:val="18"/>
                <w:szCs w:val="18"/>
              </w:rPr>
            </w:pPr>
            <w:r w:rsidRPr="0063248C">
              <w:rPr>
                <w:rFonts w:cs="宋体"/>
                <w:sz w:val="18"/>
                <w:szCs w:val="18"/>
              </w:rPr>
              <w:t>62,989.07</w:t>
            </w:r>
          </w:p>
        </w:tc>
      </w:tr>
      <w:tr w:rsidR="007B3DB2" w:rsidRPr="0063248C" w14:paraId="31E2B26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1C94607"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619054AE" w14:textId="77777777" w:rsidR="007B3DB2" w:rsidRPr="0063248C" w:rsidRDefault="00000000">
            <w:pPr>
              <w:spacing w:line="240" w:lineRule="exact"/>
              <w:jc w:val="right"/>
              <w:rPr>
                <w:rFonts w:cs="宋体"/>
                <w:sz w:val="18"/>
                <w:szCs w:val="18"/>
              </w:rPr>
            </w:pPr>
            <w:r w:rsidRPr="0063248C">
              <w:rPr>
                <w:rFonts w:cs="宋体"/>
                <w:sz w:val="18"/>
                <w:szCs w:val="18"/>
              </w:rPr>
              <w:t>5,462,464.39</w:t>
            </w:r>
          </w:p>
        </w:tc>
        <w:tc>
          <w:tcPr>
            <w:tcW w:w="2410" w:type="dxa"/>
            <w:tcBorders>
              <w:top w:val="single" w:sz="2" w:space="0" w:color="auto"/>
              <w:left w:val="single" w:sz="2" w:space="0" w:color="auto"/>
              <w:bottom w:val="single" w:sz="2" w:space="0" w:color="auto"/>
              <w:right w:val="single" w:sz="2" w:space="0" w:color="auto"/>
            </w:tcBorders>
            <w:vAlign w:val="center"/>
          </w:tcPr>
          <w:p w14:paraId="790D84C1" w14:textId="77777777" w:rsidR="007B3DB2" w:rsidRPr="0063248C" w:rsidRDefault="00000000">
            <w:pPr>
              <w:spacing w:line="240" w:lineRule="exact"/>
              <w:jc w:val="right"/>
              <w:rPr>
                <w:rFonts w:cs="宋体"/>
                <w:sz w:val="18"/>
                <w:szCs w:val="18"/>
              </w:rPr>
            </w:pPr>
            <w:r w:rsidRPr="0063248C">
              <w:rPr>
                <w:rFonts w:cs="宋体"/>
                <w:sz w:val="18"/>
                <w:szCs w:val="18"/>
              </w:rPr>
              <w:t>2,055,841.34</w:t>
            </w:r>
          </w:p>
        </w:tc>
        <w:tc>
          <w:tcPr>
            <w:tcW w:w="2410" w:type="dxa"/>
            <w:tcBorders>
              <w:top w:val="single" w:sz="2" w:space="0" w:color="auto"/>
              <w:left w:val="single" w:sz="2" w:space="0" w:color="auto"/>
              <w:bottom w:val="single" w:sz="2" w:space="0" w:color="auto"/>
              <w:right w:val="single" w:sz="2" w:space="0" w:color="auto"/>
            </w:tcBorders>
            <w:vAlign w:val="center"/>
          </w:tcPr>
          <w:p w14:paraId="16AACF62" w14:textId="77777777" w:rsidR="007B3DB2" w:rsidRPr="0063248C" w:rsidRDefault="00000000">
            <w:pPr>
              <w:spacing w:line="240" w:lineRule="exact"/>
              <w:jc w:val="right"/>
              <w:rPr>
                <w:rFonts w:cs="宋体"/>
                <w:sz w:val="18"/>
                <w:szCs w:val="18"/>
              </w:rPr>
            </w:pPr>
            <w:r w:rsidRPr="0063248C">
              <w:rPr>
                <w:rFonts w:cs="宋体"/>
                <w:sz w:val="18"/>
                <w:szCs w:val="18"/>
              </w:rPr>
              <w:t>5,462,464.39</w:t>
            </w:r>
          </w:p>
        </w:tc>
      </w:tr>
    </w:tbl>
    <w:p w14:paraId="60E2DE0D"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7A6D813F" w14:textId="77777777" w:rsidR="00517D34" w:rsidRPr="0063248C" w:rsidRDefault="00000000">
      <w:pPr>
        <w:pStyle w:val="a3"/>
        <w:divId w:val="272905032"/>
        <w:rPr>
          <w:rFonts w:ascii="Times New Roman" w:hAnsi="Times New Roman"/>
          <w:sz w:val="18"/>
          <w:szCs w:val="18"/>
        </w:rPr>
      </w:pPr>
      <w:r w:rsidRPr="0063248C">
        <w:rPr>
          <w:rFonts w:ascii="Times New Roman" w:hAnsi="Times New Roman" w:hint="eastAsia"/>
          <w:sz w:val="18"/>
          <w:szCs w:val="18"/>
        </w:rPr>
        <w:t>无</w:t>
      </w:r>
    </w:p>
    <w:p w14:paraId="560436A3" w14:textId="77777777" w:rsidR="007B3DB2" w:rsidRPr="0063248C" w:rsidRDefault="00000000">
      <w:pPr>
        <w:pStyle w:val="3"/>
        <w:spacing w:line="280" w:lineRule="exact"/>
        <w:jc w:val="left"/>
        <w:rPr>
          <w:rFonts w:cs="宋体"/>
          <w:b/>
          <w:bCs/>
        </w:rPr>
      </w:pPr>
      <w:bookmarkStart w:id="378" w:name="_Toc989267"/>
      <w:r w:rsidRPr="0063248C">
        <w:rPr>
          <w:rFonts w:cs="宋体"/>
          <w:b/>
          <w:bCs/>
        </w:rPr>
        <w:t>76</w:t>
      </w:r>
      <w:r w:rsidRPr="0063248C">
        <w:rPr>
          <w:rFonts w:cs="宋体"/>
          <w:b/>
          <w:bCs/>
        </w:rPr>
        <w:t>、所得税费用</w:t>
      </w:r>
      <w:bookmarkEnd w:id="378"/>
    </w:p>
    <w:p w14:paraId="7AB0E2A7" w14:textId="77777777" w:rsidR="007B3DB2" w:rsidRPr="0063248C" w:rsidRDefault="00000000">
      <w:pPr>
        <w:keepNext/>
        <w:keepLines/>
        <w:spacing w:before="300" w:after="300" w:line="280" w:lineRule="exact"/>
        <w:outlineLvl w:val="3"/>
        <w:rPr>
          <w:rFonts w:cs="宋体"/>
          <w:b/>
          <w:bCs/>
          <w:szCs w:val="21"/>
        </w:rPr>
      </w:pPr>
      <w:bookmarkStart w:id="379" w:name="_Toc989268"/>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所得税费用表</w:t>
      </w:r>
      <w:bookmarkEnd w:id="379"/>
    </w:p>
    <w:p w14:paraId="6EF41FE5"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00F0F8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787E84"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9A5E33"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1CB8F8"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0698D2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76806E" w14:textId="77777777" w:rsidR="007B3DB2" w:rsidRPr="0063248C" w:rsidRDefault="00000000">
            <w:pPr>
              <w:spacing w:before="40" w:after="40" w:line="240" w:lineRule="exact"/>
              <w:rPr>
                <w:rFonts w:cs="宋体"/>
                <w:sz w:val="18"/>
                <w:szCs w:val="18"/>
              </w:rPr>
            </w:pPr>
            <w:r w:rsidRPr="0063248C">
              <w:rPr>
                <w:rFonts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5829BCD9" w14:textId="77777777" w:rsidR="007B3DB2" w:rsidRPr="0063248C" w:rsidRDefault="00000000">
            <w:pPr>
              <w:spacing w:line="240" w:lineRule="exact"/>
              <w:jc w:val="right"/>
              <w:rPr>
                <w:rFonts w:cs="宋体"/>
                <w:sz w:val="18"/>
                <w:szCs w:val="18"/>
              </w:rPr>
            </w:pPr>
            <w:r w:rsidRPr="0063248C">
              <w:rPr>
                <w:rFonts w:cs="宋体"/>
                <w:sz w:val="18"/>
                <w:szCs w:val="18"/>
              </w:rPr>
              <w:t>2,594.03</w:t>
            </w:r>
          </w:p>
        </w:tc>
        <w:tc>
          <w:tcPr>
            <w:tcW w:w="3213" w:type="dxa"/>
            <w:tcBorders>
              <w:top w:val="single" w:sz="2" w:space="0" w:color="auto"/>
              <w:left w:val="single" w:sz="2" w:space="0" w:color="auto"/>
              <w:bottom w:val="single" w:sz="2" w:space="0" w:color="auto"/>
              <w:right w:val="single" w:sz="2" w:space="0" w:color="auto"/>
            </w:tcBorders>
            <w:vAlign w:val="center"/>
          </w:tcPr>
          <w:p w14:paraId="543EC1AC" w14:textId="77777777" w:rsidR="007B3DB2" w:rsidRPr="0063248C" w:rsidRDefault="00000000">
            <w:pPr>
              <w:spacing w:line="240" w:lineRule="exact"/>
              <w:jc w:val="right"/>
              <w:rPr>
                <w:rFonts w:cs="宋体"/>
                <w:sz w:val="18"/>
                <w:szCs w:val="18"/>
              </w:rPr>
            </w:pPr>
            <w:r w:rsidRPr="0063248C">
              <w:rPr>
                <w:rFonts w:cs="宋体"/>
                <w:sz w:val="18"/>
                <w:szCs w:val="18"/>
              </w:rPr>
              <w:t>139,375.71</w:t>
            </w:r>
          </w:p>
        </w:tc>
      </w:tr>
      <w:tr w:rsidR="007B3DB2" w:rsidRPr="0063248C" w14:paraId="604082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CE865B" w14:textId="77777777" w:rsidR="007B3DB2" w:rsidRPr="0063248C" w:rsidRDefault="00000000">
            <w:pPr>
              <w:spacing w:before="40" w:after="40" w:line="240" w:lineRule="exact"/>
              <w:rPr>
                <w:rFonts w:cs="宋体"/>
                <w:sz w:val="18"/>
                <w:szCs w:val="18"/>
              </w:rPr>
            </w:pPr>
            <w:r w:rsidRPr="0063248C">
              <w:rPr>
                <w:rFonts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21051F36" w14:textId="77777777" w:rsidR="007B3DB2" w:rsidRPr="0063248C" w:rsidRDefault="00000000">
            <w:pPr>
              <w:spacing w:line="240" w:lineRule="exact"/>
              <w:jc w:val="right"/>
              <w:rPr>
                <w:rFonts w:cs="宋体"/>
                <w:sz w:val="18"/>
                <w:szCs w:val="18"/>
              </w:rPr>
            </w:pPr>
            <w:r w:rsidRPr="0063248C">
              <w:rPr>
                <w:rFonts w:cs="宋体"/>
                <w:sz w:val="18"/>
                <w:szCs w:val="18"/>
              </w:rPr>
              <w:t>-6,148,249.19</w:t>
            </w:r>
          </w:p>
        </w:tc>
        <w:tc>
          <w:tcPr>
            <w:tcW w:w="3213" w:type="dxa"/>
            <w:tcBorders>
              <w:top w:val="single" w:sz="2" w:space="0" w:color="auto"/>
              <w:left w:val="single" w:sz="2" w:space="0" w:color="auto"/>
              <w:bottom w:val="single" w:sz="2" w:space="0" w:color="auto"/>
              <w:right w:val="single" w:sz="2" w:space="0" w:color="auto"/>
            </w:tcBorders>
            <w:vAlign w:val="center"/>
          </w:tcPr>
          <w:p w14:paraId="5C8B1F66" w14:textId="77777777" w:rsidR="007B3DB2" w:rsidRPr="0063248C" w:rsidRDefault="00000000">
            <w:pPr>
              <w:spacing w:line="240" w:lineRule="exact"/>
              <w:jc w:val="right"/>
              <w:rPr>
                <w:rFonts w:cs="宋体"/>
                <w:sz w:val="18"/>
                <w:szCs w:val="18"/>
              </w:rPr>
            </w:pPr>
            <w:r w:rsidRPr="0063248C">
              <w:rPr>
                <w:rFonts w:cs="宋体"/>
                <w:sz w:val="18"/>
                <w:szCs w:val="18"/>
              </w:rPr>
              <w:t>-2,052,046.38</w:t>
            </w:r>
          </w:p>
        </w:tc>
      </w:tr>
      <w:tr w:rsidR="007B3DB2" w:rsidRPr="0063248C" w14:paraId="290800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DBE276"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F8BA0E8" w14:textId="77777777" w:rsidR="007B3DB2" w:rsidRPr="0063248C" w:rsidRDefault="00000000">
            <w:pPr>
              <w:spacing w:line="240" w:lineRule="exact"/>
              <w:jc w:val="right"/>
              <w:rPr>
                <w:rFonts w:cs="宋体"/>
                <w:sz w:val="18"/>
                <w:szCs w:val="18"/>
              </w:rPr>
            </w:pPr>
            <w:r w:rsidRPr="0063248C">
              <w:rPr>
                <w:rFonts w:cs="宋体"/>
                <w:sz w:val="18"/>
                <w:szCs w:val="18"/>
              </w:rPr>
              <w:t>-6,145,655.16</w:t>
            </w:r>
          </w:p>
        </w:tc>
        <w:tc>
          <w:tcPr>
            <w:tcW w:w="3213" w:type="dxa"/>
            <w:tcBorders>
              <w:top w:val="single" w:sz="2" w:space="0" w:color="auto"/>
              <w:left w:val="single" w:sz="2" w:space="0" w:color="auto"/>
              <w:bottom w:val="single" w:sz="2" w:space="0" w:color="auto"/>
              <w:right w:val="single" w:sz="2" w:space="0" w:color="auto"/>
            </w:tcBorders>
            <w:vAlign w:val="center"/>
          </w:tcPr>
          <w:p w14:paraId="2AA8CE88" w14:textId="77777777" w:rsidR="007B3DB2" w:rsidRPr="0063248C" w:rsidRDefault="00000000">
            <w:pPr>
              <w:spacing w:line="240" w:lineRule="exact"/>
              <w:jc w:val="right"/>
              <w:rPr>
                <w:rFonts w:cs="宋体"/>
                <w:sz w:val="18"/>
                <w:szCs w:val="18"/>
              </w:rPr>
            </w:pPr>
            <w:r w:rsidRPr="0063248C">
              <w:rPr>
                <w:rFonts w:cs="宋体"/>
                <w:sz w:val="18"/>
                <w:szCs w:val="18"/>
              </w:rPr>
              <w:t>-1,912,670.67</w:t>
            </w:r>
          </w:p>
        </w:tc>
      </w:tr>
    </w:tbl>
    <w:p w14:paraId="33120C03" w14:textId="77777777" w:rsidR="007B3DB2" w:rsidRPr="0063248C" w:rsidRDefault="00000000">
      <w:pPr>
        <w:keepNext/>
        <w:keepLines/>
        <w:spacing w:before="300" w:after="300" w:line="280" w:lineRule="exact"/>
        <w:outlineLvl w:val="3"/>
        <w:rPr>
          <w:rFonts w:cs="宋体"/>
          <w:b/>
          <w:bCs/>
          <w:szCs w:val="21"/>
        </w:rPr>
      </w:pPr>
      <w:bookmarkStart w:id="380" w:name="_Toc989269"/>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会计利润与所得税费用调整过程</w:t>
      </w:r>
      <w:bookmarkEnd w:id="380"/>
    </w:p>
    <w:p w14:paraId="56639A64"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7B3DB2" w:rsidRPr="0063248C" w14:paraId="466EB0E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626DD3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C01A6F3"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r>
      <w:tr w:rsidR="007B3DB2" w:rsidRPr="0063248C" w14:paraId="3ABC498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F85C56B" w14:textId="77777777" w:rsidR="007B3DB2" w:rsidRPr="0063248C" w:rsidRDefault="00000000">
            <w:pPr>
              <w:spacing w:before="40" w:after="40" w:line="240" w:lineRule="exact"/>
              <w:rPr>
                <w:rFonts w:cs="宋体"/>
                <w:sz w:val="18"/>
                <w:szCs w:val="18"/>
              </w:rPr>
            </w:pPr>
            <w:r w:rsidRPr="0063248C">
              <w:rPr>
                <w:rFonts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14:paraId="69F36D7D" w14:textId="77777777" w:rsidR="007B3DB2" w:rsidRPr="0063248C" w:rsidRDefault="00000000">
            <w:pPr>
              <w:spacing w:line="240" w:lineRule="exact"/>
              <w:jc w:val="right"/>
              <w:rPr>
                <w:rFonts w:cs="宋体"/>
                <w:sz w:val="18"/>
                <w:szCs w:val="18"/>
              </w:rPr>
            </w:pPr>
            <w:r w:rsidRPr="0063248C">
              <w:rPr>
                <w:rFonts w:cs="宋体"/>
                <w:sz w:val="18"/>
                <w:szCs w:val="18"/>
              </w:rPr>
              <w:t>57,414,899.44</w:t>
            </w:r>
          </w:p>
        </w:tc>
      </w:tr>
      <w:tr w:rsidR="007B3DB2" w:rsidRPr="0063248C" w14:paraId="4F3E2CA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45D6FD8" w14:textId="77777777" w:rsidR="007B3DB2" w:rsidRPr="0063248C" w:rsidRDefault="00000000">
            <w:pPr>
              <w:spacing w:before="40" w:after="40" w:line="240" w:lineRule="exact"/>
              <w:rPr>
                <w:rFonts w:cs="宋体"/>
                <w:sz w:val="18"/>
                <w:szCs w:val="18"/>
              </w:rPr>
            </w:pPr>
            <w:r w:rsidRPr="0063248C">
              <w:rPr>
                <w:rFonts w:cs="宋体"/>
                <w:sz w:val="18"/>
                <w:szCs w:val="18"/>
              </w:rPr>
              <w:t>按法定</w:t>
            </w:r>
            <w:r w:rsidRPr="0063248C">
              <w:rPr>
                <w:rFonts w:cs="宋体"/>
                <w:sz w:val="18"/>
                <w:szCs w:val="18"/>
              </w:rPr>
              <w:t>/</w:t>
            </w:r>
            <w:r w:rsidRPr="0063248C">
              <w:rPr>
                <w:rFonts w:cs="宋体"/>
                <w:sz w:val="18"/>
                <w:szCs w:val="18"/>
              </w:rPr>
              <w:t>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14:paraId="6F98AD53" w14:textId="77777777" w:rsidR="007B3DB2" w:rsidRPr="0063248C" w:rsidRDefault="00000000">
            <w:pPr>
              <w:spacing w:line="240" w:lineRule="exact"/>
              <w:jc w:val="right"/>
              <w:rPr>
                <w:rFonts w:cs="宋体"/>
                <w:sz w:val="18"/>
                <w:szCs w:val="18"/>
              </w:rPr>
            </w:pPr>
            <w:r w:rsidRPr="0063248C">
              <w:rPr>
                <w:rFonts w:cs="宋体"/>
                <w:sz w:val="18"/>
                <w:szCs w:val="18"/>
              </w:rPr>
              <w:t>14,353,724.86</w:t>
            </w:r>
          </w:p>
        </w:tc>
      </w:tr>
      <w:tr w:rsidR="007B3DB2" w:rsidRPr="0063248C" w14:paraId="5688C4B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F440B44" w14:textId="77777777" w:rsidR="007B3DB2" w:rsidRPr="0063248C" w:rsidRDefault="00000000">
            <w:pPr>
              <w:spacing w:before="40" w:after="40" w:line="240" w:lineRule="exact"/>
              <w:rPr>
                <w:rFonts w:cs="宋体"/>
                <w:sz w:val="18"/>
                <w:szCs w:val="18"/>
              </w:rPr>
            </w:pPr>
            <w:r w:rsidRPr="0063248C">
              <w:rPr>
                <w:rFonts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14:paraId="1070E834" w14:textId="77777777" w:rsidR="007B3DB2" w:rsidRPr="0063248C" w:rsidRDefault="00000000">
            <w:pPr>
              <w:spacing w:line="240" w:lineRule="exact"/>
              <w:jc w:val="right"/>
              <w:rPr>
                <w:rFonts w:cs="宋体"/>
                <w:sz w:val="18"/>
                <w:szCs w:val="18"/>
              </w:rPr>
            </w:pPr>
            <w:r w:rsidRPr="0063248C">
              <w:rPr>
                <w:rFonts w:cs="宋体"/>
                <w:sz w:val="18"/>
                <w:szCs w:val="18"/>
              </w:rPr>
              <w:t>-8,754,563.62</w:t>
            </w:r>
          </w:p>
        </w:tc>
      </w:tr>
      <w:tr w:rsidR="007B3DB2" w:rsidRPr="0063248C" w14:paraId="00BDA6F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7EF98AA" w14:textId="77777777" w:rsidR="007B3DB2" w:rsidRPr="0063248C" w:rsidRDefault="00000000">
            <w:pPr>
              <w:spacing w:before="40" w:after="40" w:line="240" w:lineRule="exact"/>
              <w:rPr>
                <w:rFonts w:cs="宋体"/>
                <w:sz w:val="18"/>
                <w:szCs w:val="18"/>
              </w:rPr>
            </w:pPr>
            <w:r w:rsidRPr="0063248C">
              <w:rPr>
                <w:rFonts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14:paraId="1DC09916" w14:textId="77777777" w:rsidR="007B3DB2" w:rsidRPr="0063248C" w:rsidRDefault="00000000">
            <w:pPr>
              <w:spacing w:line="240" w:lineRule="exact"/>
              <w:jc w:val="right"/>
              <w:rPr>
                <w:rFonts w:cs="宋体"/>
                <w:sz w:val="18"/>
                <w:szCs w:val="18"/>
              </w:rPr>
            </w:pPr>
            <w:r w:rsidRPr="0063248C">
              <w:rPr>
                <w:rFonts w:cs="宋体"/>
                <w:sz w:val="18"/>
                <w:szCs w:val="18"/>
              </w:rPr>
              <w:t>2,594.03</w:t>
            </w:r>
          </w:p>
        </w:tc>
      </w:tr>
      <w:tr w:rsidR="007B3DB2" w:rsidRPr="0063248C" w14:paraId="23684F8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6BB9153" w14:textId="77777777" w:rsidR="007B3DB2" w:rsidRPr="0063248C" w:rsidRDefault="00000000">
            <w:pPr>
              <w:spacing w:before="40" w:after="40" w:line="240" w:lineRule="exact"/>
              <w:rPr>
                <w:rFonts w:cs="宋体"/>
                <w:sz w:val="18"/>
                <w:szCs w:val="18"/>
              </w:rPr>
            </w:pPr>
            <w:r w:rsidRPr="0063248C">
              <w:rPr>
                <w:rFonts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14:paraId="64C2E216" w14:textId="77777777" w:rsidR="007B3DB2" w:rsidRPr="0063248C" w:rsidRDefault="00000000">
            <w:pPr>
              <w:spacing w:line="240" w:lineRule="exact"/>
              <w:jc w:val="right"/>
              <w:rPr>
                <w:rFonts w:cs="宋体"/>
                <w:sz w:val="18"/>
                <w:szCs w:val="18"/>
              </w:rPr>
            </w:pPr>
            <w:r w:rsidRPr="0063248C">
              <w:rPr>
                <w:rFonts w:cs="宋体"/>
                <w:sz w:val="18"/>
                <w:szCs w:val="18"/>
              </w:rPr>
              <w:t>838,739.65</w:t>
            </w:r>
          </w:p>
        </w:tc>
      </w:tr>
      <w:tr w:rsidR="007B3DB2" w:rsidRPr="0063248C" w14:paraId="3BBABA4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3BFD4FE" w14:textId="77777777" w:rsidR="007B3DB2" w:rsidRPr="0063248C" w:rsidRDefault="00000000">
            <w:pPr>
              <w:spacing w:before="40" w:after="40" w:line="240" w:lineRule="exact"/>
              <w:rPr>
                <w:rFonts w:cs="宋体"/>
                <w:sz w:val="18"/>
                <w:szCs w:val="18"/>
              </w:rPr>
            </w:pPr>
            <w:r w:rsidRPr="0063248C">
              <w:rPr>
                <w:rFonts w:cs="宋体"/>
                <w:sz w:val="18"/>
                <w:szCs w:val="18"/>
              </w:rPr>
              <w:t>使用前期未确认递延所得税资产的可抵扣亏损的影响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14:paraId="215B0425" w14:textId="77777777" w:rsidR="007B3DB2" w:rsidRPr="0063248C" w:rsidRDefault="00000000">
            <w:pPr>
              <w:spacing w:line="240" w:lineRule="exact"/>
              <w:jc w:val="right"/>
              <w:rPr>
                <w:rFonts w:cs="宋体"/>
                <w:sz w:val="18"/>
                <w:szCs w:val="18"/>
              </w:rPr>
            </w:pPr>
            <w:r w:rsidRPr="0063248C">
              <w:rPr>
                <w:rFonts w:cs="宋体"/>
                <w:sz w:val="18"/>
                <w:szCs w:val="18"/>
              </w:rPr>
              <w:t>-352,168.83</w:t>
            </w:r>
          </w:p>
        </w:tc>
      </w:tr>
      <w:tr w:rsidR="007B3DB2" w:rsidRPr="0063248C" w14:paraId="1B82061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588665F" w14:textId="77777777" w:rsidR="007B3DB2" w:rsidRPr="0063248C" w:rsidRDefault="00000000">
            <w:pPr>
              <w:spacing w:before="40" w:after="40" w:line="240" w:lineRule="exact"/>
              <w:rPr>
                <w:rFonts w:cs="宋体"/>
                <w:sz w:val="18"/>
                <w:szCs w:val="18"/>
              </w:rPr>
            </w:pPr>
            <w:proofErr w:type="gramStart"/>
            <w:r w:rsidRPr="0063248C">
              <w:rPr>
                <w:rFonts w:cs="宋体"/>
                <w:sz w:val="18"/>
                <w:szCs w:val="18"/>
              </w:rPr>
              <w:t>本期未</w:t>
            </w:r>
            <w:proofErr w:type="gramEnd"/>
            <w:r w:rsidRPr="0063248C">
              <w:rPr>
                <w:rFonts w:cs="宋体"/>
                <w:sz w:val="18"/>
                <w:szCs w:val="18"/>
              </w:rPr>
              <w:t>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14:paraId="5CCC0FAB" w14:textId="77777777" w:rsidR="007B3DB2" w:rsidRPr="0063248C" w:rsidRDefault="00000000">
            <w:pPr>
              <w:spacing w:line="240" w:lineRule="exact"/>
              <w:jc w:val="right"/>
              <w:rPr>
                <w:rFonts w:cs="宋体"/>
                <w:sz w:val="18"/>
                <w:szCs w:val="18"/>
              </w:rPr>
            </w:pPr>
            <w:r w:rsidRPr="0063248C">
              <w:rPr>
                <w:rFonts w:cs="宋体"/>
                <w:sz w:val="18"/>
                <w:szCs w:val="18"/>
              </w:rPr>
              <w:t>-12,101,387.18</w:t>
            </w:r>
          </w:p>
        </w:tc>
      </w:tr>
      <w:tr w:rsidR="007B3DB2" w:rsidRPr="0063248C" w14:paraId="0876005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62F5FB6" w14:textId="77777777" w:rsidR="007B3DB2" w:rsidRPr="0063248C" w:rsidRDefault="00000000">
            <w:pPr>
              <w:spacing w:line="240" w:lineRule="exact"/>
              <w:rPr>
                <w:rFonts w:cs="宋体"/>
                <w:sz w:val="18"/>
                <w:szCs w:val="18"/>
              </w:rPr>
            </w:pPr>
            <w:r w:rsidRPr="0063248C">
              <w:rPr>
                <w:rFonts w:cs="宋体"/>
                <w:sz w:val="18"/>
                <w:szCs w:val="18"/>
              </w:rPr>
              <w:t> </w:t>
            </w:r>
            <w:r w:rsidRPr="0063248C">
              <w:rPr>
                <w:rFonts w:cs="宋体"/>
                <w:sz w:val="18"/>
                <w:szCs w:val="18"/>
              </w:rPr>
              <w:t>研发支出影响</w:t>
            </w:r>
          </w:p>
        </w:tc>
        <w:tc>
          <w:tcPr>
            <w:tcW w:w="4820" w:type="dxa"/>
            <w:tcBorders>
              <w:top w:val="single" w:sz="2" w:space="0" w:color="auto"/>
              <w:left w:val="single" w:sz="2" w:space="0" w:color="auto"/>
              <w:bottom w:val="single" w:sz="2" w:space="0" w:color="auto"/>
              <w:right w:val="single" w:sz="2" w:space="0" w:color="auto"/>
            </w:tcBorders>
            <w:vAlign w:val="center"/>
          </w:tcPr>
          <w:p w14:paraId="4277C965" w14:textId="77777777" w:rsidR="007B3DB2" w:rsidRPr="0063248C" w:rsidRDefault="00000000">
            <w:pPr>
              <w:spacing w:line="240" w:lineRule="exact"/>
              <w:jc w:val="right"/>
              <w:rPr>
                <w:rFonts w:cs="宋体"/>
                <w:sz w:val="18"/>
                <w:szCs w:val="18"/>
              </w:rPr>
            </w:pPr>
            <w:r w:rsidRPr="0063248C">
              <w:rPr>
                <w:rFonts w:cs="宋体"/>
                <w:sz w:val="18"/>
                <w:szCs w:val="18"/>
              </w:rPr>
              <w:t>-132,594.05</w:t>
            </w:r>
          </w:p>
        </w:tc>
      </w:tr>
      <w:tr w:rsidR="007B3DB2" w:rsidRPr="0063248C" w14:paraId="2000800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1F79226" w14:textId="77777777" w:rsidR="007B3DB2" w:rsidRPr="0063248C" w:rsidRDefault="00000000">
            <w:pPr>
              <w:spacing w:before="40" w:after="40" w:line="240" w:lineRule="exact"/>
              <w:rPr>
                <w:rFonts w:cs="宋体"/>
                <w:sz w:val="18"/>
                <w:szCs w:val="18"/>
              </w:rPr>
            </w:pPr>
            <w:r w:rsidRPr="0063248C">
              <w:rPr>
                <w:rFonts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14:paraId="01AE8A69" w14:textId="77777777" w:rsidR="007B3DB2" w:rsidRPr="0063248C" w:rsidRDefault="00000000">
            <w:pPr>
              <w:spacing w:line="240" w:lineRule="exact"/>
              <w:jc w:val="right"/>
              <w:rPr>
                <w:rFonts w:cs="宋体"/>
                <w:sz w:val="18"/>
                <w:szCs w:val="18"/>
              </w:rPr>
            </w:pPr>
            <w:r w:rsidRPr="0063248C">
              <w:rPr>
                <w:rFonts w:cs="宋体"/>
                <w:sz w:val="18"/>
                <w:szCs w:val="18"/>
              </w:rPr>
              <w:t>-6,145,655.16</w:t>
            </w:r>
          </w:p>
        </w:tc>
      </w:tr>
    </w:tbl>
    <w:p w14:paraId="4E3BD0D4"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67C72869" w14:textId="77777777" w:rsidR="00517D34" w:rsidRPr="0063248C" w:rsidRDefault="00000000">
      <w:pPr>
        <w:pStyle w:val="a3"/>
        <w:divId w:val="1908758163"/>
        <w:rPr>
          <w:rFonts w:ascii="Times New Roman" w:hAnsi="Times New Roman"/>
          <w:sz w:val="18"/>
          <w:szCs w:val="18"/>
        </w:rPr>
      </w:pPr>
      <w:r w:rsidRPr="0063248C">
        <w:rPr>
          <w:rFonts w:ascii="Times New Roman" w:hAnsi="Times New Roman" w:hint="eastAsia"/>
          <w:sz w:val="18"/>
          <w:szCs w:val="18"/>
        </w:rPr>
        <w:lastRenderedPageBreak/>
        <w:t>无</w:t>
      </w:r>
    </w:p>
    <w:p w14:paraId="5E66245A" w14:textId="77777777" w:rsidR="007B3DB2" w:rsidRPr="0063248C" w:rsidRDefault="00000000">
      <w:pPr>
        <w:pStyle w:val="3"/>
        <w:spacing w:line="280" w:lineRule="exact"/>
        <w:jc w:val="left"/>
        <w:rPr>
          <w:rFonts w:cs="宋体"/>
          <w:b/>
          <w:bCs/>
        </w:rPr>
      </w:pPr>
      <w:bookmarkStart w:id="381" w:name="_Toc989270"/>
      <w:r w:rsidRPr="0063248C">
        <w:rPr>
          <w:rFonts w:cs="宋体"/>
          <w:b/>
          <w:bCs/>
        </w:rPr>
        <w:t>77</w:t>
      </w:r>
      <w:r w:rsidRPr="0063248C">
        <w:rPr>
          <w:rFonts w:cs="宋体"/>
          <w:b/>
          <w:bCs/>
        </w:rPr>
        <w:t>、其他综合收益</w:t>
      </w:r>
      <w:bookmarkEnd w:id="381"/>
    </w:p>
    <w:p w14:paraId="0F8D733B" w14:textId="77777777" w:rsidR="007B3DB2" w:rsidRPr="0063248C" w:rsidRDefault="00000000">
      <w:pPr>
        <w:spacing w:before="40" w:after="40" w:line="240" w:lineRule="exact"/>
        <w:rPr>
          <w:rFonts w:cs="宋体"/>
          <w:sz w:val="18"/>
          <w:szCs w:val="18"/>
        </w:rPr>
      </w:pPr>
      <w:r w:rsidRPr="0063248C">
        <w:rPr>
          <w:rFonts w:cs="宋体"/>
          <w:sz w:val="18"/>
          <w:szCs w:val="18"/>
        </w:rPr>
        <w:t>详见附注七、</w:t>
      </w:r>
      <w:r w:rsidRPr="0063248C">
        <w:rPr>
          <w:rFonts w:cs="宋体"/>
          <w:sz w:val="18"/>
          <w:szCs w:val="18"/>
        </w:rPr>
        <w:t xml:space="preserve"> 57“</w:t>
      </w:r>
      <w:r w:rsidRPr="0063248C">
        <w:rPr>
          <w:rFonts w:cs="宋体"/>
          <w:sz w:val="18"/>
          <w:szCs w:val="18"/>
        </w:rPr>
        <w:t>其他综合收益</w:t>
      </w:r>
      <w:r w:rsidRPr="0063248C">
        <w:rPr>
          <w:rFonts w:cs="宋体"/>
          <w:sz w:val="18"/>
          <w:szCs w:val="18"/>
        </w:rPr>
        <w:t>”</w:t>
      </w:r>
    </w:p>
    <w:p w14:paraId="408A4C71" w14:textId="77777777" w:rsidR="007B3DB2" w:rsidRPr="0063248C" w:rsidRDefault="00000000">
      <w:pPr>
        <w:pStyle w:val="3"/>
        <w:spacing w:line="280" w:lineRule="exact"/>
        <w:jc w:val="left"/>
        <w:rPr>
          <w:rFonts w:cs="宋体"/>
          <w:b/>
          <w:bCs/>
        </w:rPr>
      </w:pPr>
      <w:bookmarkStart w:id="382" w:name="_Toc989271"/>
      <w:r w:rsidRPr="0063248C">
        <w:rPr>
          <w:rFonts w:cs="宋体"/>
          <w:b/>
          <w:bCs/>
        </w:rPr>
        <w:t>78</w:t>
      </w:r>
      <w:r w:rsidRPr="0063248C">
        <w:rPr>
          <w:rFonts w:cs="宋体"/>
          <w:b/>
          <w:bCs/>
        </w:rPr>
        <w:t>、现金流量表项目</w:t>
      </w:r>
      <w:bookmarkEnd w:id="382"/>
    </w:p>
    <w:p w14:paraId="14A352C3" w14:textId="77777777" w:rsidR="007B3DB2" w:rsidRPr="0063248C" w:rsidRDefault="00000000">
      <w:pPr>
        <w:keepNext/>
        <w:keepLines/>
        <w:spacing w:before="300" w:after="300" w:line="280" w:lineRule="exact"/>
        <w:outlineLvl w:val="3"/>
        <w:rPr>
          <w:rFonts w:cs="宋体"/>
          <w:b/>
          <w:bCs/>
          <w:szCs w:val="21"/>
        </w:rPr>
      </w:pPr>
      <w:bookmarkStart w:id="383" w:name="_Toc989272"/>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与经营活动有关的现金</w:t>
      </w:r>
      <w:bookmarkEnd w:id="383"/>
    </w:p>
    <w:p w14:paraId="58AAAFCC" w14:textId="77777777" w:rsidR="007B3DB2" w:rsidRPr="0063248C" w:rsidRDefault="00000000">
      <w:pPr>
        <w:spacing w:before="100" w:after="100" w:line="240" w:lineRule="exact"/>
        <w:rPr>
          <w:rFonts w:cs="宋体"/>
          <w:sz w:val="18"/>
          <w:szCs w:val="18"/>
        </w:rPr>
      </w:pPr>
      <w:r w:rsidRPr="0063248C">
        <w:rPr>
          <w:rFonts w:cs="宋体"/>
          <w:sz w:val="18"/>
          <w:szCs w:val="18"/>
        </w:rPr>
        <w:t>收到的其他与经营活动有关的现金</w:t>
      </w:r>
    </w:p>
    <w:p w14:paraId="2726FE5A"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32977D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F882FC"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C5D18A"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048CB8"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449404E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8A858CA" w14:textId="77777777" w:rsidR="007B3DB2" w:rsidRPr="0063248C" w:rsidRDefault="00000000">
            <w:pPr>
              <w:spacing w:line="240" w:lineRule="exact"/>
              <w:rPr>
                <w:rFonts w:cs="宋体"/>
                <w:sz w:val="18"/>
                <w:szCs w:val="18"/>
              </w:rPr>
            </w:pPr>
            <w:r w:rsidRPr="0063248C">
              <w:rPr>
                <w:rFonts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6D633C9C" w14:textId="77777777" w:rsidR="007B3DB2" w:rsidRPr="0063248C" w:rsidRDefault="00000000">
            <w:pPr>
              <w:spacing w:line="240" w:lineRule="exact"/>
              <w:jc w:val="right"/>
              <w:rPr>
                <w:rFonts w:cs="宋体"/>
                <w:sz w:val="18"/>
                <w:szCs w:val="18"/>
              </w:rPr>
            </w:pPr>
            <w:r w:rsidRPr="0063248C">
              <w:rPr>
                <w:rFonts w:cs="宋体"/>
                <w:sz w:val="18"/>
                <w:szCs w:val="18"/>
              </w:rPr>
              <w:t>13,535,246.19</w:t>
            </w:r>
          </w:p>
        </w:tc>
        <w:tc>
          <w:tcPr>
            <w:tcW w:w="3213" w:type="dxa"/>
            <w:tcBorders>
              <w:top w:val="single" w:sz="2" w:space="0" w:color="auto"/>
              <w:left w:val="single" w:sz="2" w:space="0" w:color="auto"/>
              <w:bottom w:val="single" w:sz="2" w:space="0" w:color="auto"/>
              <w:right w:val="single" w:sz="2" w:space="0" w:color="auto"/>
            </w:tcBorders>
            <w:vAlign w:val="center"/>
          </w:tcPr>
          <w:p w14:paraId="13191700" w14:textId="77777777" w:rsidR="007B3DB2" w:rsidRPr="0063248C" w:rsidRDefault="00000000">
            <w:pPr>
              <w:spacing w:line="240" w:lineRule="exact"/>
              <w:jc w:val="right"/>
              <w:rPr>
                <w:rFonts w:cs="宋体"/>
                <w:sz w:val="18"/>
                <w:szCs w:val="18"/>
              </w:rPr>
            </w:pPr>
            <w:r w:rsidRPr="0063248C">
              <w:rPr>
                <w:rFonts w:cs="宋体"/>
                <w:sz w:val="18"/>
                <w:szCs w:val="18"/>
              </w:rPr>
              <w:t>8,182,620.81</w:t>
            </w:r>
          </w:p>
        </w:tc>
      </w:tr>
      <w:tr w:rsidR="007B3DB2" w:rsidRPr="0063248C" w14:paraId="5ADE66F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D8C408B" w14:textId="77777777" w:rsidR="007B3DB2" w:rsidRPr="0063248C" w:rsidRDefault="00000000">
            <w:pPr>
              <w:spacing w:line="240" w:lineRule="exact"/>
              <w:rPr>
                <w:rFonts w:cs="宋体"/>
                <w:sz w:val="18"/>
                <w:szCs w:val="18"/>
              </w:rPr>
            </w:pPr>
            <w:r w:rsidRPr="0063248C">
              <w:rPr>
                <w:rFonts w:cs="宋体"/>
                <w:sz w:val="18"/>
                <w:szCs w:val="18"/>
              </w:rPr>
              <w:t>政府补贴</w:t>
            </w:r>
          </w:p>
        </w:tc>
        <w:tc>
          <w:tcPr>
            <w:tcW w:w="3213" w:type="dxa"/>
            <w:tcBorders>
              <w:top w:val="single" w:sz="2" w:space="0" w:color="auto"/>
              <w:left w:val="single" w:sz="2" w:space="0" w:color="auto"/>
              <w:bottom w:val="single" w:sz="2" w:space="0" w:color="auto"/>
              <w:right w:val="single" w:sz="2" w:space="0" w:color="auto"/>
            </w:tcBorders>
            <w:vAlign w:val="center"/>
          </w:tcPr>
          <w:p w14:paraId="08950AA9" w14:textId="77777777" w:rsidR="007B3DB2" w:rsidRPr="0063248C" w:rsidRDefault="00000000">
            <w:pPr>
              <w:spacing w:line="240" w:lineRule="exact"/>
              <w:jc w:val="right"/>
              <w:rPr>
                <w:rFonts w:cs="宋体"/>
                <w:sz w:val="18"/>
                <w:szCs w:val="18"/>
              </w:rPr>
            </w:pPr>
            <w:r w:rsidRPr="0063248C">
              <w:rPr>
                <w:rFonts w:cs="宋体"/>
                <w:sz w:val="18"/>
                <w:szCs w:val="18"/>
              </w:rPr>
              <w:t>5,982,147.56</w:t>
            </w:r>
          </w:p>
        </w:tc>
        <w:tc>
          <w:tcPr>
            <w:tcW w:w="3213" w:type="dxa"/>
            <w:tcBorders>
              <w:top w:val="single" w:sz="2" w:space="0" w:color="auto"/>
              <w:left w:val="single" w:sz="2" w:space="0" w:color="auto"/>
              <w:bottom w:val="single" w:sz="2" w:space="0" w:color="auto"/>
              <w:right w:val="single" w:sz="2" w:space="0" w:color="auto"/>
            </w:tcBorders>
            <w:vAlign w:val="center"/>
          </w:tcPr>
          <w:p w14:paraId="58C6BA1A" w14:textId="77777777" w:rsidR="007B3DB2" w:rsidRPr="0063248C" w:rsidRDefault="00000000">
            <w:pPr>
              <w:spacing w:line="240" w:lineRule="exact"/>
              <w:jc w:val="right"/>
              <w:rPr>
                <w:rFonts w:cs="宋体"/>
                <w:sz w:val="18"/>
                <w:szCs w:val="18"/>
              </w:rPr>
            </w:pPr>
            <w:r w:rsidRPr="0063248C">
              <w:rPr>
                <w:rFonts w:cs="宋体"/>
                <w:sz w:val="18"/>
                <w:szCs w:val="18"/>
              </w:rPr>
              <w:t>4,210,944.00</w:t>
            </w:r>
          </w:p>
        </w:tc>
      </w:tr>
      <w:tr w:rsidR="007B3DB2" w:rsidRPr="0063248C" w14:paraId="63BC2BE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11FE9D2" w14:textId="77777777" w:rsidR="007B3DB2" w:rsidRPr="0063248C" w:rsidRDefault="00000000">
            <w:pPr>
              <w:spacing w:line="240" w:lineRule="exact"/>
              <w:rPr>
                <w:rFonts w:cs="宋体"/>
                <w:sz w:val="18"/>
                <w:szCs w:val="18"/>
              </w:rPr>
            </w:pPr>
            <w:r w:rsidRPr="0063248C">
              <w:rPr>
                <w:rFonts w:cs="宋体"/>
                <w:sz w:val="18"/>
                <w:szCs w:val="18"/>
              </w:rPr>
              <w:t>押金和保证金</w:t>
            </w:r>
          </w:p>
        </w:tc>
        <w:tc>
          <w:tcPr>
            <w:tcW w:w="3213" w:type="dxa"/>
            <w:tcBorders>
              <w:top w:val="single" w:sz="2" w:space="0" w:color="auto"/>
              <w:left w:val="single" w:sz="2" w:space="0" w:color="auto"/>
              <w:bottom w:val="single" w:sz="2" w:space="0" w:color="auto"/>
              <w:right w:val="single" w:sz="2" w:space="0" w:color="auto"/>
            </w:tcBorders>
            <w:vAlign w:val="center"/>
          </w:tcPr>
          <w:p w14:paraId="6059CE97" w14:textId="77777777" w:rsidR="007B3DB2" w:rsidRPr="0063248C" w:rsidRDefault="00000000">
            <w:pPr>
              <w:spacing w:line="240" w:lineRule="exact"/>
              <w:jc w:val="right"/>
              <w:rPr>
                <w:rFonts w:cs="宋体"/>
                <w:sz w:val="18"/>
                <w:szCs w:val="18"/>
              </w:rPr>
            </w:pPr>
            <w:r w:rsidRPr="0063248C">
              <w:rPr>
                <w:rFonts w:cs="宋体"/>
                <w:sz w:val="18"/>
                <w:szCs w:val="18"/>
              </w:rPr>
              <w:t>44,223,555.63</w:t>
            </w:r>
          </w:p>
        </w:tc>
        <w:tc>
          <w:tcPr>
            <w:tcW w:w="3213" w:type="dxa"/>
            <w:tcBorders>
              <w:top w:val="single" w:sz="2" w:space="0" w:color="auto"/>
              <w:left w:val="single" w:sz="2" w:space="0" w:color="auto"/>
              <w:bottom w:val="single" w:sz="2" w:space="0" w:color="auto"/>
              <w:right w:val="single" w:sz="2" w:space="0" w:color="auto"/>
            </w:tcBorders>
            <w:vAlign w:val="center"/>
          </w:tcPr>
          <w:p w14:paraId="7057649F" w14:textId="77777777" w:rsidR="007B3DB2" w:rsidRPr="0063248C" w:rsidRDefault="00000000">
            <w:pPr>
              <w:spacing w:line="240" w:lineRule="exact"/>
              <w:jc w:val="right"/>
              <w:rPr>
                <w:rFonts w:cs="宋体"/>
                <w:sz w:val="18"/>
                <w:szCs w:val="18"/>
              </w:rPr>
            </w:pPr>
            <w:r w:rsidRPr="0063248C">
              <w:rPr>
                <w:rFonts w:cs="宋体"/>
                <w:sz w:val="18"/>
                <w:szCs w:val="18"/>
              </w:rPr>
              <w:t>36,866,023.98</w:t>
            </w:r>
          </w:p>
        </w:tc>
      </w:tr>
      <w:tr w:rsidR="007B3DB2" w:rsidRPr="0063248C" w14:paraId="42B1E6E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4EE598C" w14:textId="77777777" w:rsidR="007B3DB2" w:rsidRPr="0063248C" w:rsidRDefault="00000000">
            <w:pPr>
              <w:spacing w:line="240" w:lineRule="exact"/>
              <w:rPr>
                <w:rFonts w:cs="宋体"/>
                <w:sz w:val="18"/>
                <w:szCs w:val="18"/>
              </w:rPr>
            </w:pPr>
            <w:r w:rsidRPr="0063248C">
              <w:rPr>
                <w:rFonts w:cs="宋体"/>
                <w:sz w:val="18"/>
                <w:szCs w:val="18"/>
              </w:rPr>
              <w:t>备用金等</w:t>
            </w:r>
          </w:p>
        </w:tc>
        <w:tc>
          <w:tcPr>
            <w:tcW w:w="3213" w:type="dxa"/>
            <w:tcBorders>
              <w:top w:val="single" w:sz="2" w:space="0" w:color="auto"/>
              <w:left w:val="single" w:sz="2" w:space="0" w:color="auto"/>
              <w:bottom w:val="single" w:sz="2" w:space="0" w:color="auto"/>
              <w:right w:val="single" w:sz="2" w:space="0" w:color="auto"/>
            </w:tcBorders>
            <w:vAlign w:val="center"/>
          </w:tcPr>
          <w:p w14:paraId="06EE3504" w14:textId="77777777" w:rsidR="007B3DB2" w:rsidRPr="0063248C" w:rsidRDefault="00000000">
            <w:pPr>
              <w:spacing w:line="240" w:lineRule="exact"/>
              <w:jc w:val="right"/>
              <w:rPr>
                <w:rFonts w:cs="宋体"/>
                <w:sz w:val="18"/>
                <w:szCs w:val="18"/>
              </w:rPr>
            </w:pPr>
            <w:r w:rsidRPr="0063248C">
              <w:rPr>
                <w:rFonts w:cs="宋体"/>
                <w:sz w:val="18"/>
                <w:szCs w:val="18"/>
              </w:rPr>
              <w:t>9,808,984.32</w:t>
            </w:r>
          </w:p>
        </w:tc>
        <w:tc>
          <w:tcPr>
            <w:tcW w:w="3213" w:type="dxa"/>
            <w:tcBorders>
              <w:top w:val="single" w:sz="2" w:space="0" w:color="auto"/>
              <w:left w:val="single" w:sz="2" w:space="0" w:color="auto"/>
              <w:bottom w:val="single" w:sz="2" w:space="0" w:color="auto"/>
              <w:right w:val="single" w:sz="2" w:space="0" w:color="auto"/>
            </w:tcBorders>
            <w:vAlign w:val="center"/>
          </w:tcPr>
          <w:p w14:paraId="7B74962B" w14:textId="77777777" w:rsidR="007B3DB2" w:rsidRPr="0063248C" w:rsidRDefault="00000000">
            <w:pPr>
              <w:spacing w:line="240" w:lineRule="exact"/>
              <w:jc w:val="right"/>
              <w:rPr>
                <w:rFonts w:cs="宋体"/>
                <w:sz w:val="18"/>
                <w:szCs w:val="18"/>
              </w:rPr>
            </w:pPr>
            <w:r w:rsidRPr="0063248C">
              <w:rPr>
                <w:rFonts w:cs="宋体"/>
                <w:sz w:val="18"/>
                <w:szCs w:val="18"/>
              </w:rPr>
              <w:t>75,324,560.77</w:t>
            </w:r>
          </w:p>
        </w:tc>
      </w:tr>
      <w:tr w:rsidR="007B3DB2" w:rsidRPr="0063248C" w14:paraId="4232E20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F432B7"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C4A678D" w14:textId="77777777" w:rsidR="007B3DB2" w:rsidRPr="0063248C" w:rsidRDefault="00000000">
            <w:pPr>
              <w:spacing w:line="240" w:lineRule="exact"/>
              <w:jc w:val="right"/>
              <w:rPr>
                <w:rFonts w:cs="宋体"/>
                <w:sz w:val="18"/>
                <w:szCs w:val="18"/>
              </w:rPr>
            </w:pPr>
            <w:r w:rsidRPr="0063248C">
              <w:rPr>
                <w:rFonts w:cs="宋体"/>
                <w:sz w:val="18"/>
                <w:szCs w:val="18"/>
              </w:rPr>
              <w:t>73,549,933.70</w:t>
            </w:r>
          </w:p>
        </w:tc>
        <w:tc>
          <w:tcPr>
            <w:tcW w:w="3213" w:type="dxa"/>
            <w:tcBorders>
              <w:top w:val="single" w:sz="2" w:space="0" w:color="auto"/>
              <w:left w:val="single" w:sz="2" w:space="0" w:color="auto"/>
              <w:bottom w:val="single" w:sz="2" w:space="0" w:color="auto"/>
              <w:right w:val="single" w:sz="2" w:space="0" w:color="auto"/>
            </w:tcBorders>
            <w:vAlign w:val="center"/>
          </w:tcPr>
          <w:p w14:paraId="2D737A98" w14:textId="77777777" w:rsidR="007B3DB2" w:rsidRPr="0063248C" w:rsidRDefault="00000000">
            <w:pPr>
              <w:spacing w:line="240" w:lineRule="exact"/>
              <w:jc w:val="right"/>
              <w:rPr>
                <w:rFonts w:cs="宋体"/>
                <w:sz w:val="18"/>
                <w:szCs w:val="18"/>
              </w:rPr>
            </w:pPr>
            <w:r w:rsidRPr="0063248C">
              <w:rPr>
                <w:rFonts w:cs="宋体"/>
                <w:sz w:val="18"/>
                <w:szCs w:val="18"/>
              </w:rPr>
              <w:t>124,584,149.56</w:t>
            </w:r>
          </w:p>
        </w:tc>
      </w:tr>
    </w:tbl>
    <w:p w14:paraId="3516D57B" w14:textId="77777777" w:rsidR="007B3DB2" w:rsidRPr="0063248C" w:rsidRDefault="00000000">
      <w:pPr>
        <w:spacing w:before="100" w:after="100" w:line="240" w:lineRule="exact"/>
        <w:rPr>
          <w:rFonts w:cs="宋体"/>
          <w:sz w:val="18"/>
          <w:szCs w:val="18"/>
        </w:rPr>
      </w:pPr>
      <w:r w:rsidRPr="0063248C">
        <w:rPr>
          <w:rFonts w:cs="宋体"/>
          <w:sz w:val="18"/>
          <w:szCs w:val="18"/>
        </w:rPr>
        <w:t>收到的其他与经营活动有关的现金说明：</w:t>
      </w:r>
    </w:p>
    <w:p w14:paraId="48089178" w14:textId="77777777" w:rsidR="00517D34" w:rsidRPr="0063248C" w:rsidRDefault="00000000">
      <w:pPr>
        <w:pStyle w:val="a3"/>
        <w:divId w:val="1909605047"/>
        <w:rPr>
          <w:rFonts w:ascii="Times New Roman" w:hAnsi="Times New Roman"/>
          <w:sz w:val="18"/>
          <w:szCs w:val="18"/>
        </w:rPr>
      </w:pPr>
      <w:r w:rsidRPr="0063248C">
        <w:rPr>
          <w:rFonts w:ascii="Times New Roman" w:hAnsi="Times New Roman" w:hint="eastAsia"/>
          <w:sz w:val="18"/>
          <w:szCs w:val="18"/>
        </w:rPr>
        <w:t>无</w:t>
      </w:r>
    </w:p>
    <w:p w14:paraId="0BC194DE" w14:textId="77777777" w:rsidR="007B3DB2" w:rsidRPr="0063248C" w:rsidRDefault="00000000">
      <w:pPr>
        <w:spacing w:before="100" w:after="100" w:line="240" w:lineRule="exact"/>
        <w:rPr>
          <w:rFonts w:cs="宋体"/>
          <w:sz w:val="18"/>
          <w:szCs w:val="18"/>
        </w:rPr>
      </w:pPr>
      <w:r w:rsidRPr="0063248C">
        <w:rPr>
          <w:rFonts w:cs="宋体"/>
          <w:sz w:val="18"/>
          <w:szCs w:val="18"/>
        </w:rPr>
        <w:t>支付的其他与经营活动有关的现金</w:t>
      </w:r>
    </w:p>
    <w:p w14:paraId="1C78CE2F"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440184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8AAA21"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AD91A7"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B96917"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6B4869D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94E9B16" w14:textId="77777777" w:rsidR="007B3DB2" w:rsidRPr="0063248C" w:rsidRDefault="00000000">
            <w:pPr>
              <w:spacing w:line="240" w:lineRule="exact"/>
              <w:rPr>
                <w:rFonts w:cs="宋体"/>
                <w:sz w:val="18"/>
                <w:szCs w:val="18"/>
              </w:rPr>
            </w:pPr>
            <w:r w:rsidRPr="0063248C">
              <w:rPr>
                <w:rFonts w:cs="宋体"/>
                <w:sz w:val="18"/>
                <w:szCs w:val="18"/>
              </w:rPr>
              <w:t>管理费用支出</w:t>
            </w:r>
          </w:p>
        </w:tc>
        <w:tc>
          <w:tcPr>
            <w:tcW w:w="3213" w:type="dxa"/>
            <w:tcBorders>
              <w:top w:val="single" w:sz="2" w:space="0" w:color="auto"/>
              <w:left w:val="single" w:sz="2" w:space="0" w:color="auto"/>
              <w:bottom w:val="single" w:sz="2" w:space="0" w:color="auto"/>
              <w:right w:val="single" w:sz="2" w:space="0" w:color="auto"/>
            </w:tcBorders>
            <w:vAlign w:val="center"/>
          </w:tcPr>
          <w:p w14:paraId="27A04C99" w14:textId="77777777" w:rsidR="007B3DB2" w:rsidRPr="0063248C" w:rsidRDefault="00000000">
            <w:pPr>
              <w:spacing w:line="240" w:lineRule="exact"/>
              <w:jc w:val="right"/>
              <w:rPr>
                <w:rFonts w:cs="宋体"/>
                <w:sz w:val="18"/>
                <w:szCs w:val="18"/>
              </w:rPr>
            </w:pPr>
            <w:r w:rsidRPr="0063248C">
              <w:rPr>
                <w:rFonts w:cs="宋体"/>
                <w:sz w:val="18"/>
                <w:szCs w:val="18"/>
              </w:rPr>
              <w:t>43,652,034.08</w:t>
            </w:r>
          </w:p>
        </w:tc>
        <w:tc>
          <w:tcPr>
            <w:tcW w:w="3213" w:type="dxa"/>
            <w:tcBorders>
              <w:top w:val="single" w:sz="2" w:space="0" w:color="auto"/>
              <w:left w:val="single" w:sz="2" w:space="0" w:color="auto"/>
              <w:bottom w:val="single" w:sz="2" w:space="0" w:color="auto"/>
              <w:right w:val="single" w:sz="2" w:space="0" w:color="auto"/>
            </w:tcBorders>
            <w:vAlign w:val="center"/>
          </w:tcPr>
          <w:p w14:paraId="4BA74680" w14:textId="77777777" w:rsidR="007B3DB2" w:rsidRPr="0063248C" w:rsidRDefault="00000000">
            <w:pPr>
              <w:spacing w:line="240" w:lineRule="exact"/>
              <w:jc w:val="right"/>
              <w:rPr>
                <w:rFonts w:cs="宋体"/>
                <w:sz w:val="18"/>
                <w:szCs w:val="18"/>
              </w:rPr>
            </w:pPr>
            <w:r w:rsidRPr="0063248C">
              <w:rPr>
                <w:rFonts w:cs="宋体"/>
                <w:sz w:val="18"/>
                <w:szCs w:val="18"/>
              </w:rPr>
              <w:t>32,815,567.06</w:t>
            </w:r>
          </w:p>
        </w:tc>
      </w:tr>
      <w:tr w:rsidR="007B3DB2" w:rsidRPr="0063248C" w14:paraId="17D3D7F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410AEE0" w14:textId="77777777" w:rsidR="007B3DB2" w:rsidRPr="0063248C" w:rsidRDefault="00000000">
            <w:pPr>
              <w:spacing w:line="240" w:lineRule="exact"/>
              <w:rPr>
                <w:rFonts w:cs="宋体"/>
                <w:sz w:val="18"/>
                <w:szCs w:val="18"/>
              </w:rPr>
            </w:pPr>
            <w:r w:rsidRPr="0063248C">
              <w:rPr>
                <w:rFonts w:cs="宋体"/>
                <w:sz w:val="18"/>
                <w:szCs w:val="18"/>
              </w:rPr>
              <w:t>销售费用支出</w:t>
            </w:r>
          </w:p>
        </w:tc>
        <w:tc>
          <w:tcPr>
            <w:tcW w:w="3213" w:type="dxa"/>
            <w:tcBorders>
              <w:top w:val="single" w:sz="2" w:space="0" w:color="auto"/>
              <w:left w:val="single" w:sz="2" w:space="0" w:color="auto"/>
              <w:bottom w:val="single" w:sz="2" w:space="0" w:color="auto"/>
              <w:right w:val="single" w:sz="2" w:space="0" w:color="auto"/>
            </w:tcBorders>
            <w:vAlign w:val="center"/>
          </w:tcPr>
          <w:p w14:paraId="1F119E85" w14:textId="77777777" w:rsidR="007B3DB2" w:rsidRPr="0063248C" w:rsidRDefault="00000000">
            <w:pPr>
              <w:spacing w:line="240" w:lineRule="exact"/>
              <w:jc w:val="right"/>
              <w:rPr>
                <w:rFonts w:cs="宋体"/>
                <w:sz w:val="18"/>
                <w:szCs w:val="18"/>
              </w:rPr>
            </w:pPr>
            <w:r w:rsidRPr="0063248C">
              <w:rPr>
                <w:rFonts w:cs="宋体"/>
                <w:sz w:val="18"/>
                <w:szCs w:val="18"/>
              </w:rPr>
              <w:t>9,809,472.92</w:t>
            </w:r>
          </w:p>
        </w:tc>
        <w:tc>
          <w:tcPr>
            <w:tcW w:w="3213" w:type="dxa"/>
            <w:tcBorders>
              <w:top w:val="single" w:sz="2" w:space="0" w:color="auto"/>
              <w:left w:val="single" w:sz="2" w:space="0" w:color="auto"/>
              <w:bottom w:val="single" w:sz="2" w:space="0" w:color="auto"/>
              <w:right w:val="single" w:sz="2" w:space="0" w:color="auto"/>
            </w:tcBorders>
            <w:vAlign w:val="center"/>
          </w:tcPr>
          <w:p w14:paraId="01FB1150" w14:textId="77777777" w:rsidR="007B3DB2" w:rsidRPr="0063248C" w:rsidRDefault="00000000">
            <w:pPr>
              <w:spacing w:line="240" w:lineRule="exact"/>
              <w:jc w:val="right"/>
              <w:rPr>
                <w:rFonts w:cs="宋体"/>
                <w:sz w:val="18"/>
                <w:szCs w:val="18"/>
              </w:rPr>
            </w:pPr>
            <w:r w:rsidRPr="0063248C">
              <w:rPr>
                <w:rFonts w:cs="宋体"/>
                <w:sz w:val="18"/>
                <w:szCs w:val="18"/>
              </w:rPr>
              <w:t>32,552,674.37</w:t>
            </w:r>
          </w:p>
        </w:tc>
      </w:tr>
      <w:tr w:rsidR="007B3DB2" w:rsidRPr="0063248C" w14:paraId="0CA16D7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5121261" w14:textId="77777777" w:rsidR="007B3DB2" w:rsidRPr="0063248C" w:rsidRDefault="00000000">
            <w:pPr>
              <w:spacing w:line="240" w:lineRule="exact"/>
              <w:rPr>
                <w:rFonts w:cs="宋体"/>
                <w:sz w:val="18"/>
                <w:szCs w:val="18"/>
              </w:rPr>
            </w:pPr>
            <w:r w:rsidRPr="0063248C">
              <w:rPr>
                <w:rFonts w:cs="宋体"/>
                <w:sz w:val="18"/>
                <w:szCs w:val="18"/>
              </w:rPr>
              <w:t>财务费用支出</w:t>
            </w:r>
          </w:p>
        </w:tc>
        <w:tc>
          <w:tcPr>
            <w:tcW w:w="3213" w:type="dxa"/>
            <w:tcBorders>
              <w:top w:val="single" w:sz="2" w:space="0" w:color="auto"/>
              <w:left w:val="single" w:sz="2" w:space="0" w:color="auto"/>
              <w:bottom w:val="single" w:sz="2" w:space="0" w:color="auto"/>
              <w:right w:val="single" w:sz="2" w:space="0" w:color="auto"/>
            </w:tcBorders>
            <w:vAlign w:val="center"/>
          </w:tcPr>
          <w:p w14:paraId="1157DB53" w14:textId="77777777" w:rsidR="007B3DB2" w:rsidRPr="0063248C" w:rsidRDefault="00000000">
            <w:pPr>
              <w:spacing w:line="240" w:lineRule="exact"/>
              <w:jc w:val="right"/>
              <w:rPr>
                <w:rFonts w:cs="宋体"/>
                <w:sz w:val="18"/>
                <w:szCs w:val="18"/>
              </w:rPr>
            </w:pPr>
            <w:r w:rsidRPr="0063248C">
              <w:rPr>
                <w:rFonts w:cs="宋体"/>
                <w:sz w:val="18"/>
                <w:szCs w:val="18"/>
              </w:rPr>
              <w:t>959,465.42</w:t>
            </w:r>
          </w:p>
        </w:tc>
        <w:tc>
          <w:tcPr>
            <w:tcW w:w="3213" w:type="dxa"/>
            <w:tcBorders>
              <w:top w:val="single" w:sz="2" w:space="0" w:color="auto"/>
              <w:left w:val="single" w:sz="2" w:space="0" w:color="auto"/>
              <w:bottom w:val="single" w:sz="2" w:space="0" w:color="auto"/>
              <w:right w:val="single" w:sz="2" w:space="0" w:color="auto"/>
            </w:tcBorders>
            <w:vAlign w:val="center"/>
          </w:tcPr>
          <w:p w14:paraId="7285A896" w14:textId="77777777" w:rsidR="007B3DB2" w:rsidRPr="0063248C" w:rsidRDefault="00000000">
            <w:pPr>
              <w:spacing w:line="240" w:lineRule="exact"/>
              <w:jc w:val="right"/>
              <w:rPr>
                <w:rFonts w:cs="宋体"/>
                <w:sz w:val="18"/>
                <w:szCs w:val="18"/>
              </w:rPr>
            </w:pPr>
            <w:r w:rsidRPr="0063248C">
              <w:rPr>
                <w:rFonts w:cs="宋体"/>
                <w:sz w:val="18"/>
                <w:szCs w:val="18"/>
              </w:rPr>
              <w:t>429,181.79</w:t>
            </w:r>
          </w:p>
        </w:tc>
      </w:tr>
      <w:tr w:rsidR="007B3DB2" w:rsidRPr="0063248C" w14:paraId="77378A9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7F23CF0" w14:textId="77777777" w:rsidR="007B3DB2" w:rsidRPr="0063248C" w:rsidRDefault="00000000">
            <w:pPr>
              <w:spacing w:line="240" w:lineRule="exact"/>
              <w:rPr>
                <w:rFonts w:cs="宋体"/>
                <w:sz w:val="18"/>
                <w:szCs w:val="18"/>
              </w:rPr>
            </w:pPr>
            <w:r w:rsidRPr="0063248C">
              <w:rPr>
                <w:rFonts w:cs="宋体"/>
                <w:sz w:val="18"/>
                <w:szCs w:val="18"/>
              </w:rPr>
              <w:t>捐赠支出</w:t>
            </w:r>
          </w:p>
        </w:tc>
        <w:tc>
          <w:tcPr>
            <w:tcW w:w="3213" w:type="dxa"/>
            <w:tcBorders>
              <w:top w:val="single" w:sz="2" w:space="0" w:color="auto"/>
              <w:left w:val="single" w:sz="2" w:space="0" w:color="auto"/>
              <w:bottom w:val="single" w:sz="2" w:space="0" w:color="auto"/>
              <w:right w:val="single" w:sz="2" w:space="0" w:color="auto"/>
            </w:tcBorders>
            <w:vAlign w:val="center"/>
          </w:tcPr>
          <w:p w14:paraId="13188594"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C92FB2" w14:textId="77777777" w:rsidR="007B3DB2" w:rsidRPr="0063248C" w:rsidRDefault="00000000">
            <w:pPr>
              <w:spacing w:line="240" w:lineRule="exact"/>
              <w:jc w:val="right"/>
              <w:rPr>
                <w:rFonts w:cs="宋体"/>
                <w:sz w:val="18"/>
                <w:szCs w:val="18"/>
              </w:rPr>
            </w:pPr>
            <w:r w:rsidRPr="0063248C">
              <w:rPr>
                <w:rFonts w:cs="宋体"/>
                <w:sz w:val="18"/>
                <w:szCs w:val="18"/>
              </w:rPr>
              <w:t>90,000.00</w:t>
            </w:r>
          </w:p>
        </w:tc>
      </w:tr>
      <w:tr w:rsidR="007B3DB2" w:rsidRPr="0063248C" w14:paraId="235A877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8CCB546" w14:textId="77777777" w:rsidR="007B3DB2" w:rsidRPr="0063248C" w:rsidRDefault="00000000">
            <w:pPr>
              <w:spacing w:line="240" w:lineRule="exact"/>
              <w:rPr>
                <w:rFonts w:cs="宋体"/>
                <w:sz w:val="18"/>
                <w:szCs w:val="18"/>
              </w:rPr>
            </w:pPr>
            <w:r w:rsidRPr="0063248C">
              <w:rPr>
                <w:rFonts w:cs="宋体"/>
                <w:sz w:val="18"/>
                <w:szCs w:val="18"/>
              </w:rPr>
              <w:t>押金保证金备用金等</w:t>
            </w:r>
          </w:p>
        </w:tc>
        <w:tc>
          <w:tcPr>
            <w:tcW w:w="3213" w:type="dxa"/>
            <w:tcBorders>
              <w:top w:val="single" w:sz="2" w:space="0" w:color="auto"/>
              <w:left w:val="single" w:sz="2" w:space="0" w:color="auto"/>
              <w:bottom w:val="single" w:sz="2" w:space="0" w:color="auto"/>
              <w:right w:val="single" w:sz="2" w:space="0" w:color="auto"/>
            </w:tcBorders>
            <w:vAlign w:val="center"/>
          </w:tcPr>
          <w:p w14:paraId="5052FFFE" w14:textId="77777777" w:rsidR="007B3DB2" w:rsidRPr="0063248C" w:rsidRDefault="00000000">
            <w:pPr>
              <w:spacing w:line="240" w:lineRule="exact"/>
              <w:jc w:val="right"/>
              <w:rPr>
                <w:rFonts w:cs="宋体"/>
                <w:sz w:val="18"/>
                <w:szCs w:val="18"/>
              </w:rPr>
            </w:pPr>
            <w:r w:rsidRPr="0063248C">
              <w:rPr>
                <w:rFonts w:cs="宋体"/>
                <w:sz w:val="18"/>
                <w:szCs w:val="18"/>
              </w:rPr>
              <w:t>72,659,530.74</w:t>
            </w:r>
          </w:p>
        </w:tc>
        <w:tc>
          <w:tcPr>
            <w:tcW w:w="3213" w:type="dxa"/>
            <w:tcBorders>
              <w:top w:val="single" w:sz="2" w:space="0" w:color="auto"/>
              <w:left w:val="single" w:sz="2" w:space="0" w:color="auto"/>
              <w:bottom w:val="single" w:sz="2" w:space="0" w:color="auto"/>
              <w:right w:val="single" w:sz="2" w:space="0" w:color="auto"/>
            </w:tcBorders>
            <w:vAlign w:val="center"/>
          </w:tcPr>
          <w:p w14:paraId="1B338AA4" w14:textId="77777777" w:rsidR="007B3DB2" w:rsidRPr="0063248C" w:rsidRDefault="00000000">
            <w:pPr>
              <w:spacing w:line="240" w:lineRule="exact"/>
              <w:jc w:val="right"/>
              <w:rPr>
                <w:rFonts w:cs="宋体"/>
                <w:sz w:val="18"/>
                <w:szCs w:val="18"/>
              </w:rPr>
            </w:pPr>
            <w:r w:rsidRPr="0063248C">
              <w:rPr>
                <w:rFonts w:cs="宋体"/>
                <w:sz w:val="18"/>
                <w:szCs w:val="18"/>
              </w:rPr>
              <w:t>71,782,203.15</w:t>
            </w:r>
          </w:p>
        </w:tc>
      </w:tr>
      <w:tr w:rsidR="007B3DB2" w:rsidRPr="0063248C" w14:paraId="593E44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0C1B40"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27E4E79" w14:textId="77777777" w:rsidR="007B3DB2" w:rsidRPr="0063248C" w:rsidRDefault="00000000">
            <w:pPr>
              <w:spacing w:line="240" w:lineRule="exact"/>
              <w:jc w:val="right"/>
              <w:rPr>
                <w:rFonts w:cs="宋体"/>
                <w:sz w:val="18"/>
                <w:szCs w:val="18"/>
              </w:rPr>
            </w:pPr>
            <w:r w:rsidRPr="0063248C">
              <w:rPr>
                <w:rFonts w:cs="宋体"/>
                <w:sz w:val="18"/>
                <w:szCs w:val="18"/>
              </w:rPr>
              <w:t>127,080,503.16</w:t>
            </w:r>
          </w:p>
        </w:tc>
        <w:tc>
          <w:tcPr>
            <w:tcW w:w="3213" w:type="dxa"/>
            <w:tcBorders>
              <w:top w:val="single" w:sz="2" w:space="0" w:color="auto"/>
              <w:left w:val="single" w:sz="2" w:space="0" w:color="auto"/>
              <w:bottom w:val="single" w:sz="2" w:space="0" w:color="auto"/>
              <w:right w:val="single" w:sz="2" w:space="0" w:color="auto"/>
            </w:tcBorders>
            <w:vAlign w:val="center"/>
          </w:tcPr>
          <w:p w14:paraId="22956B33" w14:textId="77777777" w:rsidR="007B3DB2" w:rsidRPr="0063248C" w:rsidRDefault="00000000">
            <w:pPr>
              <w:spacing w:line="240" w:lineRule="exact"/>
              <w:jc w:val="right"/>
              <w:rPr>
                <w:rFonts w:cs="宋体"/>
                <w:sz w:val="18"/>
                <w:szCs w:val="18"/>
              </w:rPr>
            </w:pPr>
            <w:r w:rsidRPr="0063248C">
              <w:rPr>
                <w:rFonts w:cs="宋体"/>
                <w:sz w:val="18"/>
                <w:szCs w:val="18"/>
              </w:rPr>
              <w:t>137,669,626.37</w:t>
            </w:r>
          </w:p>
        </w:tc>
      </w:tr>
    </w:tbl>
    <w:p w14:paraId="44E79AFB" w14:textId="77777777" w:rsidR="007B3DB2" w:rsidRPr="0063248C" w:rsidRDefault="00000000">
      <w:pPr>
        <w:spacing w:before="100" w:after="100" w:line="240" w:lineRule="exact"/>
        <w:rPr>
          <w:rFonts w:cs="宋体"/>
          <w:sz w:val="18"/>
          <w:szCs w:val="18"/>
        </w:rPr>
      </w:pPr>
      <w:r w:rsidRPr="0063248C">
        <w:rPr>
          <w:rFonts w:cs="宋体"/>
          <w:sz w:val="18"/>
          <w:szCs w:val="18"/>
        </w:rPr>
        <w:t>支付的其他与经营活动有关的现金说明：</w:t>
      </w:r>
    </w:p>
    <w:p w14:paraId="37BCC072" w14:textId="77777777" w:rsidR="000A04E4" w:rsidRPr="0063248C" w:rsidRDefault="000A04E4" w:rsidP="000A04E4">
      <w:pPr>
        <w:pStyle w:val="a3"/>
        <w:rPr>
          <w:rFonts w:ascii="Times New Roman" w:hAnsi="Times New Roman"/>
          <w:sz w:val="18"/>
          <w:szCs w:val="18"/>
        </w:rPr>
      </w:pPr>
      <w:bookmarkStart w:id="384" w:name="_Toc989273"/>
      <w:r w:rsidRPr="0063248C">
        <w:rPr>
          <w:rFonts w:ascii="Times New Roman" w:hAnsi="Times New Roman" w:hint="eastAsia"/>
          <w:sz w:val="18"/>
          <w:szCs w:val="18"/>
        </w:rPr>
        <w:t>无</w:t>
      </w:r>
    </w:p>
    <w:p w14:paraId="76A25C55"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与投资活动有关的现金</w:t>
      </w:r>
      <w:bookmarkEnd w:id="384"/>
    </w:p>
    <w:p w14:paraId="5F2FAD9A" w14:textId="77777777" w:rsidR="000A04E4" w:rsidRPr="0063248C" w:rsidRDefault="000A04E4" w:rsidP="000A04E4">
      <w:pPr>
        <w:pStyle w:val="a3"/>
        <w:rPr>
          <w:rFonts w:ascii="Times New Roman" w:hAnsi="Times New Roman"/>
          <w:sz w:val="18"/>
          <w:szCs w:val="18"/>
        </w:rPr>
      </w:pPr>
      <w:bookmarkStart w:id="385" w:name="_Toc989274"/>
      <w:r w:rsidRPr="0063248C">
        <w:rPr>
          <w:rFonts w:ascii="Times New Roman" w:hAnsi="Times New Roman" w:hint="eastAsia"/>
          <w:sz w:val="18"/>
          <w:szCs w:val="18"/>
        </w:rPr>
        <w:t>无</w:t>
      </w:r>
    </w:p>
    <w:p w14:paraId="03F3510E"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与筹资活动有关的现金</w:t>
      </w:r>
      <w:bookmarkEnd w:id="385"/>
    </w:p>
    <w:p w14:paraId="287925B5" w14:textId="77777777" w:rsidR="007B3DB2" w:rsidRPr="0063248C" w:rsidRDefault="00000000">
      <w:pPr>
        <w:spacing w:before="100" w:after="100" w:line="240" w:lineRule="exact"/>
        <w:rPr>
          <w:rFonts w:cs="宋体"/>
          <w:sz w:val="18"/>
          <w:szCs w:val="18"/>
        </w:rPr>
      </w:pPr>
      <w:r w:rsidRPr="0063248C">
        <w:rPr>
          <w:rFonts w:cs="宋体"/>
          <w:sz w:val="18"/>
          <w:szCs w:val="18"/>
        </w:rPr>
        <w:t>收到的其他与筹资活动有关的现金</w:t>
      </w:r>
    </w:p>
    <w:p w14:paraId="4AA85D41"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19E0BD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0E71E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34D5AF"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F64C7B"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0226460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DC3BE60" w14:textId="77777777" w:rsidR="007B3DB2" w:rsidRPr="0063248C" w:rsidRDefault="00000000">
            <w:pPr>
              <w:spacing w:line="240" w:lineRule="exact"/>
              <w:rPr>
                <w:rFonts w:cs="宋体"/>
                <w:sz w:val="18"/>
                <w:szCs w:val="18"/>
              </w:rPr>
            </w:pPr>
            <w:r w:rsidRPr="0063248C">
              <w:rPr>
                <w:rFonts w:cs="宋体"/>
                <w:sz w:val="18"/>
                <w:szCs w:val="18"/>
              </w:rPr>
              <w:t>融资租赁款</w:t>
            </w:r>
          </w:p>
        </w:tc>
        <w:tc>
          <w:tcPr>
            <w:tcW w:w="3213" w:type="dxa"/>
            <w:tcBorders>
              <w:top w:val="single" w:sz="2" w:space="0" w:color="auto"/>
              <w:left w:val="single" w:sz="2" w:space="0" w:color="auto"/>
              <w:bottom w:val="single" w:sz="2" w:space="0" w:color="auto"/>
              <w:right w:val="single" w:sz="2" w:space="0" w:color="auto"/>
            </w:tcBorders>
            <w:vAlign w:val="center"/>
          </w:tcPr>
          <w:p w14:paraId="396B5599" w14:textId="77777777" w:rsidR="007B3DB2" w:rsidRPr="0063248C" w:rsidRDefault="00000000">
            <w:pPr>
              <w:spacing w:line="240" w:lineRule="exact"/>
              <w:jc w:val="right"/>
              <w:rPr>
                <w:rFonts w:cs="宋体"/>
                <w:sz w:val="18"/>
                <w:szCs w:val="18"/>
              </w:rPr>
            </w:pPr>
            <w:r w:rsidRPr="0063248C">
              <w:rPr>
                <w:rFonts w:cs="宋体"/>
                <w:sz w:val="18"/>
                <w:szCs w:val="18"/>
              </w:rPr>
              <w:t>60,000,000.00</w:t>
            </w:r>
          </w:p>
        </w:tc>
        <w:tc>
          <w:tcPr>
            <w:tcW w:w="3213" w:type="dxa"/>
            <w:tcBorders>
              <w:top w:val="single" w:sz="2" w:space="0" w:color="auto"/>
              <w:left w:val="single" w:sz="2" w:space="0" w:color="auto"/>
              <w:bottom w:val="single" w:sz="2" w:space="0" w:color="auto"/>
              <w:right w:val="single" w:sz="2" w:space="0" w:color="auto"/>
            </w:tcBorders>
            <w:vAlign w:val="center"/>
          </w:tcPr>
          <w:p w14:paraId="65BF978F" w14:textId="77777777" w:rsidR="007B3DB2" w:rsidRPr="0063248C" w:rsidRDefault="00000000">
            <w:pPr>
              <w:spacing w:line="240" w:lineRule="exact"/>
              <w:jc w:val="right"/>
              <w:rPr>
                <w:rFonts w:cs="宋体"/>
                <w:sz w:val="18"/>
                <w:szCs w:val="18"/>
              </w:rPr>
            </w:pPr>
            <w:r w:rsidRPr="0063248C">
              <w:rPr>
                <w:rFonts w:cs="宋体"/>
                <w:sz w:val="18"/>
                <w:szCs w:val="18"/>
              </w:rPr>
              <w:t>50,000,000.00</w:t>
            </w:r>
          </w:p>
        </w:tc>
      </w:tr>
      <w:tr w:rsidR="007B3DB2" w:rsidRPr="0063248C" w14:paraId="1673DB5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1587446" w14:textId="77777777" w:rsidR="007B3DB2" w:rsidRPr="0063248C" w:rsidRDefault="00000000">
            <w:pPr>
              <w:spacing w:line="240" w:lineRule="exact"/>
              <w:rPr>
                <w:rFonts w:cs="宋体"/>
                <w:sz w:val="18"/>
                <w:szCs w:val="18"/>
              </w:rPr>
            </w:pPr>
            <w:r w:rsidRPr="0063248C">
              <w:rPr>
                <w:rFonts w:cs="宋体"/>
                <w:sz w:val="18"/>
                <w:szCs w:val="18"/>
              </w:rPr>
              <w:t>票据、供应链融资收款</w:t>
            </w:r>
          </w:p>
        </w:tc>
        <w:tc>
          <w:tcPr>
            <w:tcW w:w="3213" w:type="dxa"/>
            <w:tcBorders>
              <w:top w:val="single" w:sz="2" w:space="0" w:color="auto"/>
              <w:left w:val="single" w:sz="2" w:space="0" w:color="auto"/>
              <w:bottom w:val="single" w:sz="2" w:space="0" w:color="auto"/>
              <w:right w:val="single" w:sz="2" w:space="0" w:color="auto"/>
            </w:tcBorders>
            <w:vAlign w:val="center"/>
          </w:tcPr>
          <w:p w14:paraId="09716818" w14:textId="77777777" w:rsidR="007B3DB2" w:rsidRPr="0063248C" w:rsidRDefault="00000000">
            <w:pPr>
              <w:spacing w:line="240" w:lineRule="exact"/>
              <w:jc w:val="right"/>
              <w:rPr>
                <w:rFonts w:cs="宋体"/>
                <w:sz w:val="18"/>
                <w:szCs w:val="18"/>
              </w:rPr>
            </w:pPr>
            <w:r w:rsidRPr="0063248C">
              <w:rPr>
                <w:rFonts w:cs="宋体"/>
                <w:sz w:val="18"/>
                <w:szCs w:val="18"/>
              </w:rPr>
              <w:t>705,070,868.05</w:t>
            </w:r>
          </w:p>
        </w:tc>
        <w:tc>
          <w:tcPr>
            <w:tcW w:w="3213" w:type="dxa"/>
            <w:tcBorders>
              <w:top w:val="single" w:sz="2" w:space="0" w:color="auto"/>
              <w:left w:val="single" w:sz="2" w:space="0" w:color="auto"/>
              <w:bottom w:val="single" w:sz="2" w:space="0" w:color="auto"/>
              <w:right w:val="single" w:sz="2" w:space="0" w:color="auto"/>
            </w:tcBorders>
            <w:vAlign w:val="center"/>
          </w:tcPr>
          <w:p w14:paraId="5EB30FD9" w14:textId="77777777" w:rsidR="007B3DB2" w:rsidRPr="0063248C" w:rsidRDefault="00000000">
            <w:pPr>
              <w:spacing w:line="240" w:lineRule="exact"/>
              <w:jc w:val="right"/>
              <w:rPr>
                <w:rFonts w:cs="宋体"/>
                <w:sz w:val="18"/>
                <w:szCs w:val="18"/>
              </w:rPr>
            </w:pPr>
            <w:r w:rsidRPr="0063248C">
              <w:rPr>
                <w:rFonts w:cs="宋体"/>
                <w:sz w:val="18"/>
                <w:szCs w:val="18"/>
              </w:rPr>
              <w:t>609,496,106.18</w:t>
            </w:r>
          </w:p>
        </w:tc>
      </w:tr>
      <w:tr w:rsidR="007B3DB2" w:rsidRPr="0063248C" w14:paraId="10D0F6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B25478"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55F84D1" w14:textId="77777777" w:rsidR="007B3DB2" w:rsidRPr="0063248C" w:rsidRDefault="00000000">
            <w:pPr>
              <w:spacing w:line="240" w:lineRule="exact"/>
              <w:jc w:val="right"/>
              <w:rPr>
                <w:rFonts w:cs="宋体"/>
                <w:sz w:val="18"/>
                <w:szCs w:val="18"/>
              </w:rPr>
            </w:pPr>
            <w:r w:rsidRPr="0063248C">
              <w:rPr>
                <w:rFonts w:cs="宋体"/>
                <w:sz w:val="18"/>
                <w:szCs w:val="18"/>
              </w:rPr>
              <w:t>765,070,868.05</w:t>
            </w:r>
          </w:p>
        </w:tc>
        <w:tc>
          <w:tcPr>
            <w:tcW w:w="3213" w:type="dxa"/>
            <w:tcBorders>
              <w:top w:val="single" w:sz="2" w:space="0" w:color="auto"/>
              <w:left w:val="single" w:sz="2" w:space="0" w:color="auto"/>
              <w:bottom w:val="single" w:sz="2" w:space="0" w:color="auto"/>
              <w:right w:val="single" w:sz="2" w:space="0" w:color="auto"/>
            </w:tcBorders>
            <w:vAlign w:val="center"/>
          </w:tcPr>
          <w:p w14:paraId="4C771E44" w14:textId="77777777" w:rsidR="007B3DB2" w:rsidRPr="0063248C" w:rsidRDefault="00000000">
            <w:pPr>
              <w:spacing w:line="240" w:lineRule="exact"/>
              <w:jc w:val="right"/>
              <w:rPr>
                <w:rFonts w:cs="宋体"/>
                <w:sz w:val="18"/>
                <w:szCs w:val="18"/>
              </w:rPr>
            </w:pPr>
            <w:r w:rsidRPr="0063248C">
              <w:rPr>
                <w:rFonts w:cs="宋体"/>
                <w:sz w:val="18"/>
                <w:szCs w:val="18"/>
              </w:rPr>
              <w:t>659,496,106.18</w:t>
            </w:r>
          </w:p>
        </w:tc>
      </w:tr>
    </w:tbl>
    <w:p w14:paraId="3B8BEBF4" w14:textId="77777777" w:rsidR="007B3DB2" w:rsidRPr="0063248C" w:rsidRDefault="00000000">
      <w:pPr>
        <w:spacing w:before="100" w:after="100" w:line="240" w:lineRule="exact"/>
        <w:rPr>
          <w:rFonts w:cs="宋体"/>
          <w:sz w:val="18"/>
          <w:szCs w:val="18"/>
        </w:rPr>
      </w:pPr>
      <w:r w:rsidRPr="0063248C">
        <w:rPr>
          <w:rFonts w:cs="宋体"/>
          <w:sz w:val="18"/>
          <w:szCs w:val="18"/>
        </w:rPr>
        <w:lastRenderedPageBreak/>
        <w:t>收到的其他与筹资活动有关的现金说明：</w:t>
      </w:r>
    </w:p>
    <w:p w14:paraId="01E7B661" w14:textId="77777777" w:rsidR="00517D34" w:rsidRPr="0063248C" w:rsidRDefault="00000000">
      <w:pPr>
        <w:pStyle w:val="a3"/>
        <w:divId w:val="213010740"/>
        <w:rPr>
          <w:rFonts w:ascii="Times New Roman" w:hAnsi="Times New Roman"/>
          <w:sz w:val="18"/>
          <w:szCs w:val="18"/>
        </w:rPr>
      </w:pPr>
      <w:r w:rsidRPr="0063248C">
        <w:rPr>
          <w:rFonts w:ascii="Times New Roman" w:hAnsi="Times New Roman" w:hint="eastAsia"/>
          <w:sz w:val="18"/>
          <w:szCs w:val="18"/>
        </w:rPr>
        <w:t>无</w:t>
      </w:r>
    </w:p>
    <w:p w14:paraId="314C4656" w14:textId="77777777" w:rsidR="007B3DB2" w:rsidRPr="0063248C" w:rsidRDefault="00000000">
      <w:pPr>
        <w:spacing w:before="100" w:after="100" w:line="240" w:lineRule="exact"/>
        <w:rPr>
          <w:rFonts w:cs="宋体"/>
          <w:sz w:val="18"/>
          <w:szCs w:val="18"/>
        </w:rPr>
      </w:pPr>
      <w:r w:rsidRPr="0063248C">
        <w:rPr>
          <w:rFonts w:cs="宋体"/>
          <w:sz w:val="18"/>
          <w:szCs w:val="18"/>
        </w:rPr>
        <w:t>支付的其他与筹资活动有关的现金</w:t>
      </w:r>
    </w:p>
    <w:p w14:paraId="56331355"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3AE977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79764E"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BC3A51"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16272C"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24C41D9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99D7C9A" w14:textId="77777777" w:rsidR="007B3DB2" w:rsidRPr="0063248C" w:rsidRDefault="00000000">
            <w:pPr>
              <w:spacing w:line="240" w:lineRule="exact"/>
              <w:rPr>
                <w:rFonts w:cs="宋体"/>
                <w:sz w:val="18"/>
                <w:szCs w:val="18"/>
              </w:rPr>
            </w:pPr>
            <w:r w:rsidRPr="0063248C">
              <w:rPr>
                <w:rFonts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19C1E1E3" w14:textId="77777777" w:rsidR="007B3DB2" w:rsidRPr="0063248C" w:rsidRDefault="00000000">
            <w:pPr>
              <w:spacing w:line="240" w:lineRule="exact"/>
              <w:jc w:val="right"/>
              <w:rPr>
                <w:rFonts w:cs="宋体"/>
                <w:sz w:val="18"/>
                <w:szCs w:val="18"/>
              </w:rPr>
            </w:pPr>
            <w:r w:rsidRPr="0063248C">
              <w:rPr>
                <w:rFonts w:cs="宋体"/>
                <w:sz w:val="18"/>
                <w:szCs w:val="18"/>
              </w:rPr>
              <w:t>5,458,203.42</w:t>
            </w:r>
          </w:p>
        </w:tc>
        <w:tc>
          <w:tcPr>
            <w:tcW w:w="3213" w:type="dxa"/>
            <w:tcBorders>
              <w:top w:val="single" w:sz="2" w:space="0" w:color="auto"/>
              <w:left w:val="single" w:sz="2" w:space="0" w:color="auto"/>
              <w:bottom w:val="single" w:sz="2" w:space="0" w:color="auto"/>
              <w:right w:val="single" w:sz="2" w:space="0" w:color="auto"/>
            </w:tcBorders>
            <w:vAlign w:val="center"/>
          </w:tcPr>
          <w:p w14:paraId="3E036EF2" w14:textId="77777777" w:rsidR="007B3DB2" w:rsidRPr="0063248C" w:rsidRDefault="00000000">
            <w:pPr>
              <w:spacing w:line="240" w:lineRule="exact"/>
              <w:jc w:val="right"/>
              <w:rPr>
                <w:rFonts w:cs="宋体"/>
                <w:sz w:val="18"/>
                <w:szCs w:val="18"/>
              </w:rPr>
            </w:pPr>
            <w:r w:rsidRPr="0063248C">
              <w:rPr>
                <w:rFonts w:cs="宋体"/>
                <w:sz w:val="18"/>
                <w:szCs w:val="18"/>
              </w:rPr>
              <w:t>5,951,236.61</w:t>
            </w:r>
          </w:p>
        </w:tc>
      </w:tr>
      <w:tr w:rsidR="007B3DB2" w:rsidRPr="0063248C" w14:paraId="5D494B9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2AF33D9" w14:textId="77777777" w:rsidR="007B3DB2" w:rsidRPr="0063248C" w:rsidRDefault="00000000">
            <w:pPr>
              <w:spacing w:line="240" w:lineRule="exact"/>
              <w:rPr>
                <w:rFonts w:cs="宋体"/>
                <w:sz w:val="18"/>
                <w:szCs w:val="18"/>
              </w:rPr>
            </w:pPr>
            <w:r w:rsidRPr="0063248C">
              <w:rPr>
                <w:rFonts w:cs="宋体"/>
                <w:sz w:val="18"/>
                <w:szCs w:val="18"/>
              </w:rPr>
              <w:t>融资服务费</w:t>
            </w:r>
          </w:p>
        </w:tc>
        <w:tc>
          <w:tcPr>
            <w:tcW w:w="3213" w:type="dxa"/>
            <w:tcBorders>
              <w:top w:val="single" w:sz="2" w:space="0" w:color="auto"/>
              <w:left w:val="single" w:sz="2" w:space="0" w:color="auto"/>
              <w:bottom w:val="single" w:sz="2" w:space="0" w:color="auto"/>
              <w:right w:val="single" w:sz="2" w:space="0" w:color="auto"/>
            </w:tcBorders>
            <w:vAlign w:val="center"/>
          </w:tcPr>
          <w:p w14:paraId="6664BC15" w14:textId="77777777" w:rsidR="007B3DB2" w:rsidRPr="0063248C" w:rsidRDefault="00000000">
            <w:pPr>
              <w:spacing w:line="240" w:lineRule="exact"/>
              <w:jc w:val="right"/>
              <w:rPr>
                <w:rFonts w:cs="宋体"/>
                <w:sz w:val="18"/>
                <w:szCs w:val="18"/>
              </w:rPr>
            </w:pPr>
            <w:r w:rsidRPr="0063248C">
              <w:rPr>
                <w:rFonts w:cs="宋体"/>
                <w:sz w:val="18"/>
                <w:szCs w:val="18"/>
              </w:rPr>
              <w:t>7,113,451.53</w:t>
            </w:r>
          </w:p>
        </w:tc>
        <w:tc>
          <w:tcPr>
            <w:tcW w:w="3213" w:type="dxa"/>
            <w:tcBorders>
              <w:top w:val="single" w:sz="2" w:space="0" w:color="auto"/>
              <w:left w:val="single" w:sz="2" w:space="0" w:color="auto"/>
              <w:bottom w:val="single" w:sz="2" w:space="0" w:color="auto"/>
              <w:right w:val="single" w:sz="2" w:space="0" w:color="auto"/>
            </w:tcBorders>
            <w:vAlign w:val="center"/>
          </w:tcPr>
          <w:p w14:paraId="419070EF" w14:textId="77777777" w:rsidR="007B3DB2" w:rsidRPr="0063248C" w:rsidRDefault="00000000">
            <w:pPr>
              <w:spacing w:line="240" w:lineRule="exact"/>
              <w:jc w:val="right"/>
              <w:rPr>
                <w:rFonts w:cs="宋体"/>
                <w:sz w:val="18"/>
                <w:szCs w:val="18"/>
              </w:rPr>
            </w:pPr>
            <w:r w:rsidRPr="0063248C">
              <w:rPr>
                <w:rFonts w:cs="宋体"/>
                <w:sz w:val="18"/>
                <w:szCs w:val="18"/>
              </w:rPr>
              <w:t>3,266,000.00</w:t>
            </w:r>
          </w:p>
        </w:tc>
      </w:tr>
      <w:tr w:rsidR="007B3DB2" w:rsidRPr="0063248C" w14:paraId="32A8A05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FE6376C" w14:textId="77777777" w:rsidR="007B3DB2" w:rsidRPr="0063248C" w:rsidRDefault="00000000">
            <w:pPr>
              <w:spacing w:line="240" w:lineRule="exact"/>
              <w:rPr>
                <w:rFonts w:cs="宋体"/>
                <w:sz w:val="18"/>
                <w:szCs w:val="18"/>
              </w:rPr>
            </w:pPr>
            <w:r w:rsidRPr="0063248C">
              <w:rPr>
                <w:rFonts w:cs="宋体"/>
                <w:sz w:val="18"/>
                <w:szCs w:val="18"/>
              </w:rPr>
              <w:t>票据、供应链融资付款</w:t>
            </w:r>
          </w:p>
        </w:tc>
        <w:tc>
          <w:tcPr>
            <w:tcW w:w="3213" w:type="dxa"/>
            <w:tcBorders>
              <w:top w:val="single" w:sz="2" w:space="0" w:color="auto"/>
              <w:left w:val="single" w:sz="2" w:space="0" w:color="auto"/>
              <w:bottom w:val="single" w:sz="2" w:space="0" w:color="auto"/>
              <w:right w:val="single" w:sz="2" w:space="0" w:color="auto"/>
            </w:tcBorders>
            <w:vAlign w:val="center"/>
          </w:tcPr>
          <w:p w14:paraId="1DE91A54" w14:textId="77777777" w:rsidR="007B3DB2" w:rsidRPr="0063248C" w:rsidRDefault="00000000">
            <w:pPr>
              <w:spacing w:line="240" w:lineRule="exact"/>
              <w:jc w:val="right"/>
              <w:rPr>
                <w:rFonts w:cs="宋体"/>
                <w:sz w:val="18"/>
                <w:szCs w:val="18"/>
              </w:rPr>
            </w:pPr>
            <w:r w:rsidRPr="0063248C">
              <w:rPr>
                <w:rFonts w:cs="宋体"/>
                <w:sz w:val="18"/>
                <w:szCs w:val="18"/>
              </w:rPr>
              <w:t>837,729,004.44</w:t>
            </w:r>
          </w:p>
        </w:tc>
        <w:tc>
          <w:tcPr>
            <w:tcW w:w="3213" w:type="dxa"/>
            <w:tcBorders>
              <w:top w:val="single" w:sz="2" w:space="0" w:color="auto"/>
              <w:left w:val="single" w:sz="2" w:space="0" w:color="auto"/>
              <w:bottom w:val="single" w:sz="2" w:space="0" w:color="auto"/>
              <w:right w:val="single" w:sz="2" w:space="0" w:color="auto"/>
            </w:tcBorders>
            <w:vAlign w:val="center"/>
          </w:tcPr>
          <w:p w14:paraId="12A3D82B" w14:textId="77777777" w:rsidR="007B3DB2" w:rsidRPr="0063248C" w:rsidRDefault="00000000">
            <w:pPr>
              <w:spacing w:line="240" w:lineRule="exact"/>
              <w:jc w:val="right"/>
              <w:rPr>
                <w:rFonts w:cs="宋体"/>
                <w:sz w:val="18"/>
                <w:szCs w:val="18"/>
              </w:rPr>
            </w:pPr>
            <w:r w:rsidRPr="0063248C">
              <w:rPr>
                <w:rFonts w:cs="宋体"/>
                <w:sz w:val="18"/>
                <w:szCs w:val="18"/>
              </w:rPr>
              <w:t>437,792,127.42</w:t>
            </w:r>
          </w:p>
        </w:tc>
      </w:tr>
      <w:tr w:rsidR="007B3DB2" w:rsidRPr="0063248C" w14:paraId="77D5CBF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A1B3432" w14:textId="77777777" w:rsidR="007B3DB2" w:rsidRPr="0063248C" w:rsidRDefault="00000000">
            <w:pPr>
              <w:spacing w:line="240" w:lineRule="exact"/>
              <w:rPr>
                <w:rFonts w:cs="宋体"/>
                <w:sz w:val="18"/>
                <w:szCs w:val="18"/>
              </w:rPr>
            </w:pPr>
            <w:r w:rsidRPr="0063248C">
              <w:rPr>
                <w:rFonts w:cs="宋体"/>
                <w:sz w:val="18"/>
                <w:szCs w:val="18"/>
              </w:rPr>
              <w:t>库存股回购款</w:t>
            </w:r>
          </w:p>
        </w:tc>
        <w:tc>
          <w:tcPr>
            <w:tcW w:w="3213" w:type="dxa"/>
            <w:tcBorders>
              <w:top w:val="single" w:sz="2" w:space="0" w:color="auto"/>
              <w:left w:val="single" w:sz="2" w:space="0" w:color="auto"/>
              <w:bottom w:val="single" w:sz="2" w:space="0" w:color="auto"/>
              <w:right w:val="single" w:sz="2" w:space="0" w:color="auto"/>
            </w:tcBorders>
            <w:vAlign w:val="center"/>
          </w:tcPr>
          <w:p w14:paraId="50AE23CD"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A04DCF" w14:textId="77777777" w:rsidR="007B3DB2" w:rsidRPr="0063248C" w:rsidRDefault="00000000">
            <w:pPr>
              <w:spacing w:line="240" w:lineRule="exact"/>
              <w:jc w:val="right"/>
              <w:rPr>
                <w:rFonts w:cs="宋体"/>
                <w:sz w:val="18"/>
                <w:szCs w:val="18"/>
              </w:rPr>
            </w:pPr>
            <w:r w:rsidRPr="0063248C">
              <w:rPr>
                <w:rFonts w:cs="宋体"/>
                <w:sz w:val="18"/>
                <w:szCs w:val="18"/>
              </w:rPr>
              <w:t>49,008,411.24</w:t>
            </w:r>
          </w:p>
        </w:tc>
      </w:tr>
      <w:tr w:rsidR="007B3DB2" w:rsidRPr="0063248C" w14:paraId="3934AC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FEFE20"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467F667" w14:textId="77777777" w:rsidR="007B3DB2" w:rsidRPr="0063248C" w:rsidRDefault="00000000">
            <w:pPr>
              <w:spacing w:line="240" w:lineRule="exact"/>
              <w:jc w:val="right"/>
              <w:rPr>
                <w:rFonts w:cs="宋体"/>
                <w:sz w:val="18"/>
                <w:szCs w:val="18"/>
              </w:rPr>
            </w:pPr>
            <w:r w:rsidRPr="0063248C">
              <w:rPr>
                <w:rFonts w:cs="宋体"/>
                <w:sz w:val="18"/>
                <w:szCs w:val="18"/>
              </w:rPr>
              <w:t>850,300,659.39</w:t>
            </w:r>
          </w:p>
        </w:tc>
        <w:tc>
          <w:tcPr>
            <w:tcW w:w="3213" w:type="dxa"/>
            <w:tcBorders>
              <w:top w:val="single" w:sz="2" w:space="0" w:color="auto"/>
              <w:left w:val="single" w:sz="2" w:space="0" w:color="auto"/>
              <w:bottom w:val="single" w:sz="2" w:space="0" w:color="auto"/>
              <w:right w:val="single" w:sz="2" w:space="0" w:color="auto"/>
            </w:tcBorders>
            <w:vAlign w:val="center"/>
          </w:tcPr>
          <w:p w14:paraId="3364B306" w14:textId="77777777" w:rsidR="007B3DB2" w:rsidRPr="0063248C" w:rsidRDefault="00000000">
            <w:pPr>
              <w:spacing w:line="240" w:lineRule="exact"/>
              <w:jc w:val="right"/>
              <w:rPr>
                <w:rFonts w:cs="宋体"/>
                <w:sz w:val="18"/>
                <w:szCs w:val="18"/>
              </w:rPr>
            </w:pPr>
            <w:r w:rsidRPr="0063248C">
              <w:rPr>
                <w:rFonts w:cs="宋体"/>
                <w:sz w:val="18"/>
                <w:szCs w:val="18"/>
              </w:rPr>
              <w:t>496,017,775.27</w:t>
            </w:r>
          </w:p>
        </w:tc>
      </w:tr>
    </w:tbl>
    <w:p w14:paraId="34C48A87" w14:textId="77777777" w:rsidR="007B3DB2" w:rsidRPr="0063248C" w:rsidRDefault="00000000">
      <w:pPr>
        <w:spacing w:before="100" w:after="100" w:line="240" w:lineRule="exact"/>
        <w:rPr>
          <w:rFonts w:cs="宋体"/>
          <w:sz w:val="18"/>
          <w:szCs w:val="18"/>
        </w:rPr>
      </w:pPr>
      <w:r w:rsidRPr="0063248C">
        <w:rPr>
          <w:rFonts w:cs="宋体"/>
          <w:sz w:val="18"/>
          <w:szCs w:val="18"/>
        </w:rPr>
        <w:t>支付的其他与筹资活动有关的现金说明：</w:t>
      </w:r>
    </w:p>
    <w:p w14:paraId="73033FB9" w14:textId="77777777" w:rsidR="00517D34" w:rsidRPr="0063248C" w:rsidRDefault="00000000">
      <w:pPr>
        <w:pStyle w:val="a3"/>
        <w:divId w:val="2136214513"/>
        <w:rPr>
          <w:rFonts w:ascii="Times New Roman" w:hAnsi="Times New Roman"/>
          <w:sz w:val="18"/>
          <w:szCs w:val="18"/>
        </w:rPr>
      </w:pPr>
      <w:r w:rsidRPr="0063248C">
        <w:rPr>
          <w:rFonts w:ascii="Times New Roman" w:hAnsi="Times New Roman" w:hint="eastAsia"/>
          <w:sz w:val="18"/>
          <w:szCs w:val="18"/>
        </w:rPr>
        <w:t>无</w:t>
      </w:r>
    </w:p>
    <w:p w14:paraId="5EB07E83" w14:textId="77777777" w:rsidR="007B3DB2" w:rsidRPr="0063248C" w:rsidRDefault="00000000">
      <w:pPr>
        <w:spacing w:before="100" w:after="100" w:line="240" w:lineRule="exact"/>
        <w:rPr>
          <w:rFonts w:cs="宋体"/>
          <w:sz w:val="18"/>
          <w:szCs w:val="18"/>
        </w:rPr>
      </w:pPr>
      <w:r w:rsidRPr="0063248C">
        <w:rPr>
          <w:rFonts w:cs="宋体"/>
          <w:sz w:val="18"/>
          <w:szCs w:val="18"/>
        </w:rPr>
        <w:t>筹资活动产生的各项负债变动情况</w:t>
      </w:r>
    </w:p>
    <w:p w14:paraId="33F24D6B"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190D5F0" w14:textId="77777777" w:rsidR="007B3DB2" w:rsidRDefault="00000000">
      <w:pPr>
        <w:keepNext/>
        <w:keepLines/>
        <w:spacing w:before="300" w:after="300" w:line="280" w:lineRule="exact"/>
        <w:outlineLvl w:val="3"/>
        <w:rPr>
          <w:rFonts w:cs="宋体"/>
          <w:b/>
          <w:bCs/>
          <w:szCs w:val="21"/>
        </w:rPr>
      </w:pPr>
      <w:bookmarkStart w:id="386" w:name="_Toc989275"/>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以净额列报现金流量的说明</w:t>
      </w:r>
      <w:bookmarkEnd w:id="386"/>
    </w:p>
    <w:p w14:paraId="2479184C" w14:textId="77777777" w:rsidR="000A04E4" w:rsidRPr="0063248C" w:rsidRDefault="000A04E4" w:rsidP="000A04E4">
      <w:pPr>
        <w:pStyle w:val="a3"/>
        <w:rPr>
          <w:rFonts w:ascii="Times New Roman" w:hAnsi="Times New Roman"/>
          <w:sz w:val="18"/>
          <w:szCs w:val="18"/>
        </w:rPr>
      </w:pPr>
      <w:bookmarkStart w:id="387" w:name="_Toc989276"/>
      <w:r w:rsidRPr="0063248C">
        <w:rPr>
          <w:rFonts w:ascii="Times New Roman" w:hAnsi="Times New Roman" w:hint="eastAsia"/>
          <w:sz w:val="18"/>
          <w:szCs w:val="18"/>
        </w:rPr>
        <w:t>无</w:t>
      </w:r>
    </w:p>
    <w:p w14:paraId="246D68A6"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不涉及当期现金收支、但影响企业财务状况或在未来可能影响企业现金流量的重大活动及财务影响</w:t>
      </w:r>
      <w:bookmarkEnd w:id="387"/>
    </w:p>
    <w:p w14:paraId="14545CE8" w14:textId="77777777" w:rsidR="00517D34" w:rsidRPr="0063248C" w:rsidRDefault="00000000">
      <w:pPr>
        <w:pStyle w:val="a3"/>
        <w:divId w:val="547958152"/>
        <w:rPr>
          <w:rFonts w:ascii="Times New Roman" w:hAnsi="Times New Roman"/>
          <w:sz w:val="18"/>
          <w:szCs w:val="18"/>
        </w:rPr>
      </w:pPr>
      <w:r w:rsidRPr="0063248C">
        <w:rPr>
          <w:rFonts w:ascii="Times New Roman" w:hAnsi="Times New Roman" w:hint="eastAsia"/>
          <w:sz w:val="18"/>
          <w:szCs w:val="18"/>
        </w:rPr>
        <w:t>无</w:t>
      </w:r>
    </w:p>
    <w:p w14:paraId="037CF764" w14:textId="77777777" w:rsidR="007B3DB2" w:rsidRPr="0063248C" w:rsidRDefault="00000000">
      <w:pPr>
        <w:pStyle w:val="3"/>
        <w:spacing w:line="280" w:lineRule="exact"/>
        <w:jc w:val="left"/>
        <w:rPr>
          <w:rFonts w:cs="宋体"/>
          <w:b/>
          <w:bCs/>
        </w:rPr>
      </w:pPr>
      <w:bookmarkStart w:id="388" w:name="_Toc989277"/>
      <w:r w:rsidRPr="0063248C">
        <w:rPr>
          <w:rFonts w:cs="宋体"/>
          <w:b/>
          <w:bCs/>
        </w:rPr>
        <w:t>79</w:t>
      </w:r>
      <w:r w:rsidRPr="0063248C">
        <w:rPr>
          <w:rFonts w:cs="宋体"/>
          <w:b/>
          <w:bCs/>
        </w:rPr>
        <w:t>、现金流量表补充资料</w:t>
      </w:r>
      <w:bookmarkEnd w:id="388"/>
    </w:p>
    <w:p w14:paraId="6C2B7943" w14:textId="77777777" w:rsidR="007B3DB2" w:rsidRPr="0063248C" w:rsidRDefault="00000000">
      <w:pPr>
        <w:keepNext/>
        <w:keepLines/>
        <w:spacing w:before="300" w:after="300" w:line="280" w:lineRule="exact"/>
        <w:outlineLvl w:val="3"/>
        <w:rPr>
          <w:rFonts w:cs="宋体"/>
          <w:b/>
          <w:bCs/>
          <w:szCs w:val="21"/>
        </w:rPr>
      </w:pPr>
      <w:bookmarkStart w:id="389" w:name="_Toc989278"/>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现金流量表补充资料</w:t>
      </w:r>
      <w:bookmarkEnd w:id="389"/>
    </w:p>
    <w:p w14:paraId="5AD7F98C"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6265DE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8D5397" w14:textId="77777777" w:rsidR="007B3DB2" w:rsidRPr="0063248C" w:rsidRDefault="00000000">
            <w:pPr>
              <w:spacing w:before="40" w:after="40" w:line="240" w:lineRule="exact"/>
              <w:jc w:val="center"/>
              <w:rPr>
                <w:rFonts w:cs="宋体"/>
                <w:sz w:val="18"/>
                <w:szCs w:val="18"/>
              </w:rPr>
            </w:pPr>
            <w:r w:rsidRPr="0063248C">
              <w:rPr>
                <w:rFonts w:cs="宋体"/>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CC98A2"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082AFB"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上期金额</w:t>
            </w:r>
          </w:p>
        </w:tc>
      </w:tr>
      <w:tr w:rsidR="007B3DB2" w:rsidRPr="0063248C" w14:paraId="29E05F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238B8A"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AD235E"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32BF45" w14:textId="77777777" w:rsidR="007B3DB2" w:rsidRPr="0063248C" w:rsidRDefault="007B3DB2"/>
        </w:tc>
      </w:tr>
      <w:tr w:rsidR="007B3DB2" w:rsidRPr="0063248C" w14:paraId="514506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C37718"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14:paraId="28BCA83D" w14:textId="77777777" w:rsidR="007B3DB2" w:rsidRPr="0063248C" w:rsidRDefault="00000000">
            <w:pPr>
              <w:spacing w:line="240" w:lineRule="exact"/>
              <w:jc w:val="right"/>
              <w:rPr>
                <w:rFonts w:cs="宋体"/>
                <w:sz w:val="18"/>
                <w:szCs w:val="18"/>
              </w:rPr>
            </w:pPr>
            <w:r w:rsidRPr="0063248C">
              <w:rPr>
                <w:rFonts w:cs="宋体"/>
                <w:sz w:val="18"/>
                <w:szCs w:val="18"/>
              </w:rPr>
              <w:t>63,560,554.60</w:t>
            </w:r>
          </w:p>
        </w:tc>
        <w:tc>
          <w:tcPr>
            <w:tcW w:w="3213" w:type="dxa"/>
            <w:tcBorders>
              <w:top w:val="single" w:sz="2" w:space="0" w:color="auto"/>
              <w:left w:val="single" w:sz="2" w:space="0" w:color="auto"/>
              <w:bottom w:val="single" w:sz="2" w:space="0" w:color="auto"/>
              <w:right w:val="single" w:sz="2" w:space="0" w:color="auto"/>
            </w:tcBorders>
            <w:vAlign w:val="center"/>
          </w:tcPr>
          <w:p w14:paraId="688F01CD" w14:textId="77777777" w:rsidR="007B3DB2" w:rsidRPr="0063248C" w:rsidRDefault="00000000">
            <w:pPr>
              <w:spacing w:line="240" w:lineRule="exact"/>
              <w:jc w:val="right"/>
              <w:rPr>
                <w:rFonts w:cs="宋体"/>
                <w:sz w:val="18"/>
                <w:szCs w:val="18"/>
              </w:rPr>
            </w:pPr>
            <w:r w:rsidRPr="0063248C">
              <w:rPr>
                <w:rFonts w:cs="宋体"/>
                <w:sz w:val="18"/>
                <w:szCs w:val="18"/>
              </w:rPr>
              <w:t>-667,876,747.97</w:t>
            </w:r>
          </w:p>
        </w:tc>
      </w:tr>
      <w:tr w:rsidR="007B3DB2" w:rsidRPr="0063248C" w14:paraId="6FCDE0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2718FF"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56F6CE3F" w14:textId="77777777" w:rsidR="007B3DB2" w:rsidRPr="0063248C" w:rsidRDefault="00000000">
            <w:pPr>
              <w:spacing w:line="240" w:lineRule="exact"/>
              <w:jc w:val="right"/>
              <w:rPr>
                <w:rFonts w:cs="宋体"/>
                <w:sz w:val="18"/>
                <w:szCs w:val="18"/>
              </w:rPr>
            </w:pPr>
            <w:r w:rsidRPr="0063248C">
              <w:rPr>
                <w:rFonts w:cs="宋体"/>
                <w:sz w:val="18"/>
                <w:szCs w:val="18"/>
              </w:rPr>
              <w:t>-162,895,882.59</w:t>
            </w:r>
          </w:p>
        </w:tc>
        <w:tc>
          <w:tcPr>
            <w:tcW w:w="3213" w:type="dxa"/>
            <w:tcBorders>
              <w:top w:val="single" w:sz="2" w:space="0" w:color="auto"/>
              <w:left w:val="single" w:sz="2" w:space="0" w:color="auto"/>
              <w:bottom w:val="single" w:sz="2" w:space="0" w:color="auto"/>
              <w:right w:val="single" w:sz="2" w:space="0" w:color="auto"/>
            </w:tcBorders>
            <w:vAlign w:val="center"/>
          </w:tcPr>
          <w:p w14:paraId="55531808" w14:textId="77777777" w:rsidR="007B3DB2" w:rsidRPr="0063248C" w:rsidRDefault="00000000">
            <w:pPr>
              <w:spacing w:line="240" w:lineRule="exact"/>
              <w:jc w:val="right"/>
              <w:rPr>
                <w:rFonts w:cs="宋体"/>
                <w:sz w:val="18"/>
                <w:szCs w:val="18"/>
              </w:rPr>
            </w:pPr>
            <w:r w:rsidRPr="0063248C">
              <w:rPr>
                <w:rFonts w:cs="宋体"/>
                <w:sz w:val="18"/>
                <w:szCs w:val="18"/>
              </w:rPr>
              <w:t>144,045,232.19</w:t>
            </w:r>
          </w:p>
        </w:tc>
      </w:tr>
      <w:tr w:rsidR="007B3DB2" w:rsidRPr="0063248C" w14:paraId="7FB5F1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209599"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14:paraId="2517D7CA" w14:textId="77777777" w:rsidR="007B3DB2" w:rsidRPr="0063248C" w:rsidRDefault="00000000">
            <w:pPr>
              <w:spacing w:line="240" w:lineRule="exact"/>
              <w:jc w:val="right"/>
              <w:rPr>
                <w:rFonts w:cs="宋体"/>
                <w:sz w:val="18"/>
                <w:szCs w:val="18"/>
              </w:rPr>
            </w:pPr>
            <w:r w:rsidRPr="0063248C">
              <w:rPr>
                <w:rFonts w:cs="宋体"/>
                <w:sz w:val="18"/>
                <w:szCs w:val="18"/>
              </w:rPr>
              <w:t>80,318,698.69</w:t>
            </w:r>
          </w:p>
        </w:tc>
        <w:tc>
          <w:tcPr>
            <w:tcW w:w="3213" w:type="dxa"/>
            <w:tcBorders>
              <w:top w:val="single" w:sz="2" w:space="0" w:color="auto"/>
              <w:left w:val="single" w:sz="2" w:space="0" w:color="auto"/>
              <w:bottom w:val="single" w:sz="2" w:space="0" w:color="auto"/>
              <w:right w:val="single" w:sz="2" w:space="0" w:color="auto"/>
            </w:tcBorders>
            <w:vAlign w:val="center"/>
          </w:tcPr>
          <w:p w14:paraId="1EBE259E" w14:textId="77777777" w:rsidR="007B3DB2" w:rsidRPr="0063248C" w:rsidRDefault="00000000">
            <w:pPr>
              <w:spacing w:line="240" w:lineRule="exact"/>
              <w:jc w:val="right"/>
              <w:rPr>
                <w:rFonts w:cs="宋体"/>
                <w:sz w:val="18"/>
                <w:szCs w:val="18"/>
              </w:rPr>
            </w:pPr>
            <w:r w:rsidRPr="0063248C">
              <w:rPr>
                <w:rFonts w:cs="宋体"/>
                <w:sz w:val="18"/>
                <w:szCs w:val="18"/>
              </w:rPr>
              <w:t>104,284,657.51</w:t>
            </w:r>
          </w:p>
        </w:tc>
      </w:tr>
      <w:tr w:rsidR="007B3DB2" w:rsidRPr="0063248C" w14:paraId="28AAC3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0F98B3"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14:paraId="2B61BF1B" w14:textId="77777777" w:rsidR="007B3DB2" w:rsidRPr="0063248C" w:rsidRDefault="00000000">
            <w:pPr>
              <w:spacing w:line="240" w:lineRule="exact"/>
              <w:jc w:val="right"/>
              <w:rPr>
                <w:rFonts w:cs="宋体"/>
                <w:sz w:val="18"/>
                <w:szCs w:val="18"/>
              </w:rPr>
            </w:pPr>
            <w:r w:rsidRPr="0063248C">
              <w:rPr>
                <w:rFonts w:cs="宋体"/>
                <w:sz w:val="18"/>
                <w:szCs w:val="18"/>
              </w:rPr>
              <w:t>3,474,936.00</w:t>
            </w:r>
          </w:p>
        </w:tc>
        <w:tc>
          <w:tcPr>
            <w:tcW w:w="3213" w:type="dxa"/>
            <w:tcBorders>
              <w:top w:val="single" w:sz="2" w:space="0" w:color="auto"/>
              <w:left w:val="single" w:sz="2" w:space="0" w:color="auto"/>
              <w:bottom w:val="single" w:sz="2" w:space="0" w:color="auto"/>
              <w:right w:val="single" w:sz="2" w:space="0" w:color="auto"/>
            </w:tcBorders>
            <w:vAlign w:val="center"/>
          </w:tcPr>
          <w:p w14:paraId="5FED2B80" w14:textId="77777777" w:rsidR="007B3DB2" w:rsidRPr="0063248C" w:rsidRDefault="00000000">
            <w:pPr>
              <w:spacing w:line="240" w:lineRule="exact"/>
              <w:jc w:val="right"/>
              <w:rPr>
                <w:rFonts w:cs="宋体"/>
                <w:sz w:val="18"/>
                <w:szCs w:val="18"/>
              </w:rPr>
            </w:pPr>
            <w:r w:rsidRPr="0063248C">
              <w:rPr>
                <w:rFonts w:cs="宋体"/>
                <w:sz w:val="18"/>
                <w:szCs w:val="18"/>
              </w:rPr>
              <w:t>6,952,549.20</w:t>
            </w:r>
          </w:p>
        </w:tc>
      </w:tr>
      <w:tr w:rsidR="007B3DB2" w:rsidRPr="0063248C" w14:paraId="63B4BA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12B60A"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14:paraId="7ADE7466" w14:textId="77777777" w:rsidR="007B3DB2" w:rsidRPr="0063248C" w:rsidRDefault="00000000">
            <w:pPr>
              <w:spacing w:line="240" w:lineRule="exact"/>
              <w:jc w:val="right"/>
              <w:rPr>
                <w:rFonts w:cs="宋体"/>
                <w:sz w:val="18"/>
                <w:szCs w:val="18"/>
              </w:rPr>
            </w:pPr>
            <w:r w:rsidRPr="0063248C">
              <w:rPr>
                <w:rFonts w:cs="宋体"/>
                <w:sz w:val="18"/>
                <w:szCs w:val="18"/>
              </w:rPr>
              <w:t>2,717,987.53</w:t>
            </w:r>
          </w:p>
        </w:tc>
        <w:tc>
          <w:tcPr>
            <w:tcW w:w="3213" w:type="dxa"/>
            <w:tcBorders>
              <w:top w:val="single" w:sz="2" w:space="0" w:color="auto"/>
              <w:left w:val="single" w:sz="2" w:space="0" w:color="auto"/>
              <w:bottom w:val="single" w:sz="2" w:space="0" w:color="auto"/>
              <w:right w:val="single" w:sz="2" w:space="0" w:color="auto"/>
            </w:tcBorders>
            <w:vAlign w:val="center"/>
          </w:tcPr>
          <w:p w14:paraId="432453EE" w14:textId="77777777" w:rsidR="007B3DB2" w:rsidRPr="0063248C" w:rsidRDefault="00000000">
            <w:pPr>
              <w:spacing w:line="240" w:lineRule="exact"/>
              <w:jc w:val="right"/>
              <w:rPr>
                <w:rFonts w:cs="宋体"/>
                <w:sz w:val="18"/>
                <w:szCs w:val="18"/>
              </w:rPr>
            </w:pPr>
            <w:r w:rsidRPr="0063248C">
              <w:rPr>
                <w:rFonts w:cs="宋体"/>
                <w:sz w:val="18"/>
                <w:szCs w:val="18"/>
              </w:rPr>
              <w:t>2,731,980.91</w:t>
            </w:r>
          </w:p>
        </w:tc>
      </w:tr>
      <w:tr w:rsidR="007B3DB2" w:rsidRPr="0063248C" w14:paraId="3ACA14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612086"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14:paraId="5429733E" w14:textId="77777777" w:rsidR="007B3DB2" w:rsidRPr="0063248C" w:rsidRDefault="00000000">
            <w:pPr>
              <w:spacing w:line="240" w:lineRule="exact"/>
              <w:jc w:val="right"/>
              <w:rPr>
                <w:rFonts w:cs="宋体"/>
                <w:sz w:val="18"/>
                <w:szCs w:val="18"/>
              </w:rPr>
            </w:pPr>
            <w:r w:rsidRPr="0063248C">
              <w:rPr>
                <w:rFonts w:cs="宋体"/>
                <w:sz w:val="18"/>
                <w:szCs w:val="18"/>
              </w:rPr>
              <w:t>1,885,622.74</w:t>
            </w:r>
          </w:p>
        </w:tc>
        <w:tc>
          <w:tcPr>
            <w:tcW w:w="3213" w:type="dxa"/>
            <w:tcBorders>
              <w:top w:val="single" w:sz="2" w:space="0" w:color="auto"/>
              <w:left w:val="single" w:sz="2" w:space="0" w:color="auto"/>
              <w:bottom w:val="single" w:sz="2" w:space="0" w:color="auto"/>
              <w:right w:val="single" w:sz="2" w:space="0" w:color="auto"/>
            </w:tcBorders>
            <w:vAlign w:val="center"/>
          </w:tcPr>
          <w:p w14:paraId="55370510" w14:textId="77777777" w:rsidR="007B3DB2" w:rsidRPr="0063248C" w:rsidRDefault="00000000">
            <w:pPr>
              <w:spacing w:line="240" w:lineRule="exact"/>
              <w:jc w:val="right"/>
              <w:rPr>
                <w:rFonts w:cs="宋体"/>
                <w:sz w:val="18"/>
                <w:szCs w:val="18"/>
              </w:rPr>
            </w:pPr>
            <w:r w:rsidRPr="0063248C">
              <w:rPr>
                <w:rFonts w:cs="宋体"/>
                <w:sz w:val="18"/>
                <w:szCs w:val="18"/>
              </w:rPr>
              <w:t>2,739,197.76</w:t>
            </w:r>
          </w:p>
        </w:tc>
      </w:tr>
      <w:tr w:rsidR="007B3DB2" w:rsidRPr="0063248C" w14:paraId="2D48AA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71E263"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处置固定资产、无形资产和其他长期资产的损失（收益以</w:t>
            </w:r>
            <w:r w:rsidRPr="0063248C">
              <w:rPr>
                <w:rFonts w:cs="宋体"/>
                <w:sz w:val="18"/>
                <w:szCs w:val="18"/>
              </w:rPr>
              <w:t>“</w:t>
            </w:r>
            <w:r w:rsidRPr="0063248C">
              <w:rPr>
                <w:rFonts w:cs="宋体"/>
                <w:sz w:val="18"/>
                <w:szCs w:val="18"/>
              </w:rPr>
              <w:t>－</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D06F1F8" w14:textId="77777777" w:rsidR="007B3DB2" w:rsidRPr="0063248C" w:rsidRDefault="00000000">
            <w:pPr>
              <w:spacing w:line="240" w:lineRule="exact"/>
              <w:jc w:val="right"/>
              <w:rPr>
                <w:rFonts w:cs="宋体"/>
                <w:sz w:val="18"/>
                <w:szCs w:val="18"/>
              </w:rPr>
            </w:pPr>
            <w:r w:rsidRPr="0063248C">
              <w:rPr>
                <w:rFonts w:cs="宋体"/>
                <w:sz w:val="18"/>
                <w:szCs w:val="18"/>
              </w:rPr>
              <w:t>577,407.87</w:t>
            </w:r>
          </w:p>
        </w:tc>
        <w:tc>
          <w:tcPr>
            <w:tcW w:w="3213" w:type="dxa"/>
            <w:tcBorders>
              <w:top w:val="single" w:sz="2" w:space="0" w:color="auto"/>
              <w:left w:val="single" w:sz="2" w:space="0" w:color="auto"/>
              <w:bottom w:val="single" w:sz="2" w:space="0" w:color="auto"/>
              <w:right w:val="single" w:sz="2" w:space="0" w:color="auto"/>
            </w:tcBorders>
            <w:vAlign w:val="center"/>
          </w:tcPr>
          <w:p w14:paraId="7E7D7043" w14:textId="77777777" w:rsidR="007B3DB2" w:rsidRPr="0063248C" w:rsidRDefault="00000000">
            <w:pPr>
              <w:spacing w:line="240" w:lineRule="exact"/>
              <w:jc w:val="right"/>
              <w:rPr>
                <w:rFonts w:cs="宋体"/>
                <w:sz w:val="18"/>
                <w:szCs w:val="18"/>
              </w:rPr>
            </w:pPr>
            <w:r w:rsidRPr="0063248C">
              <w:rPr>
                <w:rFonts w:cs="宋体"/>
                <w:sz w:val="18"/>
                <w:szCs w:val="18"/>
              </w:rPr>
              <w:t>169,167,507.67</w:t>
            </w:r>
          </w:p>
        </w:tc>
      </w:tr>
      <w:tr w:rsidR="007B3DB2" w:rsidRPr="0063248C" w14:paraId="17EB53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D07359"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固定资产报废损失（收益以</w:t>
            </w:r>
            <w:r w:rsidRPr="0063248C">
              <w:rPr>
                <w:rFonts w:cs="宋体"/>
                <w:sz w:val="18"/>
                <w:szCs w:val="18"/>
              </w:rPr>
              <w:lastRenderedPageBreak/>
              <w:t>“</w:t>
            </w:r>
            <w:r w:rsidRPr="0063248C">
              <w:rPr>
                <w:rFonts w:cs="宋体"/>
                <w:sz w:val="18"/>
                <w:szCs w:val="18"/>
              </w:rPr>
              <w:t>－</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2E5EF9A" w14:textId="77777777" w:rsidR="007B3DB2" w:rsidRPr="0063248C" w:rsidRDefault="00000000">
            <w:pPr>
              <w:spacing w:line="240" w:lineRule="exact"/>
              <w:jc w:val="right"/>
              <w:rPr>
                <w:rFonts w:cs="宋体"/>
                <w:sz w:val="18"/>
                <w:szCs w:val="18"/>
              </w:rPr>
            </w:pPr>
            <w:r w:rsidRPr="0063248C">
              <w:rPr>
                <w:rFonts w:cs="宋体"/>
                <w:sz w:val="18"/>
                <w:szCs w:val="18"/>
              </w:rPr>
              <w:lastRenderedPageBreak/>
              <w:t>62,989.07</w:t>
            </w:r>
          </w:p>
        </w:tc>
        <w:tc>
          <w:tcPr>
            <w:tcW w:w="3213" w:type="dxa"/>
            <w:tcBorders>
              <w:top w:val="single" w:sz="2" w:space="0" w:color="auto"/>
              <w:left w:val="single" w:sz="2" w:space="0" w:color="auto"/>
              <w:bottom w:val="single" w:sz="2" w:space="0" w:color="auto"/>
              <w:right w:val="single" w:sz="2" w:space="0" w:color="auto"/>
            </w:tcBorders>
            <w:vAlign w:val="center"/>
          </w:tcPr>
          <w:p w14:paraId="7A25D1B7" w14:textId="77777777" w:rsidR="007B3DB2" w:rsidRPr="0063248C" w:rsidRDefault="00000000">
            <w:pPr>
              <w:spacing w:line="240" w:lineRule="exact"/>
              <w:jc w:val="right"/>
              <w:rPr>
                <w:rFonts w:cs="宋体"/>
                <w:sz w:val="18"/>
                <w:szCs w:val="18"/>
              </w:rPr>
            </w:pPr>
            <w:r w:rsidRPr="0063248C">
              <w:rPr>
                <w:rFonts w:cs="宋体"/>
                <w:sz w:val="18"/>
                <w:szCs w:val="18"/>
              </w:rPr>
              <w:t>531,689.64</w:t>
            </w:r>
          </w:p>
        </w:tc>
      </w:tr>
      <w:tr w:rsidR="007B3DB2" w:rsidRPr="0063248C" w14:paraId="31B543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F0AAED"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公允价值变动损失（收益以</w:t>
            </w:r>
            <w:r w:rsidRPr="0063248C">
              <w:rPr>
                <w:rFonts w:cs="宋体"/>
                <w:sz w:val="18"/>
                <w:szCs w:val="18"/>
              </w:rPr>
              <w:t>“</w:t>
            </w:r>
            <w:r w:rsidRPr="0063248C">
              <w:rPr>
                <w:rFonts w:cs="宋体"/>
                <w:sz w:val="18"/>
                <w:szCs w:val="18"/>
              </w:rPr>
              <w:t>－</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0DA1F1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E86D49" w14:textId="77777777" w:rsidR="007B3DB2" w:rsidRPr="0063248C" w:rsidRDefault="007B3DB2">
            <w:pPr>
              <w:spacing w:line="240" w:lineRule="exact"/>
              <w:jc w:val="right"/>
              <w:rPr>
                <w:rFonts w:cs="宋体"/>
                <w:sz w:val="18"/>
                <w:szCs w:val="18"/>
              </w:rPr>
            </w:pPr>
          </w:p>
        </w:tc>
      </w:tr>
      <w:tr w:rsidR="007B3DB2" w:rsidRPr="0063248C" w14:paraId="68DEE4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EBE90F"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财务费用（收益以</w:t>
            </w:r>
            <w:r w:rsidRPr="0063248C">
              <w:rPr>
                <w:rFonts w:cs="宋体"/>
                <w:sz w:val="18"/>
                <w:szCs w:val="18"/>
              </w:rPr>
              <w:t>“</w:t>
            </w:r>
            <w:r w:rsidRPr="0063248C">
              <w:rPr>
                <w:rFonts w:cs="宋体"/>
                <w:sz w:val="18"/>
                <w:szCs w:val="18"/>
              </w:rPr>
              <w:t>－</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258B094" w14:textId="77777777" w:rsidR="007B3DB2" w:rsidRPr="0063248C" w:rsidRDefault="00000000">
            <w:pPr>
              <w:spacing w:line="240" w:lineRule="exact"/>
              <w:jc w:val="right"/>
              <w:rPr>
                <w:rFonts w:cs="宋体"/>
                <w:sz w:val="18"/>
                <w:szCs w:val="18"/>
              </w:rPr>
            </w:pPr>
            <w:r w:rsidRPr="0063248C">
              <w:rPr>
                <w:rFonts w:cs="宋体"/>
                <w:sz w:val="18"/>
                <w:szCs w:val="18"/>
              </w:rPr>
              <w:t>54,880,293.96</w:t>
            </w:r>
          </w:p>
        </w:tc>
        <w:tc>
          <w:tcPr>
            <w:tcW w:w="3213" w:type="dxa"/>
            <w:tcBorders>
              <w:top w:val="single" w:sz="2" w:space="0" w:color="auto"/>
              <w:left w:val="single" w:sz="2" w:space="0" w:color="auto"/>
              <w:bottom w:val="single" w:sz="2" w:space="0" w:color="auto"/>
              <w:right w:val="single" w:sz="2" w:space="0" w:color="auto"/>
            </w:tcBorders>
            <w:vAlign w:val="center"/>
          </w:tcPr>
          <w:p w14:paraId="3F7AE639" w14:textId="77777777" w:rsidR="007B3DB2" w:rsidRPr="0063248C" w:rsidRDefault="00000000">
            <w:pPr>
              <w:spacing w:line="240" w:lineRule="exact"/>
              <w:jc w:val="right"/>
              <w:rPr>
                <w:rFonts w:cs="宋体"/>
                <w:sz w:val="18"/>
                <w:szCs w:val="18"/>
              </w:rPr>
            </w:pPr>
            <w:r w:rsidRPr="0063248C">
              <w:rPr>
                <w:rFonts w:cs="宋体"/>
                <w:sz w:val="18"/>
                <w:szCs w:val="18"/>
              </w:rPr>
              <w:t>48,892,795.35</w:t>
            </w:r>
          </w:p>
        </w:tc>
      </w:tr>
      <w:tr w:rsidR="007B3DB2" w:rsidRPr="0063248C" w14:paraId="79B661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036DF0"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投资损失（收益以</w:t>
            </w:r>
            <w:r w:rsidRPr="0063248C">
              <w:rPr>
                <w:rFonts w:cs="宋体"/>
                <w:sz w:val="18"/>
                <w:szCs w:val="18"/>
              </w:rPr>
              <w:t>“</w:t>
            </w:r>
            <w:r w:rsidRPr="0063248C">
              <w:rPr>
                <w:rFonts w:cs="宋体"/>
                <w:sz w:val="18"/>
                <w:szCs w:val="18"/>
              </w:rPr>
              <w:t>－</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09D7A97"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474A3A3" w14:textId="77777777" w:rsidR="007B3DB2" w:rsidRPr="0063248C" w:rsidRDefault="007B3DB2">
            <w:pPr>
              <w:spacing w:line="240" w:lineRule="exact"/>
              <w:jc w:val="right"/>
              <w:rPr>
                <w:rFonts w:cs="宋体"/>
                <w:sz w:val="18"/>
                <w:szCs w:val="18"/>
              </w:rPr>
            </w:pPr>
          </w:p>
        </w:tc>
      </w:tr>
      <w:tr w:rsidR="007B3DB2" w:rsidRPr="0063248C" w14:paraId="6B90AB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BC0E0C"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递延所得税资产减少（增加以</w:t>
            </w:r>
            <w:r w:rsidRPr="0063248C">
              <w:rPr>
                <w:rFonts w:cs="宋体"/>
                <w:sz w:val="18"/>
                <w:szCs w:val="18"/>
              </w:rPr>
              <w:t>“</w:t>
            </w:r>
            <w:r w:rsidRPr="0063248C">
              <w:rPr>
                <w:rFonts w:cs="宋体"/>
                <w:sz w:val="18"/>
                <w:szCs w:val="18"/>
              </w:rPr>
              <w:t>－</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D73D839" w14:textId="77777777" w:rsidR="007B3DB2" w:rsidRPr="0063248C" w:rsidRDefault="00000000">
            <w:pPr>
              <w:spacing w:line="240" w:lineRule="exact"/>
              <w:jc w:val="right"/>
              <w:rPr>
                <w:rFonts w:cs="宋体"/>
                <w:sz w:val="18"/>
                <w:szCs w:val="18"/>
              </w:rPr>
            </w:pPr>
            <w:r w:rsidRPr="0063248C">
              <w:rPr>
                <w:rFonts w:cs="宋体"/>
                <w:sz w:val="18"/>
                <w:szCs w:val="18"/>
              </w:rPr>
              <w:t>-6,157,563.92</w:t>
            </w:r>
          </w:p>
        </w:tc>
        <w:tc>
          <w:tcPr>
            <w:tcW w:w="3213" w:type="dxa"/>
            <w:tcBorders>
              <w:top w:val="single" w:sz="2" w:space="0" w:color="auto"/>
              <w:left w:val="single" w:sz="2" w:space="0" w:color="auto"/>
              <w:bottom w:val="single" w:sz="2" w:space="0" w:color="auto"/>
              <w:right w:val="single" w:sz="2" w:space="0" w:color="auto"/>
            </w:tcBorders>
            <w:vAlign w:val="center"/>
          </w:tcPr>
          <w:p w14:paraId="003AD1D6" w14:textId="77777777" w:rsidR="007B3DB2" w:rsidRPr="0063248C" w:rsidRDefault="00000000">
            <w:pPr>
              <w:spacing w:line="240" w:lineRule="exact"/>
              <w:jc w:val="right"/>
              <w:rPr>
                <w:rFonts w:cs="宋体"/>
                <w:sz w:val="18"/>
                <w:szCs w:val="18"/>
              </w:rPr>
            </w:pPr>
            <w:r w:rsidRPr="0063248C">
              <w:rPr>
                <w:rFonts w:cs="宋体"/>
                <w:sz w:val="18"/>
                <w:szCs w:val="18"/>
              </w:rPr>
              <w:t>-2,052,088.88</w:t>
            </w:r>
          </w:p>
        </w:tc>
      </w:tr>
      <w:tr w:rsidR="007B3DB2" w:rsidRPr="0063248C" w14:paraId="04A8FE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FDEC6F"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递延所得税负债增加（减少以</w:t>
            </w:r>
            <w:r w:rsidRPr="0063248C">
              <w:rPr>
                <w:rFonts w:cs="宋体"/>
                <w:sz w:val="18"/>
                <w:szCs w:val="18"/>
              </w:rPr>
              <w:t>“</w:t>
            </w:r>
            <w:r w:rsidRPr="0063248C">
              <w:rPr>
                <w:rFonts w:cs="宋体"/>
                <w:sz w:val="18"/>
                <w:szCs w:val="18"/>
              </w:rPr>
              <w:t>－</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3642BB9" w14:textId="77777777" w:rsidR="007B3DB2" w:rsidRPr="0063248C" w:rsidRDefault="00000000">
            <w:pPr>
              <w:spacing w:line="240" w:lineRule="exact"/>
              <w:jc w:val="right"/>
              <w:rPr>
                <w:rFonts w:cs="宋体"/>
                <w:sz w:val="18"/>
                <w:szCs w:val="18"/>
              </w:rPr>
            </w:pPr>
            <w:r w:rsidRPr="0063248C">
              <w:rPr>
                <w:rFonts w:cs="宋体"/>
                <w:sz w:val="18"/>
                <w:szCs w:val="18"/>
              </w:rPr>
              <w:t>9,314.73</w:t>
            </w:r>
          </w:p>
        </w:tc>
        <w:tc>
          <w:tcPr>
            <w:tcW w:w="3213" w:type="dxa"/>
            <w:tcBorders>
              <w:top w:val="single" w:sz="2" w:space="0" w:color="auto"/>
              <w:left w:val="single" w:sz="2" w:space="0" w:color="auto"/>
              <w:bottom w:val="single" w:sz="2" w:space="0" w:color="auto"/>
              <w:right w:val="single" w:sz="2" w:space="0" w:color="auto"/>
            </w:tcBorders>
            <w:vAlign w:val="center"/>
          </w:tcPr>
          <w:p w14:paraId="44EE4A66" w14:textId="77777777" w:rsidR="007B3DB2" w:rsidRPr="0063248C" w:rsidRDefault="00000000">
            <w:pPr>
              <w:spacing w:line="240" w:lineRule="exact"/>
              <w:jc w:val="right"/>
              <w:rPr>
                <w:rFonts w:cs="宋体"/>
                <w:sz w:val="18"/>
                <w:szCs w:val="18"/>
              </w:rPr>
            </w:pPr>
            <w:r w:rsidRPr="0063248C">
              <w:rPr>
                <w:rFonts w:cs="宋体"/>
                <w:sz w:val="18"/>
                <w:szCs w:val="18"/>
              </w:rPr>
              <w:t>42.50</w:t>
            </w:r>
          </w:p>
        </w:tc>
      </w:tr>
      <w:tr w:rsidR="007B3DB2" w:rsidRPr="0063248C" w14:paraId="149C0AB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2522C2"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存货的减少（增加以</w:t>
            </w:r>
            <w:r w:rsidRPr="0063248C">
              <w:rPr>
                <w:rFonts w:cs="宋体"/>
                <w:sz w:val="18"/>
                <w:szCs w:val="18"/>
              </w:rPr>
              <w:t>“</w:t>
            </w:r>
            <w:r w:rsidRPr="0063248C">
              <w:rPr>
                <w:rFonts w:cs="宋体"/>
                <w:sz w:val="18"/>
                <w:szCs w:val="18"/>
              </w:rPr>
              <w:t>－</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5B367BC" w14:textId="77777777" w:rsidR="007B3DB2" w:rsidRPr="0063248C" w:rsidRDefault="00000000">
            <w:pPr>
              <w:spacing w:line="240" w:lineRule="exact"/>
              <w:jc w:val="right"/>
              <w:rPr>
                <w:rFonts w:cs="宋体"/>
                <w:sz w:val="18"/>
                <w:szCs w:val="18"/>
              </w:rPr>
            </w:pPr>
            <w:r w:rsidRPr="0063248C">
              <w:rPr>
                <w:rFonts w:cs="宋体"/>
                <w:sz w:val="18"/>
                <w:szCs w:val="18"/>
              </w:rPr>
              <w:t>38,995,008.81</w:t>
            </w:r>
          </w:p>
        </w:tc>
        <w:tc>
          <w:tcPr>
            <w:tcW w:w="3213" w:type="dxa"/>
            <w:tcBorders>
              <w:top w:val="single" w:sz="2" w:space="0" w:color="auto"/>
              <w:left w:val="single" w:sz="2" w:space="0" w:color="auto"/>
              <w:bottom w:val="single" w:sz="2" w:space="0" w:color="auto"/>
              <w:right w:val="single" w:sz="2" w:space="0" w:color="auto"/>
            </w:tcBorders>
            <w:vAlign w:val="center"/>
          </w:tcPr>
          <w:p w14:paraId="0E9F696C" w14:textId="77777777" w:rsidR="007B3DB2" w:rsidRPr="0063248C" w:rsidRDefault="00000000">
            <w:pPr>
              <w:spacing w:line="240" w:lineRule="exact"/>
              <w:jc w:val="right"/>
              <w:rPr>
                <w:rFonts w:cs="宋体"/>
                <w:sz w:val="18"/>
                <w:szCs w:val="18"/>
              </w:rPr>
            </w:pPr>
            <w:r w:rsidRPr="0063248C">
              <w:rPr>
                <w:rFonts w:cs="宋体"/>
                <w:sz w:val="18"/>
                <w:szCs w:val="18"/>
              </w:rPr>
              <w:t>-342,456,014.08</w:t>
            </w:r>
          </w:p>
        </w:tc>
      </w:tr>
      <w:tr w:rsidR="007B3DB2" w:rsidRPr="0063248C" w14:paraId="25B27B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539D9E"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经营性应收项目的减少（增加以</w:t>
            </w:r>
            <w:r w:rsidRPr="0063248C">
              <w:rPr>
                <w:rFonts w:cs="宋体"/>
                <w:sz w:val="18"/>
                <w:szCs w:val="18"/>
              </w:rPr>
              <w:t>“</w:t>
            </w:r>
            <w:r w:rsidRPr="0063248C">
              <w:rPr>
                <w:rFonts w:cs="宋体"/>
                <w:sz w:val="18"/>
                <w:szCs w:val="18"/>
              </w:rPr>
              <w:t>－</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FD28466" w14:textId="77777777" w:rsidR="007B3DB2" w:rsidRPr="0063248C" w:rsidRDefault="00000000">
            <w:pPr>
              <w:spacing w:line="240" w:lineRule="exact"/>
              <w:jc w:val="right"/>
              <w:rPr>
                <w:rFonts w:cs="宋体"/>
                <w:sz w:val="18"/>
                <w:szCs w:val="18"/>
              </w:rPr>
            </w:pPr>
            <w:r w:rsidRPr="0063248C">
              <w:rPr>
                <w:rFonts w:cs="宋体"/>
                <w:sz w:val="18"/>
                <w:szCs w:val="18"/>
              </w:rPr>
              <w:t>117,052,015.59</w:t>
            </w:r>
          </w:p>
        </w:tc>
        <w:tc>
          <w:tcPr>
            <w:tcW w:w="3213" w:type="dxa"/>
            <w:tcBorders>
              <w:top w:val="single" w:sz="2" w:space="0" w:color="auto"/>
              <w:left w:val="single" w:sz="2" w:space="0" w:color="auto"/>
              <w:bottom w:val="single" w:sz="2" w:space="0" w:color="auto"/>
              <w:right w:val="single" w:sz="2" w:space="0" w:color="auto"/>
            </w:tcBorders>
            <w:vAlign w:val="center"/>
          </w:tcPr>
          <w:p w14:paraId="0A2E1A45" w14:textId="77777777" w:rsidR="007B3DB2" w:rsidRPr="0063248C" w:rsidRDefault="00000000">
            <w:pPr>
              <w:spacing w:line="240" w:lineRule="exact"/>
              <w:jc w:val="right"/>
              <w:rPr>
                <w:rFonts w:cs="宋体"/>
                <w:sz w:val="18"/>
                <w:szCs w:val="18"/>
              </w:rPr>
            </w:pPr>
            <w:r w:rsidRPr="0063248C">
              <w:rPr>
                <w:rFonts w:cs="宋体"/>
                <w:sz w:val="18"/>
                <w:szCs w:val="18"/>
              </w:rPr>
              <w:t>230,028,484.82</w:t>
            </w:r>
          </w:p>
        </w:tc>
      </w:tr>
      <w:tr w:rsidR="007B3DB2" w:rsidRPr="0063248C" w14:paraId="117715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2734C1"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经营性应付项目的增加（减少以</w:t>
            </w:r>
            <w:r w:rsidRPr="0063248C">
              <w:rPr>
                <w:rFonts w:cs="宋体"/>
                <w:sz w:val="18"/>
                <w:szCs w:val="18"/>
              </w:rPr>
              <w:t>“</w:t>
            </w:r>
            <w:r w:rsidRPr="0063248C">
              <w:rPr>
                <w:rFonts w:cs="宋体"/>
                <w:sz w:val="18"/>
                <w:szCs w:val="18"/>
              </w:rPr>
              <w:t>－</w:t>
            </w:r>
            <w:r w:rsidRPr="0063248C">
              <w:rPr>
                <w:rFonts w:cs="宋体"/>
                <w:sz w:val="18"/>
                <w:szCs w:val="18"/>
              </w:rPr>
              <w:t>”</w:t>
            </w:r>
            <w:r w:rsidRPr="0063248C">
              <w:rPr>
                <w:rFonts w:cs="宋体"/>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A1FAF33" w14:textId="77777777" w:rsidR="007B3DB2" w:rsidRPr="0063248C" w:rsidRDefault="00000000">
            <w:pPr>
              <w:spacing w:line="240" w:lineRule="exact"/>
              <w:jc w:val="right"/>
              <w:rPr>
                <w:rFonts w:cs="宋体"/>
                <w:sz w:val="18"/>
                <w:szCs w:val="18"/>
              </w:rPr>
            </w:pPr>
            <w:r w:rsidRPr="0063248C">
              <w:rPr>
                <w:rFonts w:cs="宋体"/>
                <w:sz w:val="18"/>
                <w:szCs w:val="18"/>
              </w:rPr>
              <w:t>27,043,849.97</w:t>
            </w:r>
          </w:p>
        </w:tc>
        <w:tc>
          <w:tcPr>
            <w:tcW w:w="3213" w:type="dxa"/>
            <w:tcBorders>
              <w:top w:val="single" w:sz="2" w:space="0" w:color="auto"/>
              <w:left w:val="single" w:sz="2" w:space="0" w:color="auto"/>
              <w:bottom w:val="single" w:sz="2" w:space="0" w:color="auto"/>
              <w:right w:val="single" w:sz="2" w:space="0" w:color="auto"/>
            </w:tcBorders>
            <w:vAlign w:val="center"/>
          </w:tcPr>
          <w:p w14:paraId="6C90FE42" w14:textId="77777777" w:rsidR="007B3DB2" w:rsidRPr="0063248C" w:rsidRDefault="00000000">
            <w:pPr>
              <w:spacing w:line="240" w:lineRule="exact"/>
              <w:jc w:val="right"/>
              <w:rPr>
                <w:rFonts w:cs="宋体"/>
                <w:sz w:val="18"/>
                <w:szCs w:val="18"/>
              </w:rPr>
            </w:pPr>
            <w:r w:rsidRPr="0063248C">
              <w:rPr>
                <w:rFonts w:cs="宋体"/>
                <w:sz w:val="18"/>
                <w:szCs w:val="18"/>
              </w:rPr>
              <w:t>-63,544,731.06</w:t>
            </w:r>
          </w:p>
        </w:tc>
      </w:tr>
      <w:tr w:rsidR="007B3DB2" w:rsidRPr="0063248C" w14:paraId="79BDBC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8C1BA3"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A0CFE9A"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90313D" w14:textId="77777777" w:rsidR="007B3DB2" w:rsidRPr="0063248C" w:rsidRDefault="007B3DB2">
            <w:pPr>
              <w:spacing w:line="240" w:lineRule="exact"/>
              <w:jc w:val="right"/>
              <w:rPr>
                <w:rFonts w:cs="宋体"/>
                <w:sz w:val="18"/>
                <w:szCs w:val="18"/>
              </w:rPr>
            </w:pPr>
          </w:p>
        </w:tc>
      </w:tr>
      <w:tr w:rsidR="007B3DB2" w:rsidRPr="0063248C" w14:paraId="0835E9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E58A67"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46FB9FB5" w14:textId="77777777" w:rsidR="007B3DB2" w:rsidRPr="0063248C" w:rsidRDefault="00000000">
            <w:pPr>
              <w:spacing w:line="240" w:lineRule="exact"/>
              <w:jc w:val="right"/>
              <w:rPr>
                <w:rFonts w:cs="宋体"/>
                <w:sz w:val="18"/>
                <w:szCs w:val="18"/>
              </w:rPr>
            </w:pPr>
            <w:r w:rsidRPr="0063248C">
              <w:rPr>
                <w:rFonts w:cs="宋体"/>
                <w:sz w:val="18"/>
                <w:szCs w:val="18"/>
              </w:rPr>
              <w:t>221,525,233.05</w:t>
            </w:r>
          </w:p>
        </w:tc>
        <w:tc>
          <w:tcPr>
            <w:tcW w:w="3213" w:type="dxa"/>
            <w:tcBorders>
              <w:top w:val="single" w:sz="2" w:space="0" w:color="auto"/>
              <w:left w:val="single" w:sz="2" w:space="0" w:color="auto"/>
              <w:bottom w:val="single" w:sz="2" w:space="0" w:color="auto"/>
              <w:right w:val="single" w:sz="2" w:space="0" w:color="auto"/>
            </w:tcBorders>
            <w:vAlign w:val="center"/>
          </w:tcPr>
          <w:p w14:paraId="3E2ABA32" w14:textId="77777777" w:rsidR="007B3DB2" w:rsidRPr="0063248C" w:rsidRDefault="00000000">
            <w:pPr>
              <w:spacing w:line="240" w:lineRule="exact"/>
              <w:jc w:val="right"/>
              <w:rPr>
                <w:rFonts w:cs="宋体"/>
                <w:sz w:val="18"/>
                <w:szCs w:val="18"/>
              </w:rPr>
            </w:pPr>
            <w:r w:rsidRPr="0063248C">
              <w:rPr>
                <w:rFonts w:cs="宋体"/>
                <w:sz w:val="18"/>
                <w:szCs w:val="18"/>
              </w:rPr>
              <w:t>-366,555,444.44</w:t>
            </w:r>
          </w:p>
        </w:tc>
      </w:tr>
      <w:tr w:rsidR="007B3DB2" w:rsidRPr="0063248C" w14:paraId="07F3D0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399BB8"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17A415"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FE82FB" w14:textId="77777777" w:rsidR="007B3DB2" w:rsidRPr="0063248C" w:rsidRDefault="007B3DB2"/>
        </w:tc>
      </w:tr>
      <w:tr w:rsidR="007B3DB2" w:rsidRPr="0063248C" w14:paraId="52051B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9AEE2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14:paraId="65AEF055"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46E67E" w14:textId="77777777" w:rsidR="007B3DB2" w:rsidRPr="0063248C" w:rsidRDefault="007B3DB2">
            <w:pPr>
              <w:spacing w:line="240" w:lineRule="exact"/>
              <w:jc w:val="right"/>
              <w:rPr>
                <w:rFonts w:cs="宋体"/>
                <w:sz w:val="18"/>
                <w:szCs w:val="18"/>
              </w:rPr>
            </w:pPr>
          </w:p>
        </w:tc>
      </w:tr>
      <w:tr w:rsidR="007B3DB2" w:rsidRPr="0063248C" w14:paraId="50B0DA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03CCFD"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一年内到期的可转换公司债</w:t>
            </w:r>
            <w:proofErr w:type="gramStart"/>
            <w:r w:rsidRPr="0063248C">
              <w:rPr>
                <w:rFonts w:cs="宋体"/>
                <w:sz w:val="18"/>
                <w:szCs w:val="18"/>
              </w:rPr>
              <w:t>券</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14:paraId="11DBCA2C"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E7BFAB" w14:textId="77777777" w:rsidR="007B3DB2" w:rsidRPr="0063248C" w:rsidRDefault="007B3DB2">
            <w:pPr>
              <w:spacing w:line="240" w:lineRule="exact"/>
              <w:jc w:val="right"/>
              <w:rPr>
                <w:rFonts w:cs="宋体"/>
                <w:sz w:val="18"/>
                <w:szCs w:val="18"/>
              </w:rPr>
            </w:pPr>
          </w:p>
        </w:tc>
      </w:tr>
      <w:tr w:rsidR="007B3DB2" w:rsidRPr="0063248C" w14:paraId="577FB5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AC5FF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0EE9F02E"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AFD4B3" w14:textId="77777777" w:rsidR="007B3DB2" w:rsidRPr="0063248C" w:rsidRDefault="007B3DB2">
            <w:pPr>
              <w:spacing w:line="240" w:lineRule="exact"/>
              <w:jc w:val="right"/>
              <w:rPr>
                <w:rFonts w:cs="宋体"/>
                <w:sz w:val="18"/>
                <w:szCs w:val="18"/>
              </w:rPr>
            </w:pPr>
          </w:p>
        </w:tc>
      </w:tr>
      <w:tr w:rsidR="007B3DB2" w:rsidRPr="0063248C" w14:paraId="65712E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633E4D"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59F666" w14:textId="77777777" w:rsidR="007B3DB2" w:rsidRPr="0063248C" w:rsidRDefault="007B3DB2"/>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4E8C82" w14:textId="77777777" w:rsidR="007B3DB2" w:rsidRPr="0063248C" w:rsidRDefault="007B3DB2"/>
        </w:tc>
      </w:tr>
      <w:tr w:rsidR="007B3DB2" w:rsidRPr="0063248C" w14:paraId="7841F7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1DEEBA"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115C3781" w14:textId="77777777" w:rsidR="007B3DB2" w:rsidRPr="0063248C" w:rsidRDefault="00000000">
            <w:pPr>
              <w:spacing w:line="240" w:lineRule="exact"/>
              <w:jc w:val="right"/>
              <w:rPr>
                <w:rFonts w:cs="宋体"/>
                <w:sz w:val="18"/>
                <w:szCs w:val="18"/>
              </w:rPr>
            </w:pPr>
            <w:r w:rsidRPr="0063248C">
              <w:rPr>
                <w:rFonts w:cs="宋体"/>
                <w:sz w:val="18"/>
                <w:szCs w:val="18"/>
              </w:rPr>
              <w:t>657,941,797.22</w:t>
            </w:r>
          </w:p>
        </w:tc>
        <w:tc>
          <w:tcPr>
            <w:tcW w:w="3213" w:type="dxa"/>
            <w:tcBorders>
              <w:top w:val="single" w:sz="2" w:space="0" w:color="auto"/>
              <w:left w:val="single" w:sz="2" w:space="0" w:color="auto"/>
              <w:bottom w:val="single" w:sz="2" w:space="0" w:color="auto"/>
              <w:right w:val="single" w:sz="2" w:space="0" w:color="auto"/>
            </w:tcBorders>
            <w:vAlign w:val="center"/>
          </w:tcPr>
          <w:p w14:paraId="19CA12DA" w14:textId="77777777" w:rsidR="007B3DB2" w:rsidRPr="0063248C" w:rsidRDefault="00000000">
            <w:pPr>
              <w:spacing w:line="240" w:lineRule="exact"/>
              <w:jc w:val="right"/>
              <w:rPr>
                <w:rFonts w:cs="宋体"/>
                <w:sz w:val="18"/>
                <w:szCs w:val="18"/>
              </w:rPr>
            </w:pPr>
            <w:r w:rsidRPr="0063248C">
              <w:rPr>
                <w:rFonts w:cs="宋体"/>
                <w:sz w:val="18"/>
                <w:szCs w:val="18"/>
              </w:rPr>
              <w:t>846,205,625.59</w:t>
            </w:r>
          </w:p>
        </w:tc>
      </w:tr>
      <w:tr w:rsidR="007B3DB2" w:rsidRPr="0063248C" w14:paraId="7EA70A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C1068D"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29251E46" w14:textId="77777777" w:rsidR="007B3DB2" w:rsidRPr="0063248C" w:rsidRDefault="00000000">
            <w:pPr>
              <w:spacing w:line="240" w:lineRule="exact"/>
              <w:jc w:val="right"/>
              <w:rPr>
                <w:rFonts w:cs="宋体"/>
                <w:sz w:val="18"/>
                <w:szCs w:val="18"/>
              </w:rPr>
            </w:pPr>
            <w:r w:rsidRPr="0063248C">
              <w:rPr>
                <w:rFonts w:cs="宋体"/>
                <w:sz w:val="18"/>
                <w:szCs w:val="18"/>
              </w:rPr>
              <w:t>903,314,576.39</w:t>
            </w:r>
          </w:p>
        </w:tc>
        <w:tc>
          <w:tcPr>
            <w:tcW w:w="3213" w:type="dxa"/>
            <w:tcBorders>
              <w:top w:val="single" w:sz="2" w:space="0" w:color="auto"/>
              <w:left w:val="single" w:sz="2" w:space="0" w:color="auto"/>
              <w:bottom w:val="single" w:sz="2" w:space="0" w:color="auto"/>
              <w:right w:val="single" w:sz="2" w:space="0" w:color="auto"/>
            </w:tcBorders>
            <w:vAlign w:val="center"/>
          </w:tcPr>
          <w:p w14:paraId="10072F1C" w14:textId="77777777" w:rsidR="007B3DB2" w:rsidRPr="0063248C" w:rsidRDefault="00000000">
            <w:pPr>
              <w:spacing w:line="240" w:lineRule="exact"/>
              <w:jc w:val="right"/>
              <w:rPr>
                <w:rFonts w:cs="宋体"/>
                <w:sz w:val="18"/>
                <w:szCs w:val="18"/>
              </w:rPr>
            </w:pPr>
            <w:r w:rsidRPr="0063248C">
              <w:rPr>
                <w:rFonts w:cs="宋体"/>
                <w:sz w:val="18"/>
                <w:szCs w:val="18"/>
              </w:rPr>
              <w:t>749,118,356.19</w:t>
            </w:r>
          </w:p>
        </w:tc>
      </w:tr>
      <w:tr w:rsidR="007B3DB2" w:rsidRPr="0063248C" w14:paraId="3B74F4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3E6BB6"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14:paraId="1AB71FA1"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451649" w14:textId="77777777" w:rsidR="007B3DB2" w:rsidRPr="0063248C" w:rsidRDefault="007B3DB2">
            <w:pPr>
              <w:spacing w:line="240" w:lineRule="exact"/>
              <w:jc w:val="right"/>
              <w:rPr>
                <w:rFonts w:cs="宋体"/>
                <w:sz w:val="18"/>
                <w:szCs w:val="18"/>
              </w:rPr>
            </w:pPr>
          </w:p>
        </w:tc>
      </w:tr>
      <w:tr w:rsidR="007B3DB2" w:rsidRPr="0063248C" w14:paraId="4AC591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D736DF"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14:paraId="2B60B479"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F846EC" w14:textId="77777777" w:rsidR="007B3DB2" w:rsidRPr="0063248C" w:rsidRDefault="007B3DB2">
            <w:pPr>
              <w:spacing w:line="240" w:lineRule="exact"/>
              <w:jc w:val="right"/>
              <w:rPr>
                <w:rFonts w:cs="宋体"/>
                <w:sz w:val="18"/>
                <w:szCs w:val="18"/>
              </w:rPr>
            </w:pPr>
          </w:p>
        </w:tc>
      </w:tr>
      <w:tr w:rsidR="007B3DB2" w:rsidRPr="0063248C" w14:paraId="18AFAF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740C59"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70A7744" w14:textId="77777777" w:rsidR="007B3DB2" w:rsidRPr="0063248C" w:rsidRDefault="00000000">
            <w:pPr>
              <w:spacing w:line="240" w:lineRule="exact"/>
              <w:jc w:val="right"/>
              <w:rPr>
                <w:rFonts w:cs="宋体"/>
                <w:sz w:val="18"/>
                <w:szCs w:val="18"/>
              </w:rPr>
            </w:pPr>
            <w:r w:rsidRPr="0063248C">
              <w:rPr>
                <w:rFonts w:cs="宋体"/>
                <w:sz w:val="18"/>
                <w:szCs w:val="18"/>
              </w:rPr>
              <w:t>-245,372,779.17</w:t>
            </w:r>
          </w:p>
        </w:tc>
        <w:tc>
          <w:tcPr>
            <w:tcW w:w="3213" w:type="dxa"/>
            <w:tcBorders>
              <w:top w:val="single" w:sz="2" w:space="0" w:color="auto"/>
              <w:left w:val="single" w:sz="2" w:space="0" w:color="auto"/>
              <w:bottom w:val="single" w:sz="2" w:space="0" w:color="auto"/>
              <w:right w:val="single" w:sz="2" w:space="0" w:color="auto"/>
            </w:tcBorders>
            <w:vAlign w:val="center"/>
          </w:tcPr>
          <w:p w14:paraId="278E49BD" w14:textId="77777777" w:rsidR="007B3DB2" w:rsidRPr="0063248C" w:rsidRDefault="00000000">
            <w:pPr>
              <w:spacing w:line="240" w:lineRule="exact"/>
              <w:jc w:val="right"/>
              <w:rPr>
                <w:rFonts w:cs="宋体"/>
                <w:sz w:val="18"/>
                <w:szCs w:val="18"/>
              </w:rPr>
            </w:pPr>
            <w:r w:rsidRPr="0063248C">
              <w:rPr>
                <w:rFonts w:cs="宋体"/>
                <w:sz w:val="18"/>
                <w:szCs w:val="18"/>
              </w:rPr>
              <w:t>97,087,269.40</w:t>
            </w:r>
          </w:p>
        </w:tc>
      </w:tr>
    </w:tbl>
    <w:p w14:paraId="26FCEFE4" w14:textId="77777777" w:rsidR="007B3DB2" w:rsidRPr="0063248C" w:rsidRDefault="00000000">
      <w:pPr>
        <w:keepNext/>
        <w:keepLines/>
        <w:spacing w:before="300" w:after="300" w:line="280" w:lineRule="exact"/>
        <w:outlineLvl w:val="3"/>
        <w:rPr>
          <w:rFonts w:cs="宋体"/>
          <w:b/>
          <w:bCs/>
          <w:szCs w:val="21"/>
        </w:rPr>
      </w:pPr>
      <w:bookmarkStart w:id="390" w:name="_Toc989279"/>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本期支付的取得子公司的现金净额</w:t>
      </w:r>
      <w:bookmarkEnd w:id="390"/>
    </w:p>
    <w:p w14:paraId="082CE8DE" w14:textId="7D3934C8" w:rsidR="007B3DB2" w:rsidRPr="000A04E4" w:rsidRDefault="000A04E4" w:rsidP="000A04E4">
      <w:pPr>
        <w:pStyle w:val="a3"/>
        <w:rPr>
          <w:rFonts w:ascii="Times New Roman" w:hAnsi="Times New Roman"/>
          <w:sz w:val="18"/>
          <w:szCs w:val="18"/>
        </w:rPr>
      </w:pPr>
      <w:r w:rsidRPr="0063248C">
        <w:rPr>
          <w:rFonts w:ascii="Times New Roman" w:hAnsi="Times New Roman" w:hint="eastAsia"/>
          <w:sz w:val="18"/>
          <w:szCs w:val="18"/>
        </w:rPr>
        <w:t>无</w:t>
      </w:r>
    </w:p>
    <w:p w14:paraId="3DEE32F0" w14:textId="77777777" w:rsidR="007B3DB2" w:rsidRPr="0063248C" w:rsidRDefault="00000000">
      <w:pPr>
        <w:keepNext/>
        <w:keepLines/>
        <w:spacing w:before="300" w:after="300" w:line="280" w:lineRule="exact"/>
        <w:outlineLvl w:val="3"/>
        <w:rPr>
          <w:rFonts w:cs="宋体"/>
          <w:b/>
          <w:bCs/>
          <w:szCs w:val="21"/>
        </w:rPr>
      </w:pPr>
      <w:bookmarkStart w:id="391" w:name="_Toc989280"/>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本期收到的处置子公司的现金净额</w:t>
      </w:r>
      <w:bookmarkEnd w:id="391"/>
    </w:p>
    <w:p w14:paraId="39CAEEBE" w14:textId="46D7D60E" w:rsidR="007B3DB2" w:rsidRPr="000A04E4" w:rsidRDefault="000A04E4" w:rsidP="000A04E4">
      <w:pPr>
        <w:pStyle w:val="a3"/>
        <w:rPr>
          <w:rFonts w:ascii="Times New Roman" w:hAnsi="Times New Roman"/>
          <w:sz w:val="18"/>
          <w:szCs w:val="18"/>
        </w:rPr>
      </w:pPr>
      <w:r w:rsidRPr="0063248C">
        <w:rPr>
          <w:rFonts w:ascii="Times New Roman" w:hAnsi="Times New Roman" w:hint="eastAsia"/>
          <w:sz w:val="18"/>
          <w:szCs w:val="18"/>
        </w:rPr>
        <w:t>无</w:t>
      </w:r>
    </w:p>
    <w:p w14:paraId="3935CEEF" w14:textId="77777777" w:rsidR="007B3DB2" w:rsidRPr="0063248C" w:rsidRDefault="00000000">
      <w:pPr>
        <w:keepNext/>
        <w:keepLines/>
        <w:spacing w:before="300" w:after="300" w:line="280" w:lineRule="exact"/>
        <w:outlineLvl w:val="3"/>
        <w:rPr>
          <w:rFonts w:cs="宋体"/>
          <w:b/>
          <w:bCs/>
          <w:szCs w:val="21"/>
        </w:rPr>
      </w:pPr>
      <w:bookmarkStart w:id="392" w:name="_Toc989281"/>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现金和现金等价物的构成</w:t>
      </w:r>
      <w:bookmarkEnd w:id="392"/>
    </w:p>
    <w:p w14:paraId="60506D7B"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5F3A61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84EC8A"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733057"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125B0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616F53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A90256" w14:textId="77777777" w:rsidR="007B3DB2" w:rsidRPr="0063248C" w:rsidRDefault="00000000">
            <w:pPr>
              <w:spacing w:before="40" w:after="40" w:line="240" w:lineRule="exact"/>
              <w:rPr>
                <w:rFonts w:cs="宋体"/>
                <w:sz w:val="18"/>
                <w:szCs w:val="18"/>
              </w:rPr>
            </w:pPr>
            <w:r w:rsidRPr="0063248C">
              <w:rPr>
                <w:rFonts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14:paraId="37CB914F" w14:textId="77777777" w:rsidR="007B3DB2" w:rsidRPr="0063248C" w:rsidRDefault="00000000">
            <w:pPr>
              <w:spacing w:line="240" w:lineRule="exact"/>
              <w:jc w:val="right"/>
              <w:rPr>
                <w:rFonts w:cs="宋体"/>
                <w:sz w:val="18"/>
                <w:szCs w:val="18"/>
              </w:rPr>
            </w:pPr>
            <w:r w:rsidRPr="0063248C">
              <w:rPr>
                <w:rFonts w:cs="宋体"/>
                <w:sz w:val="18"/>
                <w:szCs w:val="18"/>
              </w:rPr>
              <w:t>657,941,797.22</w:t>
            </w:r>
          </w:p>
        </w:tc>
        <w:tc>
          <w:tcPr>
            <w:tcW w:w="3213" w:type="dxa"/>
            <w:tcBorders>
              <w:top w:val="single" w:sz="2" w:space="0" w:color="auto"/>
              <w:left w:val="single" w:sz="2" w:space="0" w:color="auto"/>
              <w:bottom w:val="single" w:sz="2" w:space="0" w:color="auto"/>
              <w:right w:val="single" w:sz="2" w:space="0" w:color="auto"/>
            </w:tcBorders>
            <w:vAlign w:val="center"/>
          </w:tcPr>
          <w:p w14:paraId="1792450A" w14:textId="77777777" w:rsidR="007B3DB2" w:rsidRPr="0063248C" w:rsidRDefault="00000000">
            <w:pPr>
              <w:spacing w:line="240" w:lineRule="exact"/>
              <w:jc w:val="right"/>
              <w:rPr>
                <w:rFonts w:cs="宋体"/>
                <w:sz w:val="18"/>
                <w:szCs w:val="18"/>
              </w:rPr>
            </w:pPr>
            <w:r w:rsidRPr="0063248C">
              <w:rPr>
                <w:rFonts w:cs="宋体"/>
                <w:sz w:val="18"/>
                <w:szCs w:val="18"/>
              </w:rPr>
              <w:t>903,314,576.39</w:t>
            </w:r>
          </w:p>
        </w:tc>
      </w:tr>
      <w:tr w:rsidR="007B3DB2" w:rsidRPr="0063248C" w14:paraId="4FBA6F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D39DFB" w14:textId="77777777" w:rsidR="007B3DB2" w:rsidRPr="0063248C" w:rsidRDefault="00000000">
            <w:pPr>
              <w:spacing w:before="40" w:after="40" w:line="240" w:lineRule="exact"/>
              <w:rPr>
                <w:rFonts w:cs="宋体"/>
                <w:sz w:val="18"/>
                <w:szCs w:val="18"/>
              </w:rPr>
            </w:pPr>
            <w:r w:rsidRPr="0063248C">
              <w:rPr>
                <w:rFonts w:cs="宋体"/>
                <w:sz w:val="18"/>
                <w:szCs w:val="18"/>
              </w:rPr>
              <w:t>其中：库存现金</w:t>
            </w:r>
          </w:p>
        </w:tc>
        <w:tc>
          <w:tcPr>
            <w:tcW w:w="3213" w:type="dxa"/>
            <w:tcBorders>
              <w:top w:val="single" w:sz="2" w:space="0" w:color="auto"/>
              <w:left w:val="single" w:sz="2" w:space="0" w:color="auto"/>
              <w:bottom w:val="single" w:sz="2" w:space="0" w:color="auto"/>
              <w:right w:val="single" w:sz="2" w:space="0" w:color="auto"/>
            </w:tcBorders>
            <w:vAlign w:val="center"/>
          </w:tcPr>
          <w:p w14:paraId="7F606CFD" w14:textId="77777777" w:rsidR="007B3DB2" w:rsidRPr="0063248C" w:rsidRDefault="00000000">
            <w:pPr>
              <w:spacing w:line="240" w:lineRule="exact"/>
              <w:jc w:val="right"/>
              <w:rPr>
                <w:rFonts w:cs="宋体"/>
                <w:sz w:val="18"/>
                <w:szCs w:val="18"/>
              </w:rPr>
            </w:pPr>
            <w:r w:rsidRPr="0063248C">
              <w:rPr>
                <w:rFonts w:cs="宋体"/>
                <w:sz w:val="18"/>
                <w:szCs w:val="18"/>
              </w:rPr>
              <w:t>13,206.73</w:t>
            </w:r>
          </w:p>
        </w:tc>
        <w:tc>
          <w:tcPr>
            <w:tcW w:w="3213" w:type="dxa"/>
            <w:tcBorders>
              <w:top w:val="single" w:sz="2" w:space="0" w:color="auto"/>
              <w:left w:val="single" w:sz="2" w:space="0" w:color="auto"/>
              <w:bottom w:val="single" w:sz="2" w:space="0" w:color="auto"/>
              <w:right w:val="single" w:sz="2" w:space="0" w:color="auto"/>
            </w:tcBorders>
            <w:vAlign w:val="center"/>
          </w:tcPr>
          <w:p w14:paraId="314218B4" w14:textId="77777777" w:rsidR="007B3DB2" w:rsidRPr="0063248C" w:rsidRDefault="00000000">
            <w:pPr>
              <w:spacing w:line="240" w:lineRule="exact"/>
              <w:jc w:val="right"/>
              <w:rPr>
                <w:rFonts w:cs="宋体"/>
                <w:sz w:val="18"/>
                <w:szCs w:val="18"/>
              </w:rPr>
            </w:pPr>
            <w:r w:rsidRPr="0063248C">
              <w:rPr>
                <w:rFonts w:cs="宋体"/>
                <w:sz w:val="18"/>
                <w:szCs w:val="18"/>
              </w:rPr>
              <w:t>10,752.96</w:t>
            </w:r>
          </w:p>
        </w:tc>
      </w:tr>
      <w:tr w:rsidR="007B3DB2" w:rsidRPr="0063248C" w14:paraId="30CBC1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4ED837"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14:paraId="71C98DDE" w14:textId="77777777" w:rsidR="007B3DB2" w:rsidRPr="0063248C" w:rsidRDefault="00000000">
            <w:pPr>
              <w:spacing w:line="240" w:lineRule="exact"/>
              <w:jc w:val="right"/>
              <w:rPr>
                <w:rFonts w:cs="宋体"/>
                <w:sz w:val="18"/>
                <w:szCs w:val="18"/>
              </w:rPr>
            </w:pPr>
            <w:r w:rsidRPr="0063248C">
              <w:rPr>
                <w:rFonts w:cs="宋体"/>
                <w:sz w:val="18"/>
                <w:szCs w:val="18"/>
              </w:rPr>
              <w:t>657,889,735.25</w:t>
            </w:r>
          </w:p>
        </w:tc>
        <w:tc>
          <w:tcPr>
            <w:tcW w:w="3213" w:type="dxa"/>
            <w:tcBorders>
              <w:top w:val="single" w:sz="2" w:space="0" w:color="auto"/>
              <w:left w:val="single" w:sz="2" w:space="0" w:color="auto"/>
              <w:bottom w:val="single" w:sz="2" w:space="0" w:color="auto"/>
              <w:right w:val="single" w:sz="2" w:space="0" w:color="auto"/>
            </w:tcBorders>
            <w:vAlign w:val="center"/>
          </w:tcPr>
          <w:p w14:paraId="5C548052" w14:textId="77777777" w:rsidR="007B3DB2" w:rsidRPr="0063248C" w:rsidRDefault="00000000">
            <w:pPr>
              <w:spacing w:line="240" w:lineRule="exact"/>
              <w:jc w:val="right"/>
              <w:rPr>
                <w:rFonts w:cs="宋体"/>
                <w:sz w:val="18"/>
                <w:szCs w:val="18"/>
              </w:rPr>
            </w:pPr>
            <w:r w:rsidRPr="0063248C">
              <w:rPr>
                <w:rFonts w:cs="宋体"/>
                <w:sz w:val="18"/>
                <w:szCs w:val="18"/>
              </w:rPr>
              <w:t>903,108,572.13</w:t>
            </w:r>
          </w:p>
        </w:tc>
      </w:tr>
      <w:tr w:rsidR="007B3DB2" w:rsidRPr="0063248C" w14:paraId="1D5B2F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CEF56F"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lastRenderedPageBreak/>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05AA578E" w14:textId="77777777" w:rsidR="007B3DB2" w:rsidRPr="0063248C" w:rsidRDefault="00000000">
            <w:pPr>
              <w:spacing w:line="240" w:lineRule="exact"/>
              <w:jc w:val="right"/>
              <w:rPr>
                <w:rFonts w:cs="宋体"/>
                <w:sz w:val="18"/>
                <w:szCs w:val="18"/>
              </w:rPr>
            </w:pPr>
            <w:r w:rsidRPr="0063248C">
              <w:rPr>
                <w:rFonts w:cs="宋体"/>
                <w:sz w:val="18"/>
                <w:szCs w:val="18"/>
              </w:rPr>
              <w:t>38,855.24</w:t>
            </w:r>
          </w:p>
        </w:tc>
        <w:tc>
          <w:tcPr>
            <w:tcW w:w="3213" w:type="dxa"/>
            <w:tcBorders>
              <w:top w:val="single" w:sz="2" w:space="0" w:color="auto"/>
              <w:left w:val="single" w:sz="2" w:space="0" w:color="auto"/>
              <w:bottom w:val="single" w:sz="2" w:space="0" w:color="auto"/>
              <w:right w:val="single" w:sz="2" w:space="0" w:color="auto"/>
            </w:tcBorders>
            <w:vAlign w:val="center"/>
          </w:tcPr>
          <w:p w14:paraId="72ED86D9" w14:textId="77777777" w:rsidR="007B3DB2" w:rsidRPr="0063248C" w:rsidRDefault="00000000">
            <w:pPr>
              <w:spacing w:line="240" w:lineRule="exact"/>
              <w:jc w:val="right"/>
              <w:rPr>
                <w:rFonts w:cs="宋体"/>
                <w:sz w:val="18"/>
                <w:szCs w:val="18"/>
              </w:rPr>
            </w:pPr>
            <w:r w:rsidRPr="0063248C">
              <w:rPr>
                <w:rFonts w:cs="宋体"/>
                <w:sz w:val="18"/>
                <w:szCs w:val="18"/>
              </w:rPr>
              <w:t>195,251.30</w:t>
            </w:r>
          </w:p>
        </w:tc>
      </w:tr>
      <w:tr w:rsidR="007B3DB2" w:rsidRPr="0063248C" w14:paraId="6698E4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4337B5" w14:textId="77777777" w:rsidR="007B3DB2" w:rsidRPr="0063248C" w:rsidRDefault="00000000">
            <w:pPr>
              <w:spacing w:before="40" w:after="40" w:line="240" w:lineRule="exact"/>
              <w:rPr>
                <w:rFonts w:cs="宋体"/>
                <w:sz w:val="18"/>
                <w:szCs w:val="18"/>
              </w:rPr>
            </w:pPr>
            <w:r w:rsidRPr="0063248C">
              <w:rPr>
                <w:rFonts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03BCF0A0" w14:textId="77777777" w:rsidR="007B3DB2" w:rsidRPr="0063248C" w:rsidRDefault="00000000">
            <w:pPr>
              <w:spacing w:line="240" w:lineRule="exact"/>
              <w:jc w:val="right"/>
              <w:rPr>
                <w:rFonts w:cs="宋体"/>
                <w:sz w:val="18"/>
                <w:szCs w:val="18"/>
              </w:rPr>
            </w:pPr>
            <w:r w:rsidRPr="0063248C">
              <w:rPr>
                <w:rFonts w:cs="宋体"/>
                <w:sz w:val="18"/>
                <w:szCs w:val="18"/>
              </w:rPr>
              <w:t>657,941,797.22</w:t>
            </w:r>
          </w:p>
        </w:tc>
        <w:tc>
          <w:tcPr>
            <w:tcW w:w="3213" w:type="dxa"/>
            <w:tcBorders>
              <w:top w:val="single" w:sz="2" w:space="0" w:color="auto"/>
              <w:left w:val="single" w:sz="2" w:space="0" w:color="auto"/>
              <w:bottom w:val="single" w:sz="2" w:space="0" w:color="auto"/>
              <w:right w:val="single" w:sz="2" w:space="0" w:color="auto"/>
            </w:tcBorders>
            <w:vAlign w:val="center"/>
          </w:tcPr>
          <w:p w14:paraId="0267E3C0" w14:textId="77777777" w:rsidR="007B3DB2" w:rsidRPr="0063248C" w:rsidRDefault="00000000">
            <w:pPr>
              <w:spacing w:line="240" w:lineRule="exact"/>
              <w:jc w:val="right"/>
              <w:rPr>
                <w:rFonts w:cs="宋体"/>
                <w:sz w:val="18"/>
                <w:szCs w:val="18"/>
              </w:rPr>
            </w:pPr>
            <w:r w:rsidRPr="0063248C">
              <w:rPr>
                <w:rFonts w:cs="宋体"/>
                <w:sz w:val="18"/>
                <w:szCs w:val="18"/>
              </w:rPr>
              <w:t>903,314,576.39</w:t>
            </w:r>
          </w:p>
        </w:tc>
      </w:tr>
    </w:tbl>
    <w:p w14:paraId="127027D4" w14:textId="77777777" w:rsidR="007B3DB2" w:rsidRPr="0063248C" w:rsidRDefault="00000000">
      <w:pPr>
        <w:keepNext/>
        <w:keepLines/>
        <w:spacing w:before="300" w:after="300" w:line="280" w:lineRule="exact"/>
        <w:outlineLvl w:val="3"/>
        <w:rPr>
          <w:rFonts w:cs="宋体"/>
          <w:b/>
          <w:bCs/>
          <w:szCs w:val="21"/>
        </w:rPr>
      </w:pPr>
      <w:bookmarkStart w:id="393" w:name="_Toc989282"/>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使用范围受限但仍属于现金及现金等价物列示的情况</w:t>
      </w:r>
      <w:bookmarkEnd w:id="393"/>
    </w:p>
    <w:p w14:paraId="13C5EE13" w14:textId="77777777" w:rsidR="000A04E4" w:rsidRPr="0063248C" w:rsidRDefault="000A04E4" w:rsidP="000A04E4">
      <w:pPr>
        <w:pStyle w:val="a3"/>
        <w:rPr>
          <w:rFonts w:ascii="Times New Roman" w:hAnsi="Times New Roman"/>
          <w:sz w:val="18"/>
          <w:szCs w:val="18"/>
        </w:rPr>
      </w:pPr>
      <w:bookmarkStart w:id="394" w:name="_Toc989283"/>
      <w:r w:rsidRPr="0063248C">
        <w:rPr>
          <w:rFonts w:ascii="Times New Roman" w:hAnsi="Times New Roman" w:hint="eastAsia"/>
          <w:sz w:val="18"/>
          <w:szCs w:val="18"/>
        </w:rPr>
        <w:t>无</w:t>
      </w:r>
    </w:p>
    <w:p w14:paraId="231D377A"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6</w:t>
      </w:r>
      <w:r w:rsidRPr="0063248C">
        <w:rPr>
          <w:rFonts w:cs="宋体"/>
          <w:b/>
          <w:bCs/>
          <w:szCs w:val="21"/>
        </w:rPr>
        <w:t>）</w:t>
      </w:r>
      <w:r w:rsidRPr="0063248C">
        <w:rPr>
          <w:rFonts w:cs="宋体"/>
          <w:b/>
          <w:bCs/>
          <w:szCs w:val="21"/>
        </w:rPr>
        <w:t xml:space="preserve"> </w:t>
      </w:r>
      <w:r w:rsidRPr="0063248C">
        <w:rPr>
          <w:rFonts w:cs="宋体"/>
          <w:b/>
          <w:bCs/>
          <w:szCs w:val="21"/>
        </w:rPr>
        <w:t>不属于现金及现金等价物的货币资金</w:t>
      </w:r>
      <w:bookmarkEnd w:id="394"/>
    </w:p>
    <w:p w14:paraId="32E61644"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2FED049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FF10B77"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D51A920"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0D202BF"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C03638" w14:textId="77777777" w:rsidR="007B3DB2" w:rsidRPr="0063248C" w:rsidRDefault="00000000">
            <w:pPr>
              <w:spacing w:before="40" w:after="40" w:line="240" w:lineRule="exact"/>
              <w:jc w:val="center"/>
              <w:rPr>
                <w:rFonts w:cs="宋体"/>
                <w:sz w:val="18"/>
                <w:szCs w:val="18"/>
              </w:rPr>
            </w:pPr>
            <w:r w:rsidRPr="0063248C">
              <w:rPr>
                <w:rFonts w:cs="宋体"/>
                <w:sz w:val="18"/>
                <w:szCs w:val="18"/>
              </w:rPr>
              <w:t>不属于现金及现金等价物的理由</w:t>
            </w:r>
          </w:p>
        </w:tc>
      </w:tr>
      <w:tr w:rsidR="007B3DB2" w:rsidRPr="0063248C" w14:paraId="40D8DDD4"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2D52331" w14:textId="77777777" w:rsidR="007B3DB2" w:rsidRPr="0063248C" w:rsidRDefault="00000000">
            <w:pPr>
              <w:spacing w:line="240" w:lineRule="exact"/>
              <w:rPr>
                <w:rFonts w:cs="宋体"/>
                <w:sz w:val="18"/>
                <w:szCs w:val="18"/>
              </w:rPr>
            </w:pPr>
            <w:r w:rsidRPr="0063248C">
              <w:rPr>
                <w:rFonts w:cs="宋体"/>
                <w:sz w:val="18"/>
                <w:szCs w:val="18"/>
              </w:rPr>
              <w:t>信用证、承兑汇票保证金及利息</w:t>
            </w:r>
          </w:p>
        </w:tc>
        <w:tc>
          <w:tcPr>
            <w:tcW w:w="2410" w:type="dxa"/>
            <w:tcBorders>
              <w:top w:val="single" w:sz="2" w:space="0" w:color="auto"/>
              <w:left w:val="single" w:sz="2" w:space="0" w:color="auto"/>
              <w:bottom w:val="single" w:sz="2" w:space="0" w:color="auto"/>
              <w:right w:val="single" w:sz="2" w:space="0" w:color="auto"/>
            </w:tcBorders>
            <w:vAlign w:val="center"/>
          </w:tcPr>
          <w:p w14:paraId="35B3D396" w14:textId="77777777" w:rsidR="007B3DB2" w:rsidRPr="0063248C" w:rsidRDefault="00000000">
            <w:pPr>
              <w:spacing w:line="240" w:lineRule="exact"/>
              <w:jc w:val="right"/>
              <w:rPr>
                <w:rFonts w:cs="宋体"/>
                <w:sz w:val="18"/>
                <w:szCs w:val="18"/>
              </w:rPr>
            </w:pPr>
            <w:r w:rsidRPr="0063248C">
              <w:rPr>
                <w:rFonts w:cs="宋体"/>
                <w:sz w:val="18"/>
                <w:szCs w:val="18"/>
              </w:rPr>
              <w:t>354,838,123.67</w:t>
            </w:r>
          </w:p>
        </w:tc>
        <w:tc>
          <w:tcPr>
            <w:tcW w:w="2410" w:type="dxa"/>
            <w:tcBorders>
              <w:top w:val="single" w:sz="2" w:space="0" w:color="auto"/>
              <w:left w:val="single" w:sz="2" w:space="0" w:color="auto"/>
              <w:bottom w:val="single" w:sz="2" w:space="0" w:color="auto"/>
              <w:right w:val="single" w:sz="2" w:space="0" w:color="auto"/>
            </w:tcBorders>
            <w:vAlign w:val="center"/>
          </w:tcPr>
          <w:p w14:paraId="4EC8F197" w14:textId="77777777" w:rsidR="007B3DB2" w:rsidRPr="0063248C" w:rsidRDefault="00000000">
            <w:pPr>
              <w:spacing w:line="240" w:lineRule="exact"/>
              <w:jc w:val="right"/>
              <w:rPr>
                <w:rFonts w:cs="宋体"/>
                <w:sz w:val="18"/>
                <w:szCs w:val="18"/>
              </w:rPr>
            </w:pPr>
            <w:r w:rsidRPr="0063248C">
              <w:rPr>
                <w:rFonts w:cs="宋体"/>
                <w:sz w:val="18"/>
                <w:szCs w:val="18"/>
              </w:rPr>
              <w:t>375,048,242.45</w:t>
            </w:r>
          </w:p>
        </w:tc>
        <w:tc>
          <w:tcPr>
            <w:tcW w:w="2410" w:type="dxa"/>
            <w:tcBorders>
              <w:top w:val="single" w:sz="2" w:space="0" w:color="auto"/>
              <w:left w:val="single" w:sz="2" w:space="0" w:color="auto"/>
              <w:bottom w:val="single" w:sz="2" w:space="0" w:color="auto"/>
              <w:right w:val="single" w:sz="2" w:space="0" w:color="auto"/>
            </w:tcBorders>
            <w:vAlign w:val="center"/>
          </w:tcPr>
          <w:p w14:paraId="0DE90E5E" w14:textId="77777777" w:rsidR="007B3DB2" w:rsidRPr="0063248C" w:rsidRDefault="00000000" w:rsidP="000A04E4">
            <w:pPr>
              <w:spacing w:line="240" w:lineRule="exact"/>
              <w:jc w:val="center"/>
              <w:rPr>
                <w:rFonts w:cs="宋体"/>
                <w:sz w:val="18"/>
                <w:szCs w:val="18"/>
              </w:rPr>
            </w:pPr>
            <w:r w:rsidRPr="0063248C">
              <w:rPr>
                <w:rFonts w:cs="宋体"/>
                <w:sz w:val="18"/>
                <w:szCs w:val="18"/>
              </w:rPr>
              <w:t>受限</w:t>
            </w:r>
          </w:p>
        </w:tc>
      </w:tr>
      <w:tr w:rsidR="007B3DB2" w:rsidRPr="0063248C" w14:paraId="7F86365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AC2D1E6" w14:textId="77777777" w:rsidR="007B3DB2" w:rsidRPr="0063248C" w:rsidRDefault="00000000">
            <w:pPr>
              <w:spacing w:line="240" w:lineRule="exact"/>
              <w:rPr>
                <w:rFonts w:cs="宋体"/>
                <w:sz w:val="18"/>
                <w:szCs w:val="18"/>
              </w:rPr>
            </w:pPr>
            <w:r w:rsidRPr="0063248C">
              <w:rPr>
                <w:rFonts w:cs="宋体"/>
                <w:sz w:val="18"/>
                <w:szCs w:val="18"/>
              </w:rPr>
              <w:t>单用途预付卡保证金</w:t>
            </w:r>
          </w:p>
        </w:tc>
        <w:tc>
          <w:tcPr>
            <w:tcW w:w="2410" w:type="dxa"/>
            <w:tcBorders>
              <w:top w:val="single" w:sz="2" w:space="0" w:color="auto"/>
              <w:left w:val="single" w:sz="2" w:space="0" w:color="auto"/>
              <w:bottom w:val="single" w:sz="2" w:space="0" w:color="auto"/>
              <w:right w:val="single" w:sz="2" w:space="0" w:color="auto"/>
            </w:tcBorders>
            <w:vAlign w:val="center"/>
          </w:tcPr>
          <w:p w14:paraId="7EFB541F" w14:textId="77777777" w:rsidR="007B3DB2" w:rsidRPr="0063248C" w:rsidRDefault="00000000">
            <w:pPr>
              <w:spacing w:line="240" w:lineRule="exact"/>
              <w:jc w:val="right"/>
              <w:rPr>
                <w:rFonts w:cs="宋体"/>
                <w:sz w:val="18"/>
                <w:szCs w:val="18"/>
              </w:rPr>
            </w:pPr>
            <w:r w:rsidRPr="0063248C">
              <w:rPr>
                <w:rFonts w:cs="宋体"/>
                <w:sz w:val="18"/>
                <w:szCs w:val="18"/>
              </w:rPr>
              <w:t>1,464,323.83</w:t>
            </w:r>
          </w:p>
        </w:tc>
        <w:tc>
          <w:tcPr>
            <w:tcW w:w="2410" w:type="dxa"/>
            <w:tcBorders>
              <w:top w:val="single" w:sz="2" w:space="0" w:color="auto"/>
              <w:left w:val="single" w:sz="2" w:space="0" w:color="auto"/>
              <w:bottom w:val="single" w:sz="2" w:space="0" w:color="auto"/>
              <w:right w:val="single" w:sz="2" w:space="0" w:color="auto"/>
            </w:tcBorders>
            <w:vAlign w:val="center"/>
          </w:tcPr>
          <w:p w14:paraId="0AD714DD"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8480F77" w14:textId="77777777" w:rsidR="007B3DB2" w:rsidRPr="0063248C" w:rsidRDefault="00000000" w:rsidP="000A04E4">
            <w:pPr>
              <w:spacing w:line="240" w:lineRule="exact"/>
              <w:jc w:val="center"/>
              <w:rPr>
                <w:rFonts w:cs="宋体"/>
                <w:sz w:val="18"/>
                <w:szCs w:val="18"/>
              </w:rPr>
            </w:pPr>
            <w:r w:rsidRPr="0063248C">
              <w:rPr>
                <w:rFonts w:cs="宋体"/>
                <w:sz w:val="18"/>
                <w:szCs w:val="18"/>
              </w:rPr>
              <w:t>受限</w:t>
            </w:r>
          </w:p>
        </w:tc>
      </w:tr>
      <w:tr w:rsidR="007B3DB2" w:rsidRPr="0063248C" w14:paraId="5C9F49F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AE0DB50" w14:textId="77777777" w:rsidR="007B3DB2" w:rsidRPr="0063248C" w:rsidRDefault="00000000">
            <w:pPr>
              <w:spacing w:line="240" w:lineRule="exact"/>
              <w:rPr>
                <w:rFonts w:cs="宋体"/>
                <w:sz w:val="18"/>
                <w:szCs w:val="18"/>
              </w:rPr>
            </w:pPr>
            <w:r w:rsidRPr="0063248C">
              <w:rPr>
                <w:rFonts w:cs="宋体"/>
                <w:sz w:val="18"/>
                <w:szCs w:val="18"/>
              </w:rPr>
              <w:t>存出投资款</w:t>
            </w:r>
          </w:p>
        </w:tc>
        <w:tc>
          <w:tcPr>
            <w:tcW w:w="2410" w:type="dxa"/>
            <w:tcBorders>
              <w:top w:val="single" w:sz="2" w:space="0" w:color="auto"/>
              <w:left w:val="single" w:sz="2" w:space="0" w:color="auto"/>
              <w:bottom w:val="single" w:sz="2" w:space="0" w:color="auto"/>
              <w:right w:val="single" w:sz="2" w:space="0" w:color="auto"/>
            </w:tcBorders>
            <w:vAlign w:val="center"/>
          </w:tcPr>
          <w:p w14:paraId="7F4A6F30" w14:textId="77777777" w:rsidR="007B3DB2" w:rsidRPr="0063248C" w:rsidRDefault="00000000">
            <w:pPr>
              <w:spacing w:line="240" w:lineRule="exact"/>
              <w:jc w:val="right"/>
              <w:rPr>
                <w:rFonts w:cs="宋体"/>
                <w:sz w:val="18"/>
                <w:szCs w:val="18"/>
              </w:rPr>
            </w:pPr>
            <w:r w:rsidRPr="0063248C">
              <w:rPr>
                <w:rFonts w:cs="宋体"/>
                <w:sz w:val="18"/>
                <w:szCs w:val="18"/>
              </w:rPr>
              <w:t>11,891.48</w:t>
            </w:r>
          </w:p>
        </w:tc>
        <w:tc>
          <w:tcPr>
            <w:tcW w:w="2410" w:type="dxa"/>
            <w:tcBorders>
              <w:top w:val="single" w:sz="2" w:space="0" w:color="auto"/>
              <w:left w:val="single" w:sz="2" w:space="0" w:color="auto"/>
              <w:bottom w:val="single" w:sz="2" w:space="0" w:color="auto"/>
              <w:right w:val="single" w:sz="2" w:space="0" w:color="auto"/>
            </w:tcBorders>
            <w:vAlign w:val="center"/>
          </w:tcPr>
          <w:p w14:paraId="6598908D"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8EE64D7" w14:textId="77777777" w:rsidR="007B3DB2" w:rsidRPr="0063248C" w:rsidRDefault="00000000" w:rsidP="000A04E4">
            <w:pPr>
              <w:spacing w:line="240" w:lineRule="exact"/>
              <w:jc w:val="center"/>
              <w:rPr>
                <w:rFonts w:cs="宋体"/>
                <w:sz w:val="18"/>
                <w:szCs w:val="18"/>
              </w:rPr>
            </w:pPr>
            <w:r w:rsidRPr="0063248C">
              <w:rPr>
                <w:rFonts w:cs="宋体"/>
                <w:sz w:val="18"/>
                <w:szCs w:val="18"/>
              </w:rPr>
              <w:t>受限</w:t>
            </w:r>
          </w:p>
        </w:tc>
      </w:tr>
      <w:tr w:rsidR="007B3DB2" w:rsidRPr="0063248C" w14:paraId="6B4791F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5E696D3"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5A34F8AA" w14:textId="77777777" w:rsidR="007B3DB2" w:rsidRPr="0063248C" w:rsidRDefault="00000000">
            <w:pPr>
              <w:spacing w:line="240" w:lineRule="exact"/>
              <w:jc w:val="right"/>
              <w:rPr>
                <w:rFonts w:cs="宋体"/>
                <w:sz w:val="18"/>
                <w:szCs w:val="18"/>
              </w:rPr>
            </w:pPr>
            <w:r w:rsidRPr="0063248C">
              <w:rPr>
                <w:rFonts w:cs="宋体"/>
                <w:sz w:val="18"/>
                <w:szCs w:val="18"/>
              </w:rPr>
              <w:t>356,314,338.98</w:t>
            </w:r>
          </w:p>
        </w:tc>
        <w:tc>
          <w:tcPr>
            <w:tcW w:w="2410" w:type="dxa"/>
            <w:tcBorders>
              <w:top w:val="single" w:sz="2" w:space="0" w:color="auto"/>
              <w:left w:val="single" w:sz="2" w:space="0" w:color="auto"/>
              <w:bottom w:val="single" w:sz="2" w:space="0" w:color="auto"/>
              <w:right w:val="single" w:sz="2" w:space="0" w:color="auto"/>
            </w:tcBorders>
            <w:vAlign w:val="center"/>
          </w:tcPr>
          <w:p w14:paraId="3D346DB2" w14:textId="77777777" w:rsidR="007B3DB2" w:rsidRPr="0063248C" w:rsidRDefault="00000000">
            <w:pPr>
              <w:spacing w:line="240" w:lineRule="exact"/>
              <w:jc w:val="right"/>
              <w:rPr>
                <w:rFonts w:cs="宋体"/>
                <w:sz w:val="18"/>
                <w:szCs w:val="18"/>
              </w:rPr>
            </w:pPr>
            <w:r w:rsidRPr="0063248C">
              <w:rPr>
                <w:rFonts w:cs="宋体"/>
                <w:sz w:val="18"/>
                <w:szCs w:val="18"/>
              </w:rPr>
              <w:t>375,048,242.45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F611AA3" w14:textId="77777777" w:rsidR="007B3DB2" w:rsidRPr="0063248C" w:rsidRDefault="007B3DB2" w:rsidP="000A04E4">
            <w:pPr>
              <w:jc w:val="center"/>
            </w:pPr>
          </w:p>
        </w:tc>
      </w:tr>
    </w:tbl>
    <w:p w14:paraId="33B6A344"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00A243F2" w14:textId="77777777" w:rsidR="00517D34" w:rsidRPr="0063248C" w:rsidRDefault="00000000">
      <w:pPr>
        <w:pStyle w:val="a3"/>
        <w:divId w:val="1423911040"/>
        <w:rPr>
          <w:rFonts w:ascii="Times New Roman" w:hAnsi="Times New Roman"/>
          <w:sz w:val="18"/>
          <w:szCs w:val="18"/>
        </w:rPr>
      </w:pPr>
      <w:r w:rsidRPr="0063248C">
        <w:rPr>
          <w:rFonts w:ascii="Times New Roman" w:hAnsi="Times New Roman" w:hint="eastAsia"/>
          <w:sz w:val="18"/>
          <w:szCs w:val="18"/>
        </w:rPr>
        <w:t>无</w:t>
      </w:r>
    </w:p>
    <w:p w14:paraId="6C153F07" w14:textId="77777777" w:rsidR="007B3DB2" w:rsidRPr="0063248C" w:rsidRDefault="00000000">
      <w:pPr>
        <w:keepNext/>
        <w:keepLines/>
        <w:spacing w:before="300" w:after="300" w:line="280" w:lineRule="exact"/>
        <w:outlineLvl w:val="3"/>
        <w:rPr>
          <w:rFonts w:cs="宋体"/>
          <w:b/>
          <w:bCs/>
          <w:szCs w:val="21"/>
        </w:rPr>
      </w:pPr>
      <w:bookmarkStart w:id="395" w:name="_Toc989284"/>
      <w:r w:rsidRPr="0063248C">
        <w:rPr>
          <w:rFonts w:cs="宋体"/>
          <w:b/>
          <w:bCs/>
          <w:szCs w:val="21"/>
        </w:rPr>
        <w:t>（</w:t>
      </w:r>
      <w:r w:rsidRPr="0063248C">
        <w:rPr>
          <w:rFonts w:cs="宋体"/>
          <w:b/>
          <w:bCs/>
          <w:szCs w:val="21"/>
        </w:rPr>
        <w:t>7</w:t>
      </w:r>
      <w:r w:rsidRPr="0063248C">
        <w:rPr>
          <w:rFonts w:cs="宋体"/>
          <w:b/>
          <w:bCs/>
          <w:szCs w:val="21"/>
        </w:rPr>
        <w:t>）</w:t>
      </w:r>
      <w:r w:rsidRPr="0063248C">
        <w:rPr>
          <w:rFonts w:cs="宋体"/>
          <w:b/>
          <w:bCs/>
          <w:szCs w:val="21"/>
        </w:rPr>
        <w:t xml:space="preserve"> </w:t>
      </w:r>
      <w:r w:rsidRPr="0063248C">
        <w:rPr>
          <w:rFonts w:cs="宋体"/>
          <w:b/>
          <w:bCs/>
          <w:szCs w:val="21"/>
        </w:rPr>
        <w:t>其他重大活动说明</w:t>
      </w:r>
      <w:bookmarkEnd w:id="395"/>
    </w:p>
    <w:p w14:paraId="061FDE84" w14:textId="77777777" w:rsidR="00517D34" w:rsidRPr="0063248C" w:rsidRDefault="00000000">
      <w:pPr>
        <w:pStyle w:val="a3"/>
        <w:divId w:val="1299146004"/>
        <w:rPr>
          <w:rFonts w:ascii="Times New Roman" w:hAnsi="Times New Roman"/>
          <w:sz w:val="18"/>
          <w:szCs w:val="18"/>
        </w:rPr>
      </w:pPr>
      <w:r w:rsidRPr="0063248C">
        <w:rPr>
          <w:rFonts w:ascii="Times New Roman" w:hAnsi="Times New Roman" w:hint="eastAsia"/>
          <w:sz w:val="18"/>
          <w:szCs w:val="18"/>
        </w:rPr>
        <w:t>无</w:t>
      </w:r>
    </w:p>
    <w:p w14:paraId="0FA82D6C" w14:textId="77777777" w:rsidR="007B3DB2" w:rsidRPr="0063248C" w:rsidRDefault="00000000">
      <w:pPr>
        <w:pStyle w:val="3"/>
        <w:spacing w:line="280" w:lineRule="exact"/>
        <w:jc w:val="left"/>
        <w:rPr>
          <w:rFonts w:cs="宋体"/>
          <w:b/>
          <w:bCs/>
        </w:rPr>
      </w:pPr>
      <w:bookmarkStart w:id="396" w:name="_Toc989285"/>
      <w:r w:rsidRPr="0063248C">
        <w:rPr>
          <w:rFonts w:cs="宋体"/>
          <w:b/>
          <w:bCs/>
        </w:rPr>
        <w:t>80</w:t>
      </w:r>
      <w:r w:rsidRPr="0063248C">
        <w:rPr>
          <w:rFonts w:cs="宋体"/>
          <w:b/>
          <w:bCs/>
        </w:rPr>
        <w:t>、所有者权益变动</w:t>
      </w:r>
      <w:proofErr w:type="gramStart"/>
      <w:r w:rsidRPr="0063248C">
        <w:rPr>
          <w:rFonts w:cs="宋体"/>
          <w:b/>
          <w:bCs/>
        </w:rPr>
        <w:t>表项目</w:t>
      </w:r>
      <w:proofErr w:type="gramEnd"/>
      <w:r w:rsidRPr="0063248C">
        <w:rPr>
          <w:rFonts w:cs="宋体"/>
          <w:b/>
          <w:bCs/>
        </w:rPr>
        <w:t>注释</w:t>
      </w:r>
      <w:bookmarkEnd w:id="396"/>
    </w:p>
    <w:p w14:paraId="41E335F1" w14:textId="77777777" w:rsidR="007B3DB2" w:rsidRPr="0063248C" w:rsidRDefault="00000000">
      <w:pPr>
        <w:spacing w:before="100" w:after="100" w:line="240" w:lineRule="exact"/>
        <w:rPr>
          <w:rFonts w:cs="宋体"/>
          <w:sz w:val="18"/>
          <w:szCs w:val="18"/>
        </w:rPr>
      </w:pPr>
      <w:r w:rsidRPr="0063248C">
        <w:rPr>
          <w:rFonts w:cs="宋体"/>
          <w:sz w:val="18"/>
          <w:szCs w:val="18"/>
        </w:rPr>
        <w:t>说明对上年年末余额进行调整的</w:t>
      </w:r>
      <w:r w:rsidRPr="0063248C">
        <w:rPr>
          <w:rFonts w:cs="宋体"/>
          <w:sz w:val="18"/>
          <w:szCs w:val="18"/>
        </w:rPr>
        <w:t>“</w:t>
      </w:r>
      <w:r w:rsidRPr="0063248C">
        <w:rPr>
          <w:rFonts w:cs="宋体"/>
          <w:sz w:val="18"/>
          <w:szCs w:val="18"/>
        </w:rPr>
        <w:t>其他</w:t>
      </w:r>
      <w:r w:rsidRPr="0063248C">
        <w:rPr>
          <w:rFonts w:cs="宋体"/>
          <w:sz w:val="18"/>
          <w:szCs w:val="18"/>
        </w:rPr>
        <w:t>”</w:t>
      </w:r>
      <w:r w:rsidRPr="0063248C">
        <w:rPr>
          <w:rFonts w:cs="宋体"/>
          <w:sz w:val="18"/>
          <w:szCs w:val="18"/>
        </w:rPr>
        <w:t>项目名称及调整金额等事项：</w:t>
      </w:r>
    </w:p>
    <w:p w14:paraId="449930BF" w14:textId="77777777" w:rsidR="00517D34" w:rsidRPr="0063248C" w:rsidRDefault="00000000">
      <w:pPr>
        <w:pStyle w:val="a3"/>
        <w:divId w:val="1399134582"/>
        <w:rPr>
          <w:rFonts w:ascii="Times New Roman" w:hAnsi="Times New Roman"/>
          <w:sz w:val="18"/>
          <w:szCs w:val="18"/>
        </w:rPr>
      </w:pPr>
      <w:r w:rsidRPr="0063248C">
        <w:rPr>
          <w:rFonts w:ascii="Times New Roman" w:hAnsi="Times New Roman" w:hint="eastAsia"/>
          <w:sz w:val="18"/>
          <w:szCs w:val="18"/>
        </w:rPr>
        <w:t>无</w:t>
      </w:r>
    </w:p>
    <w:p w14:paraId="43EFF331" w14:textId="77777777" w:rsidR="007B3DB2" w:rsidRPr="0063248C" w:rsidRDefault="00000000">
      <w:pPr>
        <w:pStyle w:val="3"/>
        <w:spacing w:line="280" w:lineRule="exact"/>
        <w:jc w:val="left"/>
        <w:rPr>
          <w:rFonts w:cs="宋体"/>
          <w:b/>
          <w:bCs/>
        </w:rPr>
      </w:pPr>
      <w:bookmarkStart w:id="397" w:name="_Toc989286"/>
      <w:r w:rsidRPr="0063248C">
        <w:rPr>
          <w:rFonts w:cs="宋体"/>
          <w:b/>
          <w:bCs/>
        </w:rPr>
        <w:t>81</w:t>
      </w:r>
      <w:r w:rsidRPr="0063248C">
        <w:rPr>
          <w:rFonts w:cs="宋体"/>
          <w:b/>
          <w:bCs/>
        </w:rPr>
        <w:t>、外币货币性项目</w:t>
      </w:r>
      <w:bookmarkEnd w:id="397"/>
    </w:p>
    <w:p w14:paraId="6751768A" w14:textId="77777777" w:rsidR="007B3DB2" w:rsidRPr="0063248C" w:rsidRDefault="00000000">
      <w:pPr>
        <w:keepNext/>
        <w:keepLines/>
        <w:spacing w:before="300" w:after="300" w:line="280" w:lineRule="exact"/>
        <w:outlineLvl w:val="3"/>
        <w:rPr>
          <w:rFonts w:cs="宋体"/>
          <w:b/>
          <w:bCs/>
          <w:szCs w:val="21"/>
        </w:rPr>
      </w:pPr>
      <w:bookmarkStart w:id="398" w:name="_Toc989287"/>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外币货币性项目</w:t>
      </w:r>
      <w:bookmarkEnd w:id="398"/>
    </w:p>
    <w:p w14:paraId="3B3D80DF"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5BBC0BE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185C4B3"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3D7F12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E4A3A42" w14:textId="77777777" w:rsidR="007B3DB2" w:rsidRPr="0063248C" w:rsidRDefault="00000000">
            <w:pPr>
              <w:spacing w:before="40" w:after="40" w:line="240" w:lineRule="exact"/>
              <w:jc w:val="center"/>
              <w:rPr>
                <w:rFonts w:cs="宋体"/>
                <w:sz w:val="18"/>
                <w:szCs w:val="18"/>
              </w:rPr>
            </w:pPr>
            <w:r w:rsidRPr="0063248C">
              <w:rPr>
                <w:rFonts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0A9C375"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期末折算人民币余额</w:t>
            </w:r>
          </w:p>
        </w:tc>
      </w:tr>
      <w:tr w:rsidR="007B3DB2" w:rsidRPr="0063248C" w14:paraId="74774A2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822C503" w14:textId="77777777" w:rsidR="007B3DB2" w:rsidRPr="0063248C" w:rsidRDefault="00000000">
            <w:pPr>
              <w:spacing w:before="40" w:after="40" w:line="240" w:lineRule="exact"/>
              <w:rPr>
                <w:rFonts w:cs="宋体"/>
                <w:sz w:val="18"/>
                <w:szCs w:val="18"/>
              </w:rPr>
            </w:pPr>
            <w:r w:rsidRPr="0063248C">
              <w:rPr>
                <w:rFonts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ECE13A"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2893F71"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vAlign w:val="center"/>
          </w:tcPr>
          <w:p w14:paraId="2653B5EF" w14:textId="77777777" w:rsidR="007B3DB2" w:rsidRPr="0063248C" w:rsidRDefault="00000000">
            <w:pPr>
              <w:spacing w:line="240" w:lineRule="exact"/>
              <w:jc w:val="right"/>
              <w:rPr>
                <w:rFonts w:cs="宋体"/>
                <w:sz w:val="18"/>
                <w:szCs w:val="18"/>
              </w:rPr>
            </w:pPr>
            <w:r w:rsidRPr="0063248C">
              <w:rPr>
                <w:rFonts w:cs="宋体"/>
                <w:sz w:val="18"/>
                <w:szCs w:val="18"/>
              </w:rPr>
              <w:t>99,445.88</w:t>
            </w:r>
          </w:p>
        </w:tc>
      </w:tr>
      <w:tr w:rsidR="007B3DB2" w:rsidRPr="0063248C" w14:paraId="5344F66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F65443E" w14:textId="77777777" w:rsidR="007B3DB2" w:rsidRPr="0063248C" w:rsidRDefault="00000000">
            <w:pPr>
              <w:spacing w:before="40" w:after="40" w:line="240" w:lineRule="exact"/>
              <w:rPr>
                <w:rFonts w:cs="宋体"/>
                <w:sz w:val="18"/>
                <w:szCs w:val="18"/>
              </w:rPr>
            </w:pPr>
            <w:r w:rsidRPr="0063248C">
              <w:rPr>
                <w:rFonts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0AF7B24D" w14:textId="77777777" w:rsidR="007B3DB2" w:rsidRPr="0063248C" w:rsidRDefault="00000000">
            <w:pPr>
              <w:spacing w:line="240" w:lineRule="exact"/>
              <w:jc w:val="right"/>
              <w:rPr>
                <w:rFonts w:cs="宋体"/>
                <w:sz w:val="18"/>
                <w:szCs w:val="18"/>
              </w:rPr>
            </w:pPr>
            <w:r w:rsidRPr="0063248C">
              <w:rPr>
                <w:rFonts w:cs="宋体"/>
                <w:sz w:val="18"/>
                <w:szCs w:val="18"/>
              </w:rPr>
              <w:t>13,953.78</w:t>
            </w:r>
          </w:p>
        </w:tc>
        <w:tc>
          <w:tcPr>
            <w:tcW w:w="2410" w:type="dxa"/>
            <w:tcBorders>
              <w:top w:val="single" w:sz="2" w:space="0" w:color="auto"/>
              <w:left w:val="single" w:sz="2" w:space="0" w:color="auto"/>
              <w:bottom w:val="single" w:sz="2" w:space="0" w:color="auto"/>
              <w:right w:val="single" w:sz="2" w:space="0" w:color="auto"/>
            </w:tcBorders>
            <w:vAlign w:val="center"/>
          </w:tcPr>
          <w:p w14:paraId="5B7FFB27" w14:textId="77777777" w:rsidR="007B3DB2" w:rsidRPr="0063248C" w:rsidRDefault="00000000">
            <w:pPr>
              <w:spacing w:line="240" w:lineRule="exact"/>
              <w:rPr>
                <w:rFonts w:cs="宋体"/>
                <w:sz w:val="18"/>
                <w:szCs w:val="18"/>
              </w:rPr>
            </w:pPr>
            <w:r w:rsidRPr="0063248C">
              <w:rPr>
                <w:rFonts w:cs="宋体"/>
                <w:sz w:val="18"/>
                <w:szCs w:val="18"/>
              </w:rPr>
              <w:t> 7.1268</w:t>
            </w:r>
          </w:p>
        </w:tc>
        <w:tc>
          <w:tcPr>
            <w:tcW w:w="2410" w:type="dxa"/>
            <w:tcBorders>
              <w:top w:val="single" w:sz="2" w:space="0" w:color="auto"/>
              <w:left w:val="single" w:sz="2" w:space="0" w:color="auto"/>
              <w:bottom w:val="single" w:sz="2" w:space="0" w:color="auto"/>
              <w:right w:val="single" w:sz="2" w:space="0" w:color="auto"/>
            </w:tcBorders>
            <w:vAlign w:val="center"/>
          </w:tcPr>
          <w:p w14:paraId="57D2F66F" w14:textId="77777777" w:rsidR="007B3DB2" w:rsidRPr="0063248C" w:rsidRDefault="00000000">
            <w:pPr>
              <w:spacing w:line="240" w:lineRule="exact"/>
              <w:jc w:val="right"/>
              <w:rPr>
                <w:rFonts w:cs="宋体"/>
                <w:sz w:val="18"/>
                <w:szCs w:val="18"/>
              </w:rPr>
            </w:pPr>
            <w:r w:rsidRPr="0063248C">
              <w:rPr>
                <w:rFonts w:cs="宋体"/>
                <w:sz w:val="18"/>
                <w:szCs w:val="18"/>
              </w:rPr>
              <w:t>99,445.80</w:t>
            </w:r>
          </w:p>
        </w:tc>
      </w:tr>
      <w:tr w:rsidR="007B3DB2" w:rsidRPr="0063248C" w14:paraId="15754D9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7ADFE2D"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08FCCAA2" w14:textId="77777777" w:rsidR="007B3DB2" w:rsidRPr="0063248C" w:rsidRDefault="00000000">
            <w:pPr>
              <w:spacing w:line="240" w:lineRule="exact"/>
              <w:jc w:val="right"/>
              <w:rPr>
                <w:rFonts w:cs="宋体"/>
                <w:sz w:val="18"/>
                <w:szCs w:val="18"/>
              </w:rPr>
            </w:pPr>
            <w:r w:rsidRPr="0063248C">
              <w:rPr>
                <w:rFonts w:cs="宋体"/>
                <w:sz w:val="18"/>
                <w:szCs w:val="18"/>
              </w:rPr>
              <w:t>0.01</w:t>
            </w:r>
          </w:p>
        </w:tc>
        <w:tc>
          <w:tcPr>
            <w:tcW w:w="2410" w:type="dxa"/>
            <w:tcBorders>
              <w:top w:val="single" w:sz="2" w:space="0" w:color="auto"/>
              <w:left w:val="single" w:sz="2" w:space="0" w:color="auto"/>
              <w:bottom w:val="single" w:sz="2" w:space="0" w:color="auto"/>
              <w:right w:val="single" w:sz="2" w:space="0" w:color="auto"/>
            </w:tcBorders>
            <w:vAlign w:val="center"/>
          </w:tcPr>
          <w:p w14:paraId="64F66ADD" w14:textId="77777777" w:rsidR="007B3DB2" w:rsidRPr="0063248C" w:rsidRDefault="00000000">
            <w:pPr>
              <w:spacing w:line="240" w:lineRule="exact"/>
              <w:rPr>
                <w:rFonts w:cs="宋体"/>
                <w:sz w:val="18"/>
                <w:szCs w:val="18"/>
              </w:rPr>
            </w:pPr>
            <w:r w:rsidRPr="0063248C">
              <w:rPr>
                <w:rFonts w:cs="宋体"/>
                <w:sz w:val="18"/>
                <w:szCs w:val="18"/>
              </w:rPr>
              <w:t> 7.6617</w:t>
            </w:r>
          </w:p>
        </w:tc>
        <w:tc>
          <w:tcPr>
            <w:tcW w:w="2410" w:type="dxa"/>
            <w:tcBorders>
              <w:top w:val="single" w:sz="2" w:space="0" w:color="auto"/>
              <w:left w:val="single" w:sz="2" w:space="0" w:color="auto"/>
              <w:bottom w:val="single" w:sz="2" w:space="0" w:color="auto"/>
              <w:right w:val="single" w:sz="2" w:space="0" w:color="auto"/>
            </w:tcBorders>
            <w:vAlign w:val="center"/>
          </w:tcPr>
          <w:p w14:paraId="5C6E7B19" w14:textId="77777777" w:rsidR="007B3DB2" w:rsidRPr="0063248C" w:rsidRDefault="00000000">
            <w:pPr>
              <w:spacing w:line="240" w:lineRule="exact"/>
              <w:jc w:val="right"/>
              <w:rPr>
                <w:rFonts w:cs="宋体"/>
                <w:sz w:val="18"/>
                <w:szCs w:val="18"/>
              </w:rPr>
            </w:pPr>
            <w:r w:rsidRPr="0063248C">
              <w:rPr>
                <w:rFonts w:cs="宋体"/>
                <w:sz w:val="18"/>
                <w:szCs w:val="18"/>
              </w:rPr>
              <w:t>0.08</w:t>
            </w:r>
          </w:p>
        </w:tc>
      </w:tr>
      <w:tr w:rsidR="007B3DB2" w:rsidRPr="0063248C" w14:paraId="2884B76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02F7094"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46FEB0DC"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3D3D29F"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043EA69" w14:textId="77777777" w:rsidR="007B3DB2" w:rsidRPr="0063248C" w:rsidRDefault="007B3DB2">
            <w:pPr>
              <w:spacing w:line="240" w:lineRule="exact"/>
              <w:jc w:val="right"/>
              <w:rPr>
                <w:rFonts w:cs="宋体"/>
                <w:sz w:val="18"/>
                <w:szCs w:val="18"/>
              </w:rPr>
            </w:pPr>
          </w:p>
        </w:tc>
      </w:tr>
      <w:tr w:rsidR="007B3DB2" w:rsidRPr="0063248C" w14:paraId="08613B1B"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67BDA09"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8683DEB"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21C587B"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47B470C" w14:textId="77777777" w:rsidR="007B3DB2" w:rsidRPr="0063248C" w:rsidRDefault="007B3DB2">
            <w:pPr>
              <w:spacing w:line="240" w:lineRule="exact"/>
              <w:jc w:val="right"/>
              <w:rPr>
                <w:rFonts w:cs="宋体"/>
                <w:sz w:val="18"/>
                <w:szCs w:val="18"/>
              </w:rPr>
            </w:pPr>
          </w:p>
        </w:tc>
      </w:tr>
      <w:tr w:rsidR="007B3DB2" w:rsidRPr="0063248C" w14:paraId="61F482C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5252093" w14:textId="77777777" w:rsidR="007B3DB2" w:rsidRPr="0063248C" w:rsidRDefault="00000000">
            <w:pPr>
              <w:spacing w:before="40" w:after="40" w:line="240" w:lineRule="exact"/>
              <w:rPr>
                <w:rFonts w:cs="宋体"/>
                <w:sz w:val="18"/>
                <w:szCs w:val="18"/>
              </w:rPr>
            </w:pPr>
            <w:r w:rsidRPr="0063248C">
              <w:rPr>
                <w:rFonts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C5F6FDC"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4531734"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vAlign w:val="center"/>
          </w:tcPr>
          <w:p w14:paraId="02ADD5EC" w14:textId="77777777" w:rsidR="007B3DB2" w:rsidRPr="0063248C" w:rsidRDefault="007B3DB2">
            <w:pPr>
              <w:spacing w:line="240" w:lineRule="exact"/>
              <w:jc w:val="right"/>
              <w:rPr>
                <w:rFonts w:cs="宋体"/>
                <w:sz w:val="18"/>
                <w:szCs w:val="18"/>
              </w:rPr>
            </w:pPr>
          </w:p>
        </w:tc>
      </w:tr>
      <w:tr w:rsidR="007B3DB2" w:rsidRPr="0063248C" w14:paraId="4A4FB37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C4996B5" w14:textId="77777777" w:rsidR="007B3DB2" w:rsidRPr="0063248C" w:rsidRDefault="00000000">
            <w:pPr>
              <w:spacing w:before="40" w:after="40" w:line="240" w:lineRule="exact"/>
              <w:rPr>
                <w:rFonts w:cs="宋体"/>
                <w:sz w:val="18"/>
                <w:szCs w:val="18"/>
              </w:rPr>
            </w:pPr>
            <w:r w:rsidRPr="0063248C">
              <w:rPr>
                <w:rFonts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2E27981D"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0035BD7"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BE70FA2" w14:textId="77777777" w:rsidR="007B3DB2" w:rsidRPr="0063248C" w:rsidRDefault="007B3DB2">
            <w:pPr>
              <w:spacing w:line="240" w:lineRule="exact"/>
              <w:jc w:val="right"/>
              <w:rPr>
                <w:rFonts w:cs="宋体"/>
                <w:sz w:val="18"/>
                <w:szCs w:val="18"/>
              </w:rPr>
            </w:pPr>
          </w:p>
        </w:tc>
      </w:tr>
      <w:tr w:rsidR="007B3DB2" w:rsidRPr="0063248C" w14:paraId="4470E61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EA48823"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3907917D"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2653C1A"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0BFAD87" w14:textId="77777777" w:rsidR="007B3DB2" w:rsidRPr="0063248C" w:rsidRDefault="007B3DB2">
            <w:pPr>
              <w:spacing w:line="240" w:lineRule="exact"/>
              <w:jc w:val="right"/>
              <w:rPr>
                <w:rFonts w:cs="宋体"/>
                <w:sz w:val="18"/>
                <w:szCs w:val="18"/>
              </w:rPr>
            </w:pPr>
          </w:p>
        </w:tc>
      </w:tr>
      <w:tr w:rsidR="007B3DB2" w:rsidRPr="0063248C" w14:paraId="50AAF8F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A37D639"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0B2228B2"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87FDBED"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C24F3D5" w14:textId="77777777" w:rsidR="007B3DB2" w:rsidRPr="0063248C" w:rsidRDefault="007B3DB2">
            <w:pPr>
              <w:spacing w:line="240" w:lineRule="exact"/>
              <w:jc w:val="right"/>
              <w:rPr>
                <w:rFonts w:cs="宋体"/>
                <w:sz w:val="18"/>
                <w:szCs w:val="18"/>
              </w:rPr>
            </w:pPr>
          </w:p>
        </w:tc>
      </w:tr>
      <w:tr w:rsidR="007B3DB2" w:rsidRPr="0063248C" w14:paraId="001919D8"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A1DD341"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53E2EF0"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D9BB495"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96B9AAA" w14:textId="77777777" w:rsidR="007B3DB2" w:rsidRPr="0063248C" w:rsidRDefault="007B3DB2">
            <w:pPr>
              <w:spacing w:line="240" w:lineRule="exact"/>
              <w:jc w:val="right"/>
              <w:rPr>
                <w:rFonts w:cs="宋体"/>
                <w:sz w:val="18"/>
                <w:szCs w:val="18"/>
              </w:rPr>
            </w:pPr>
          </w:p>
        </w:tc>
      </w:tr>
      <w:tr w:rsidR="007B3DB2" w:rsidRPr="0063248C" w14:paraId="67A8262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E011BC7" w14:textId="77777777" w:rsidR="007B3DB2" w:rsidRPr="0063248C" w:rsidRDefault="00000000">
            <w:pPr>
              <w:spacing w:before="40" w:after="40" w:line="240" w:lineRule="exact"/>
              <w:rPr>
                <w:rFonts w:cs="宋体"/>
                <w:sz w:val="18"/>
                <w:szCs w:val="18"/>
              </w:rPr>
            </w:pPr>
            <w:r w:rsidRPr="0063248C">
              <w:rPr>
                <w:rFonts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B9396DB"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80F36D0"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vAlign w:val="center"/>
          </w:tcPr>
          <w:p w14:paraId="1AB688BB" w14:textId="77777777" w:rsidR="007B3DB2" w:rsidRPr="0063248C" w:rsidRDefault="007B3DB2">
            <w:pPr>
              <w:spacing w:line="240" w:lineRule="exact"/>
              <w:jc w:val="right"/>
              <w:rPr>
                <w:rFonts w:cs="宋体"/>
                <w:sz w:val="18"/>
                <w:szCs w:val="18"/>
              </w:rPr>
            </w:pPr>
          </w:p>
        </w:tc>
      </w:tr>
      <w:tr w:rsidR="007B3DB2" w:rsidRPr="0063248C" w14:paraId="7C17564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CBA2AB" w14:textId="77777777" w:rsidR="007B3DB2" w:rsidRPr="0063248C" w:rsidRDefault="00000000">
            <w:pPr>
              <w:spacing w:before="40" w:after="40" w:line="240" w:lineRule="exact"/>
              <w:rPr>
                <w:rFonts w:cs="宋体"/>
                <w:sz w:val="18"/>
                <w:szCs w:val="18"/>
              </w:rPr>
            </w:pPr>
            <w:r w:rsidRPr="0063248C">
              <w:rPr>
                <w:rFonts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772C5C6D"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BE2A76C"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13DD4BE" w14:textId="77777777" w:rsidR="007B3DB2" w:rsidRPr="0063248C" w:rsidRDefault="007B3DB2">
            <w:pPr>
              <w:spacing w:line="240" w:lineRule="exact"/>
              <w:jc w:val="right"/>
              <w:rPr>
                <w:rFonts w:cs="宋体"/>
                <w:sz w:val="18"/>
                <w:szCs w:val="18"/>
              </w:rPr>
            </w:pPr>
          </w:p>
        </w:tc>
      </w:tr>
      <w:tr w:rsidR="007B3DB2" w:rsidRPr="0063248C" w14:paraId="4D5E34C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552EFE"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2CF89A6B"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848D409"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CFB3CF3" w14:textId="77777777" w:rsidR="007B3DB2" w:rsidRPr="0063248C" w:rsidRDefault="007B3DB2">
            <w:pPr>
              <w:spacing w:line="240" w:lineRule="exact"/>
              <w:jc w:val="right"/>
              <w:rPr>
                <w:rFonts w:cs="宋体"/>
                <w:sz w:val="18"/>
                <w:szCs w:val="18"/>
              </w:rPr>
            </w:pPr>
          </w:p>
        </w:tc>
      </w:tr>
      <w:tr w:rsidR="007B3DB2" w:rsidRPr="0063248C" w14:paraId="6F00B60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21AC155" w14:textId="77777777" w:rsidR="007B3DB2" w:rsidRPr="0063248C" w:rsidRDefault="00000000">
            <w:pPr>
              <w:spacing w:before="40" w:after="40" w:line="240" w:lineRule="exact"/>
              <w:ind w:firstLineChars="300" w:firstLine="540"/>
              <w:rPr>
                <w:rFonts w:cs="宋体"/>
                <w:sz w:val="18"/>
                <w:szCs w:val="18"/>
              </w:rPr>
            </w:pPr>
            <w:r w:rsidRPr="0063248C">
              <w:rPr>
                <w:rFonts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47779EF6"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31A2F57"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E96ECA1" w14:textId="77777777" w:rsidR="007B3DB2" w:rsidRPr="0063248C" w:rsidRDefault="007B3DB2">
            <w:pPr>
              <w:spacing w:line="240" w:lineRule="exact"/>
              <w:jc w:val="right"/>
              <w:rPr>
                <w:rFonts w:cs="宋体"/>
                <w:sz w:val="18"/>
                <w:szCs w:val="18"/>
              </w:rPr>
            </w:pPr>
          </w:p>
        </w:tc>
      </w:tr>
      <w:tr w:rsidR="007B3DB2" w:rsidRPr="0063248C" w14:paraId="4D07C54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95406B5"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7921169"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9B2EA2C" w14:textId="77777777" w:rsidR="007B3DB2" w:rsidRPr="0063248C" w:rsidRDefault="007B3DB2">
            <w:pPr>
              <w:spacing w:line="240" w:lineRule="exac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FCE6BBC" w14:textId="77777777" w:rsidR="007B3DB2" w:rsidRPr="0063248C" w:rsidRDefault="007B3DB2">
            <w:pPr>
              <w:spacing w:line="240" w:lineRule="exact"/>
              <w:jc w:val="right"/>
              <w:rPr>
                <w:rFonts w:cs="宋体"/>
                <w:sz w:val="18"/>
                <w:szCs w:val="18"/>
              </w:rPr>
            </w:pPr>
          </w:p>
        </w:tc>
      </w:tr>
    </w:tbl>
    <w:p w14:paraId="3E28985A"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366980D3" w14:textId="77777777" w:rsidR="00517D34" w:rsidRPr="0063248C" w:rsidRDefault="00000000">
      <w:pPr>
        <w:pStyle w:val="a3"/>
        <w:divId w:val="1677804659"/>
        <w:rPr>
          <w:rFonts w:ascii="Times New Roman" w:hAnsi="Times New Roman"/>
          <w:sz w:val="18"/>
          <w:szCs w:val="18"/>
        </w:rPr>
      </w:pPr>
      <w:r w:rsidRPr="0063248C">
        <w:rPr>
          <w:rFonts w:ascii="Times New Roman" w:hAnsi="Times New Roman" w:hint="eastAsia"/>
          <w:sz w:val="18"/>
          <w:szCs w:val="18"/>
        </w:rPr>
        <w:t>无</w:t>
      </w:r>
    </w:p>
    <w:p w14:paraId="087FE71D" w14:textId="77777777" w:rsidR="007B3DB2" w:rsidRPr="0063248C" w:rsidRDefault="00000000">
      <w:pPr>
        <w:keepNext/>
        <w:keepLines/>
        <w:spacing w:before="300" w:after="300" w:line="280" w:lineRule="exact"/>
        <w:outlineLvl w:val="3"/>
        <w:rPr>
          <w:rFonts w:cs="宋体"/>
          <w:b/>
          <w:bCs/>
          <w:szCs w:val="21"/>
        </w:rPr>
      </w:pPr>
      <w:bookmarkStart w:id="399" w:name="_Toc989288"/>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境外经营实体说明，包括对于重要的境外经营实体，应披露其境外主要经营地、记账本位币及选择依据，记账本位币发生变化的还应披露原因。</w:t>
      </w:r>
      <w:bookmarkEnd w:id="399"/>
    </w:p>
    <w:p w14:paraId="2DD1E973"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8F5B72B" w14:textId="77777777" w:rsidR="007B3DB2" w:rsidRPr="0063248C" w:rsidRDefault="00000000">
      <w:pPr>
        <w:pStyle w:val="3"/>
        <w:spacing w:line="280" w:lineRule="exact"/>
        <w:jc w:val="left"/>
        <w:rPr>
          <w:rFonts w:cs="宋体"/>
          <w:b/>
          <w:bCs/>
        </w:rPr>
      </w:pPr>
      <w:bookmarkStart w:id="400" w:name="_Toc989289"/>
      <w:r w:rsidRPr="0063248C">
        <w:rPr>
          <w:rFonts w:cs="宋体"/>
          <w:b/>
          <w:bCs/>
        </w:rPr>
        <w:t>82</w:t>
      </w:r>
      <w:r w:rsidRPr="0063248C">
        <w:rPr>
          <w:rFonts w:cs="宋体"/>
          <w:b/>
          <w:bCs/>
        </w:rPr>
        <w:t>、租赁</w:t>
      </w:r>
      <w:bookmarkEnd w:id="400"/>
    </w:p>
    <w:p w14:paraId="3580D705" w14:textId="77777777" w:rsidR="007B3DB2" w:rsidRPr="0063248C" w:rsidRDefault="00000000">
      <w:pPr>
        <w:keepNext/>
        <w:keepLines/>
        <w:spacing w:before="300" w:after="300" w:line="280" w:lineRule="exact"/>
        <w:outlineLvl w:val="3"/>
        <w:rPr>
          <w:rFonts w:cs="宋体"/>
          <w:b/>
          <w:bCs/>
          <w:szCs w:val="21"/>
        </w:rPr>
      </w:pPr>
      <w:bookmarkStart w:id="401" w:name="_Toc989290"/>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本公司作为承租方</w:t>
      </w:r>
      <w:bookmarkEnd w:id="401"/>
    </w:p>
    <w:p w14:paraId="2AC5B1F6" w14:textId="77777777" w:rsidR="007B3DB2" w:rsidRPr="0063248C" w:rsidRDefault="00000000">
      <w:pPr>
        <w:spacing w:before="100" w:after="10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7D48E75B" w14:textId="77777777" w:rsidR="007B3DB2" w:rsidRPr="0063248C" w:rsidRDefault="00000000">
      <w:pPr>
        <w:spacing w:before="100" w:after="100" w:line="240" w:lineRule="exact"/>
        <w:rPr>
          <w:rFonts w:cs="宋体"/>
          <w:sz w:val="18"/>
          <w:szCs w:val="18"/>
        </w:rPr>
      </w:pPr>
      <w:r w:rsidRPr="0063248C">
        <w:rPr>
          <w:rFonts w:cs="宋体"/>
          <w:sz w:val="18"/>
          <w:szCs w:val="18"/>
        </w:rPr>
        <w:t>未纳入租赁负债计量的可变租赁付款额</w:t>
      </w:r>
    </w:p>
    <w:p w14:paraId="70E088B7"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0E9BBA7" w14:textId="77777777" w:rsidR="007B3DB2" w:rsidRPr="0063248C" w:rsidRDefault="00000000">
      <w:pPr>
        <w:spacing w:before="100" w:after="100" w:line="240" w:lineRule="exact"/>
        <w:rPr>
          <w:rFonts w:cs="宋体"/>
          <w:sz w:val="18"/>
          <w:szCs w:val="18"/>
        </w:rPr>
      </w:pPr>
      <w:r w:rsidRPr="0063248C">
        <w:rPr>
          <w:rFonts w:cs="宋体"/>
          <w:sz w:val="18"/>
          <w:szCs w:val="18"/>
        </w:rPr>
        <w:t>简化处理的短期租赁或低价值资产的租赁费用</w:t>
      </w:r>
    </w:p>
    <w:p w14:paraId="51D0FA84"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592775BD" w14:textId="77777777" w:rsidR="007B3DB2" w:rsidRPr="0063248C" w:rsidRDefault="00000000">
      <w:pPr>
        <w:spacing w:before="100" w:after="100" w:line="240" w:lineRule="exact"/>
        <w:rPr>
          <w:rFonts w:cs="宋体"/>
          <w:sz w:val="18"/>
          <w:szCs w:val="18"/>
        </w:rPr>
      </w:pPr>
      <w:r w:rsidRPr="0063248C">
        <w:rPr>
          <w:rFonts w:cs="宋体"/>
          <w:sz w:val="18"/>
          <w:szCs w:val="18"/>
        </w:rPr>
        <w:t>涉及售后租回交易的情况</w:t>
      </w:r>
    </w:p>
    <w:p w14:paraId="59DCC10E" w14:textId="77777777" w:rsidR="00517D34" w:rsidRPr="0063248C" w:rsidRDefault="00000000">
      <w:pPr>
        <w:pStyle w:val="a3"/>
        <w:spacing w:beforeAutospacing="0" w:afterAutospacing="0" w:line="240" w:lineRule="atLeast"/>
        <w:divId w:val="343023229"/>
        <w:rPr>
          <w:rFonts w:ascii="Times New Roman" w:hAnsi="Times New Roman"/>
          <w:sz w:val="21"/>
          <w:szCs w:val="21"/>
        </w:rPr>
      </w:pPr>
      <w:r w:rsidRPr="0063248C">
        <w:rPr>
          <w:rFonts w:ascii="Times New Roman" w:hAnsi="Times New Roman" w:hint="eastAsia"/>
          <w:sz w:val="21"/>
          <w:szCs w:val="21"/>
        </w:rPr>
        <w:t>无</w:t>
      </w:r>
    </w:p>
    <w:p w14:paraId="04E7176C" w14:textId="77777777" w:rsidR="007B3DB2" w:rsidRPr="0063248C" w:rsidRDefault="00000000">
      <w:pPr>
        <w:keepNext/>
        <w:keepLines/>
        <w:spacing w:before="300" w:after="300" w:line="280" w:lineRule="exact"/>
        <w:outlineLvl w:val="3"/>
        <w:rPr>
          <w:rFonts w:cs="宋体"/>
          <w:b/>
          <w:bCs/>
          <w:szCs w:val="21"/>
        </w:rPr>
      </w:pPr>
      <w:bookmarkStart w:id="402" w:name="_Toc989291"/>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本公司作为出租方</w:t>
      </w:r>
      <w:bookmarkEnd w:id="402"/>
    </w:p>
    <w:p w14:paraId="307A3BD7" w14:textId="77777777" w:rsidR="007B3DB2" w:rsidRPr="0063248C" w:rsidRDefault="00000000">
      <w:pPr>
        <w:spacing w:before="100" w:after="100" w:line="240" w:lineRule="exact"/>
        <w:rPr>
          <w:rFonts w:cs="宋体"/>
          <w:sz w:val="18"/>
          <w:szCs w:val="18"/>
        </w:rPr>
      </w:pPr>
      <w:r w:rsidRPr="0063248C">
        <w:rPr>
          <w:rFonts w:cs="宋体"/>
          <w:sz w:val="18"/>
          <w:szCs w:val="18"/>
        </w:rPr>
        <w:t>作为出租人的经营租赁</w:t>
      </w:r>
    </w:p>
    <w:p w14:paraId="5C566405"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79480781" w14:textId="77777777" w:rsidR="007B3DB2" w:rsidRPr="0063248C" w:rsidRDefault="00000000">
      <w:pPr>
        <w:spacing w:before="100" w:after="100" w:line="240" w:lineRule="exact"/>
        <w:rPr>
          <w:rFonts w:cs="宋体"/>
          <w:sz w:val="18"/>
          <w:szCs w:val="18"/>
        </w:rPr>
      </w:pPr>
      <w:r w:rsidRPr="0063248C">
        <w:rPr>
          <w:rFonts w:cs="宋体"/>
          <w:sz w:val="18"/>
          <w:szCs w:val="18"/>
        </w:rPr>
        <w:t>作为出租人的融资租赁</w:t>
      </w:r>
    </w:p>
    <w:p w14:paraId="5B54CB16"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5EFFE222" w14:textId="77777777" w:rsidR="007B3DB2" w:rsidRPr="0063248C" w:rsidRDefault="00000000">
      <w:pPr>
        <w:spacing w:before="100" w:after="100" w:line="240" w:lineRule="exact"/>
        <w:rPr>
          <w:rFonts w:cs="宋体"/>
          <w:sz w:val="18"/>
          <w:szCs w:val="18"/>
        </w:rPr>
      </w:pPr>
      <w:r w:rsidRPr="0063248C">
        <w:rPr>
          <w:rFonts w:cs="宋体"/>
          <w:sz w:val="18"/>
          <w:szCs w:val="18"/>
        </w:rPr>
        <w:t>未来五年每年未折现</w:t>
      </w:r>
      <w:proofErr w:type="gramStart"/>
      <w:r w:rsidRPr="0063248C">
        <w:rPr>
          <w:rFonts w:cs="宋体"/>
          <w:sz w:val="18"/>
          <w:szCs w:val="18"/>
        </w:rPr>
        <w:t>租赁收</w:t>
      </w:r>
      <w:proofErr w:type="gramEnd"/>
      <w:r w:rsidRPr="0063248C">
        <w:rPr>
          <w:rFonts w:cs="宋体"/>
          <w:sz w:val="18"/>
          <w:szCs w:val="18"/>
        </w:rPr>
        <w:t>款额</w:t>
      </w:r>
    </w:p>
    <w:p w14:paraId="199315B6"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3AB4950D" w14:textId="77777777" w:rsidR="007B3DB2" w:rsidRPr="0063248C" w:rsidRDefault="00000000">
      <w:pPr>
        <w:spacing w:before="100" w:after="100" w:line="240" w:lineRule="exact"/>
        <w:rPr>
          <w:rFonts w:cs="宋体"/>
          <w:sz w:val="18"/>
          <w:szCs w:val="18"/>
        </w:rPr>
      </w:pPr>
      <w:r w:rsidRPr="0063248C">
        <w:rPr>
          <w:rFonts w:cs="宋体"/>
          <w:sz w:val="18"/>
          <w:szCs w:val="18"/>
        </w:rPr>
        <w:t>未折现</w:t>
      </w:r>
      <w:proofErr w:type="gramStart"/>
      <w:r w:rsidRPr="0063248C">
        <w:rPr>
          <w:rFonts w:cs="宋体"/>
          <w:sz w:val="18"/>
          <w:szCs w:val="18"/>
        </w:rPr>
        <w:t>租赁收</w:t>
      </w:r>
      <w:proofErr w:type="gramEnd"/>
      <w:r w:rsidRPr="0063248C">
        <w:rPr>
          <w:rFonts w:cs="宋体"/>
          <w:sz w:val="18"/>
          <w:szCs w:val="18"/>
        </w:rPr>
        <w:t>款额与租赁投资净额的调节表</w:t>
      </w:r>
    </w:p>
    <w:p w14:paraId="3CC6D476" w14:textId="77777777" w:rsidR="00517D34" w:rsidRPr="0063248C" w:rsidRDefault="00000000">
      <w:pPr>
        <w:pStyle w:val="a3"/>
        <w:spacing w:beforeAutospacing="0" w:afterAutospacing="0" w:line="240" w:lineRule="atLeast"/>
        <w:divId w:val="1060515055"/>
        <w:rPr>
          <w:rFonts w:ascii="Times New Roman" w:hAnsi="Times New Roman"/>
          <w:sz w:val="21"/>
          <w:szCs w:val="21"/>
        </w:rPr>
      </w:pPr>
      <w:r w:rsidRPr="0063248C">
        <w:rPr>
          <w:rFonts w:ascii="Times New Roman" w:hAnsi="Times New Roman" w:hint="eastAsia"/>
          <w:sz w:val="21"/>
          <w:szCs w:val="21"/>
        </w:rPr>
        <w:t>无</w:t>
      </w:r>
    </w:p>
    <w:p w14:paraId="32D18A4F" w14:textId="77777777" w:rsidR="007B3DB2" w:rsidRPr="0063248C" w:rsidRDefault="00000000">
      <w:pPr>
        <w:keepNext/>
        <w:keepLines/>
        <w:spacing w:before="300" w:after="300" w:line="280" w:lineRule="exact"/>
        <w:outlineLvl w:val="3"/>
        <w:rPr>
          <w:rFonts w:cs="宋体"/>
          <w:b/>
          <w:bCs/>
          <w:szCs w:val="21"/>
        </w:rPr>
      </w:pPr>
      <w:bookmarkStart w:id="403" w:name="_Toc989292"/>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作为生产商或经销商确认融资租赁销售损益</w:t>
      </w:r>
      <w:bookmarkEnd w:id="403"/>
    </w:p>
    <w:p w14:paraId="2BB3D191"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C7B6B7D" w14:textId="77777777" w:rsidR="007B3DB2" w:rsidRPr="0063248C" w:rsidRDefault="00000000">
      <w:pPr>
        <w:pStyle w:val="3"/>
        <w:spacing w:line="280" w:lineRule="exact"/>
        <w:jc w:val="left"/>
        <w:rPr>
          <w:rFonts w:cs="宋体"/>
          <w:b/>
          <w:bCs/>
        </w:rPr>
      </w:pPr>
      <w:bookmarkStart w:id="404" w:name="_Toc989293"/>
      <w:r w:rsidRPr="0063248C">
        <w:rPr>
          <w:rFonts w:cs="宋体"/>
          <w:b/>
          <w:bCs/>
        </w:rPr>
        <w:t>83</w:t>
      </w:r>
      <w:r w:rsidRPr="0063248C">
        <w:rPr>
          <w:rFonts w:cs="宋体"/>
          <w:b/>
          <w:bCs/>
        </w:rPr>
        <w:t>、数据资源</w:t>
      </w:r>
      <w:bookmarkEnd w:id="404"/>
    </w:p>
    <w:p w14:paraId="15D75CA6" w14:textId="77777777" w:rsidR="00517D34" w:rsidRPr="0063248C" w:rsidRDefault="00000000">
      <w:pPr>
        <w:pStyle w:val="a3"/>
        <w:divId w:val="1720402285"/>
        <w:rPr>
          <w:rFonts w:ascii="Times New Roman" w:hAnsi="Times New Roman"/>
          <w:sz w:val="18"/>
          <w:szCs w:val="18"/>
        </w:rPr>
      </w:pPr>
      <w:r w:rsidRPr="0063248C">
        <w:rPr>
          <w:rFonts w:ascii="Times New Roman" w:hAnsi="Times New Roman" w:hint="eastAsia"/>
          <w:sz w:val="18"/>
          <w:szCs w:val="18"/>
        </w:rPr>
        <w:t>无</w:t>
      </w:r>
    </w:p>
    <w:p w14:paraId="020A15AA" w14:textId="77777777" w:rsidR="007B3DB2" w:rsidRPr="0063248C" w:rsidRDefault="00000000">
      <w:pPr>
        <w:pStyle w:val="3"/>
        <w:spacing w:line="280" w:lineRule="exact"/>
        <w:jc w:val="left"/>
        <w:rPr>
          <w:rFonts w:cs="宋体"/>
          <w:b/>
          <w:bCs/>
        </w:rPr>
      </w:pPr>
      <w:bookmarkStart w:id="405" w:name="_Toc989294"/>
      <w:r w:rsidRPr="0063248C">
        <w:rPr>
          <w:rFonts w:cs="宋体"/>
          <w:b/>
          <w:bCs/>
        </w:rPr>
        <w:lastRenderedPageBreak/>
        <w:t>84</w:t>
      </w:r>
      <w:r w:rsidRPr="0063248C">
        <w:rPr>
          <w:rFonts w:cs="宋体"/>
          <w:b/>
          <w:bCs/>
        </w:rPr>
        <w:t>、其他</w:t>
      </w:r>
      <w:bookmarkEnd w:id="405"/>
    </w:p>
    <w:p w14:paraId="57EDC790" w14:textId="3DFA6025" w:rsidR="007B3DB2" w:rsidRPr="00BB1C54" w:rsidRDefault="00BB1C54" w:rsidP="00BB1C54">
      <w:pPr>
        <w:pStyle w:val="a3"/>
        <w:rPr>
          <w:rFonts w:ascii="Times New Roman" w:hAnsi="Times New Roman"/>
          <w:sz w:val="18"/>
          <w:szCs w:val="18"/>
        </w:rPr>
      </w:pPr>
      <w:r w:rsidRPr="0063248C">
        <w:rPr>
          <w:rFonts w:ascii="Times New Roman" w:hAnsi="Times New Roman" w:hint="eastAsia"/>
          <w:sz w:val="18"/>
          <w:szCs w:val="18"/>
        </w:rPr>
        <w:t>无</w:t>
      </w:r>
    </w:p>
    <w:p w14:paraId="580DD0FB" w14:textId="77777777" w:rsidR="007B3DB2" w:rsidRPr="0063248C" w:rsidRDefault="00000000">
      <w:pPr>
        <w:pStyle w:val="2"/>
        <w:spacing w:before="300" w:after="300" w:line="320" w:lineRule="exact"/>
        <w:rPr>
          <w:rFonts w:cs="宋体"/>
          <w:b/>
          <w:bCs/>
          <w:sz w:val="24"/>
          <w:szCs w:val="24"/>
        </w:rPr>
      </w:pPr>
      <w:bookmarkStart w:id="406" w:name="_Toc989295"/>
      <w:r w:rsidRPr="0063248C">
        <w:rPr>
          <w:rFonts w:cs="宋体"/>
          <w:b/>
          <w:bCs/>
          <w:sz w:val="24"/>
          <w:szCs w:val="24"/>
        </w:rPr>
        <w:t>八、研发支出</w:t>
      </w:r>
      <w:bookmarkEnd w:id="406"/>
    </w:p>
    <w:p w14:paraId="7C531FD5" w14:textId="77777777" w:rsidR="00517D34" w:rsidRPr="0063248C" w:rsidRDefault="00000000">
      <w:pPr>
        <w:pStyle w:val="a3"/>
        <w:divId w:val="469245107"/>
        <w:rPr>
          <w:rFonts w:ascii="Times New Roman" w:hAnsi="Times New Roman"/>
          <w:sz w:val="18"/>
          <w:szCs w:val="18"/>
        </w:rPr>
      </w:pPr>
      <w:r w:rsidRPr="0063248C">
        <w:rPr>
          <w:rFonts w:ascii="Times New Roman" w:hAnsi="Times New Roman" w:hint="eastAsia"/>
          <w:sz w:val="18"/>
          <w:szCs w:val="18"/>
        </w:rPr>
        <w:t>无</w:t>
      </w:r>
    </w:p>
    <w:p w14:paraId="1BF9255E" w14:textId="77777777" w:rsidR="007B3DB2" w:rsidRPr="0063248C" w:rsidRDefault="00000000">
      <w:pPr>
        <w:pStyle w:val="2"/>
        <w:spacing w:before="300" w:after="300" w:line="320" w:lineRule="exact"/>
        <w:rPr>
          <w:rFonts w:cs="宋体"/>
          <w:b/>
          <w:bCs/>
          <w:sz w:val="24"/>
          <w:szCs w:val="24"/>
        </w:rPr>
      </w:pPr>
      <w:bookmarkStart w:id="407" w:name="_Toc989298"/>
      <w:r w:rsidRPr="0063248C">
        <w:rPr>
          <w:rFonts w:cs="宋体"/>
          <w:b/>
          <w:bCs/>
          <w:sz w:val="24"/>
          <w:szCs w:val="24"/>
        </w:rPr>
        <w:t>九、合并范围的变更</w:t>
      </w:r>
      <w:bookmarkEnd w:id="407"/>
    </w:p>
    <w:p w14:paraId="401B4BB5" w14:textId="77777777" w:rsidR="007B3DB2" w:rsidRPr="0063248C" w:rsidRDefault="00000000">
      <w:pPr>
        <w:pStyle w:val="3"/>
        <w:spacing w:line="280" w:lineRule="exact"/>
        <w:jc w:val="left"/>
        <w:rPr>
          <w:rFonts w:cs="宋体"/>
          <w:b/>
          <w:bCs/>
        </w:rPr>
      </w:pPr>
      <w:bookmarkStart w:id="408" w:name="_Toc989299"/>
      <w:r w:rsidRPr="0063248C">
        <w:rPr>
          <w:rFonts w:cs="宋体"/>
          <w:b/>
          <w:bCs/>
        </w:rPr>
        <w:t>1</w:t>
      </w:r>
      <w:r w:rsidRPr="0063248C">
        <w:rPr>
          <w:rFonts w:cs="宋体"/>
          <w:b/>
          <w:bCs/>
        </w:rPr>
        <w:t>、非同</w:t>
      </w:r>
      <w:proofErr w:type="gramStart"/>
      <w:r w:rsidRPr="0063248C">
        <w:rPr>
          <w:rFonts w:cs="宋体"/>
          <w:b/>
          <w:bCs/>
        </w:rPr>
        <w:t>一控制</w:t>
      </w:r>
      <w:proofErr w:type="gramEnd"/>
      <w:r w:rsidRPr="0063248C">
        <w:rPr>
          <w:rFonts w:cs="宋体"/>
          <w:b/>
          <w:bCs/>
        </w:rPr>
        <w:t>下企业合并</w:t>
      </w:r>
      <w:bookmarkEnd w:id="408"/>
    </w:p>
    <w:p w14:paraId="7234404F" w14:textId="77777777" w:rsidR="007B3DB2" w:rsidRPr="0063248C" w:rsidRDefault="00000000">
      <w:pPr>
        <w:keepNext/>
        <w:keepLines/>
        <w:spacing w:before="300" w:after="300" w:line="280" w:lineRule="exact"/>
        <w:outlineLvl w:val="3"/>
        <w:rPr>
          <w:rFonts w:cs="宋体"/>
          <w:b/>
          <w:bCs/>
          <w:sz w:val="18"/>
          <w:szCs w:val="18"/>
        </w:rPr>
      </w:pPr>
      <w:bookmarkStart w:id="409" w:name="_Toc989300"/>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本期发生的非同</w:t>
      </w:r>
      <w:proofErr w:type="gramStart"/>
      <w:r w:rsidRPr="0063248C">
        <w:rPr>
          <w:rFonts w:cs="宋体"/>
          <w:b/>
          <w:bCs/>
          <w:sz w:val="18"/>
          <w:szCs w:val="18"/>
        </w:rPr>
        <w:t>一控制</w:t>
      </w:r>
      <w:proofErr w:type="gramEnd"/>
      <w:r w:rsidRPr="0063248C">
        <w:rPr>
          <w:rFonts w:cs="宋体"/>
          <w:b/>
          <w:bCs/>
          <w:sz w:val="18"/>
          <w:szCs w:val="18"/>
        </w:rPr>
        <w:t>下企业合并</w:t>
      </w:r>
      <w:bookmarkEnd w:id="409"/>
    </w:p>
    <w:p w14:paraId="057D3632" w14:textId="77777777" w:rsidR="00517D34" w:rsidRPr="0063248C" w:rsidRDefault="00000000">
      <w:pPr>
        <w:pStyle w:val="a3"/>
        <w:divId w:val="263195582"/>
        <w:rPr>
          <w:rFonts w:ascii="Times New Roman" w:hAnsi="Times New Roman"/>
          <w:sz w:val="18"/>
          <w:szCs w:val="18"/>
        </w:rPr>
      </w:pPr>
      <w:r w:rsidRPr="0063248C">
        <w:rPr>
          <w:rFonts w:ascii="Times New Roman" w:hAnsi="Times New Roman" w:hint="eastAsia"/>
          <w:sz w:val="18"/>
          <w:szCs w:val="18"/>
        </w:rPr>
        <w:t>无</w:t>
      </w:r>
    </w:p>
    <w:p w14:paraId="2F94E119" w14:textId="77777777" w:rsidR="007B3DB2" w:rsidRPr="0063248C" w:rsidRDefault="00000000">
      <w:pPr>
        <w:keepNext/>
        <w:keepLines/>
        <w:spacing w:before="300" w:after="300" w:line="280" w:lineRule="exact"/>
        <w:outlineLvl w:val="3"/>
        <w:rPr>
          <w:rFonts w:cs="宋体"/>
          <w:b/>
          <w:bCs/>
          <w:sz w:val="18"/>
          <w:szCs w:val="18"/>
        </w:rPr>
      </w:pPr>
      <w:bookmarkStart w:id="410" w:name="_Toc989301"/>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合并成本及商誉</w:t>
      </w:r>
      <w:bookmarkEnd w:id="410"/>
    </w:p>
    <w:p w14:paraId="49A37410" w14:textId="77777777" w:rsidR="00517D34" w:rsidRPr="0063248C" w:rsidRDefault="00000000">
      <w:pPr>
        <w:pStyle w:val="a3"/>
        <w:divId w:val="1934435836"/>
        <w:rPr>
          <w:rFonts w:ascii="Times New Roman" w:hAnsi="Times New Roman"/>
          <w:sz w:val="18"/>
          <w:szCs w:val="18"/>
        </w:rPr>
      </w:pPr>
      <w:r w:rsidRPr="0063248C">
        <w:rPr>
          <w:rFonts w:ascii="Times New Roman" w:hAnsi="Times New Roman" w:hint="eastAsia"/>
          <w:sz w:val="18"/>
          <w:szCs w:val="18"/>
        </w:rPr>
        <w:t>无</w:t>
      </w:r>
    </w:p>
    <w:p w14:paraId="1EA85591" w14:textId="77777777" w:rsidR="007B3DB2" w:rsidRPr="0063248C" w:rsidRDefault="00000000">
      <w:pPr>
        <w:spacing w:before="100" w:after="100" w:line="240" w:lineRule="exact"/>
        <w:rPr>
          <w:rFonts w:cs="宋体"/>
          <w:sz w:val="18"/>
          <w:szCs w:val="18"/>
        </w:rPr>
      </w:pPr>
      <w:r w:rsidRPr="0063248C">
        <w:rPr>
          <w:rFonts w:cs="宋体"/>
          <w:sz w:val="18"/>
          <w:szCs w:val="18"/>
        </w:rPr>
        <w:t>或有对价及其变动的说明</w:t>
      </w:r>
    </w:p>
    <w:p w14:paraId="3AE767A7" w14:textId="77777777" w:rsidR="00517D34" w:rsidRPr="0063248C" w:rsidRDefault="00000000">
      <w:pPr>
        <w:pStyle w:val="a3"/>
        <w:divId w:val="1175221760"/>
        <w:rPr>
          <w:rFonts w:ascii="Times New Roman" w:hAnsi="Times New Roman"/>
          <w:sz w:val="18"/>
          <w:szCs w:val="18"/>
        </w:rPr>
      </w:pPr>
      <w:r w:rsidRPr="0063248C">
        <w:rPr>
          <w:rFonts w:ascii="Times New Roman" w:hAnsi="Times New Roman" w:hint="eastAsia"/>
          <w:sz w:val="18"/>
          <w:szCs w:val="18"/>
        </w:rPr>
        <w:t>无</w:t>
      </w:r>
    </w:p>
    <w:p w14:paraId="5A80528D" w14:textId="77777777" w:rsidR="007B3DB2" w:rsidRPr="0063248C" w:rsidRDefault="00000000">
      <w:pPr>
        <w:spacing w:before="100" w:after="100" w:line="240" w:lineRule="exact"/>
        <w:rPr>
          <w:rFonts w:cs="宋体"/>
          <w:sz w:val="18"/>
          <w:szCs w:val="18"/>
        </w:rPr>
      </w:pPr>
      <w:r w:rsidRPr="0063248C">
        <w:rPr>
          <w:rFonts w:cs="宋体"/>
          <w:sz w:val="18"/>
          <w:szCs w:val="18"/>
        </w:rPr>
        <w:t>大额商誉形成的主要原因：</w:t>
      </w:r>
    </w:p>
    <w:p w14:paraId="07EBBFBF" w14:textId="77777777" w:rsidR="00517D34" w:rsidRPr="0063248C" w:rsidRDefault="00000000">
      <w:pPr>
        <w:pStyle w:val="a3"/>
        <w:divId w:val="15430946"/>
        <w:rPr>
          <w:rFonts w:ascii="Times New Roman" w:hAnsi="Times New Roman"/>
          <w:sz w:val="18"/>
          <w:szCs w:val="18"/>
        </w:rPr>
      </w:pPr>
      <w:r w:rsidRPr="0063248C">
        <w:rPr>
          <w:rFonts w:ascii="Times New Roman" w:hAnsi="Times New Roman" w:hint="eastAsia"/>
          <w:sz w:val="18"/>
          <w:szCs w:val="18"/>
        </w:rPr>
        <w:t>无</w:t>
      </w:r>
    </w:p>
    <w:p w14:paraId="7A27B1AA"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5FD7B833" w14:textId="77777777" w:rsidR="00517D34" w:rsidRPr="0063248C" w:rsidRDefault="00000000">
      <w:pPr>
        <w:pStyle w:val="a3"/>
        <w:divId w:val="1295410998"/>
        <w:rPr>
          <w:rFonts w:ascii="Times New Roman" w:hAnsi="Times New Roman"/>
          <w:sz w:val="18"/>
          <w:szCs w:val="18"/>
        </w:rPr>
      </w:pPr>
      <w:r w:rsidRPr="0063248C">
        <w:rPr>
          <w:rFonts w:ascii="Times New Roman" w:hAnsi="Times New Roman" w:hint="eastAsia"/>
          <w:sz w:val="18"/>
          <w:szCs w:val="18"/>
        </w:rPr>
        <w:t>无</w:t>
      </w:r>
    </w:p>
    <w:p w14:paraId="71C256AA" w14:textId="77777777" w:rsidR="007B3DB2" w:rsidRPr="0063248C" w:rsidRDefault="00000000">
      <w:pPr>
        <w:keepNext/>
        <w:keepLines/>
        <w:spacing w:before="300" w:after="300" w:line="280" w:lineRule="exact"/>
        <w:outlineLvl w:val="3"/>
        <w:rPr>
          <w:rFonts w:cs="宋体"/>
          <w:b/>
          <w:bCs/>
          <w:sz w:val="18"/>
          <w:szCs w:val="18"/>
        </w:rPr>
      </w:pPr>
      <w:bookmarkStart w:id="411" w:name="_Toc989302"/>
      <w:r w:rsidRPr="0063248C">
        <w:rPr>
          <w:rFonts w:cs="宋体"/>
          <w:b/>
          <w:bCs/>
          <w:sz w:val="18"/>
          <w:szCs w:val="18"/>
        </w:rPr>
        <w:t>（</w:t>
      </w:r>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被购买方于购买日可辨认资产、负债</w:t>
      </w:r>
      <w:bookmarkEnd w:id="411"/>
    </w:p>
    <w:p w14:paraId="0D72767F" w14:textId="77777777" w:rsidR="00517D34" w:rsidRPr="0063248C" w:rsidRDefault="00000000">
      <w:pPr>
        <w:pStyle w:val="a3"/>
        <w:divId w:val="1981765042"/>
        <w:rPr>
          <w:rFonts w:ascii="Times New Roman" w:hAnsi="Times New Roman"/>
          <w:sz w:val="18"/>
          <w:szCs w:val="18"/>
        </w:rPr>
      </w:pPr>
      <w:r w:rsidRPr="0063248C">
        <w:rPr>
          <w:rFonts w:ascii="Times New Roman" w:hAnsi="Times New Roman" w:hint="eastAsia"/>
          <w:sz w:val="18"/>
          <w:szCs w:val="18"/>
        </w:rPr>
        <w:t>无</w:t>
      </w:r>
    </w:p>
    <w:p w14:paraId="7B389B8F" w14:textId="77777777" w:rsidR="007B3DB2" w:rsidRPr="0063248C" w:rsidRDefault="00000000">
      <w:pPr>
        <w:keepNext/>
        <w:keepLines/>
        <w:spacing w:before="300" w:after="300" w:line="280" w:lineRule="exact"/>
        <w:outlineLvl w:val="3"/>
        <w:rPr>
          <w:rFonts w:cs="宋体"/>
          <w:b/>
          <w:bCs/>
          <w:sz w:val="18"/>
          <w:szCs w:val="18"/>
        </w:rPr>
      </w:pPr>
      <w:bookmarkStart w:id="412" w:name="_Toc989303"/>
      <w:r w:rsidRPr="0063248C">
        <w:rPr>
          <w:rFonts w:cs="宋体"/>
          <w:b/>
          <w:bCs/>
          <w:sz w:val="18"/>
          <w:szCs w:val="18"/>
        </w:rPr>
        <w:t>（</w:t>
      </w:r>
      <w:r w:rsidRPr="0063248C">
        <w:rPr>
          <w:rFonts w:cs="宋体"/>
          <w:b/>
          <w:bCs/>
          <w:sz w:val="18"/>
          <w:szCs w:val="18"/>
        </w:rPr>
        <w:t>4</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购买日之前持有的股权按照公允价值重新计量产生的利得或损失</w:t>
      </w:r>
      <w:bookmarkEnd w:id="412"/>
    </w:p>
    <w:p w14:paraId="45B4AA58" w14:textId="77777777" w:rsidR="007B3DB2" w:rsidRPr="0063248C" w:rsidRDefault="00000000">
      <w:pPr>
        <w:spacing w:before="40" w:after="40" w:line="240" w:lineRule="exact"/>
        <w:rPr>
          <w:rFonts w:cs="宋体"/>
          <w:sz w:val="18"/>
          <w:szCs w:val="18"/>
        </w:rPr>
      </w:pPr>
      <w:r w:rsidRPr="0063248C">
        <w:rPr>
          <w:rFonts w:cs="宋体"/>
          <w:sz w:val="18"/>
          <w:szCs w:val="18"/>
        </w:rPr>
        <w:t>是否存在通过多次交易分步实现企业合并且在报告期内取得控制权的交易</w:t>
      </w:r>
    </w:p>
    <w:p w14:paraId="3EF7D34D" w14:textId="77777777" w:rsidR="007B3DB2" w:rsidRPr="0063248C" w:rsidRDefault="00000000">
      <w:pPr>
        <w:spacing w:line="240" w:lineRule="exact"/>
        <w:rPr>
          <w:rFonts w:cs="宋体"/>
          <w:sz w:val="18"/>
          <w:szCs w:val="18"/>
        </w:rPr>
      </w:pPr>
      <w:r w:rsidRPr="00F07AAA">
        <w:rPr>
          <w:rFonts w:ascii="宋体" w:hAnsi="宋体" w:cs="宋体"/>
          <w:sz w:val="18"/>
          <w:szCs w:val="18"/>
        </w:rPr>
        <w:t>□</w:t>
      </w:r>
      <w:r w:rsidRPr="0063248C">
        <w:rPr>
          <w:rFonts w:cs="宋体"/>
          <w:sz w:val="18"/>
          <w:szCs w:val="18"/>
        </w:rPr>
        <w:t>是</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否</w:t>
      </w:r>
    </w:p>
    <w:p w14:paraId="447208F0" w14:textId="77777777" w:rsidR="007B3DB2" w:rsidRPr="0063248C" w:rsidRDefault="00000000">
      <w:pPr>
        <w:keepNext/>
        <w:keepLines/>
        <w:spacing w:before="300" w:after="300" w:line="280" w:lineRule="exact"/>
        <w:outlineLvl w:val="3"/>
        <w:rPr>
          <w:rFonts w:cs="宋体"/>
          <w:b/>
          <w:bCs/>
          <w:sz w:val="18"/>
          <w:szCs w:val="18"/>
        </w:rPr>
      </w:pPr>
      <w:bookmarkStart w:id="413" w:name="_Toc989304"/>
      <w:r w:rsidRPr="0063248C">
        <w:rPr>
          <w:rFonts w:cs="宋体"/>
          <w:b/>
          <w:bCs/>
          <w:sz w:val="18"/>
          <w:szCs w:val="18"/>
        </w:rPr>
        <w:t>（</w:t>
      </w:r>
      <w:r w:rsidRPr="0063248C">
        <w:rPr>
          <w:rFonts w:cs="宋体"/>
          <w:b/>
          <w:bCs/>
          <w:sz w:val="18"/>
          <w:szCs w:val="18"/>
        </w:rPr>
        <w:t>5</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购买日或合并当期期末无法合理确定合并对价或被购买方可辨认资产、负债公允价值的相关说明</w:t>
      </w:r>
      <w:bookmarkEnd w:id="413"/>
    </w:p>
    <w:p w14:paraId="65CDC277" w14:textId="77777777" w:rsidR="00517D34" w:rsidRPr="0063248C" w:rsidRDefault="00000000">
      <w:pPr>
        <w:pStyle w:val="a3"/>
        <w:divId w:val="570580652"/>
        <w:rPr>
          <w:rFonts w:ascii="Times New Roman" w:hAnsi="Times New Roman"/>
          <w:sz w:val="18"/>
          <w:szCs w:val="18"/>
        </w:rPr>
      </w:pPr>
      <w:r w:rsidRPr="0063248C">
        <w:rPr>
          <w:rFonts w:ascii="Times New Roman" w:hAnsi="Times New Roman" w:hint="eastAsia"/>
          <w:sz w:val="18"/>
          <w:szCs w:val="18"/>
        </w:rPr>
        <w:t>无</w:t>
      </w:r>
    </w:p>
    <w:p w14:paraId="21AA42EC" w14:textId="77777777" w:rsidR="007B3DB2" w:rsidRPr="0063248C" w:rsidRDefault="00000000">
      <w:pPr>
        <w:keepNext/>
        <w:keepLines/>
        <w:spacing w:before="300" w:after="300" w:line="280" w:lineRule="exact"/>
        <w:outlineLvl w:val="3"/>
        <w:rPr>
          <w:rFonts w:cs="宋体"/>
          <w:b/>
          <w:bCs/>
          <w:sz w:val="18"/>
          <w:szCs w:val="18"/>
        </w:rPr>
      </w:pPr>
      <w:bookmarkStart w:id="414" w:name="_Toc989305"/>
      <w:r w:rsidRPr="0063248C">
        <w:rPr>
          <w:rFonts w:cs="宋体"/>
          <w:b/>
          <w:bCs/>
          <w:sz w:val="18"/>
          <w:szCs w:val="18"/>
        </w:rPr>
        <w:lastRenderedPageBreak/>
        <w:t>（</w:t>
      </w:r>
      <w:r w:rsidRPr="0063248C">
        <w:rPr>
          <w:rFonts w:cs="宋体"/>
          <w:b/>
          <w:bCs/>
          <w:sz w:val="18"/>
          <w:szCs w:val="18"/>
        </w:rPr>
        <w:t>6</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其他说明</w:t>
      </w:r>
      <w:bookmarkEnd w:id="414"/>
    </w:p>
    <w:p w14:paraId="1BD61C99" w14:textId="77777777" w:rsidR="00517D34" w:rsidRPr="0063248C" w:rsidRDefault="00000000">
      <w:pPr>
        <w:pStyle w:val="a3"/>
        <w:divId w:val="349574481"/>
        <w:rPr>
          <w:rFonts w:ascii="Times New Roman" w:hAnsi="Times New Roman"/>
          <w:sz w:val="18"/>
          <w:szCs w:val="18"/>
        </w:rPr>
      </w:pPr>
      <w:r w:rsidRPr="0063248C">
        <w:rPr>
          <w:rFonts w:ascii="Times New Roman" w:hAnsi="Times New Roman" w:hint="eastAsia"/>
          <w:sz w:val="18"/>
          <w:szCs w:val="18"/>
        </w:rPr>
        <w:t>无</w:t>
      </w:r>
    </w:p>
    <w:p w14:paraId="0013CA4A" w14:textId="77777777" w:rsidR="007B3DB2" w:rsidRPr="0063248C" w:rsidRDefault="00000000">
      <w:pPr>
        <w:pStyle w:val="3"/>
        <w:spacing w:line="280" w:lineRule="exact"/>
        <w:jc w:val="left"/>
        <w:rPr>
          <w:rFonts w:cs="宋体"/>
          <w:b/>
          <w:bCs/>
        </w:rPr>
      </w:pPr>
      <w:bookmarkStart w:id="415" w:name="_Toc989306"/>
      <w:r w:rsidRPr="0063248C">
        <w:rPr>
          <w:rFonts w:cs="宋体"/>
          <w:b/>
          <w:bCs/>
        </w:rPr>
        <w:t>2</w:t>
      </w:r>
      <w:r w:rsidRPr="0063248C">
        <w:rPr>
          <w:rFonts w:cs="宋体"/>
          <w:b/>
          <w:bCs/>
        </w:rPr>
        <w:t>、同</w:t>
      </w:r>
      <w:proofErr w:type="gramStart"/>
      <w:r w:rsidRPr="0063248C">
        <w:rPr>
          <w:rFonts w:cs="宋体"/>
          <w:b/>
          <w:bCs/>
        </w:rPr>
        <w:t>一控制</w:t>
      </w:r>
      <w:proofErr w:type="gramEnd"/>
      <w:r w:rsidRPr="0063248C">
        <w:rPr>
          <w:rFonts w:cs="宋体"/>
          <w:b/>
          <w:bCs/>
        </w:rPr>
        <w:t>下企业合并</w:t>
      </w:r>
      <w:bookmarkEnd w:id="415"/>
    </w:p>
    <w:p w14:paraId="212444C9" w14:textId="77777777" w:rsidR="00517D34" w:rsidRPr="0063248C" w:rsidRDefault="00000000">
      <w:pPr>
        <w:pStyle w:val="a3"/>
        <w:divId w:val="266739840"/>
        <w:rPr>
          <w:rFonts w:ascii="Times New Roman" w:hAnsi="Times New Roman"/>
          <w:sz w:val="18"/>
          <w:szCs w:val="18"/>
        </w:rPr>
      </w:pPr>
      <w:r w:rsidRPr="0063248C">
        <w:rPr>
          <w:rFonts w:ascii="Times New Roman" w:hAnsi="Times New Roman" w:hint="eastAsia"/>
          <w:sz w:val="18"/>
          <w:szCs w:val="18"/>
        </w:rPr>
        <w:t>无</w:t>
      </w:r>
    </w:p>
    <w:p w14:paraId="076F9808" w14:textId="77777777" w:rsidR="007B3DB2" w:rsidRPr="0063248C" w:rsidRDefault="00000000">
      <w:pPr>
        <w:pStyle w:val="3"/>
        <w:spacing w:line="280" w:lineRule="exact"/>
        <w:jc w:val="left"/>
        <w:rPr>
          <w:rFonts w:cs="宋体"/>
          <w:b/>
          <w:bCs/>
        </w:rPr>
      </w:pPr>
      <w:bookmarkStart w:id="416" w:name="_Toc989310"/>
      <w:r w:rsidRPr="0063248C">
        <w:rPr>
          <w:rFonts w:cs="宋体"/>
          <w:b/>
          <w:bCs/>
        </w:rPr>
        <w:t>3</w:t>
      </w:r>
      <w:r w:rsidRPr="0063248C">
        <w:rPr>
          <w:rFonts w:cs="宋体"/>
          <w:b/>
          <w:bCs/>
        </w:rPr>
        <w:t>、反向购买</w:t>
      </w:r>
      <w:bookmarkEnd w:id="416"/>
    </w:p>
    <w:p w14:paraId="22CEB402" w14:textId="77777777" w:rsidR="00517D34" w:rsidRPr="0063248C" w:rsidRDefault="00000000">
      <w:pPr>
        <w:pStyle w:val="a3"/>
        <w:divId w:val="1711492554"/>
        <w:rPr>
          <w:rFonts w:ascii="Times New Roman" w:hAnsi="Times New Roman"/>
          <w:sz w:val="18"/>
          <w:szCs w:val="18"/>
        </w:rPr>
      </w:pPr>
      <w:r w:rsidRPr="0063248C">
        <w:rPr>
          <w:rFonts w:ascii="Times New Roman" w:hAnsi="Times New Roman" w:hint="eastAsia"/>
          <w:sz w:val="18"/>
          <w:szCs w:val="18"/>
        </w:rPr>
        <w:t>无</w:t>
      </w:r>
    </w:p>
    <w:p w14:paraId="6EDC6387" w14:textId="77777777" w:rsidR="007B3DB2" w:rsidRPr="0063248C" w:rsidRDefault="00000000">
      <w:pPr>
        <w:pStyle w:val="3"/>
        <w:spacing w:line="280" w:lineRule="exact"/>
        <w:jc w:val="left"/>
        <w:rPr>
          <w:rFonts w:cs="宋体"/>
          <w:b/>
          <w:bCs/>
        </w:rPr>
      </w:pPr>
      <w:bookmarkStart w:id="417" w:name="_Toc989311"/>
      <w:r w:rsidRPr="0063248C">
        <w:rPr>
          <w:rFonts w:cs="宋体"/>
          <w:b/>
          <w:bCs/>
        </w:rPr>
        <w:t>4</w:t>
      </w:r>
      <w:r w:rsidRPr="0063248C">
        <w:rPr>
          <w:rFonts w:cs="宋体"/>
          <w:b/>
          <w:bCs/>
        </w:rPr>
        <w:t>、处置子公司</w:t>
      </w:r>
      <w:bookmarkEnd w:id="417"/>
    </w:p>
    <w:p w14:paraId="17E311BB" w14:textId="77777777" w:rsidR="007B3DB2" w:rsidRPr="0063248C" w:rsidRDefault="00000000">
      <w:pPr>
        <w:spacing w:before="100" w:after="100" w:line="240" w:lineRule="exact"/>
        <w:rPr>
          <w:rFonts w:cs="宋体"/>
          <w:sz w:val="18"/>
          <w:szCs w:val="18"/>
        </w:rPr>
      </w:pPr>
      <w:r w:rsidRPr="0063248C">
        <w:rPr>
          <w:rFonts w:cs="宋体"/>
          <w:sz w:val="18"/>
          <w:szCs w:val="18"/>
        </w:rPr>
        <w:t>本期是否存在丧失子公司控制权的交易或事项</w:t>
      </w:r>
    </w:p>
    <w:p w14:paraId="7D2BE4C2"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是</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否</w:t>
      </w:r>
    </w:p>
    <w:p w14:paraId="17F3DEAA" w14:textId="77777777" w:rsidR="007B3DB2" w:rsidRPr="0063248C" w:rsidRDefault="00000000">
      <w:pPr>
        <w:spacing w:before="100" w:after="100" w:line="240" w:lineRule="exact"/>
        <w:rPr>
          <w:rFonts w:cs="宋体"/>
          <w:sz w:val="18"/>
          <w:szCs w:val="18"/>
        </w:rPr>
      </w:pPr>
      <w:r w:rsidRPr="0063248C">
        <w:rPr>
          <w:rFonts w:cs="宋体"/>
          <w:sz w:val="18"/>
          <w:szCs w:val="18"/>
        </w:rPr>
        <w:t>是否存在通过多次交易分步处置对子公司投资且在本期丧失控制权的情形</w:t>
      </w:r>
    </w:p>
    <w:p w14:paraId="01B1E0BA"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是</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否</w:t>
      </w:r>
    </w:p>
    <w:p w14:paraId="2006DF31" w14:textId="77777777" w:rsidR="007B3DB2" w:rsidRPr="0063248C" w:rsidRDefault="00000000">
      <w:pPr>
        <w:pStyle w:val="3"/>
        <w:spacing w:line="280" w:lineRule="exact"/>
        <w:jc w:val="left"/>
        <w:rPr>
          <w:rFonts w:cs="宋体"/>
          <w:b/>
          <w:bCs/>
        </w:rPr>
      </w:pPr>
      <w:bookmarkStart w:id="418" w:name="_Toc989312"/>
      <w:r w:rsidRPr="0063248C">
        <w:rPr>
          <w:rFonts w:cs="宋体"/>
          <w:b/>
          <w:bCs/>
        </w:rPr>
        <w:t>5</w:t>
      </w:r>
      <w:r w:rsidRPr="0063248C">
        <w:rPr>
          <w:rFonts w:cs="宋体"/>
          <w:b/>
          <w:bCs/>
        </w:rPr>
        <w:t>、其他原因的合并范围变动</w:t>
      </w:r>
      <w:bookmarkEnd w:id="418"/>
    </w:p>
    <w:p w14:paraId="42AD274E" w14:textId="77777777" w:rsidR="007B3DB2" w:rsidRPr="0063248C" w:rsidRDefault="00000000">
      <w:pPr>
        <w:spacing w:before="100" w:after="100" w:line="240" w:lineRule="exact"/>
        <w:rPr>
          <w:rFonts w:cs="宋体"/>
          <w:sz w:val="18"/>
          <w:szCs w:val="18"/>
        </w:rPr>
      </w:pPr>
      <w:r w:rsidRPr="0063248C">
        <w:rPr>
          <w:rFonts w:cs="宋体"/>
          <w:sz w:val="18"/>
          <w:szCs w:val="18"/>
        </w:rPr>
        <w:t>说明其他原因导致的合并范围变动（如，新设子公司、清算子公司等）及其相关情况：</w:t>
      </w:r>
    </w:p>
    <w:p w14:paraId="07C9B747" w14:textId="77777777" w:rsidR="00517D34" w:rsidRPr="0063248C" w:rsidRDefault="00000000">
      <w:pPr>
        <w:pStyle w:val="a3"/>
        <w:divId w:val="1343319118"/>
        <w:rPr>
          <w:rFonts w:ascii="Times New Roman" w:hAnsi="Times New Roman"/>
          <w:sz w:val="18"/>
          <w:szCs w:val="18"/>
        </w:rPr>
      </w:pPr>
      <w:r w:rsidRPr="0063248C">
        <w:rPr>
          <w:rFonts w:ascii="Times New Roman" w:hAnsi="Times New Roman" w:hint="eastAsia"/>
          <w:sz w:val="18"/>
          <w:szCs w:val="18"/>
        </w:rPr>
        <w:t>1</w:t>
      </w:r>
      <w:r w:rsidRPr="0063248C">
        <w:rPr>
          <w:rFonts w:ascii="Times New Roman" w:hAnsi="Times New Roman" w:hint="eastAsia"/>
          <w:sz w:val="18"/>
          <w:szCs w:val="18"/>
        </w:rPr>
        <w:t>、</w:t>
      </w:r>
      <w:proofErr w:type="gramStart"/>
      <w:r w:rsidRPr="0063248C">
        <w:rPr>
          <w:rFonts w:ascii="Times New Roman" w:hAnsi="Times New Roman" w:hint="eastAsia"/>
          <w:sz w:val="18"/>
          <w:szCs w:val="18"/>
        </w:rPr>
        <w:t>莒</w:t>
      </w:r>
      <w:proofErr w:type="gramEnd"/>
      <w:r w:rsidRPr="0063248C">
        <w:rPr>
          <w:rFonts w:ascii="Times New Roman" w:hAnsi="Times New Roman" w:hint="eastAsia"/>
          <w:sz w:val="18"/>
          <w:szCs w:val="18"/>
        </w:rPr>
        <w:t>南龙大肉食品有限公司于</w:t>
      </w:r>
      <w:r w:rsidRPr="0063248C">
        <w:rPr>
          <w:rFonts w:ascii="Times New Roman" w:hAnsi="Times New Roman" w:hint="eastAsia"/>
          <w:sz w:val="18"/>
          <w:szCs w:val="18"/>
        </w:rPr>
        <w:t>2024</w:t>
      </w:r>
      <w:r w:rsidRPr="0063248C">
        <w:rPr>
          <w:rFonts w:ascii="Times New Roman" w:hAnsi="Times New Roman" w:hint="eastAsia"/>
          <w:sz w:val="18"/>
          <w:szCs w:val="18"/>
        </w:rPr>
        <w:t>年</w:t>
      </w:r>
      <w:r w:rsidRPr="0063248C">
        <w:rPr>
          <w:rFonts w:ascii="Times New Roman" w:hAnsi="Times New Roman" w:hint="eastAsia"/>
          <w:sz w:val="18"/>
          <w:szCs w:val="18"/>
        </w:rPr>
        <w:t>2</w:t>
      </w:r>
      <w:r w:rsidRPr="0063248C">
        <w:rPr>
          <w:rFonts w:ascii="Times New Roman" w:hAnsi="Times New Roman" w:hint="eastAsia"/>
          <w:sz w:val="18"/>
          <w:szCs w:val="18"/>
        </w:rPr>
        <w:t>月</w:t>
      </w:r>
      <w:r w:rsidRPr="0063248C">
        <w:rPr>
          <w:rFonts w:ascii="Times New Roman" w:hAnsi="Times New Roman" w:hint="eastAsia"/>
          <w:sz w:val="18"/>
          <w:szCs w:val="18"/>
        </w:rPr>
        <w:t>19</w:t>
      </w:r>
      <w:r w:rsidRPr="0063248C">
        <w:rPr>
          <w:rFonts w:ascii="Times New Roman" w:hAnsi="Times New Roman" w:hint="eastAsia"/>
          <w:sz w:val="18"/>
          <w:szCs w:val="18"/>
        </w:rPr>
        <w:t>日注销。</w:t>
      </w:r>
    </w:p>
    <w:p w14:paraId="6088CD66" w14:textId="77777777" w:rsidR="00517D34" w:rsidRPr="0063248C" w:rsidRDefault="00000000">
      <w:pPr>
        <w:pStyle w:val="a3"/>
        <w:divId w:val="1343319118"/>
        <w:rPr>
          <w:rFonts w:ascii="Times New Roman" w:hAnsi="Times New Roman"/>
          <w:sz w:val="18"/>
          <w:szCs w:val="18"/>
        </w:rPr>
      </w:pPr>
      <w:r w:rsidRPr="0063248C">
        <w:rPr>
          <w:rFonts w:ascii="Times New Roman" w:hAnsi="Times New Roman" w:hint="eastAsia"/>
          <w:sz w:val="18"/>
          <w:szCs w:val="18"/>
        </w:rPr>
        <w:t>2</w:t>
      </w:r>
      <w:r w:rsidRPr="0063248C">
        <w:rPr>
          <w:rFonts w:ascii="Times New Roman" w:hAnsi="Times New Roman" w:hint="eastAsia"/>
          <w:sz w:val="18"/>
          <w:szCs w:val="18"/>
        </w:rPr>
        <w:t>、北京晓食探科技有限公司于</w:t>
      </w:r>
      <w:r w:rsidRPr="0063248C">
        <w:rPr>
          <w:rFonts w:ascii="Times New Roman" w:hAnsi="Times New Roman" w:hint="eastAsia"/>
          <w:sz w:val="18"/>
          <w:szCs w:val="18"/>
        </w:rPr>
        <w:t>2024</w:t>
      </w:r>
      <w:r w:rsidRPr="0063248C">
        <w:rPr>
          <w:rFonts w:ascii="Times New Roman" w:hAnsi="Times New Roman" w:hint="eastAsia"/>
          <w:sz w:val="18"/>
          <w:szCs w:val="18"/>
        </w:rPr>
        <w:t>年</w:t>
      </w:r>
      <w:r w:rsidRPr="0063248C">
        <w:rPr>
          <w:rFonts w:ascii="Times New Roman" w:hAnsi="Times New Roman" w:hint="eastAsia"/>
          <w:sz w:val="18"/>
          <w:szCs w:val="18"/>
        </w:rPr>
        <w:t>2</w:t>
      </w:r>
      <w:r w:rsidRPr="0063248C">
        <w:rPr>
          <w:rFonts w:ascii="Times New Roman" w:hAnsi="Times New Roman" w:hint="eastAsia"/>
          <w:sz w:val="18"/>
          <w:szCs w:val="18"/>
        </w:rPr>
        <w:t>月</w:t>
      </w:r>
      <w:r w:rsidRPr="0063248C">
        <w:rPr>
          <w:rFonts w:ascii="Times New Roman" w:hAnsi="Times New Roman" w:hint="eastAsia"/>
          <w:sz w:val="18"/>
          <w:szCs w:val="18"/>
        </w:rPr>
        <w:t>27</w:t>
      </w:r>
      <w:r w:rsidRPr="0063248C">
        <w:rPr>
          <w:rFonts w:ascii="Times New Roman" w:hAnsi="Times New Roman" w:hint="eastAsia"/>
          <w:sz w:val="18"/>
          <w:szCs w:val="18"/>
        </w:rPr>
        <w:t>日注销。</w:t>
      </w:r>
    </w:p>
    <w:p w14:paraId="7B3C9B24" w14:textId="77777777" w:rsidR="007B3DB2" w:rsidRPr="0063248C" w:rsidRDefault="00000000">
      <w:pPr>
        <w:pStyle w:val="3"/>
        <w:spacing w:line="280" w:lineRule="exact"/>
        <w:jc w:val="left"/>
        <w:rPr>
          <w:rFonts w:cs="宋体"/>
          <w:b/>
          <w:bCs/>
        </w:rPr>
      </w:pPr>
      <w:bookmarkStart w:id="419" w:name="_Toc989313"/>
      <w:r w:rsidRPr="0063248C">
        <w:rPr>
          <w:rFonts w:cs="宋体"/>
          <w:b/>
          <w:bCs/>
        </w:rPr>
        <w:t>6</w:t>
      </w:r>
      <w:r w:rsidRPr="0063248C">
        <w:rPr>
          <w:rFonts w:cs="宋体"/>
          <w:b/>
          <w:bCs/>
        </w:rPr>
        <w:t>、其他</w:t>
      </w:r>
      <w:bookmarkEnd w:id="419"/>
    </w:p>
    <w:p w14:paraId="5F18B328" w14:textId="77777777" w:rsidR="00517D34" w:rsidRPr="0063248C" w:rsidRDefault="00000000">
      <w:pPr>
        <w:pStyle w:val="a3"/>
        <w:divId w:val="469246477"/>
        <w:rPr>
          <w:rFonts w:ascii="Times New Roman" w:hAnsi="Times New Roman"/>
          <w:sz w:val="18"/>
          <w:szCs w:val="18"/>
        </w:rPr>
      </w:pPr>
      <w:r w:rsidRPr="0063248C">
        <w:rPr>
          <w:rFonts w:ascii="Times New Roman" w:hAnsi="Times New Roman" w:hint="eastAsia"/>
          <w:sz w:val="18"/>
          <w:szCs w:val="18"/>
        </w:rPr>
        <w:t>无</w:t>
      </w:r>
    </w:p>
    <w:p w14:paraId="519DE1C4" w14:textId="77777777" w:rsidR="007B3DB2" w:rsidRPr="0063248C" w:rsidRDefault="00000000">
      <w:pPr>
        <w:pStyle w:val="2"/>
        <w:spacing w:before="300" w:after="300" w:line="320" w:lineRule="exact"/>
        <w:rPr>
          <w:rFonts w:cs="宋体"/>
          <w:b/>
          <w:bCs/>
          <w:sz w:val="24"/>
          <w:szCs w:val="24"/>
        </w:rPr>
      </w:pPr>
      <w:bookmarkStart w:id="420" w:name="_Toc989314"/>
      <w:r w:rsidRPr="0063248C">
        <w:rPr>
          <w:rFonts w:cs="宋体"/>
          <w:b/>
          <w:bCs/>
          <w:sz w:val="24"/>
          <w:szCs w:val="24"/>
        </w:rPr>
        <w:t>十、在其他主体中的权益</w:t>
      </w:r>
      <w:bookmarkEnd w:id="420"/>
    </w:p>
    <w:p w14:paraId="30EB0D0C" w14:textId="77777777" w:rsidR="007B3DB2" w:rsidRPr="0063248C" w:rsidRDefault="00000000">
      <w:pPr>
        <w:pStyle w:val="3"/>
        <w:spacing w:line="280" w:lineRule="exact"/>
        <w:jc w:val="left"/>
        <w:rPr>
          <w:rFonts w:cs="宋体"/>
          <w:b/>
          <w:bCs/>
        </w:rPr>
      </w:pPr>
      <w:bookmarkStart w:id="421" w:name="_Toc989315"/>
      <w:r w:rsidRPr="0063248C">
        <w:rPr>
          <w:rFonts w:cs="宋体"/>
          <w:b/>
          <w:bCs/>
        </w:rPr>
        <w:t>1</w:t>
      </w:r>
      <w:r w:rsidRPr="0063248C">
        <w:rPr>
          <w:rFonts w:cs="宋体"/>
          <w:b/>
          <w:bCs/>
        </w:rPr>
        <w:t>、在子公司中的权益</w:t>
      </w:r>
      <w:bookmarkEnd w:id="421"/>
    </w:p>
    <w:p w14:paraId="44604DF7" w14:textId="77777777" w:rsidR="007B3DB2" w:rsidRPr="0063248C" w:rsidRDefault="00000000">
      <w:pPr>
        <w:keepNext/>
        <w:keepLines/>
        <w:spacing w:before="300" w:after="300" w:line="280" w:lineRule="exact"/>
        <w:outlineLvl w:val="3"/>
        <w:rPr>
          <w:rFonts w:cs="宋体"/>
          <w:b/>
          <w:bCs/>
          <w:sz w:val="18"/>
          <w:szCs w:val="18"/>
        </w:rPr>
      </w:pPr>
      <w:bookmarkStart w:id="422" w:name="_Toc989316"/>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企业集团的构成</w:t>
      </w:r>
      <w:bookmarkEnd w:id="422"/>
    </w:p>
    <w:p w14:paraId="3D9BD6F2"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083"/>
        <w:gridCol w:w="1326"/>
        <w:gridCol w:w="1205"/>
        <w:gridCol w:w="1205"/>
        <w:gridCol w:w="1205"/>
        <w:gridCol w:w="1205"/>
        <w:gridCol w:w="1205"/>
        <w:gridCol w:w="1205"/>
      </w:tblGrid>
      <w:tr w:rsidR="007B3DB2" w:rsidRPr="0063248C" w14:paraId="6AAA633B" w14:textId="77777777" w:rsidTr="000F65D3">
        <w:trPr>
          <w:trHeight w:val="240"/>
        </w:trPr>
        <w:tc>
          <w:tcPr>
            <w:tcW w:w="108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E91D011" w14:textId="77777777" w:rsidR="007B3DB2" w:rsidRPr="0063248C" w:rsidRDefault="00000000">
            <w:pPr>
              <w:spacing w:before="40" w:after="40" w:line="240" w:lineRule="exact"/>
              <w:jc w:val="center"/>
              <w:rPr>
                <w:rFonts w:cs="宋体"/>
                <w:sz w:val="18"/>
                <w:szCs w:val="18"/>
              </w:rPr>
            </w:pPr>
            <w:r w:rsidRPr="0063248C">
              <w:rPr>
                <w:rFonts w:cs="宋体"/>
                <w:sz w:val="18"/>
                <w:szCs w:val="18"/>
              </w:rPr>
              <w:t>子公司名称</w:t>
            </w:r>
          </w:p>
        </w:tc>
        <w:tc>
          <w:tcPr>
            <w:tcW w:w="13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AE7E0F5" w14:textId="77777777" w:rsidR="007B3DB2" w:rsidRPr="0063248C" w:rsidRDefault="00000000">
            <w:pPr>
              <w:spacing w:before="40" w:after="40" w:line="240" w:lineRule="exact"/>
              <w:jc w:val="center"/>
              <w:rPr>
                <w:rFonts w:cs="宋体"/>
                <w:sz w:val="18"/>
                <w:szCs w:val="18"/>
              </w:rPr>
            </w:pPr>
            <w:r w:rsidRPr="0063248C">
              <w:rPr>
                <w:rFonts w:cs="宋体"/>
                <w:sz w:val="18"/>
                <w:szCs w:val="18"/>
              </w:rPr>
              <w:t>注册资本</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AE0D78" w14:textId="77777777" w:rsidR="007B3DB2" w:rsidRPr="0063248C" w:rsidRDefault="00000000">
            <w:pPr>
              <w:spacing w:before="40" w:after="40" w:line="240" w:lineRule="exact"/>
              <w:jc w:val="center"/>
              <w:rPr>
                <w:rFonts w:cs="宋体"/>
                <w:sz w:val="18"/>
                <w:szCs w:val="18"/>
              </w:rPr>
            </w:pPr>
            <w:r w:rsidRPr="0063248C">
              <w:rPr>
                <w:rFonts w:cs="宋体"/>
                <w:sz w:val="18"/>
                <w:szCs w:val="18"/>
              </w:rPr>
              <w:t>主要经营地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476EBE" w14:textId="77777777" w:rsidR="007B3DB2" w:rsidRPr="0063248C" w:rsidRDefault="00000000">
            <w:pPr>
              <w:spacing w:before="40" w:after="40" w:line="240" w:lineRule="exact"/>
              <w:jc w:val="center"/>
              <w:rPr>
                <w:rFonts w:cs="宋体"/>
                <w:sz w:val="18"/>
                <w:szCs w:val="18"/>
              </w:rPr>
            </w:pPr>
            <w:r w:rsidRPr="0063248C">
              <w:rPr>
                <w:rFonts w:cs="宋体"/>
                <w:sz w:val="18"/>
                <w:szCs w:val="18"/>
              </w:rPr>
              <w:t>注册地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B7020B4" w14:textId="77777777" w:rsidR="007B3DB2" w:rsidRPr="0063248C" w:rsidRDefault="00000000">
            <w:pPr>
              <w:spacing w:before="40" w:after="40" w:line="240" w:lineRule="exact"/>
              <w:jc w:val="center"/>
              <w:rPr>
                <w:rFonts w:cs="宋体"/>
                <w:sz w:val="18"/>
                <w:szCs w:val="18"/>
              </w:rPr>
            </w:pPr>
            <w:r w:rsidRPr="0063248C">
              <w:rPr>
                <w:rFonts w:cs="宋体"/>
                <w:sz w:val="18"/>
                <w:szCs w:val="18"/>
              </w:rPr>
              <w:t>业务性质</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7A35D48" w14:textId="77777777" w:rsidR="007B3DB2" w:rsidRPr="0063248C" w:rsidRDefault="00000000">
            <w:pPr>
              <w:spacing w:before="40" w:after="40" w:line="240" w:lineRule="exact"/>
              <w:jc w:val="center"/>
              <w:rPr>
                <w:rFonts w:cs="宋体"/>
                <w:sz w:val="18"/>
                <w:szCs w:val="18"/>
              </w:rPr>
            </w:pPr>
            <w:r w:rsidRPr="0063248C">
              <w:rPr>
                <w:rFonts w:cs="宋体"/>
                <w:sz w:val="18"/>
                <w:szCs w:val="18"/>
              </w:rPr>
              <w:t>持股比例</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13E3600" w14:textId="77777777" w:rsidR="007B3DB2" w:rsidRPr="0063248C" w:rsidRDefault="00000000">
            <w:pPr>
              <w:spacing w:before="40" w:after="40" w:line="240" w:lineRule="exact"/>
              <w:jc w:val="center"/>
              <w:rPr>
                <w:rFonts w:cs="宋体"/>
                <w:sz w:val="18"/>
                <w:szCs w:val="18"/>
              </w:rPr>
            </w:pPr>
            <w:r w:rsidRPr="0063248C">
              <w:rPr>
                <w:rFonts w:cs="宋体"/>
                <w:sz w:val="18"/>
                <w:szCs w:val="18"/>
              </w:rPr>
              <w:t>取得方式</w:t>
            </w:r>
          </w:p>
        </w:tc>
      </w:tr>
      <w:tr w:rsidR="007B3DB2" w:rsidRPr="0063248C" w14:paraId="5BE5B9DD" w14:textId="77777777" w:rsidTr="000F65D3">
        <w:trPr>
          <w:trHeight w:val="240"/>
        </w:trPr>
        <w:tc>
          <w:tcPr>
            <w:tcW w:w="108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5ADC858" w14:textId="77777777" w:rsidR="007B3DB2" w:rsidRPr="0063248C" w:rsidRDefault="007B3DB2"/>
        </w:tc>
        <w:tc>
          <w:tcPr>
            <w:tcW w:w="1326" w:type="dxa"/>
            <w:vMerge/>
            <w:tcBorders>
              <w:top w:val="single" w:sz="2" w:space="0" w:color="auto"/>
              <w:left w:val="single" w:sz="2" w:space="0" w:color="auto"/>
              <w:bottom w:val="single" w:sz="2" w:space="0" w:color="auto"/>
              <w:right w:val="single" w:sz="2" w:space="0" w:color="auto"/>
            </w:tcBorders>
            <w:vAlign w:val="center"/>
          </w:tcPr>
          <w:p w14:paraId="16EB9FC1" w14:textId="77777777" w:rsidR="007B3DB2" w:rsidRPr="0063248C" w:rsidRDefault="007B3DB2"/>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85C6309" w14:textId="77777777" w:rsidR="007B3DB2" w:rsidRPr="0063248C" w:rsidRDefault="007B3DB2"/>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504BC1" w14:textId="77777777" w:rsidR="007B3DB2" w:rsidRPr="0063248C" w:rsidRDefault="007B3DB2"/>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276EBC8" w14:textId="77777777" w:rsidR="007B3DB2" w:rsidRPr="0063248C" w:rsidRDefault="007B3DB2"/>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774001C3" w14:textId="77777777" w:rsidR="007B3DB2" w:rsidRPr="0063248C" w:rsidRDefault="00000000">
            <w:pPr>
              <w:spacing w:before="40" w:after="40" w:line="240" w:lineRule="exact"/>
              <w:jc w:val="center"/>
              <w:rPr>
                <w:rFonts w:cs="宋体"/>
                <w:sz w:val="18"/>
                <w:szCs w:val="18"/>
              </w:rPr>
            </w:pPr>
            <w:r w:rsidRPr="0063248C">
              <w:rPr>
                <w:rFonts w:cs="宋体"/>
                <w:sz w:val="18"/>
                <w:szCs w:val="18"/>
              </w:rPr>
              <w:t>直接</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D909930" w14:textId="77777777" w:rsidR="007B3DB2" w:rsidRPr="0063248C" w:rsidRDefault="00000000">
            <w:pPr>
              <w:spacing w:before="40" w:after="40" w:line="240" w:lineRule="exact"/>
              <w:jc w:val="center"/>
              <w:rPr>
                <w:rFonts w:cs="宋体"/>
                <w:sz w:val="18"/>
                <w:szCs w:val="18"/>
              </w:rPr>
            </w:pPr>
            <w:r w:rsidRPr="0063248C">
              <w:rPr>
                <w:rFonts w:cs="宋体"/>
                <w:sz w:val="18"/>
                <w:szCs w:val="18"/>
              </w:rPr>
              <w:t>间接</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51B04F" w14:textId="77777777" w:rsidR="007B3DB2" w:rsidRPr="0063248C" w:rsidRDefault="007B3DB2"/>
        </w:tc>
      </w:tr>
      <w:tr w:rsidR="007B3DB2" w:rsidRPr="0063248C" w14:paraId="4431A0BF"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17183418" w14:textId="77777777" w:rsidR="007B3DB2" w:rsidRPr="0063248C" w:rsidRDefault="00000000">
            <w:pPr>
              <w:spacing w:line="240" w:lineRule="exact"/>
              <w:rPr>
                <w:rFonts w:cs="宋体"/>
                <w:sz w:val="18"/>
                <w:szCs w:val="18"/>
              </w:rPr>
            </w:pPr>
            <w:r w:rsidRPr="0063248C">
              <w:rPr>
                <w:rFonts w:cs="宋体"/>
                <w:sz w:val="18"/>
                <w:szCs w:val="18"/>
              </w:rPr>
              <w:t>烟台龙大养殖有限公司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16934A46" w14:textId="77777777" w:rsidR="007B3DB2" w:rsidRPr="0063248C" w:rsidRDefault="00000000">
            <w:pPr>
              <w:spacing w:line="240" w:lineRule="exact"/>
              <w:jc w:val="right"/>
              <w:rPr>
                <w:rFonts w:cs="宋体"/>
                <w:sz w:val="18"/>
                <w:szCs w:val="18"/>
              </w:rPr>
            </w:pPr>
            <w:r w:rsidRPr="0063248C">
              <w:rPr>
                <w:rFonts w:cs="宋体"/>
                <w:sz w:val="18"/>
                <w:szCs w:val="18"/>
              </w:rPr>
              <w:t>150,000,000.00</w:t>
            </w:r>
          </w:p>
        </w:tc>
        <w:tc>
          <w:tcPr>
            <w:tcW w:w="1205" w:type="dxa"/>
            <w:tcBorders>
              <w:top w:val="single" w:sz="2" w:space="0" w:color="auto"/>
              <w:left w:val="single" w:sz="2" w:space="0" w:color="auto"/>
              <w:bottom w:val="single" w:sz="2" w:space="0" w:color="auto"/>
              <w:right w:val="single" w:sz="2" w:space="0" w:color="auto"/>
            </w:tcBorders>
            <w:vAlign w:val="center"/>
          </w:tcPr>
          <w:p w14:paraId="2B9512D5" w14:textId="77777777" w:rsidR="007B3DB2" w:rsidRPr="0063248C" w:rsidRDefault="00000000">
            <w:pPr>
              <w:spacing w:line="240" w:lineRule="exact"/>
              <w:rPr>
                <w:rFonts w:cs="宋体"/>
                <w:sz w:val="18"/>
                <w:szCs w:val="18"/>
              </w:rPr>
            </w:pPr>
            <w:r w:rsidRPr="0063248C">
              <w:rPr>
                <w:rFonts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11004016" w14:textId="77777777" w:rsidR="007B3DB2" w:rsidRPr="0063248C" w:rsidRDefault="00000000">
            <w:pPr>
              <w:spacing w:line="240" w:lineRule="exact"/>
              <w:rPr>
                <w:rFonts w:cs="宋体"/>
                <w:sz w:val="18"/>
                <w:szCs w:val="18"/>
              </w:rPr>
            </w:pPr>
            <w:r w:rsidRPr="0063248C">
              <w:rPr>
                <w:rFonts w:cs="宋体"/>
                <w:sz w:val="18"/>
                <w:szCs w:val="18"/>
              </w:rPr>
              <w:t>山东省莱阳市龙旺庄街道办事处乔家泊村</w:t>
            </w:r>
          </w:p>
        </w:tc>
        <w:tc>
          <w:tcPr>
            <w:tcW w:w="1205" w:type="dxa"/>
            <w:tcBorders>
              <w:top w:val="single" w:sz="2" w:space="0" w:color="auto"/>
              <w:left w:val="single" w:sz="2" w:space="0" w:color="auto"/>
              <w:bottom w:val="single" w:sz="2" w:space="0" w:color="auto"/>
              <w:right w:val="single" w:sz="2" w:space="0" w:color="auto"/>
            </w:tcBorders>
            <w:vAlign w:val="center"/>
          </w:tcPr>
          <w:p w14:paraId="51A74323" w14:textId="77777777" w:rsidR="007B3DB2" w:rsidRPr="0063248C" w:rsidRDefault="00000000">
            <w:pPr>
              <w:spacing w:line="240" w:lineRule="exact"/>
              <w:rPr>
                <w:rFonts w:cs="宋体"/>
                <w:sz w:val="18"/>
                <w:szCs w:val="18"/>
              </w:rPr>
            </w:pPr>
            <w:r w:rsidRPr="0063248C">
              <w:rPr>
                <w:rFonts w:cs="宋体"/>
                <w:sz w:val="18"/>
                <w:szCs w:val="18"/>
              </w:rPr>
              <w:t>畜禽</w:t>
            </w:r>
            <w:r w:rsidRPr="0063248C">
              <w:rPr>
                <w:rFonts w:cs="宋体"/>
                <w:sz w:val="18"/>
                <w:szCs w:val="18"/>
              </w:rPr>
              <w:t>\</w:t>
            </w:r>
            <w:r w:rsidRPr="0063248C">
              <w:rPr>
                <w:rFonts w:cs="宋体"/>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18C789EE"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A033EBC"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98A92E2" w14:textId="77777777" w:rsidR="007B3DB2" w:rsidRPr="0063248C" w:rsidRDefault="00000000">
            <w:pPr>
              <w:spacing w:line="240" w:lineRule="exact"/>
              <w:rPr>
                <w:rFonts w:cs="宋体"/>
                <w:sz w:val="18"/>
                <w:szCs w:val="18"/>
              </w:rPr>
            </w:pPr>
            <w:r w:rsidRPr="0063248C">
              <w:rPr>
                <w:rFonts w:cs="宋体"/>
                <w:sz w:val="18"/>
                <w:szCs w:val="18"/>
              </w:rPr>
              <w:t>同</w:t>
            </w:r>
            <w:proofErr w:type="gramStart"/>
            <w:r w:rsidRPr="0063248C">
              <w:rPr>
                <w:rFonts w:cs="宋体"/>
                <w:sz w:val="18"/>
                <w:szCs w:val="18"/>
              </w:rPr>
              <w:t>一控制</w:t>
            </w:r>
            <w:proofErr w:type="gramEnd"/>
            <w:r w:rsidRPr="0063248C">
              <w:rPr>
                <w:rFonts w:cs="宋体"/>
                <w:sz w:val="18"/>
                <w:szCs w:val="18"/>
              </w:rPr>
              <w:t>下企业合并</w:t>
            </w:r>
          </w:p>
        </w:tc>
      </w:tr>
      <w:tr w:rsidR="007B3DB2" w:rsidRPr="0063248C" w14:paraId="6B5148BE"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3EF0A584" w14:textId="77777777" w:rsidR="007B3DB2" w:rsidRPr="0063248C" w:rsidRDefault="00000000">
            <w:pPr>
              <w:spacing w:line="240" w:lineRule="exact"/>
              <w:rPr>
                <w:rFonts w:cs="宋体"/>
                <w:sz w:val="18"/>
                <w:szCs w:val="18"/>
              </w:rPr>
            </w:pPr>
            <w:r w:rsidRPr="0063248C">
              <w:rPr>
                <w:rFonts w:cs="宋体"/>
                <w:sz w:val="18"/>
                <w:szCs w:val="18"/>
              </w:rPr>
              <w:t>烟台龙大饲料有限公司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310A8289" w14:textId="77777777" w:rsidR="007B3DB2" w:rsidRPr="0063248C" w:rsidRDefault="00000000">
            <w:pPr>
              <w:spacing w:line="240" w:lineRule="exact"/>
              <w:jc w:val="right"/>
              <w:rPr>
                <w:rFonts w:cs="宋体"/>
                <w:sz w:val="18"/>
                <w:szCs w:val="18"/>
              </w:rPr>
            </w:pPr>
            <w:r w:rsidRPr="0063248C">
              <w:rPr>
                <w:rFonts w:cs="宋体"/>
                <w:sz w:val="18"/>
                <w:szCs w:val="18"/>
              </w:rPr>
              <w:t>56,000,000.00</w:t>
            </w:r>
          </w:p>
        </w:tc>
        <w:tc>
          <w:tcPr>
            <w:tcW w:w="1205" w:type="dxa"/>
            <w:tcBorders>
              <w:top w:val="single" w:sz="2" w:space="0" w:color="auto"/>
              <w:left w:val="single" w:sz="2" w:space="0" w:color="auto"/>
              <w:bottom w:val="single" w:sz="2" w:space="0" w:color="auto"/>
              <w:right w:val="single" w:sz="2" w:space="0" w:color="auto"/>
            </w:tcBorders>
            <w:vAlign w:val="center"/>
          </w:tcPr>
          <w:p w14:paraId="7B3E837A" w14:textId="77777777" w:rsidR="007B3DB2" w:rsidRPr="0063248C" w:rsidRDefault="00000000">
            <w:pPr>
              <w:spacing w:line="240" w:lineRule="exact"/>
              <w:rPr>
                <w:rFonts w:cs="宋体"/>
                <w:sz w:val="18"/>
                <w:szCs w:val="18"/>
              </w:rPr>
            </w:pPr>
            <w:r w:rsidRPr="0063248C">
              <w:rPr>
                <w:rFonts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2846EAFD" w14:textId="77777777" w:rsidR="007B3DB2" w:rsidRPr="0063248C" w:rsidRDefault="00000000">
            <w:pPr>
              <w:spacing w:line="240" w:lineRule="exact"/>
              <w:rPr>
                <w:rFonts w:cs="宋体"/>
                <w:sz w:val="18"/>
                <w:szCs w:val="18"/>
              </w:rPr>
            </w:pPr>
            <w:r w:rsidRPr="0063248C">
              <w:rPr>
                <w:rFonts w:cs="宋体"/>
                <w:sz w:val="18"/>
                <w:szCs w:val="18"/>
              </w:rPr>
              <w:t>山东省莱阳市龙旺庄街道办事处乔家泊村</w:t>
            </w:r>
          </w:p>
        </w:tc>
        <w:tc>
          <w:tcPr>
            <w:tcW w:w="1205" w:type="dxa"/>
            <w:tcBorders>
              <w:top w:val="single" w:sz="2" w:space="0" w:color="auto"/>
              <w:left w:val="single" w:sz="2" w:space="0" w:color="auto"/>
              <w:bottom w:val="single" w:sz="2" w:space="0" w:color="auto"/>
              <w:right w:val="single" w:sz="2" w:space="0" w:color="auto"/>
            </w:tcBorders>
            <w:vAlign w:val="center"/>
          </w:tcPr>
          <w:p w14:paraId="43B1B591" w14:textId="77777777" w:rsidR="007B3DB2" w:rsidRPr="0063248C" w:rsidRDefault="00000000">
            <w:pPr>
              <w:spacing w:line="240" w:lineRule="exact"/>
              <w:rPr>
                <w:rFonts w:cs="宋体"/>
                <w:sz w:val="18"/>
                <w:szCs w:val="18"/>
              </w:rPr>
            </w:pPr>
            <w:r w:rsidRPr="0063248C">
              <w:rPr>
                <w:rFonts w:cs="宋体"/>
                <w:sz w:val="18"/>
                <w:szCs w:val="18"/>
              </w:rPr>
              <w:t>饲料生产</w:t>
            </w:r>
          </w:p>
        </w:tc>
        <w:tc>
          <w:tcPr>
            <w:tcW w:w="1205" w:type="dxa"/>
            <w:tcBorders>
              <w:top w:val="single" w:sz="2" w:space="0" w:color="auto"/>
              <w:left w:val="single" w:sz="2" w:space="0" w:color="auto"/>
              <w:bottom w:val="single" w:sz="2" w:space="0" w:color="auto"/>
              <w:right w:val="single" w:sz="2" w:space="0" w:color="auto"/>
            </w:tcBorders>
            <w:vAlign w:val="center"/>
          </w:tcPr>
          <w:p w14:paraId="138F445C"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A3E383D"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0006C8E" w14:textId="77777777" w:rsidR="007B3DB2" w:rsidRPr="0063248C" w:rsidRDefault="00000000">
            <w:pPr>
              <w:spacing w:line="240" w:lineRule="exact"/>
              <w:rPr>
                <w:rFonts w:cs="宋体"/>
                <w:sz w:val="18"/>
                <w:szCs w:val="18"/>
              </w:rPr>
            </w:pPr>
            <w:r w:rsidRPr="0063248C">
              <w:rPr>
                <w:rFonts w:cs="宋体"/>
                <w:sz w:val="18"/>
                <w:szCs w:val="18"/>
              </w:rPr>
              <w:t>同</w:t>
            </w:r>
            <w:proofErr w:type="gramStart"/>
            <w:r w:rsidRPr="0063248C">
              <w:rPr>
                <w:rFonts w:cs="宋体"/>
                <w:sz w:val="18"/>
                <w:szCs w:val="18"/>
              </w:rPr>
              <w:t>一控制</w:t>
            </w:r>
            <w:proofErr w:type="gramEnd"/>
            <w:r w:rsidRPr="0063248C">
              <w:rPr>
                <w:rFonts w:cs="宋体"/>
                <w:sz w:val="18"/>
                <w:szCs w:val="18"/>
              </w:rPr>
              <w:t>下企业合并</w:t>
            </w:r>
          </w:p>
        </w:tc>
      </w:tr>
      <w:tr w:rsidR="007B3DB2" w:rsidRPr="0063248C" w14:paraId="2BE7A889"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286093F7" w14:textId="77777777" w:rsidR="007B3DB2" w:rsidRPr="0063248C" w:rsidRDefault="00000000">
            <w:pPr>
              <w:spacing w:line="240" w:lineRule="exact"/>
              <w:rPr>
                <w:rFonts w:cs="宋体"/>
                <w:sz w:val="18"/>
                <w:szCs w:val="18"/>
              </w:rPr>
            </w:pPr>
            <w:r w:rsidRPr="0063248C">
              <w:rPr>
                <w:rFonts w:cs="宋体"/>
                <w:sz w:val="18"/>
                <w:szCs w:val="18"/>
              </w:rPr>
              <w:t>河南龙大牧原肉食品有</w:t>
            </w:r>
            <w:r w:rsidRPr="0063248C">
              <w:rPr>
                <w:rFonts w:cs="宋体"/>
                <w:sz w:val="18"/>
                <w:szCs w:val="18"/>
              </w:rPr>
              <w:lastRenderedPageBreak/>
              <w:t>限公司</w:t>
            </w:r>
          </w:p>
        </w:tc>
        <w:tc>
          <w:tcPr>
            <w:tcW w:w="1326" w:type="dxa"/>
            <w:tcBorders>
              <w:top w:val="single" w:sz="2" w:space="0" w:color="auto"/>
              <w:left w:val="single" w:sz="2" w:space="0" w:color="auto"/>
              <w:bottom w:val="single" w:sz="2" w:space="0" w:color="auto"/>
              <w:right w:val="single" w:sz="2" w:space="0" w:color="auto"/>
            </w:tcBorders>
            <w:vAlign w:val="center"/>
          </w:tcPr>
          <w:p w14:paraId="1C1936C9" w14:textId="77777777" w:rsidR="007B3DB2" w:rsidRPr="0063248C" w:rsidRDefault="00000000">
            <w:pPr>
              <w:spacing w:line="240" w:lineRule="exact"/>
              <w:jc w:val="right"/>
              <w:rPr>
                <w:rFonts w:cs="宋体"/>
                <w:sz w:val="18"/>
                <w:szCs w:val="18"/>
              </w:rPr>
            </w:pPr>
            <w:r w:rsidRPr="0063248C">
              <w:rPr>
                <w:rFonts w:cs="宋体"/>
                <w:sz w:val="18"/>
                <w:szCs w:val="18"/>
              </w:rPr>
              <w:lastRenderedPageBreak/>
              <w:t>150,000,000.00</w:t>
            </w:r>
          </w:p>
        </w:tc>
        <w:tc>
          <w:tcPr>
            <w:tcW w:w="1205" w:type="dxa"/>
            <w:tcBorders>
              <w:top w:val="single" w:sz="2" w:space="0" w:color="auto"/>
              <w:left w:val="single" w:sz="2" w:space="0" w:color="auto"/>
              <w:bottom w:val="single" w:sz="2" w:space="0" w:color="auto"/>
              <w:right w:val="single" w:sz="2" w:space="0" w:color="auto"/>
            </w:tcBorders>
            <w:vAlign w:val="center"/>
          </w:tcPr>
          <w:p w14:paraId="0E577E83" w14:textId="77777777" w:rsidR="007B3DB2" w:rsidRPr="0063248C" w:rsidRDefault="00000000">
            <w:pPr>
              <w:spacing w:line="240" w:lineRule="exact"/>
              <w:rPr>
                <w:rFonts w:cs="宋体"/>
                <w:sz w:val="18"/>
                <w:szCs w:val="18"/>
              </w:rPr>
            </w:pPr>
            <w:r w:rsidRPr="0063248C">
              <w:rPr>
                <w:rFonts w:cs="宋体"/>
                <w:sz w:val="18"/>
                <w:szCs w:val="18"/>
              </w:rPr>
              <w:t>河南省内乡县</w:t>
            </w:r>
          </w:p>
        </w:tc>
        <w:tc>
          <w:tcPr>
            <w:tcW w:w="1205" w:type="dxa"/>
            <w:tcBorders>
              <w:top w:val="single" w:sz="2" w:space="0" w:color="auto"/>
              <w:left w:val="single" w:sz="2" w:space="0" w:color="auto"/>
              <w:bottom w:val="single" w:sz="2" w:space="0" w:color="auto"/>
              <w:right w:val="single" w:sz="2" w:space="0" w:color="auto"/>
            </w:tcBorders>
            <w:vAlign w:val="center"/>
          </w:tcPr>
          <w:p w14:paraId="4D9D11A0" w14:textId="77777777" w:rsidR="007B3DB2" w:rsidRPr="0063248C" w:rsidRDefault="00000000">
            <w:pPr>
              <w:spacing w:line="240" w:lineRule="exact"/>
              <w:rPr>
                <w:rFonts w:cs="宋体"/>
                <w:sz w:val="18"/>
                <w:szCs w:val="18"/>
              </w:rPr>
            </w:pPr>
            <w:r w:rsidRPr="0063248C">
              <w:rPr>
                <w:rFonts w:cs="宋体"/>
                <w:sz w:val="18"/>
                <w:szCs w:val="18"/>
              </w:rPr>
              <w:t>内乡县灌涨镇前湾村</w:t>
            </w:r>
            <w:r w:rsidRPr="0063248C">
              <w:rPr>
                <w:rFonts w:cs="宋体"/>
                <w:sz w:val="18"/>
                <w:szCs w:val="18"/>
              </w:rPr>
              <w:t>312</w:t>
            </w:r>
            <w:r w:rsidRPr="0063248C">
              <w:rPr>
                <w:rFonts w:cs="宋体"/>
                <w:sz w:val="18"/>
                <w:szCs w:val="18"/>
              </w:rPr>
              <w:t>国</w:t>
            </w:r>
            <w:r w:rsidRPr="0063248C">
              <w:rPr>
                <w:rFonts w:cs="宋体"/>
                <w:sz w:val="18"/>
                <w:szCs w:val="18"/>
              </w:rPr>
              <w:lastRenderedPageBreak/>
              <w:t>道</w:t>
            </w:r>
            <w:proofErr w:type="gramStart"/>
            <w:r w:rsidRPr="0063248C">
              <w:rPr>
                <w:rFonts w:cs="宋体"/>
                <w:sz w:val="18"/>
                <w:szCs w:val="18"/>
              </w:rPr>
              <w:t>与默河交叉口</w:t>
            </w:r>
            <w:proofErr w:type="gramEnd"/>
            <w:r w:rsidRPr="0063248C">
              <w:rPr>
                <w:rFonts w:cs="宋体"/>
                <w:sz w:val="18"/>
                <w:szCs w:val="18"/>
              </w:rPr>
              <w:t>西北角</w:t>
            </w:r>
          </w:p>
        </w:tc>
        <w:tc>
          <w:tcPr>
            <w:tcW w:w="1205" w:type="dxa"/>
            <w:tcBorders>
              <w:top w:val="single" w:sz="2" w:space="0" w:color="auto"/>
              <w:left w:val="single" w:sz="2" w:space="0" w:color="auto"/>
              <w:bottom w:val="single" w:sz="2" w:space="0" w:color="auto"/>
              <w:right w:val="single" w:sz="2" w:space="0" w:color="auto"/>
            </w:tcBorders>
            <w:vAlign w:val="center"/>
          </w:tcPr>
          <w:p w14:paraId="1DB9FD25" w14:textId="77777777" w:rsidR="007B3DB2" w:rsidRPr="0063248C" w:rsidRDefault="00000000">
            <w:pPr>
              <w:spacing w:line="240" w:lineRule="exact"/>
              <w:rPr>
                <w:rFonts w:cs="宋体"/>
                <w:sz w:val="18"/>
                <w:szCs w:val="18"/>
              </w:rPr>
            </w:pPr>
            <w:r w:rsidRPr="0063248C">
              <w:rPr>
                <w:rFonts w:cs="宋体"/>
                <w:sz w:val="18"/>
                <w:szCs w:val="18"/>
              </w:rPr>
              <w:lastRenderedPageBreak/>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03313C01" w14:textId="77777777" w:rsidR="007B3DB2" w:rsidRPr="0063248C" w:rsidRDefault="00000000">
            <w:pPr>
              <w:spacing w:line="240" w:lineRule="exact"/>
              <w:jc w:val="right"/>
              <w:rPr>
                <w:rFonts w:cs="宋体"/>
                <w:sz w:val="18"/>
                <w:szCs w:val="18"/>
              </w:rPr>
            </w:pPr>
            <w:r w:rsidRPr="0063248C">
              <w:rPr>
                <w:rFonts w:cs="宋体"/>
                <w:sz w:val="18"/>
                <w:szCs w:val="18"/>
              </w:rPr>
              <w:t>60.00%</w:t>
            </w:r>
          </w:p>
        </w:tc>
        <w:tc>
          <w:tcPr>
            <w:tcW w:w="1205" w:type="dxa"/>
            <w:tcBorders>
              <w:top w:val="single" w:sz="2" w:space="0" w:color="auto"/>
              <w:left w:val="single" w:sz="2" w:space="0" w:color="auto"/>
              <w:bottom w:val="single" w:sz="2" w:space="0" w:color="auto"/>
              <w:right w:val="single" w:sz="2" w:space="0" w:color="auto"/>
            </w:tcBorders>
            <w:vAlign w:val="center"/>
          </w:tcPr>
          <w:p w14:paraId="12D79163"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2F13E15"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317CAEF7"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713961D0" w14:textId="77777777" w:rsidR="007B3DB2" w:rsidRPr="0063248C" w:rsidRDefault="00000000">
            <w:pPr>
              <w:spacing w:line="240" w:lineRule="exact"/>
              <w:rPr>
                <w:rFonts w:cs="宋体"/>
                <w:sz w:val="18"/>
                <w:szCs w:val="18"/>
              </w:rPr>
            </w:pPr>
            <w:r w:rsidRPr="0063248C">
              <w:rPr>
                <w:rFonts w:cs="宋体"/>
                <w:sz w:val="18"/>
                <w:szCs w:val="18"/>
              </w:rPr>
              <w:t>聊城龙大肉食品有限公司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416A64CB" w14:textId="77777777" w:rsidR="007B3DB2" w:rsidRPr="0063248C" w:rsidRDefault="00000000">
            <w:pPr>
              <w:spacing w:line="240" w:lineRule="exact"/>
              <w:jc w:val="right"/>
              <w:rPr>
                <w:rFonts w:cs="宋体"/>
                <w:sz w:val="18"/>
                <w:szCs w:val="18"/>
              </w:rPr>
            </w:pPr>
            <w:r w:rsidRPr="0063248C">
              <w:rPr>
                <w:rFonts w:cs="宋体"/>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14:paraId="29A99FE1" w14:textId="77777777" w:rsidR="007B3DB2" w:rsidRPr="0063248C" w:rsidRDefault="00000000">
            <w:pPr>
              <w:spacing w:line="240" w:lineRule="exact"/>
              <w:rPr>
                <w:rFonts w:cs="宋体"/>
                <w:sz w:val="18"/>
                <w:szCs w:val="18"/>
              </w:rPr>
            </w:pPr>
            <w:r w:rsidRPr="0063248C">
              <w:rPr>
                <w:rFonts w:cs="宋体"/>
                <w:sz w:val="18"/>
                <w:szCs w:val="18"/>
              </w:rPr>
              <w:t>山东省聊城市</w:t>
            </w:r>
          </w:p>
        </w:tc>
        <w:tc>
          <w:tcPr>
            <w:tcW w:w="1205" w:type="dxa"/>
            <w:tcBorders>
              <w:top w:val="single" w:sz="2" w:space="0" w:color="auto"/>
              <w:left w:val="single" w:sz="2" w:space="0" w:color="auto"/>
              <w:bottom w:val="single" w:sz="2" w:space="0" w:color="auto"/>
              <w:right w:val="single" w:sz="2" w:space="0" w:color="auto"/>
            </w:tcBorders>
            <w:vAlign w:val="center"/>
          </w:tcPr>
          <w:p w14:paraId="6B67564C" w14:textId="77777777" w:rsidR="007B3DB2" w:rsidRPr="0063248C" w:rsidRDefault="00000000">
            <w:pPr>
              <w:spacing w:line="240" w:lineRule="exact"/>
              <w:rPr>
                <w:rFonts w:cs="宋体"/>
                <w:sz w:val="18"/>
                <w:szCs w:val="18"/>
              </w:rPr>
            </w:pPr>
            <w:r w:rsidRPr="0063248C">
              <w:rPr>
                <w:rFonts w:cs="宋体"/>
                <w:sz w:val="18"/>
                <w:szCs w:val="18"/>
              </w:rPr>
              <w:t>聊城市东昌府区嘉明工业园嘉明北路</w:t>
            </w:r>
          </w:p>
        </w:tc>
        <w:tc>
          <w:tcPr>
            <w:tcW w:w="1205" w:type="dxa"/>
            <w:tcBorders>
              <w:top w:val="single" w:sz="2" w:space="0" w:color="auto"/>
              <w:left w:val="single" w:sz="2" w:space="0" w:color="auto"/>
              <w:bottom w:val="single" w:sz="2" w:space="0" w:color="auto"/>
              <w:right w:val="single" w:sz="2" w:space="0" w:color="auto"/>
            </w:tcBorders>
            <w:vAlign w:val="center"/>
          </w:tcPr>
          <w:p w14:paraId="7666A076" w14:textId="77777777" w:rsidR="007B3DB2" w:rsidRPr="0063248C" w:rsidRDefault="00000000">
            <w:pPr>
              <w:spacing w:line="240" w:lineRule="exact"/>
              <w:rPr>
                <w:rFonts w:cs="宋体"/>
                <w:sz w:val="18"/>
                <w:szCs w:val="18"/>
              </w:rPr>
            </w:pPr>
            <w:r w:rsidRPr="0063248C">
              <w:rPr>
                <w:rFonts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5A26BCA3"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B1F971A"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5F48AC7"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2C7076F8"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1750F5D3" w14:textId="77777777" w:rsidR="007B3DB2" w:rsidRPr="0063248C" w:rsidRDefault="00000000">
            <w:pPr>
              <w:spacing w:line="240" w:lineRule="exact"/>
              <w:rPr>
                <w:rFonts w:cs="宋体"/>
                <w:sz w:val="18"/>
                <w:szCs w:val="18"/>
              </w:rPr>
            </w:pPr>
            <w:r w:rsidRPr="0063248C">
              <w:rPr>
                <w:rFonts w:cs="宋体"/>
                <w:sz w:val="18"/>
                <w:szCs w:val="18"/>
              </w:rPr>
              <w:t>烟台杰科检测服务有限公司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17F36D0E" w14:textId="77777777" w:rsidR="007B3DB2" w:rsidRPr="0063248C" w:rsidRDefault="00000000">
            <w:pPr>
              <w:spacing w:line="240" w:lineRule="exact"/>
              <w:jc w:val="right"/>
              <w:rPr>
                <w:rFonts w:cs="宋体"/>
                <w:sz w:val="18"/>
                <w:szCs w:val="18"/>
              </w:rPr>
            </w:pPr>
            <w:r w:rsidRPr="0063248C">
              <w:rPr>
                <w:rFonts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70AB7DE9" w14:textId="77777777" w:rsidR="007B3DB2" w:rsidRPr="0063248C" w:rsidRDefault="00000000">
            <w:pPr>
              <w:spacing w:line="240" w:lineRule="exact"/>
              <w:rPr>
                <w:rFonts w:cs="宋体"/>
                <w:sz w:val="18"/>
                <w:szCs w:val="18"/>
              </w:rPr>
            </w:pPr>
            <w:r w:rsidRPr="0063248C">
              <w:rPr>
                <w:rFonts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7E0A4CF3" w14:textId="77777777" w:rsidR="007B3DB2" w:rsidRPr="0063248C" w:rsidRDefault="00000000">
            <w:pPr>
              <w:spacing w:line="240" w:lineRule="exact"/>
              <w:rPr>
                <w:rFonts w:cs="宋体"/>
                <w:sz w:val="18"/>
                <w:szCs w:val="18"/>
              </w:rPr>
            </w:pPr>
            <w:r w:rsidRPr="0063248C">
              <w:rPr>
                <w:rFonts w:cs="宋体"/>
                <w:sz w:val="18"/>
                <w:szCs w:val="18"/>
              </w:rPr>
              <w:t>山东省烟台市莱阳市龙门东路</w:t>
            </w:r>
            <w:r w:rsidRPr="0063248C">
              <w:rPr>
                <w:rFonts w:cs="宋体"/>
                <w:sz w:val="18"/>
                <w:szCs w:val="18"/>
              </w:rPr>
              <w:t>1</w:t>
            </w:r>
            <w:r w:rsidRPr="0063248C">
              <w:rPr>
                <w:rFonts w:cs="宋体"/>
                <w:sz w:val="18"/>
                <w:szCs w:val="18"/>
              </w:rPr>
              <w:t>号</w:t>
            </w:r>
            <w:r w:rsidRPr="0063248C">
              <w:rPr>
                <w:rFonts w:cs="宋体"/>
                <w:sz w:val="18"/>
                <w:szCs w:val="18"/>
              </w:rPr>
              <w:t>0027</w:t>
            </w:r>
          </w:p>
        </w:tc>
        <w:tc>
          <w:tcPr>
            <w:tcW w:w="1205" w:type="dxa"/>
            <w:tcBorders>
              <w:top w:val="single" w:sz="2" w:space="0" w:color="auto"/>
              <w:left w:val="single" w:sz="2" w:space="0" w:color="auto"/>
              <w:bottom w:val="single" w:sz="2" w:space="0" w:color="auto"/>
              <w:right w:val="single" w:sz="2" w:space="0" w:color="auto"/>
            </w:tcBorders>
            <w:vAlign w:val="center"/>
          </w:tcPr>
          <w:p w14:paraId="6C370979" w14:textId="77777777" w:rsidR="007B3DB2" w:rsidRPr="0063248C" w:rsidRDefault="00000000">
            <w:pPr>
              <w:spacing w:line="240" w:lineRule="exact"/>
              <w:rPr>
                <w:rFonts w:cs="宋体"/>
                <w:sz w:val="18"/>
                <w:szCs w:val="18"/>
              </w:rPr>
            </w:pPr>
            <w:r w:rsidRPr="0063248C">
              <w:rPr>
                <w:rFonts w:cs="宋体"/>
                <w:sz w:val="18"/>
                <w:szCs w:val="18"/>
              </w:rPr>
              <w:t>食品及添加剂检测</w:t>
            </w:r>
          </w:p>
        </w:tc>
        <w:tc>
          <w:tcPr>
            <w:tcW w:w="1205" w:type="dxa"/>
            <w:tcBorders>
              <w:top w:val="single" w:sz="2" w:space="0" w:color="auto"/>
              <w:left w:val="single" w:sz="2" w:space="0" w:color="auto"/>
              <w:bottom w:val="single" w:sz="2" w:space="0" w:color="auto"/>
              <w:right w:val="single" w:sz="2" w:space="0" w:color="auto"/>
            </w:tcBorders>
            <w:vAlign w:val="center"/>
          </w:tcPr>
          <w:p w14:paraId="16736943"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499DE05"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DE745DF" w14:textId="77777777" w:rsidR="007B3DB2" w:rsidRPr="0063248C" w:rsidRDefault="00000000">
            <w:pPr>
              <w:spacing w:line="240" w:lineRule="exact"/>
              <w:rPr>
                <w:rFonts w:cs="宋体"/>
                <w:sz w:val="18"/>
                <w:szCs w:val="18"/>
              </w:rPr>
            </w:pPr>
            <w:r w:rsidRPr="0063248C">
              <w:rPr>
                <w:rFonts w:cs="宋体"/>
                <w:sz w:val="18"/>
                <w:szCs w:val="18"/>
              </w:rPr>
              <w:t>同</w:t>
            </w:r>
            <w:proofErr w:type="gramStart"/>
            <w:r w:rsidRPr="0063248C">
              <w:rPr>
                <w:rFonts w:cs="宋体"/>
                <w:sz w:val="18"/>
                <w:szCs w:val="18"/>
              </w:rPr>
              <w:t>一控制</w:t>
            </w:r>
            <w:proofErr w:type="gramEnd"/>
            <w:r w:rsidRPr="0063248C">
              <w:rPr>
                <w:rFonts w:cs="宋体"/>
                <w:sz w:val="18"/>
                <w:szCs w:val="18"/>
              </w:rPr>
              <w:t>下企业合并</w:t>
            </w:r>
          </w:p>
        </w:tc>
      </w:tr>
      <w:tr w:rsidR="007B3DB2" w:rsidRPr="0063248C" w14:paraId="33ABA00D"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7190E4C7" w14:textId="77777777" w:rsidR="007B3DB2" w:rsidRPr="0063248C" w:rsidRDefault="00000000">
            <w:pPr>
              <w:spacing w:line="240" w:lineRule="exact"/>
              <w:rPr>
                <w:rFonts w:cs="宋体"/>
                <w:sz w:val="18"/>
                <w:szCs w:val="18"/>
              </w:rPr>
            </w:pPr>
            <w:r w:rsidRPr="0063248C">
              <w:rPr>
                <w:rFonts w:cs="宋体"/>
                <w:sz w:val="18"/>
                <w:szCs w:val="18"/>
              </w:rPr>
              <w:t>蓬莱富龙肉食品有限公司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5EA59A95" w14:textId="77777777" w:rsidR="007B3DB2" w:rsidRPr="0063248C" w:rsidRDefault="00000000">
            <w:pPr>
              <w:spacing w:line="240" w:lineRule="exact"/>
              <w:jc w:val="right"/>
              <w:rPr>
                <w:rFonts w:cs="宋体"/>
                <w:sz w:val="18"/>
                <w:szCs w:val="18"/>
              </w:rPr>
            </w:pPr>
            <w:r w:rsidRPr="0063248C">
              <w:rPr>
                <w:rFonts w:cs="宋体"/>
                <w:sz w:val="18"/>
                <w:szCs w:val="18"/>
              </w:rPr>
              <w:t>14,000,000.00</w:t>
            </w:r>
          </w:p>
        </w:tc>
        <w:tc>
          <w:tcPr>
            <w:tcW w:w="1205" w:type="dxa"/>
            <w:tcBorders>
              <w:top w:val="single" w:sz="2" w:space="0" w:color="auto"/>
              <w:left w:val="single" w:sz="2" w:space="0" w:color="auto"/>
              <w:bottom w:val="single" w:sz="2" w:space="0" w:color="auto"/>
              <w:right w:val="single" w:sz="2" w:space="0" w:color="auto"/>
            </w:tcBorders>
            <w:vAlign w:val="center"/>
          </w:tcPr>
          <w:p w14:paraId="12281C60" w14:textId="77777777" w:rsidR="007B3DB2" w:rsidRPr="0063248C" w:rsidRDefault="00000000">
            <w:pPr>
              <w:spacing w:line="240" w:lineRule="exact"/>
              <w:rPr>
                <w:rFonts w:cs="宋体"/>
                <w:sz w:val="18"/>
                <w:szCs w:val="18"/>
              </w:rPr>
            </w:pPr>
            <w:r w:rsidRPr="0063248C">
              <w:rPr>
                <w:rFonts w:cs="宋体"/>
                <w:sz w:val="18"/>
                <w:szCs w:val="18"/>
              </w:rPr>
              <w:t>山东省蓬莱市</w:t>
            </w:r>
          </w:p>
        </w:tc>
        <w:tc>
          <w:tcPr>
            <w:tcW w:w="1205" w:type="dxa"/>
            <w:tcBorders>
              <w:top w:val="single" w:sz="2" w:space="0" w:color="auto"/>
              <w:left w:val="single" w:sz="2" w:space="0" w:color="auto"/>
              <w:bottom w:val="single" w:sz="2" w:space="0" w:color="auto"/>
              <w:right w:val="single" w:sz="2" w:space="0" w:color="auto"/>
            </w:tcBorders>
            <w:vAlign w:val="center"/>
          </w:tcPr>
          <w:p w14:paraId="27D544FA" w14:textId="77777777" w:rsidR="007B3DB2" w:rsidRPr="0063248C" w:rsidRDefault="00000000">
            <w:pPr>
              <w:spacing w:line="240" w:lineRule="exact"/>
              <w:rPr>
                <w:rFonts w:cs="宋体"/>
                <w:sz w:val="18"/>
                <w:szCs w:val="18"/>
              </w:rPr>
            </w:pPr>
            <w:r w:rsidRPr="0063248C">
              <w:rPr>
                <w:rFonts w:cs="宋体"/>
                <w:sz w:val="18"/>
                <w:szCs w:val="18"/>
              </w:rPr>
              <w:t>山东省蓬莱区</w:t>
            </w:r>
            <w:proofErr w:type="gramStart"/>
            <w:r w:rsidRPr="0063248C">
              <w:rPr>
                <w:rFonts w:cs="宋体"/>
                <w:sz w:val="18"/>
                <w:szCs w:val="18"/>
              </w:rPr>
              <w:t>小门家</w:t>
            </w:r>
            <w:proofErr w:type="gramEnd"/>
            <w:r w:rsidRPr="0063248C">
              <w:rPr>
                <w:rFonts w:cs="宋体"/>
                <w:sz w:val="18"/>
                <w:szCs w:val="18"/>
              </w:rPr>
              <w:t>镇吕家洼村西</w:t>
            </w:r>
          </w:p>
        </w:tc>
        <w:tc>
          <w:tcPr>
            <w:tcW w:w="1205" w:type="dxa"/>
            <w:tcBorders>
              <w:top w:val="single" w:sz="2" w:space="0" w:color="auto"/>
              <w:left w:val="single" w:sz="2" w:space="0" w:color="auto"/>
              <w:bottom w:val="single" w:sz="2" w:space="0" w:color="auto"/>
              <w:right w:val="single" w:sz="2" w:space="0" w:color="auto"/>
            </w:tcBorders>
            <w:vAlign w:val="center"/>
          </w:tcPr>
          <w:p w14:paraId="3BC3E3D7" w14:textId="77777777" w:rsidR="007B3DB2" w:rsidRPr="0063248C" w:rsidRDefault="00000000">
            <w:pPr>
              <w:spacing w:line="240" w:lineRule="exact"/>
              <w:rPr>
                <w:rFonts w:cs="宋体"/>
                <w:sz w:val="18"/>
                <w:szCs w:val="18"/>
              </w:rPr>
            </w:pPr>
            <w:r w:rsidRPr="0063248C">
              <w:rPr>
                <w:rFonts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650891B6" w14:textId="77777777" w:rsidR="007B3DB2" w:rsidRPr="0063248C" w:rsidRDefault="00000000">
            <w:pPr>
              <w:spacing w:line="240" w:lineRule="exact"/>
              <w:jc w:val="right"/>
              <w:rPr>
                <w:rFonts w:cs="宋体"/>
                <w:sz w:val="18"/>
                <w:szCs w:val="18"/>
              </w:rPr>
            </w:pPr>
            <w:r w:rsidRPr="0063248C">
              <w:rPr>
                <w:rFonts w:cs="宋体"/>
                <w:sz w:val="18"/>
                <w:szCs w:val="18"/>
              </w:rPr>
              <w:t>57.14%</w:t>
            </w:r>
          </w:p>
        </w:tc>
        <w:tc>
          <w:tcPr>
            <w:tcW w:w="1205" w:type="dxa"/>
            <w:tcBorders>
              <w:top w:val="single" w:sz="2" w:space="0" w:color="auto"/>
              <w:left w:val="single" w:sz="2" w:space="0" w:color="auto"/>
              <w:bottom w:val="single" w:sz="2" w:space="0" w:color="auto"/>
              <w:right w:val="single" w:sz="2" w:space="0" w:color="auto"/>
            </w:tcBorders>
            <w:vAlign w:val="center"/>
          </w:tcPr>
          <w:p w14:paraId="14CACE75"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35F2217"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42E06BD9"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5A27E870" w14:textId="77777777" w:rsidR="007B3DB2" w:rsidRPr="0063248C" w:rsidRDefault="00000000">
            <w:pPr>
              <w:spacing w:line="240" w:lineRule="exact"/>
              <w:rPr>
                <w:rFonts w:cs="宋体"/>
                <w:sz w:val="18"/>
                <w:szCs w:val="18"/>
              </w:rPr>
            </w:pPr>
            <w:r w:rsidRPr="0063248C">
              <w:rPr>
                <w:rFonts w:cs="宋体"/>
                <w:sz w:val="18"/>
                <w:szCs w:val="18"/>
              </w:rPr>
              <w:t>北京快厨帮科技有限公司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480D0919"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14:paraId="3722D9F3" w14:textId="77777777" w:rsidR="007B3DB2" w:rsidRPr="0063248C" w:rsidRDefault="00000000">
            <w:pPr>
              <w:spacing w:line="240" w:lineRule="exact"/>
              <w:rPr>
                <w:rFonts w:cs="宋体"/>
                <w:sz w:val="18"/>
                <w:szCs w:val="18"/>
              </w:rPr>
            </w:pPr>
            <w:r w:rsidRPr="0063248C">
              <w:rPr>
                <w:rFonts w:cs="宋体"/>
                <w:sz w:val="18"/>
                <w:szCs w:val="18"/>
              </w:rPr>
              <w:t>北京市朝阳区</w:t>
            </w:r>
          </w:p>
        </w:tc>
        <w:tc>
          <w:tcPr>
            <w:tcW w:w="1205" w:type="dxa"/>
            <w:tcBorders>
              <w:top w:val="single" w:sz="2" w:space="0" w:color="auto"/>
              <w:left w:val="single" w:sz="2" w:space="0" w:color="auto"/>
              <w:bottom w:val="single" w:sz="2" w:space="0" w:color="auto"/>
              <w:right w:val="single" w:sz="2" w:space="0" w:color="auto"/>
            </w:tcBorders>
            <w:vAlign w:val="center"/>
          </w:tcPr>
          <w:p w14:paraId="4F101F43" w14:textId="77777777" w:rsidR="007B3DB2" w:rsidRPr="0063248C" w:rsidRDefault="00000000">
            <w:pPr>
              <w:spacing w:line="240" w:lineRule="exact"/>
              <w:rPr>
                <w:rFonts w:cs="宋体"/>
                <w:sz w:val="18"/>
                <w:szCs w:val="18"/>
              </w:rPr>
            </w:pPr>
            <w:r w:rsidRPr="0063248C">
              <w:rPr>
                <w:rFonts w:cs="宋体"/>
                <w:sz w:val="18"/>
                <w:szCs w:val="18"/>
              </w:rPr>
              <w:t>北京市朝阳区八里庄北里</w:t>
            </w:r>
            <w:r w:rsidRPr="0063248C">
              <w:rPr>
                <w:rFonts w:cs="宋体"/>
                <w:sz w:val="18"/>
                <w:szCs w:val="18"/>
              </w:rPr>
              <w:t>129</w:t>
            </w:r>
            <w:r w:rsidRPr="0063248C">
              <w:rPr>
                <w:rFonts w:cs="宋体"/>
                <w:sz w:val="18"/>
                <w:szCs w:val="18"/>
              </w:rPr>
              <w:t>号院</w:t>
            </w:r>
            <w:r w:rsidRPr="0063248C">
              <w:rPr>
                <w:rFonts w:cs="宋体"/>
                <w:sz w:val="18"/>
                <w:szCs w:val="18"/>
              </w:rPr>
              <w:t>9</w:t>
            </w:r>
            <w:r w:rsidRPr="0063248C">
              <w:rPr>
                <w:rFonts w:cs="宋体"/>
                <w:sz w:val="18"/>
                <w:szCs w:val="18"/>
              </w:rPr>
              <w:t>号楼</w:t>
            </w:r>
            <w:r w:rsidRPr="0063248C">
              <w:rPr>
                <w:rFonts w:cs="宋体"/>
                <w:sz w:val="18"/>
                <w:szCs w:val="18"/>
              </w:rPr>
              <w:t>1</w:t>
            </w:r>
            <w:r w:rsidRPr="0063248C">
              <w:rPr>
                <w:rFonts w:cs="宋体"/>
                <w:sz w:val="18"/>
                <w:szCs w:val="18"/>
              </w:rPr>
              <w:t>单元</w:t>
            </w:r>
            <w:r w:rsidRPr="0063248C">
              <w:rPr>
                <w:rFonts w:cs="宋体"/>
                <w:sz w:val="18"/>
                <w:szCs w:val="18"/>
              </w:rPr>
              <w:t>1402</w:t>
            </w:r>
          </w:p>
        </w:tc>
        <w:tc>
          <w:tcPr>
            <w:tcW w:w="1205" w:type="dxa"/>
            <w:tcBorders>
              <w:top w:val="single" w:sz="2" w:space="0" w:color="auto"/>
              <w:left w:val="single" w:sz="2" w:space="0" w:color="auto"/>
              <w:bottom w:val="single" w:sz="2" w:space="0" w:color="auto"/>
              <w:right w:val="single" w:sz="2" w:space="0" w:color="auto"/>
            </w:tcBorders>
            <w:vAlign w:val="center"/>
          </w:tcPr>
          <w:p w14:paraId="388C1AF7" w14:textId="77777777" w:rsidR="007B3DB2" w:rsidRPr="0063248C" w:rsidRDefault="00000000">
            <w:pPr>
              <w:spacing w:line="240" w:lineRule="exact"/>
              <w:rPr>
                <w:rFonts w:cs="宋体"/>
                <w:sz w:val="18"/>
                <w:szCs w:val="18"/>
              </w:rPr>
            </w:pPr>
            <w:r w:rsidRPr="0063248C">
              <w:rPr>
                <w:rFonts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71F35676" w14:textId="77777777" w:rsidR="007B3DB2" w:rsidRPr="0063248C" w:rsidRDefault="00000000">
            <w:pPr>
              <w:spacing w:line="240" w:lineRule="exact"/>
              <w:jc w:val="right"/>
              <w:rPr>
                <w:rFonts w:cs="宋体"/>
                <w:sz w:val="18"/>
                <w:szCs w:val="18"/>
              </w:rPr>
            </w:pPr>
            <w:r w:rsidRPr="0063248C">
              <w:rPr>
                <w:rFonts w:cs="宋体"/>
                <w:sz w:val="18"/>
                <w:szCs w:val="18"/>
              </w:rPr>
              <w:t>65.00%</w:t>
            </w:r>
          </w:p>
        </w:tc>
        <w:tc>
          <w:tcPr>
            <w:tcW w:w="1205" w:type="dxa"/>
            <w:tcBorders>
              <w:top w:val="single" w:sz="2" w:space="0" w:color="auto"/>
              <w:left w:val="single" w:sz="2" w:space="0" w:color="auto"/>
              <w:bottom w:val="single" w:sz="2" w:space="0" w:color="auto"/>
              <w:right w:val="single" w:sz="2" w:space="0" w:color="auto"/>
            </w:tcBorders>
            <w:vAlign w:val="center"/>
          </w:tcPr>
          <w:p w14:paraId="1F48D9D1"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8D8DE99"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751C8541"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36963C9F" w14:textId="77777777" w:rsidR="007B3DB2" w:rsidRPr="0063248C" w:rsidRDefault="00000000">
            <w:pPr>
              <w:spacing w:line="240" w:lineRule="exact"/>
              <w:rPr>
                <w:rFonts w:cs="宋体"/>
                <w:sz w:val="18"/>
                <w:szCs w:val="18"/>
              </w:rPr>
            </w:pPr>
            <w:r w:rsidRPr="0063248C">
              <w:rPr>
                <w:rFonts w:cs="宋体"/>
                <w:sz w:val="18"/>
                <w:szCs w:val="18"/>
              </w:rPr>
              <w:t>山东龙大生猪产品工程技术研究有限公司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3CA082F8" w14:textId="77777777" w:rsidR="007B3DB2" w:rsidRPr="0063248C" w:rsidRDefault="00000000">
            <w:pPr>
              <w:spacing w:line="240" w:lineRule="exact"/>
              <w:jc w:val="right"/>
              <w:rPr>
                <w:rFonts w:cs="宋体"/>
                <w:sz w:val="18"/>
                <w:szCs w:val="18"/>
              </w:rPr>
            </w:pPr>
            <w:r w:rsidRPr="0063248C">
              <w:rPr>
                <w:rFonts w:cs="宋体"/>
                <w:sz w:val="18"/>
                <w:szCs w:val="18"/>
              </w:rPr>
              <w:t>15,000,000.00</w:t>
            </w:r>
          </w:p>
        </w:tc>
        <w:tc>
          <w:tcPr>
            <w:tcW w:w="1205" w:type="dxa"/>
            <w:tcBorders>
              <w:top w:val="single" w:sz="2" w:space="0" w:color="auto"/>
              <w:left w:val="single" w:sz="2" w:space="0" w:color="auto"/>
              <w:bottom w:val="single" w:sz="2" w:space="0" w:color="auto"/>
              <w:right w:val="single" w:sz="2" w:space="0" w:color="auto"/>
            </w:tcBorders>
            <w:vAlign w:val="center"/>
          </w:tcPr>
          <w:p w14:paraId="74CD2A73" w14:textId="77777777" w:rsidR="007B3DB2" w:rsidRPr="0063248C" w:rsidRDefault="00000000">
            <w:pPr>
              <w:spacing w:line="240" w:lineRule="exact"/>
              <w:rPr>
                <w:rFonts w:cs="宋体"/>
                <w:sz w:val="18"/>
                <w:szCs w:val="18"/>
              </w:rPr>
            </w:pPr>
            <w:r w:rsidRPr="0063248C">
              <w:rPr>
                <w:rFonts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7DE26D1E" w14:textId="77777777" w:rsidR="007B3DB2" w:rsidRPr="0063248C" w:rsidRDefault="00000000">
            <w:pPr>
              <w:spacing w:line="240" w:lineRule="exact"/>
              <w:rPr>
                <w:rFonts w:cs="宋体"/>
                <w:sz w:val="18"/>
                <w:szCs w:val="18"/>
              </w:rPr>
            </w:pPr>
            <w:r w:rsidRPr="0063248C">
              <w:rPr>
                <w:rFonts w:cs="宋体"/>
                <w:sz w:val="18"/>
                <w:szCs w:val="18"/>
              </w:rPr>
              <w:t>山东省烟台市莱阳市食品工业园</w:t>
            </w:r>
          </w:p>
        </w:tc>
        <w:tc>
          <w:tcPr>
            <w:tcW w:w="1205" w:type="dxa"/>
            <w:tcBorders>
              <w:top w:val="single" w:sz="2" w:space="0" w:color="auto"/>
              <w:left w:val="single" w:sz="2" w:space="0" w:color="auto"/>
              <w:bottom w:val="single" w:sz="2" w:space="0" w:color="auto"/>
              <w:right w:val="single" w:sz="2" w:space="0" w:color="auto"/>
            </w:tcBorders>
            <w:vAlign w:val="center"/>
          </w:tcPr>
          <w:p w14:paraId="7281151A" w14:textId="77777777" w:rsidR="007B3DB2" w:rsidRPr="0063248C" w:rsidRDefault="00000000">
            <w:pPr>
              <w:spacing w:line="240" w:lineRule="exact"/>
              <w:rPr>
                <w:rFonts w:cs="宋体"/>
                <w:sz w:val="18"/>
                <w:szCs w:val="18"/>
              </w:rPr>
            </w:pPr>
            <w:r w:rsidRPr="0063248C">
              <w:rPr>
                <w:rFonts w:cs="宋体"/>
                <w:sz w:val="18"/>
                <w:szCs w:val="18"/>
              </w:rPr>
              <w:t>畜禽领域内的技术开发、技术转让、技术服务</w:t>
            </w:r>
          </w:p>
        </w:tc>
        <w:tc>
          <w:tcPr>
            <w:tcW w:w="1205" w:type="dxa"/>
            <w:tcBorders>
              <w:top w:val="single" w:sz="2" w:space="0" w:color="auto"/>
              <w:left w:val="single" w:sz="2" w:space="0" w:color="auto"/>
              <w:bottom w:val="single" w:sz="2" w:space="0" w:color="auto"/>
              <w:right w:val="single" w:sz="2" w:space="0" w:color="auto"/>
            </w:tcBorders>
            <w:vAlign w:val="center"/>
          </w:tcPr>
          <w:p w14:paraId="5D13745D"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4E63FF9B"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D51C5C2"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5A60443B"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62311076" w14:textId="77777777" w:rsidR="007B3DB2" w:rsidRPr="0063248C" w:rsidRDefault="00000000">
            <w:pPr>
              <w:spacing w:line="240" w:lineRule="exact"/>
              <w:rPr>
                <w:rFonts w:cs="宋体"/>
                <w:sz w:val="18"/>
                <w:szCs w:val="18"/>
              </w:rPr>
            </w:pPr>
            <w:r w:rsidRPr="0063248C">
              <w:rPr>
                <w:rFonts w:cs="宋体"/>
                <w:sz w:val="18"/>
                <w:szCs w:val="18"/>
              </w:rPr>
              <w:t>莱阳龙瑞食品有限公司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0F5176D5"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14:paraId="43487570" w14:textId="77777777" w:rsidR="007B3DB2" w:rsidRPr="0063248C" w:rsidRDefault="00000000">
            <w:pPr>
              <w:spacing w:line="240" w:lineRule="exact"/>
              <w:rPr>
                <w:rFonts w:cs="宋体"/>
                <w:sz w:val="18"/>
                <w:szCs w:val="18"/>
              </w:rPr>
            </w:pPr>
            <w:r w:rsidRPr="0063248C">
              <w:rPr>
                <w:rFonts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4DCE1C08" w14:textId="77777777" w:rsidR="007B3DB2" w:rsidRPr="0063248C" w:rsidRDefault="00000000">
            <w:pPr>
              <w:spacing w:line="240" w:lineRule="exact"/>
              <w:rPr>
                <w:rFonts w:cs="宋体"/>
                <w:sz w:val="18"/>
                <w:szCs w:val="18"/>
              </w:rPr>
            </w:pPr>
            <w:r w:rsidRPr="0063248C">
              <w:rPr>
                <w:rFonts w:cs="宋体"/>
                <w:sz w:val="18"/>
                <w:szCs w:val="18"/>
              </w:rPr>
              <w:t>山东省烟台市莱阳市龙门东路</w:t>
            </w:r>
            <w:r w:rsidRPr="0063248C">
              <w:rPr>
                <w:rFonts w:cs="宋体"/>
                <w:sz w:val="18"/>
                <w:szCs w:val="18"/>
              </w:rPr>
              <w:t>1</w:t>
            </w:r>
            <w:r w:rsidRPr="0063248C">
              <w:rPr>
                <w:rFonts w:cs="宋体"/>
                <w:sz w:val="18"/>
                <w:szCs w:val="18"/>
              </w:rPr>
              <w:t>号</w:t>
            </w:r>
            <w:r w:rsidRPr="0063248C">
              <w:rPr>
                <w:rFonts w:cs="宋体"/>
                <w:sz w:val="18"/>
                <w:szCs w:val="18"/>
              </w:rPr>
              <w:t>0027</w:t>
            </w:r>
            <w:r w:rsidRPr="0063248C">
              <w:rPr>
                <w:rFonts w:cs="宋体"/>
                <w:sz w:val="18"/>
                <w:szCs w:val="18"/>
              </w:rPr>
              <w:t>、</w:t>
            </w:r>
            <w:r w:rsidRPr="0063248C">
              <w:rPr>
                <w:rFonts w:cs="宋体"/>
                <w:sz w:val="18"/>
                <w:szCs w:val="18"/>
              </w:rPr>
              <w:t>0028</w:t>
            </w:r>
          </w:p>
        </w:tc>
        <w:tc>
          <w:tcPr>
            <w:tcW w:w="1205" w:type="dxa"/>
            <w:tcBorders>
              <w:top w:val="single" w:sz="2" w:space="0" w:color="auto"/>
              <w:left w:val="single" w:sz="2" w:space="0" w:color="auto"/>
              <w:bottom w:val="single" w:sz="2" w:space="0" w:color="auto"/>
              <w:right w:val="single" w:sz="2" w:space="0" w:color="auto"/>
            </w:tcBorders>
            <w:vAlign w:val="center"/>
          </w:tcPr>
          <w:p w14:paraId="771650A5" w14:textId="77777777" w:rsidR="007B3DB2" w:rsidRPr="0063248C" w:rsidRDefault="00000000">
            <w:pPr>
              <w:spacing w:line="240" w:lineRule="exact"/>
              <w:rPr>
                <w:rFonts w:cs="宋体"/>
                <w:sz w:val="18"/>
                <w:szCs w:val="18"/>
              </w:rPr>
            </w:pPr>
            <w:r w:rsidRPr="0063248C">
              <w:rPr>
                <w:rFonts w:cs="宋体"/>
                <w:sz w:val="18"/>
                <w:szCs w:val="18"/>
              </w:rPr>
              <w:t>生产、加工各种肉制品、速冻食品</w:t>
            </w:r>
          </w:p>
        </w:tc>
        <w:tc>
          <w:tcPr>
            <w:tcW w:w="1205" w:type="dxa"/>
            <w:tcBorders>
              <w:top w:val="single" w:sz="2" w:space="0" w:color="auto"/>
              <w:left w:val="single" w:sz="2" w:space="0" w:color="auto"/>
              <w:bottom w:val="single" w:sz="2" w:space="0" w:color="auto"/>
              <w:right w:val="single" w:sz="2" w:space="0" w:color="auto"/>
            </w:tcBorders>
            <w:vAlign w:val="center"/>
          </w:tcPr>
          <w:p w14:paraId="2E20BFCE"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396B1109"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B795FE2"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36AC3F4E"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3A267130" w14:textId="77777777" w:rsidR="007B3DB2" w:rsidRPr="0063248C" w:rsidRDefault="00000000">
            <w:pPr>
              <w:spacing w:line="240" w:lineRule="exact"/>
              <w:rPr>
                <w:rFonts w:cs="宋体"/>
                <w:sz w:val="18"/>
                <w:szCs w:val="18"/>
              </w:rPr>
            </w:pPr>
            <w:r w:rsidRPr="0063248C">
              <w:rPr>
                <w:rFonts w:cs="宋体"/>
                <w:sz w:val="18"/>
                <w:szCs w:val="18"/>
              </w:rPr>
              <w:t>泰麟食品（烟台）有限责任公司</w:t>
            </w:r>
          </w:p>
        </w:tc>
        <w:tc>
          <w:tcPr>
            <w:tcW w:w="1326" w:type="dxa"/>
            <w:tcBorders>
              <w:top w:val="single" w:sz="2" w:space="0" w:color="auto"/>
              <w:left w:val="single" w:sz="2" w:space="0" w:color="auto"/>
              <w:bottom w:val="single" w:sz="2" w:space="0" w:color="auto"/>
              <w:right w:val="single" w:sz="2" w:space="0" w:color="auto"/>
            </w:tcBorders>
            <w:vAlign w:val="center"/>
          </w:tcPr>
          <w:p w14:paraId="6FD10B89"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41B48373" w14:textId="77777777" w:rsidR="007B3DB2" w:rsidRPr="0063248C" w:rsidRDefault="00000000">
            <w:pPr>
              <w:spacing w:line="240" w:lineRule="exact"/>
              <w:rPr>
                <w:rFonts w:cs="宋体"/>
                <w:sz w:val="18"/>
                <w:szCs w:val="18"/>
              </w:rPr>
            </w:pPr>
            <w:r w:rsidRPr="0063248C">
              <w:rPr>
                <w:rFonts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4523B635" w14:textId="77777777" w:rsidR="007B3DB2" w:rsidRPr="0063248C" w:rsidRDefault="00000000">
            <w:pPr>
              <w:spacing w:line="240" w:lineRule="exact"/>
              <w:rPr>
                <w:rFonts w:cs="宋体"/>
                <w:sz w:val="18"/>
                <w:szCs w:val="18"/>
              </w:rPr>
            </w:pPr>
            <w:r w:rsidRPr="0063248C">
              <w:rPr>
                <w:rFonts w:cs="宋体"/>
                <w:sz w:val="18"/>
                <w:szCs w:val="18"/>
              </w:rPr>
              <w:t>山东省烟台市莱阳市龙门东路</w:t>
            </w:r>
            <w:r w:rsidRPr="0063248C">
              <w:rPr>
                <w:rFonts w:cs="宋体"/>
                <w:sz w:val="18"/>
                <w:szCs w:val="18"/>
              </w:rPr>
              <w:t>1</w:t>
            </w:r>
            <w:r w:rsidRPr="0063248C">
              <w:rPr>
                <w:rFonts w:cs="宋体"/>
                <w:sz w:val="18"/>
                <w:szCs w:val="18"/>
              </w:rPr>
              <w:t>号</w:t>
            </w:r>
            <w:r w:rsidRPr="0063248C">
              <w:rPr>
                <w:rFonts w:cs="宋体"/>
                <w:sz w:val="18"/>
                <w:szCs w:val="18"/>
              </w:rPr>
              <w:t>0027</w:t>
            </w:r>
            <w:r w:rsidRPr="0063248C">
              <w:rPr>
                <w:rFonts w:cs="宋体"/>
                <w:sz w:val="18"/>
                <w:szCs w:val="18"/>
              </w:rPr>
              <w:t>、</w:t>
            </w:r>
            <w:r w:rsidRPr="0063248C">
              <w:rPr>
                <w:rFonts w:cs="宋体"/>
                <w:sz w:val="18"/>
                <w:szCs w:val="18"/>
              </w:rPr>
              <w:t>0028</w:t>
            </w:r>
          </w:p>
        </w:tc>
        <w:tc>
          <w:tcPr>
            <w:tcW w:w="1205" w:type="dxa"/>
            <w:tcBorders>
              <w:top w:val="single" w:sz="2" w:space="0" w:color="auto"/>
              <w:left w:val="single" w:sz="2" w:space="0" w:color="auto"/>
              <w:bottom w:val="single" w:sz="2" w:space="0" w:color="auto"/>
              <w:right w:val="single" w:sz="2" w:space="0" w:color="auto"/>
            </w:tcBorders>
            <w:vAlign w:val="center"/>
          </w:tcPr>
          <w:p w14:paraId="0611EA85" w14:textId="77777777" w:rsidR="007B3DB2" w:rsidRPr="0063248C" w:rsidRDefault="00000000">
            <w:pPr>
              <w:spacing w:line="240" w:lineRule="exact"/>
              <w:rPr>
                <w:rFonts w:cs="宋体"/>
                <w:sz w:val="18"/>
                <w:szCs w:val="18"/>
              </w:rPr>
            </w:pPr>
            <w:r w:rsidRPr="0063248C">
              <w:rPr>
                <w:rFonts w:cs="宋体"/>
                <w:sz w:val="18"/>
                <w:szCs w:val="18"/>
              </w:rPr>
              <w:t>食品生产销售</w:t>
            </w:r>
          </w:p>
        </w:tc>
        <w:tc>
          <w:tcPr>
            <w:tcW w:w="1205" w:type="dxa"/>
            <w:tcBorders>
              <w:top w:val="single" w:sz="2" w:space="0" w:color="auto"/>
              <w:left w:val="single" w:sz="2" w:space="0" w:color="auto"/>
              <w:bottom w:val="single" w:sz="2" w:space="0" w:color="auto"/>
              <w:right w:val="single" w:sz="2" w:space="0" w:color="auto"/>
            </w:tcBorders>
            <w:vAlign w:val="center"/>
          </w:tcPr>
          <w:p w14:paraId="785EACEE"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31D24A3"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0137CEB"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2DB4DFF4"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09055799" w14:textId="77777777" w:rsidR="007B3DB2" w:rsidRPr="0063248C" w:rsidRDefault="00000000">
            <w:pPr>
              <w:spacing w:line="240" w:lineRule="exact"/>
              <w:rPr>
                <w:rFonts w:cs="宋体"/>
                <w:sz w:val="18"/>
                <w:szCs w:val="18"/>
              </w:rPr>
            </w:pPr>
            <w:r w:rsidRPr="0063248C">
              <w:rPr>
                <w:rFonts w:cs="宋体"/>
                <w:sz w:val="18"/>
                <w:szCs w:val="18"/>
              </w:rPr>
              <w:t>四川龙炸餐饮管理有限公司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2CFE4E44"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330D5DB2" w14:textId="77777777" w:rsidR="007B3DB2" w:rsidRPr="0063248C" w:rsidRDefault="00000000">
            <w:pPr>
              <w:spacing w:line="240" w:lineRule="exact"/>
              <w:rPr>
                <w:rFonts w:cs="宋体"/>
                <w:sz w:val="18"/>
                <w:szCs w:val="18"/>
              </w:rPr>
            </w:pPr>
            <w:r w:rsidRPr="0063248C">
              <w:rPr>
                <w:rFonts w:cs="宋体"/>
                <w:sz w:val="18"/>
                <w:szCs w:val="18"/>
              </w:rPr>
              <w:t>四川省成都市</w:t>
            </w:r>
          </w:p>
        </w:tc>
        <w:tc>
          <w:tcPr>
            <w:tcW w:w="1205" w:type="dxa"/>
            <w:tcBorders>
              <w:top w:val="single" w:sz="2" w:space="0" w:color="auto"/>
              <w:left w:val="single" w:sz="2" w:space="0" w:color="auto"/>
              <w:bottom w:val="single" w:sz="2" w:space="0" w:color="auto"/>
              <w:right w:val="single" w:sz="2" w:space="0" w:color="auto"/>
            </w:tcBorders>
            <w:vAlign w:val="center"/>
          </w:tcPr>
          <w:p w14:paraId="22D04B16" w14:textId="77777777" w:rsidR="007B3DB2" w:rsidRPr="0063248C" w:rsidRDefault="00000000">
            <w:pPr>
              <w:spacing w:line="240" w:lineRule="exact"/>
              <w:rPr>
                <w:rFonts w:cs="宋体"/>
                <w:sz w:val="18"/>
                <w:szCs w:val="18"/>
              </w:rPr>
            </w:pPr>
            <w:r w:rsidRPr="0063248C">
              <w:rPr>
                <w:rFonts w:cs="宋体"/>
                <w:sz w:val="18"/>
                <w:szCs w:val="18"/>
              </w:rPr>
              <w:t>四川天府新区华阳街道华府大道一段</w:t>
            </w:r>
            <w:r w:rsidRPr="0063248C">
              <w:rPr>
                <w:rFonts w:cs="宋体"/>
                <w:sz w:val="18"/>
                <w:szCs w:val="18"/>
              </w:rPr>
              <w:t>1</w:t>
            </w:r>
            <w:r w:rsidRPr="0063248C">
              <w:rPr>
                <w:rFonts w:cs="宋体"/>
                <w:sz w:val="18"/>
                <w:szCs w:val="18"/>
              </w:rPr>
              <w:t>号</w:t>
            </w:r>
            <w:r w:rsidRPr="0063248C">
              <w:rPr>
                <w:rFonts w:cs="宋体"/>
                <w:sz w:val="18"/>
                <w:szCs w:val="18"/>
              </w:rPr>
              <w:t>1</w:t>
            </w:r>
            <w:r w:rsidRPr="0063248C">
              <w:rPr>
                <w:rFonts w:cs="宋体"/>
                <w:sz w:val="18"/>
                <w:szCs w:val="18"/>
              </w:rPr>
              <w:t>栋</w:t>
            </w:r>
            <w:r w:rsidRPr="0063248C">
              <w:rPr>
                <w:rFonts w:cs="宋体"/>
                <w:sz w:val="18"/>
                <w:szCs w:val="18"/>
              </w:rPr>
              <w:t>35</w:t>
            </w:r>
            <w:r w:rsidRPr="0063248C">
              <w:rPr>
                <w:rFonts w:cs="宋体"/>
                <w:sz w:val="18"/>
                <w:szCs w:val="18"/>
              </w:rPr>
              <w:t>层</w:t>
            </w:r>
            <w:r w:rsidRPr="0063248C">
              <w:rPr>
                <w:rFonts w:cs="宋体"/>
                <w:sz w:val="18"/>
                <w:szCs w:val="18"/>
              </w:rPr>
              <w:t>2</w:t>
            </w:r>
            <w:r w:rsidRPr="0063248C">
              <w:rPr>
                <w:rFonts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2BDD412B" w14:textId="77777777" w:rsidR="007B3DB2" w:rsidRPr="0063248C" w:rsidRDefault="00000000">
            <w:pPr>
              <w:spacing w:line="240" w:lineRule="exact"/>
              <w:rPr>
                <w:rFonts w:cs="宋体"/>
                <w:sz w:val="18"/>
                <w:szCs w:val="18"/>
              </w:rPr>
            </w:pPr>
            <w:r w:rsidRPr="0063248C">
              <w:rPr>
                <w:rFonts w:cs="宋体"/>
                <w:sz w:val="18"/>
                <w:szCs w:val="18"/>
              </w:rPr>
              <w:t>餐饮服务</w:t>
            </w:r>
          </w:p>
        </w:tc>
        <w:tc>
          <w:tcPr>
            <w:tcW w:w="1205" w:type="dxa"/>
            <w:tcBorders>
              <w:top w:val="single" w:sz="2" w:space="0" w:color="auto"/>
              <w:left w:val="single" w:sz="2" w:space="0" w:color="auto"/>
              <w:bottom w:val="single" w:sz="2" w:space="0" w:color="auto"/>
              <w:right w:val="single" w:sz="2" w:space="0" w:color="auto"/>
            </w:tcBorders>
            <w:vAlign w:val="center"/>
          </w:tcPr>
          <w:p w14:paraId="6219CE9C"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3181529" w14:textId="77777777" w:rsidR="007B3DB2" w:rsidRPr="0063248C" w:rsidRDefault="00000000">
            <w:pPr>
              <w:spacing w:line="240" w:lineRule="exact"/>
              <w:jc w:val="right"/>
              <w:rPr>
                <w:rFonts w:cs="宋体"/>
                <w:sz w:val="18"/>
                <w:szCs w:val="18"/>
              </w:rPr>
            </w:pPr>
            <w:r w:rsidRPr="0063248C">
              <w:rPr>
                <w:rFonts w:cs="宋体"/>
                <w:sz w:val="18"/>
                <w:szCs w:val="18"/>
              </w:rPr>
              <w:t>40.00%</w:t>
            </w:r>
          </w:p>
        </w:tc>
        <w:tc>
          <w:tcPr>
            <w:tcW w:w="1205" w:type="dxa"/>
            <w:tcBorders>
              <w:top w:val="single" w:sz="2" w:space="0" w:color="auto"/>
              <w:left w:val="single" w:sz="2" w:space="0" w:color="auto"/>
              <w:bottom w:val="single" w:sz="2" w:space="0" w:color="auto"/>
              <w:right w:val="single" w:sz="2" w:space="0" w:color="auto"/>
            </w:tcBorders>
            <w:vAlign w:val="center"/>
          </w:tcPr>
          <w:p w14:paraId="1DF07B3F"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34E5F0F5"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0F0052BC" w14:textId="77777777" w:rsidR="007B3DB2" w:rsidRPr="0063248C" w:rsidRDefault="00000000">
            <w:pPr>
              <w:spacing w:line="240" w:lineRule="exact"/>
              <w:rPr>
                <w:rFonts w:cs="宋体"/>
                <w:sz w:val="18"/>
                <w:szCs w:val="18"/>
              </w:rPr>
            </w:pPr>
            <w:r w:rsidRPr="0063248C">
              <w:rPr>
                <w:rFonts w:cs="宋体"/>
                <w:sz w:val="18"/>
                <w:szCs w:val="18"/>
              </w:rPr>
              <w:t>青岛中和盛杰食品有限公司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1A72A787"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14:paraId="3B91A67B" w14:textId="77777777" w:rsidR="007B3DB2" w:rsidRPr="0063248C" w:rsidRDefault="00000000">
            <w:pPr>
              <w:spacing w:line="240" w:lineRule="exact"/>
              <w:rPr>
                <w:rFonts w:cs="宋体"/>
                <w:sz w:val="18"/>
                <w:szCs w:val="18"/>
              </w:rPr>
            </w:pPr>
            <w:r w:rsidRPr="0063248C">
              <w:rPr>
                <w:rFonts w:cs="宋体"/>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5DAC9E9D" w14:textId="77777777" w:rsidR="007B3DB2" w:rsidRPr="0063248C" w:rsidRDefault="00000000">
            <w:pPr>
              <w:spacing w:line="240" w:lineRule="exact"/>
              <w:rPr>
                <w:rFonts w:cs="宋体"/>
                <w:sz w:val="18"/>
                <w:szCs w:val="18"/>
              </w:rPr>
            </w:pPr>
            <w:r w:rsidRPr="0063248C">
              <w:rPr>
                <w:rFonts w:cs="宋体"/>
                <w:sz w:val="18"/>
                <w:szCs w:val="18"/>
              </w:rPr>
              <w:t>山东省青岛市崂山区科苑</w:t>
            </w:r>
            <w:proofErr w:type="gramStart"/>
            <w:r w:rsidRPr="0063248C">
              <w:rPr>
                <w:rFonts w:cs="宋体"/>
                <w:sz w:val="18"/>
                <w:szCs w:val="18"/>
              </w:rPr>
              <w:t>纬</w:t>
            </w:r>
            <w:proofErr w:type="gramEnd"/>
            <w:r w:rsidRPr="0063248C">
              <w:rPr>
                <w:rFonts w:cs="宋体"/>
                <w:sz w:val="18"/>
                <w:szCs w:val="18"/>
              </w:rPr>
              <w:t>一路</w:t>
            </w:r>
            <w:r w:rsidRPr="0063248C">
              <w:rPr>
                <w:rFonts w:cs="宋体"/>
                <w:sz w:val="18"/>
                <w:szCs w:val="18"/>
              </w:rPr>
              <w:t>1</w:t>
            </w:r>
            <w:r w:rsidRPr="0063248C">
              <w:rPr>
                <w:rFonts w:cs="宋体"/>
                <w:sz w:val="18"/>
                <w:szCs w:val="18"/>
              </w:rPr>
              <w:t>号</w:t>
            </w:r>
            <w:r w:rsidRPr="0063248C">
              <w:rPr>
                <w:rFonts w:cs="宋体"/>
                <w:sz w:val="18"/>
                <w:szCs w:val="18"/>
              </w:rPr>
              <w:t>B</w:t>
            </w:r>
            <w:r w:rsidRPr="0063248C">
              <w:rPr>
                <w:rFonts w:cs="宋体"/>
                <w:sz w:val="18"/>
                <w:szCs w:val="18"/>
              </w:rPr>
              <w:t>座</w:t>
            </w:r>
            <w:r w:rsidRPr="0063248C">
              <w:rPr>
                <w:rFonts w:cs="宋体"/>
                <w:sz w:val="18"/>
                <w:szCs w:val="18"/>
              </w:rPr>
              <w:t>21</w:t>
            </w:r>
            <w:r w:rsidRPr="0063248C">
              <w:rPr>
                <w:rFonts w:cs="宋体"/>
                <w:sz w:val="18"/>
                <w:szCs w:val="18"/>
              </w:rPr>
              <w:t>层</w:t>
            </w:r>
            <w:r w:rsidRPr="0063248C">
              <w:rPr>
                <w:rFonts w:cs="宋体"/>
                <w:sz w:val="18"/>
                <w:szCs w:val="18"/>
              </w:rPr>
              <w:t>2103</w:t>
            </w:r>
            <w:r w:rsidRPr="0063248C">
              <w:rPr>
                <w:rFonts w:cs="宋体"/>
                <w:sz w:val="18"/>
                <w:szCs w:val="18"/>
              </w:rPr>
              <w:t>房间</w:t>
            </w:r>
          </w:p>
        </w:tc>
        <w:tc>
          <w:tcPr>
            <w:tcW w:w="1205" w:type="dxa"/>
            <w:tcBorders>
              <w:top w:val="single" w:sz="2" w:space="0" w:color="auto"/>
              <w:left w:val="single" w:sz="2" w:space="0" w:color="auto"/>
              <w:bottom w:val="single" w:sz="2" w:space="0" w:color="auto"/>
              <w:right w:val="single" w:sz="2" w:space="0" w:color="auto"/>
            </w:tcBorders>
            <w:vAlign w:val="center"/>
          </w:tcPr>
          <w:p w14:paraId="424DD662" w14:textId="77777777" w:rsidR="007B3DB2" w:rsidRPr="0063248C" w:rsidRDefault="00000000">
            <w:pPr>
              <w:spacing w:line="240" w:lineRule="exact"/>
              <w:rPr>
                <w:rFonts w:cs="宋体"/>
                <w:sz w:val="18"/>
                <w:szCs w:val="18"/>
              </w:rPr>
            </w:pPr>
            <w:r w:rsidRPr="0063248C">
              <w:rPr>
                <w:rFonts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3F265647" w14:textId="77777777" w:rsidR="007B3DB2" w:rsidRPr="0063248C" w:rsidRDefault="00000000">
            <w:pPr>
              <w:spacing w:line="240" w:lineRule="exact"/>
              <w:jc w:val="right"/>
              <w:rPr>
                <w:rFonts w:cs="宋体"/>
                <w:sz w:val="18"/>
                <w:szCs w:val="18"/>
              </w:rPr>
            </w:pPr>
            <w:r w:rsidRPr="0063248C">
              <w:rPr>
                <w:rFonts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3CC8B21E"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A65F7F2"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3A4D0C60"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7459AC29" w14:textId="77777777" w:rsidR="007B3DB2" w:rsidRPr="0063248C" w:rsidRDefault="00000000">
            <w:pPr>
              <w:spacing w:line="240" w:lineRule="exact"/>
              <w:rPr>
                <w:rFonts w:cs="宋体"/>
                <w:sz w:val="18"/>
                <w:szCs w:val="18"/>
              </w:rPr>
            </w:pPr>
            <w:r w:rsidRPr="0063248C">
              <w:rPr>
                <w:rFonts w:cs="宋体"/>
                <w:sz w:val="18"/>
                <w:szCs w:val="18"/>
              </w:rPr>
              <w:t>青岛新胜</w:t>
            </w:r>
            <w:proofErr w:type="gramStart"/>
            <w:r w:rsidRPr="0063248C">
              <w:rPr>
                <w:rFonts w:cs="宋体"/>
                <w:sz w:val="18"/>
                <w:szCs w:val="18"/>
              </w:rPr>
              <w:t>锦食品</w:t>
            </w:r>
            <w:proofErr w:type="gramEnd"/>
            <w:r w:rsidRPr="0063248C">
              <w:rPr>
                <w:rFonts w:cs="宋体"/>
                <w:sz w:val="18"/>
                <w:szCs w:val="18"/>
              </w:rPr>
              <w:t>商贸有限公司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2F2E93D6" w14:textId="77777777" w:rsidR="007B3DB2" w:rsidRPr="0063248C" w:rsidRDefault="00000000">
            <w:pPr>
              <w:spacing w:line="240" w:lineRule="exact"/>
              <w:jc w:val="right"/>
              <w:rPr>
                <w:rFonts w:cs="宋体"/>
                <w:sz w:val="18"/>
                <w:szCs w:val="18"/>
              </w:rPr>
            </w:pPr>
            <w:r w:rsidRPr="0063248C">
              <w:rPr>
                <w:rFonts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14:paraId="28EA44CC" w14:textId="77777777" w:rsidR="007B3DB2" w:rsidRPr="0063248C" w:rsidRDefault="00000000">
            <w:pPr>
              <w:spacing w:line="240" w:lineRule="exact"/>
              <w:rPr>
                <w:rFonts w:cs="宋体"/>
                <w:sz w:val="18"/>
                <w:szCs w:val="18"/>
              </w:rPr>
            </w:pPr>
            <w:r w:rsidRPr="0063248C">
              <w:rPr>
                <w:rFonts w:cs="宋体"/>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3E5E0799" w14:textId="77777777" w:rsidR="007B3DB2" w:rsidRPr="0063248C" w:rsidRDefault="00000000">
            <w:pPr>
              <w:spacing w:line="240" w:lineRule="exact"/>
              <w:rPr>
                <w:rFonts w:cs="宋体"/>
                <w:sz w:val="18"/>
                <w:szCs w:val="18"/>
              </w:rPr>
            </w:pPr>
            <w:r w:rsidRPr="0063248C">
              <w:rPr>
                <w:rFonts w:cs="宋体"/>
                <w:sz w:val="18"/>
                <w:szCs w:val="18"/>
              </w:rPr>
              <w:t>山东省青岛市崂山区科苑</w:t>
            </w:r>
            <w:proofErr w:type="gramStart"/>
            <w:r w:rsidRPr="0063248C">
              <w:rPr>
                <w:rFonts w:cs="宋体"/>
                <w:sz w:val="18"/>
                <w:szCs w:val="18"/>
              </w:rPr>
              <w:t>纬</w:t>
            </w:r>
            <w:proofErr w:type="gramEnd"/>
            <w:r w:rsidRPr="0063248C">
              <w:rPr>
                <w:rFonts w:cs="宋体"/>
                <w:sz w:val="18"/>
                <w:szCs w:val="18"/>
              </w:rPr>
              <w:t>一路</w:t>
            </w:r>
            <w:r w:rsidRPr="0063248C">
              <w:rPr>
                <w:rFonts w:cs="宋体"/>
                <w:sz w:val="18"/>
                <w:szCs w:val="18"/>
              </w:rPr>
              <w:t>1</w:t>
            </w:r>
            <w:r w:rsidRPr="0063248C">
              <w:rPr>
                <w:rFonts w:cs="宋体"/>
                <w:sz w:val="18"/>
                <w:szCs w:val="18"/>
              </w:rPr>
              <w:t>号</w:t>
            </w:r>
            <w:r w:rsidRPr="0063248C">
              <w:rPr>
                <w:rFonts w:cs="宋体"/>
                <w:sz w:val="18"/>
                <w:szCs w:val="18"/>
              </w:rPr>
              <w:t>B</w:t>
            </w:r>
            <w:r w:rsidRPr="0063248C">
              <w:rPr>
                <w:rFonts w:cs="宋体"/>
                <w:sz w:val="18"/>
                <w:szCs w:val="18"/>
              </w:rPr>
              <w:t>座</w:t>
            </w:r>
            <w:r w:rsidRPr="0063248C">
              <w:rPr>
                <w:rFonts w:cs="宋体"/>
                <w:sz w:val="18"/>
                <w:szCs w:val="18"/>
              </w:rPr>
              <w:t>21</w:t>
            </w:r>
            <w:r w:rsidRPr="0063248C">
              <w:rPr>
                <w:rFonts w:cs="宋体"/>
                <w:sz w:val="18"/>
                <w:szCs w:val="18"/>
              </w:rPr>
              <w:t>层</w:t>
            </w:r>
            <w:r w:rsidRPr="0063248C">
              <w:rPr>
                <w:rFonts w:cs="宋体"/>
                <w:sz w:val="18"/>
                <w:szCs w:val="18"/>
              </w:rPr>
              <w:t>2103</w:t>
            </w:r>
            <w:r w:rsidRPr="0063248C">
              <w:rPr>
                <w:rFonts w:cs="宋体"/>
                <w:sz w:val="18"/>
                <w:szCs w:val="18"/>
              </w:rPr>
              <w:t>房间</w:t>
            </w:r>
            <w:r w:rsidRPr="0063248C">
              <w:rPr>
                <w:rFonts w:cs="宋体"/>
                <w:sz w:val="18"/>
                <w:szCs w:val="18"/>
              </w:rPr>
              <w:t>-E</w:t>
            </w:r>
          </w:p>
        </w:tc>
        <w:tc>
          <w:tcPr>
            <w:tcW w:w="1205" w:type="dxa"/>
            <w:tcBorders>
              <w:top w:val="single" w:sz="2" w:space="0" w:color="auto"/>
              <w:left w:val="single" w:sz="2" w:space="0" w:color="auto"/>
              <w:bottom w:val="single" w:sz="2" w:space="0" w:color="auto"/>
              <w:right w:val="single" w:sz="2" w:space="0" w:color="auto"/>
            </w:tcBorders>
            <w:vAlign w:val="center"/>
          </w:tcPr>
          <w:p w14:paraId="385648FB" w14:textId="77777777" w:rsidR="007B3DB2" w:rsidRPr="0063248C" w:rsidRDefault="00000000">
            <w:pPr>
              <w:spacing w:line="240" w:lineRule="exact"/>
              <w:rPr>
                <w:rFonts w:cs="宋体"/>
                <w:sz w:val="18"/>
                <w:szCs w:val="18"/>
              </w:rPr>
            </w:pPr>
            <w:r w:rsidRPr="0063248C">
              <w:rPr>
                <w:rFonts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613A9B33"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060E173" w14:textId="77777777" w:rsidR="007B3DB2" w:rsidRPr="0063248C" w:rsidRDefault="00000000">
            <w:pPr>
              <w:spacing w:line="240" w:lineRule="exact"/>
              <w:jc w:val="right"/>
              <w:rPr>
                <w:rFonts w:cs="宋体"/>
                <w:sz w:val="18"/>
                <w:szCs w:val="18"/>
              </w:rPr>
            </w:pPr>
            <w:r w:rsidRPr="0063248C">
              <w:rPr>
                <w:rFonts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3FB5BE29"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4730BCF7"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38E0A4C7" w14:textId="77777777" w:rsidR="007B3DB2" w:rsidRPr="0063248C" w:rsidRDefault="00000000">
            <w:pPr>
              <w:spacing w:line="240" w:lineRule="exact"/>
              <w:rPr>
                <w:rFonts w:cs="宋体"/>
                <w:sz w:val="18"/>
                <w:szCs w:val="18"/>
              </w:rPr>
            </w:pPr>
            <w:r w:rsidRPr="0063248C">
              <w:rPr>
                <w:rFonts w:cs="宋体"/>
                <w:sz w:val="18"/>
                <w:szCs w:val="18"/>
              </w:rPr>
              <w:t>乳山中和盛杰食品有限公司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1D1E4155"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2CBD27F5" w14:textId="77777777" w:rsidR="007B3DB2" w:rsidRPr="0063248C" w:rsidRDefault="00000000">
            <w:pPr>
              <w:spacing w:line="240" w:lineRule="exact"/>
              <w:rPr>
                <w:rFonts w:cs="宋体"/>
                <w:sz w:val="18"/>
                <w:szCs w:val="18"/>
              </w:rPr>
            </w:pPr>
            <w:r w:rsidRPr="0063248C">
              <w:rPr>
                <w:rFonts w:cs="宋体"/>
                <w:sz w:val="18"/>
                <w:szCs w:val="18"/>
              </w:rPr>
              <w:t>山东省乳山市</w:t>
            </w:r>
          </w:p>
        </w:tc>
        <w:tc>
          <w:tcPr>
            <w:tcW w:w="1205" w:type="dxa"/>
            <w:tcBorders>
              <w:top w:val="single" w:sz="2" w:space="0" w:color="auto"/>
              <w:left w:val="single" w:sz="2" w:space="0" w:color="auto"/>
              <w:bottom w:val="single" w:sz="2" w:space="0" w:color="auto"/>
              <w:right w:val="single" w:sz="2" w:space="0" w:color="auto"/>
            </w:tcBorders>
            <w:vAlign w:val="center"/>
          </w:tcPr>
          <w:p w14:paraId="6FB29FD1" w14:textId="77777777" w:rsidR="007B3DB2" w:rsidRPr="0063248C" w:rsidRDefault="00000000">
            <w:pPr>
              <w:spacing w:line="240" w:lineRule="exact"/>
              <w:rPr>
                <w:rFonts w:cs="宋体"/>
                <w:sz w:val="18"/>
                <w:szCs w:val="18"/>
              </w:rPr>
            </w:pPr>
            <w:r w:rsidRPr="0063248C">
              <w:rPr>
                <w:rFonts w:cs="宋体"/>
                <w:sz w:val="18"/>
                <w:szCs w:val="18"/>
              </w:rPr>
              <w:t>山东省威海市乳山经济开发区科技创业中心</w:t>
            </w:r>
          </w:p>
        </w:tc>
        <w:tc>
          <w:tcPr>
            <w:tcW w:w="1205" w:type="dxa"/>
            <w:tcBorders>
              <w:top w:val="single" w:sz="2" w:space="0" w:color="auto"/>
              <w:left w:val="single" w:sz="2" w:space="0" w:color="auto"/>
              <w:bottom w:val="single" w:sz="2" w:space="0" w:color="auto"/>
              <w:right w:val="single" w:sz="2" w:space="0" w:color="auto"/>
            </w:tcBorders>
            <w:vAlign w:val="center"/>
          </w:tcPr>
          <w:p w14:paraId="32AA0F82" w14:textId="77777777" w:rsidR="007B3DB2" w:rsidRPr="0063248C" w:rsidRDefault="00000000">
            <w:pPr>
              <w:spacing w:line="240" w:lineRule="exact"/>
              <w:rPr>
                <w:rFonts w:cs="宋体"/>
                <w:sz w:val="18"/>
                <w:szCs w:val="18"/>
              </w:rPr>
            </w:pPr>
            <w:r w:rsidRPr="0063248C">
              <w:rPr>
                <w:rFonts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4121CE5C"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8F67AFC" w14:textId="77777777" w:rsidR="007B3DB2" w:rsidRPr="0063248C" w:rsidRDefault="00000000">
            <w:pPr>
              <w:spacing w:line="240" w:lineRule="exact"/>
              <w:jc w:val="right"/>
              <w:rPr>
                <w:rFonts w:cs="宋体"/>
                <w:sz w:val="18"/>
                <w:szCs w:val="18"/>
              </w:rPr>
            </w:pPr>
            <w:r w:rsidRPr="0063248C">
              <w:rPr>
                <w:rFonts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32D8EE0A"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64CBA742"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33CE2693"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06AA9CE3" w14:textId="77777777" w:rsidR="007B3DB2" w:rsidRPr="0063248C" w:rsidRDefault="00000000">
            <w:pPr>
              <w:spacing w:line="240" w:lineRule="exact"/>
              <w:jc w:val="right"/>
              <w:rPr>
                <w:rFonts w:cs="宋体"/>
                <w:sz w:val="18"/>
                <w:szCs w:val="18"/>
              </w:rPr>
            </w:pPr>
            <w:r w:rsidRPr="0063248C">
              <w:rPr>
                <w:rFonts w:cs="宋体"/>
                <w:sz w:val="18"/>
                <w:szCs w:val="18"/>
              </w:rPr>
              <w:t>70,000,000.00</w:t>
            </w:r>
          </w:p>
        </w:tc>
        <w:tc>
          <w:tcPr>
            <w:tcW w:w="1205" w:type="dxa"/>
            <w:tcBorders>
              <w:top w:val="single" w:sz="2" w:space="0" w:color="auto"/>
              <w:left w:val="single" w:sz="2" w:space="0" w:color="auto"/>
              <w:bottom w:val="single" w:sz="2" w:space="0" w:color="auto"/>
              <w:right w:val="single" w:sz="2" w:space="0" w:color="auto"/>
            </w:tcBorders>
            <w:vAlign w:val="center"/>
          </w:tcPr>
          <w:p w14:paraId="5A516EE1" w14:textId="77777777" w:rsidR="007B3DB2" w:rsidRPr="0063248C" w:rsidRDefault="00000000">
            <w:pPr>
              <w:spacing w:line="240" w:lineRule="exact"/>
              <w:rPr>
                <w:rFonts w:cs="宋体"/>
                <w:sz w:val="18"/>
                <w:szCs w:val="18"/>
              </w:rPr>
            </w:pPr>
            <w:r w:rsidRPr="0063248C">
              <w:rPr>
                <w:rFonts w:cs="宋体"/>
                <w:sz w:val="18"/>
                <w:szCs w:val="18"/>
              </w:rPr>
              <w:t>山东省潍坊市</w:t>
            </w:r>
          </w:p>
        </w:tc>
        <w:tc>
          <w:tcPr>
            <w:tcW w:w="1205" w:type="dxa"/>
            <w:tcBorders>
              <w:top w:val="single" w:sz="2" w:space="0" w:color="auto"/>
              <w:left w:val="single" w:sz="2" w:space="0" w:color="auto"/>
              <w:bottom w:val="single" w:sz="2" w:space="0" w:color="auto"/>
              <w:right w:val="single" w:sz="2" w:space="0" w:color="auto"/>
            </w:tcBorders>
            <w:vAlign w:val="center"/>
          </w:tcPr>
          <w:p w14:paraId="01179358" w14:textId="77777777" w:rsidR="007B3DB2" w:rsidRPr="0063248C" w:rsidRDefault="00000000">
            <w:pPr>
              <w:spacing w:line="240" w:lineRule="exact"/>
              <w:rPr>
                <w:rFonts w:cs="宋体"/>
                <w:sz w:val="18"/>
                <w:szCs w:val="18"/>
              </w:rPr>
            </w:pPr>
            <w:r w:rsidRPr="0063248C">
              <w:rPr>
                <w:rFonts w:cs="宋体"/>
                <w:sz w:val="18"/>
                <w:szCs w:val="18"/>
              </w:rPr>
              <w:t>山东省潍坊市安丘市景芝镇驻地</w:t>
            </w:r>
          </w:p>
        </w:tc>
        <w:tc>
          <w:tcPr>
            <w:tcW w:w="1205" w:type="dxa"/>
            <w:tcBorders>
              <w:top w:val="single" w:sz="2" w:space="0" w:color="auto"/>
              <w:left w:val="single" w:sz="2" w:space="0" w:color="auto"/>
              <w:bottom w:val="single" w:sz="2" w:space="0" w:color="auto"/>
              <w:right w:val="single" w:sz="2" w:space="0" w:color="auto"/>
            </w:tcBorders>
            <w:vAlign w:val="center"/>
          </w:tcPr>
          <w:p w14:paraId="007C5623" w14:textId="77777777" w:rsidR="007B3DB2" w:rsidRPr="0063248C" w:rsidRDefault="00000000">
            <w:pPr>
              <w:spacing w:line="240" w:lineRule="exact"/>
              <w:rPr>
                <w:rFonts w:cs="宋体"/>
                <w:sz w:val="18"/>
                <w:szCs w:val="18"/>
              </w:rPr>
            </w:pPr>
            <w:r w:rsidRPr="0063248C">
              <w:rPr>
                <w:rFonts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3D0134EA" w14:textId="77777777" w:rsidR="007B3DB2" w:rsidRPr="0063248C" w:rsidRDefault="00000000">
            <w:pPr>
              <w:spacing w:line="240" w:lineRule="exact"/>
              <w:jc w:val="right"/>
              <w:rPr>
                <w:rFonts w:cs="宋体"/>
                <w:sz w:val="18"/>
                <w:szCs w:val="18"/>
              </w:rPr>
            </w:pPr>
            <w:r w:rsidRPr="0063248C">
              <w:rPr>
                <w:rFonts w:cs="宋体"/>
                <w:sz w:val="18"/>
                <w:szCs w:val="18"/>
              </w:rPr>
              <w:t>70.00%</w:t>
            </w:r>
          </w:p>
        </w:tc>
        <w:tc>
          <w:tcPr>
            <w:tcW w:w="1205" w:type="dxa"/>
            <w:tcBorders>
              <w:top w:val="single" w:sz="2" w:space="0" w:color="auto"/>
              <w:left w:val="single" w:sz="2" w:space="0" w:color="auto"/>
              <w:bottom w:val="single" w:sz="2" w:space="0" w:color="auto"/>
              <w:right w:val="single" w:sz="2" w:space="0" w:color="auto"/>
            </w:tcBorders>
            <w:vAlign w:val="center"/>
          </w:tcPr>
          <w:p w14:paraId="7257BCD2"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AF3C4A5" w14:textId="77777777" w:rsidR="007B3DB2" w:rsidRPr="0063248C" w:rsidRDefault="00000000">
            <w:pPr>
              <w:spacing w:line="240" w:lineRule="exact"/>
              <w:rPr>
                <w:rFonts w:cs="宋体"/>
                <w:sz w:val="18"/>
                <w:szCs w:val="18"/>
              </w:rPr>
            </w:pPr>
            <w:r w:rsidRPr="0063248C">
              <w:rPr>
                <w:rFonts w:cs="宋体"/>
                <w:sz w:val="18"/>
                <w:szCs w:val="18"/>
              </w:rPr>
              <w:t>非同</w:t>
            </w:r>
            <w:proofErr w:type="gramStart"/>
            <w:r w:rsidRPr="0063248C">
              <w:rPr>
                <w:rFonts w:cs="宋体"/>
                <w:sz w:val="18"/>
                <w:szCs w:val="18"/>
              </w:rPr>
              <w:t>一控制</w:t>
            </w:r>
            <w:proofErr w:type="gramEnd"/>
            <w:r w:rsidRPr="0063248C">
              <w:rPr>
                <w:rFonts w:cs="宋体"/>
                <w:sz w:val="18"/>
                <w:szCs w:val="18"/>
              </w:rPr>
              <w:t>下企业合并</w:t>
            </w:r>
          </w:p>
        </w:tc>
      </w:tr>
      <w:tr w:rsidR="007B3DB2" w:rsidRPr="0063248C" w14:paraId="5750D56F"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73DC8D74" w14:textId="77777777" w:rsidR="007B3DB2" w:rsidRPr="0063248C" w:rsidRDefault="00000000">
            <w:pPr>
              <w:spacing w:line="240" w:lineRule="exact"/>
              <w:rPr>
                <w:rFonts w:cs="宋体"/>
                <w:sz w:val="18"/>
                <w:szCs w:val="18"/>
              </w:rPr>
            </w:pPr>
            <w:r w:rsidRPr="0063248C">
              <w:rPr>
                <w:rFonts w:cs="宋体"/>
                <w:sz w:val="18"/>
                <w:szCs w:val="18"/>
              </w:rPr>
              <w:t>云南福照食品有限公司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6F2B8C5B" w14:textId="77777777" w:rsidR="007B3DB2" w:rsidRPr="0063248C" w:rsidRDefault="00000000">
            <w:pPr>
              <w:spacing w:line="240" w:lineRule="exact"/>
              <w:jc w:val="right"/>
              <w:rPr>
                <w:rFonts w:cs="宋体"/>
                <w:sz w:val="18"/>
                <w:szCs w:val="18"/>
              </w:rPr>
            </w:pPr>
            <w:r w:rsidRPr="0063248C">
              <w:rPr>
                <w:rFonts w:cs="宋体"/>
                <w:sz w:val="18"/>
                <w:szCs w:val="18"/>
              </w:rPr>
              <w:t>46,530,612.00</w:t>
            </w:r>
          </w:p>
        </w:tc>
        <w:tc>
          <w:tcPr>
            <w:tcW w:w="1205" w:type="dxa"/>
            <w:tcBorders>
              <w:top w:val="single" w:sz="2" w:space="0" w:color="auto"/>
              <w:left w:val="single" w:sz="2" w:space="0" w:color="auto"/>
              <w:bottom w:val="single" w:sz="2" w:space="0" w:color="auto"/>
              <w:right w:val="single" w:sz="2" w:space="0" w:color="auto"/>
            </w:tcBorders>
            <w:vAlign w:val="center"/>
          </w:tcPr>
          <w:p w14:paraId="74B46A94" w14:textId="77777777" w:rsidR="007B3DB2" w:rsidRPr="0063248C" w:rsidRDefault="00000000">
            <w:pPr>
              <w:spacing w:line="240" w:lineRule="exact"/>
              <w:rPr>
                <w:rFonts w:cs="宋体"/>
                <w:sz w:val="18"/>
                <w:szCs w:val="18"/>
              </w:rPr>
            </w:pPr>
            <w:r w:rsidRPr="0063248C">
              <w:rPr>
                <w:rFonts w:cs="宋体"/>
                <w:sz w:val="18"/>
                <w:szCs w:val="18"/>
              </w:rPr>
              <w:t>云南省曲靖市</w:t>
            </w:r>
          </w:p>
        </w:tc>
        <w:tc>
          <w:tcPr>
            <w:tcW w:w="1205" w:type="dxa"/>
            <w:tcBorders>
              <w:top w:val="single" w:sz="2" w:space="0" w:color="auto"/>
              <w:left w:val="single" w:sz="2" w:space="0" w:color="auto"/>
              <w:bottom w:val="single" w:sz="2" w:space="0" w:color="auto"/>
              <w:right w:val="single" w:sz="2" w:space="0" w:color="auto"/>
            </w:tcBorders>
            <w:vAlign w:val="center"/>
          </w:tcPr>
          <w:p w14:paraId="4869A2C8" w14:textId="77777777" w:rsidR="007B3DB2" w:rsidRPr="0063248C" w:rsidRDefault="00000000">
            <w:pPr>
              <w:spacing w:line="240" w:lineRule="exact"/>
              <w:rPr>
                <w:rFonts w:cs="宋体"/>
                <w:sz w:val="18"/>
                <w:szCs w:val="18"/>
              </w:rPr>
            </w:pPr>
            <w:r w:rsidRPr="0063248C">
              <w:rPr>
                <w:rFonts w:cs="宋体"/>
                <w:sz w:val="18"/>
                <w:szCs w:val="18"/>
              </w:rPr>
              <w:t>云南省曲靖市宣威市西宁街道花椒水库东侧</w:t>
            </w:r>
          </w:p>
        </w:tc>
        <w:tc>
          <w:tcPr>
            <w:tcW w:w="1205" w:type="dxa"/>
            <w:tcBorders>
              <w:top w:val="single" w:sz="2" w:space="0" w:color="auto"/>
              <w:left w:val="single" w:sz="2" w:space="0" w:color="auto"/>
              <w:bottom w:val="single" w:sz="2" w:space="0" w:color="auto"/>
              <w:right w:val="single" w:sz="2" w:space="0" w:color="auto"/>
            </w:tcBorders>
            <w:vAlign w:val="center"/>
          </w:tcPr>
          <w:p w14:paraId="1796A59B" w14:textId="77777777" w:rsidR="007B3DB2" w:rsidRPr="0063248C" w:rsidRDefault="00000000">
            <w:pPr>
              <w:spacing w:line="240" w:lineRule="exact"/>
              <w:rPr>
                <w:rFonts w:cs="宋体"/>
                <w:sz w:val="18"/>
                <w:szCs w:val="18"/>
              </w:rPr>
            </w:pPr>
            <w:r w:rsidRPr="0063248C">
              <w:rPr>
                <w:rFonts w:cs="宋体"/>
                <w:sz w:val="18"/>
                <w:szCs w:val="18"/>
              </w:rPr>
              <w:t>火腿加工</w:t>
            </w:r>
          </w:p>
        </w:tc>
        <w:tc>
          <w:tcPr>
            <w:tcW w:w="1205" w:type="dxa"/>
            <w:tcBorders>
              <w:top w:val="single" w:sz="2" w:space="0" w:color="auto"/>
              <w:left w:val="single" w:sz="2" w:space="0" w:color="auto"/>
              <w:bottom w:val="single" w:sz="2" w:space="0" w:color="auto"/>
              <w:right w:val="single" w:sz="2" w:space="0" w:color="auto"/>
            </w:tcBorders>
            <w:vAlign w:val="center"/>
          </w:tcPr>
          <w:p w14:paraId="095BE1B6" w14:textId="77777777" w:rsidR="007B3DB2" w:rsidRPr="0063248C" w:rsidRDefault="00000000">
            <w:pPr>
              <w:spacing w:line="240" w:lineRule="exact"/>
              <w:jc w:val="right"/>
              <w:rPr>
                <w:rFonts w:cs="宋体"/>
                <w:sz w:val="18"/>
                <w:szCs w:val="18"/>
              </w:rPr>
            </w:pPr>
            <w:r w:rsidRPr="0063248C">
              <w:rPr>
                <w:rFonts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24EEB1A6"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421FF6C"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4C421C17"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5318DF43" w14:textId="77777777" w:rsidR="007B3DB2" w:rsidRPr="0063248C" w:rsidRDefault="00000000">
            <w:pPr>
              <w:spacing w:line="240" w:lineRule="exact"/>
              <w:rPr>
                <w:rFonts w:cs="宋体"/>
                <w:sz w:val="18"/>
                <w:szCs w:val="18"/>
              </w:rPr>
            </w:pPr>
            <w:r w:rsidRPr="0063248C">
              <w:rPr>
                <w:rFonts w:cs="宋体"/>
                <w:sz w:val="18"/>
                <w:szCs w:val="18"/>
              </w:rPr>
              <w:t>香港龙大发展有限公司（注册资本</w:t>
            </w:r>
            <w:r w:rsidRPr="0063248C">
              <w:rPr>
                <w:rFonts w:cs="宋体"/>
                <w:sz w:val="18"/>
                <w:szCs w:val="18"/>
              </w:rPr>
              <w:lastRenderedPageBreak/>
              <w:t>200</w:t>
            </w:r>
            <w:r w:rsidRPr="0063248C">
              <w:rPr>
                <w:rFonts w:cs="宋体"/>
                <w:sz w:val="18"/>
                <w:szCs w:val="18"/>
              </w:rPr>
              <w:t>万港币）</w:t>
            </w:r>
          </w:p>
        </w:tc>
        <w:tc>
          <w:tcPr>
            <w:tcW w:w="1326" w:type="dxa"/>
            <w:tcBorders>
              <w:top w:val="single" w:sz="2" w:space="0" w:color="auto"/>
              <w:left w:val="single" w:sz="2" w:space="0" w:color="auto"/>
              <w:bottom w:val="single" w:sz="2" w:space="0" w:color="auto"/>
              <w:right w:val="single" w:sz="2" w:space="0" w:color="auto"/>
            </w:tcBorders>
            <w:vAlign w:val="center"/>
          </w:tcPr>
          <w:p w14:paraId="7C39E24E" w14:textId="77777777" w:rsidR="007B3DB2" w:rsidRPr="0063248C" w:rsidRDefault="00000000">
            <w:pPr>
              <w:spacing w:line="240" w:lineRule="exact"/>
              <w:jc w:val="right"/>
              <w:rPr>
                <w:rFonts w:cs="宋体"/>
                <w:sz w:val="18"/>
                <w:szCs w:val="18"/>
              </w:rPr>
            </w:pPr>
            <w:r w:rsidRPr="0063248C">
              <w:rPr>
                <w:rFonts w:cs="宋体"/>
                <w:sz w:val="18"/>
                <w:szCs w:val="18"/>
              </w:rPr>
              <w:lastRenderedPageBreak/>
              <w:t>0.00</w:t>
            </w:r>
          </w:p>
        </w:tc>
        <w:tc>
          <w:tcPr>
            <w:tcW w:w="1205" w:type="dxa"/>
            <w:tcBorders>
              <w:top w:val="single" w:sz="2" w:space="0" w:color="auto"/>
              <w:left w:val="single" w:sz="2" w:space="0" w:color="auto"/>
              <w:bottom w:val="single" w:sz="2" w:space="0" w:color="auto"/>
              <w:right w:val="single" w:sz="2" w:space="0" w:color="auto"/>
            </w:tcBorders>
            <w:vAlign w:val="center"/>
          </w:tcPr>
          <w:p w14:paraId="53ABC9CA" w14:textId="77777777" w:rsidR="007B3DB2" w:rsidRPr="0063248C" w:rsidRDefault="00000000">
            <w:pPr>
              <w:spacing w:line="240" w:lineRule="exact"/>
              <w:rPr>
                <w:rFonts w:cs="宋体"/>
                <w:sz w:val="18"/>
                <w:szCs w:val="18"/>
              </w:rPr>
            </w:pPr>
            <w:r w:rsidRPr="0063248C">
              <w:rPr>
                <w:rFonts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14:paraId="0069232D" w14:textId="77777777" w:rsidR="007B3DB2" w:rsidRPr="0063248C" w:rsidRDefault="00000000">
            <w:pPr>
              <w:spacing w:line="240" w:lineRule="exact"/>
              <w:rPr>
                <w:rFonts w:cs="宋体"/>
                <w:sz w:val="18"/>
                <w:szCs w:val="18"/>
              </w:rPr>
            </w:pPr>
            <w:r w:rsidRPr="0063248C">
              <w:rPr>
                <w:rFonts w:cs="宋体"/>
                <w:sz w:val="18"/>
                <w:szCs w:val="18"/>
              </w:rPr>
              <w:t>RM4,16/FHOKINGCOMMCTR,2-</w:t>
            </w:r>
            <w:r w:rsidRPr="0063248C">
              <w:rPr>
                <w:rFonts w:cs="宋体"/>
                <w:sz w:val="18"/>
                <w:szCs w:val="18"/>
              </w:rPr>
              <w:lastRenderedPageBreak/>
              <w:t>16</w:t>
            </w:r>
            <w:proofErr w:type="gramStart"/>
            <w:r w:rsidRPr="0063248C">
              <w:rPr>
                <w:rFonts w:cs="宋体"/>
                <w:sz w:val="18"/>
                <w:szCs w:val="18"/>
              </w:rPr>
              <w:t>FAYUENST,MONGKOKKOWLOON</w:t>
            </w:r>
            <w:proofErr w:type="gramEnd"/>
            <w:r w:rsidRPr="0063248C">
              <w:rPr>
                <w:rFonts w:cs="宋体"/>
                <w:sz w:val="18"/>
                <w:szCs w:val="18"/>
              </w:rPr>
              <w:t>,HONGKONG</w:t>
            </w:r>
          </w:p>
        </w:tc>
        <w:tc>
          <w:tcPr>
            <w:tcW w:w="1205" w:type="dxa"/>
            <w:tcBorders>
              <w:top w:val="single" w:sz="2" w:space="0" w:color="auto"/>
              <w:left w:val="single" w:sz="2" w:space="0" w:color="auto"/>
              <w:bottom w:val="single" w:sz="2" w:space="0" w:color="auto"/>
              <w:right w:val="single" w:sz="2" w:space="0" w:color="auto"/>
            </w:tcBorders>
            <w:vAlign w:val="center"/>
          </w:tcPr>
          <w:p w14:paraId="5C773230" w14:textId="77777777" w:rsidR="007B3DB2" w:rsidRPr="0063248C" w:rsidRDefault="00000000">
            <w:pPr>
              <w:spacing w:line="240" w:lineRule="exact"/>
              <w:rPr>
                <w:rFonts w:cs="宋体"/>
                <w:sz w:val="18"/>
                <w:szCs w:val="18"/>
              </w:rPr>
            </w:pPr>
            <w:r w:rsidRPr="0063248C">
              <w:rPr>
                <w:rFonts w:cs="宋体"/>
                <w:sz w:val="18"/>
                <w:szCs w:val="18"/>
              </w:rPr>
              <w:lastRenderedPageBreak/>
              <w:t>国际贸易、咨询</w:t>
            </w:r>
          </w:p>
        </w:tc>
        <w:tc>
          <w:tcPr>
            <w:tcW w:w="1205" w:type="dxa"/>
            <w:tcBorders>
              <w:top w:val="single" w:sz="2" w:space="0" w:color="auto"/>
              <w:left w:val="single" w:sz="2" w:space="0" w:color="auto"/>
              <w:bottom w:val="single" w:sz="2" w:space="0" w:color="auto"/>
              <w:right w:val="single" w:sz="2" w:space="0" w:color="auto"/>
            </w:tcBorders>
            <w:vAlign w:val="center"/>
          </w:tcPr>
          <w:p w14:paraId="63CD4828"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55562443"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4B9F03C"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7DF12808"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1F3C8695" w14:textId="77777777" w:rsidR="007B3DB2" w:rsidRPr="0063248C" w:rsidRDefault="00000000">
            <w:pPr>
              <w:spacing w:line="240" w:lineRule="exact"/>
              <w:rPr>
                <w:rFonts w:cs="宋体"/>
                <w:sz w:val="18"/>
                <w:szCs w:val="18"/>
              </w:rPr>
            </w:pPr>
            <w:r w:rsidRPr="0063248C">
              <w:rPr>
                <w:rFonts w:cs="宋体"/>
                <w:sz w:val="18"/>
                <w:szCs w:val="18"/>
              </w:rPr>
              <w:t>山东龙大美食贸易有限公司（原烟台龙骧进出口有限公司）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7003CF01"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14:paraId="5D294123" w14:textId="77777777" w:rsidR="007B3DB2" w:rsidRPr="0063248C" w:rsidRDefault="00000000">
            <w:pPr>
              <w:spacing w:line="240" w:lineRule="exact"/>
              <w:rPr>
                <w:rFonts w:cs="宋体"/>
                <w:sz w:val="18"/>
                <w:szCs w:val="18"/>
              </w:rPr>
            </w:pPr>
            <w:r w:rsidRPr="0063248C">
              <w:rPr>
                <w:rFonts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12B4CB96" w14:textId="77777777" w:rsidR="007B3DB2" w:rsidRPr="0063248C" w:rsidRDefault="00000000">
            <w:pPr>
              <w:spacing w:line="240" w:lineRule="exact"/>
              <w:rPr>
                <w:rFonts w:cs="宋体"/>
                <w:sz w:val="18"/>
                <w:szCs w:val="18"/>
              </w:rPr>
            </w:pPr>
            <w:r w:rsidRPr="0063248C">
              <w:rPr>
                <w:rFonts w:cs="宋体"/>
                <w:sz w:val="18"/>
                <w:szCs w:val="18"/>
              </w:rPr>
              <w:t>山东省烟台市莱阳市龙旺庄街道办事处龙门东路</w:t>
            </w:r>
            <w:r w:rsidRPr="0063248C">
              <w:rPr>
                <w:rFonts w:cs="宋体"/>
                <w:sz w:val="18"/>
                <w:szCs w:val="18"/>
              </w:rPr>
              <w:t>99</w:t>
            </w:r>
            <w:r w:rsidRPr="0063248C">
              <w:rPr>
                <w:rFonts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3CF2F43D" w14:textId="77777777" w:rsidR="007B3DB2" w:rsidRPr="0063248C" w:rsidRDefault="00000000">
            <w:pPr>
              <w:spacing w:line="240" w:lineRule="exact"/>
              <w:rPr>
                <w:rFonts w:cs="宋体"/>
                <w:sz w:val="18"/>
                <w:szCs w:val="18"/>
              </w:rPr>
            </w:pPr>
            <w:r w:rsidRPr="0063248C">
              <w:rPr>
                <w:rFonts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4F908B38"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739D2FC"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060001E"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32D33CB3"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2799B066" w14:textId="77777777" w:rsidR="007B3DB2" w:rsidRPr="0063248C" w:rsidRDefault="00000000">
            <w:pPr>
              <w:spacing w:line="240" w:lineRule="exact"/>
              <w:rPr>
                <w:rFonts w:cs="宋体"/>
                <w:sz w:val="18"/>
                <w:szCs w:val="18"/>
              </w:rPr>
            </w:pPr>
            <w:r w:rsidRPr="0063248C">
              <w:rPr>
                <w:rFonts w:cs="宋体"/>
                <w:sz w:val="18"/>
                <w:szCs w:val="18"/>
              </w:rPr>
              <w:t>黑龙江龙大养殖有限公司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4E10F3B9" w14:textId="77777777" w:rsidR="007B3DB2" w:rsidRPr="0063248C" w:rsidRDefault="00000000">
            <w:pPr>
              <w:spacing w:line="240" w:lineRule="exact"/>
              <w:jc w:val="right"/>
              <w:rPr>
                <w:rFonts w:cs="宋体"/>
                <w:sz w:val="18"/>
                <w:szCs w:val="18"/>
              </w:rPr>
            </w:pPr>
            <w:r w:rsidRPr="0063248C">
              <w:rPr>
                <w:rFonts w:cs="宋体"/>
                <w:sz w:val="18"/>
                <w:szCs w:val="18"/>
              </w:rPr>
              <w:t>150,000,000.00</w:t>
            </w:r>
          </w:p>
        </w:tc>
        <w:tc>
          <w:tcPr>
            <w:tcW w:w="1205" w:type="dxa"/>
            <w:tcBorders>
              <w:top w:val="single" w:sz="2" w:space="0" w:color="auto"/>
              <w:left w:val="single" w:sz="2" w:space="0" w:color="auto"/>
              <w:bottom w:val="single" w:sz="2" w:space="0" w:color="auto"/>
              <w:right w:val="single" w:sz="2" w:space="0" w:color="auto"/>
            </w:tcBorders>
            <w:vAlign w:val="center"/>
          </w:tcPr>
          <w:p w14:paraId="7B62E2A9" w14:textId="77777777" w:rsidR="007B3DB2" w:rsidRPr="0063248C" w:rsidRDefault="00000000">
            <w:pPr>
              <w:spacing w:line="240" w:lineRule="exact"/>
              <w:rPr>
                <w:rFonts w:cs="宋体"/>
                <w:sz w:val="18"/>
                <w:szCs w:val="18"/>
              </w:rPr>
            </w:pPr>
            <w:r w:rsidRPr="0063248C">
              <w:rPr>
                <w:rFonts w:cs="宋体"/>
                <w:sz w:val="18"/>
                <w:szCs w:val="18"/>
              </w:rPr>
              <w:t>黑龙江省绥化市</w:t>
            </w:r>
          </w:p>
        </w:tc>
        <w:tc>
          <w:tcPr>
            <w:tcW w:w="1205" w:type="dxa"/>
            <w:tcBorders>
              <w:top w:val="single" w:sz="2" w:space="0" w:color="auto"/>
              <w:left w:val="single" w:sz="2" w:space="0" w:color="auto"/>
              <w:bottom w:val="single" w:sz="2" w:space="0" w:color="auto"/>
              <w:right w:val="single" w:sz="2" w:space="0" w:color="auto"/>
            </w:tcBorders>
            <w:vAlign w:val="center"/>
          </w:tcPr>
          <w:p w14:paraId="1B9E6129" w14:textId="77777777" w:rsidR="007B3DB2" w:rsidRPr="0063248C" w:rsidRDefault="00000000">
            <w:pPr>
              <w:spacing w:line="240" w:lineRule="exact"/>
              <w:rPr>
                <w:rFonts w:cs="宋体"/>
                <w:sz w:val="18"/>
                <w:szCs w:val="18"/>
              </w:rPr>
            </w:pPr>
            <w:r w:rsidRPr="0063248C">
              <w:rPr>
                <w:rFonts w:cs="宋体"/>
                <w:sz w:val="18"/>
                <w:szCs w:val="18"/>
              </w:rPr>
              <w:t>黑龙江省绥化市安达市朝阳街</w:t>
            </w:r>
            <w:r w:rsidRPr="0063248C">
              <w:rPr>
                <w:rFonts w:cs="宋体"/>
                <w:sz w:val="18"/>
                <w:szCs w:val="18"/>
              </w:rPr>
              <w:t>1</w:t>
            </w:r>
            <w:r w:rsidRPr="0063248C">
              <w:rPr>
                <w:rFonts w:cs="宋体"/>
                <w:sz w:val="18"/>
                <w:szCs w:val="18"/>
              </w:rPr>
              <w:t>委</w:t>
            </w:r>
            <w:r w:rsidRPr="0063248C">
              <w:rPr>
                <w:rFonts w:cs="宋体"/>
                <w:sz w:val="18"/>
                <w:szCs w:val="18"/>
              </w:rPr>
              <w:t>8-538</w:t>
            </w:r>
            <w:r w:rsidRPr="0063248C">
              <w:rPr>
                <w:rFonts w:cs="宋体"/>
                <w:sz w:val="18"/>
                <w:szCs w:val="18"/>
              </w:rPr>
              <w:t>幢融府上城</w:t>
            </w:r>
            <w:r w:rsidRPr="0063248C">
              <w:rPr>
                <w:rFonts w:cs="宋体"/>
                <w:sz w:val="18"/>
                <w:szCs w:val="18"/>
              </w:rPr>
              <w:t>13#2</w:t>
            </w:r>
            <w:r w:rsidRPr="0063248C">
              <w:rPr>
                <w:rFonts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26022DCC" w14:textId="77777777" w:rsidR="007B3DB2" w:rsidRPr="0063248C" w:rsidRDefault="00000000">
            <w:pPr>
              <w:spacing w:line="240" w:lineRule="exact"/>
              <w:rPr>
                <w:rFonts w:cs="宋体"/>
                <w:sz w:val="18"/>
                <w:szCs w:val="18"/>
              </w:rPr>
            </w:pPr>
            <w:r w:rsidRPr="0063248C">
              <w:rPr>
                <w:rFonts w:cs="宋体"/>
                <w:sz w:val="18"/>
                <w:szCs w:val="18"/>
              </w:rPr>
              <w:t>畜禽</w:t>
            </w:r>
            <w:r w:rsidRPr="0063248C">
              <w:rPr>
                <w:rFonts w:cs="宋体"/>
                <w:sz w:val="18"/>
                <w:szCs w:val="18"/>
              </w:rPr>
              <w:t>\</w:t>
            </w:r>
            <w:r w:rsidRPr="0063248C">
              <w:rPr>
                <w:rFonts w:cs="宋体"/>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3CA3C506"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1CA4FD1"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965008E"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74F0C4F5"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6CCC7544" w14:textId="77777777" w:rsidR="007B3DB2" w:rsidRPr="0063248C" w:rsidRDefault="00000000">
            <w:pPr>
              <w:spacing w:line="240" w:lineRule="exact"/>
              <w:rPr>
                <w:rFonts w:cs="宋体"/>
                <w:sz w:val="18"/>
                <w:szCs w:val="18"/>
              </w:rPr>
            </w:pPr>
            <w:r w:rsidRPr="0063248C">
              <w:rPr>
                <w:rFonts w:cs="宋体"/>
                <w:sz w:val="18"/>
                <w:szCs w:val="18"/>
              </w:rPr>
              <w:t>安丘龙大养殖有限公司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7ABBB486" w14:textId="77777777" w:rsidR="007B3DB2" w:rsidRPr="0063248C" w:rsidRDefault="00000000">
            <w:pPr>
              <w:spacing w:line="240" w:lineRule="exact"/>
              <w:jc w:val="right"/>
              <w:rPr>
                <w:rFonts w:cs="宋体"/>
                <w:sz w:val="18"/>
                <w:szCs w:val="18"/>
              </w:rPr>
            </w:pPr>
            <w:r w:rsidRPr="0063248C">
              <w:rPr>
                <w:rFonts w:cs="宋体"/>
                <w:sz w:val="18"/>
                <w:szCs w:val="18"/>
              </w:rPr>
              <w:t>150,000,000.00</w:t>
            </w:r>
          </w:p>
        </w:tc>
        <w:tc>
          <w:tcPr>
            <w:tcW w:w="1205" w:type="dxa"/>
            <w:tcBorders>
              <w:top w:val="single" w:sz="2" w:space="0" w:color="auto"/>
              <w:left w:val="single" w:sz="2" w:space="0" w:color="auto"/>
              <w:bottom w:val="single" w:sz="2" w:space="0" w:color="auto"/>
              <w:right w:val="single" w:sz="2" w:space="0" w:color="auto"/>
            </w:tcBorders>
            <w:vAlign w:val="center"/>
          </w:tcPr>
          <w:p w14:paraId="0E097E94" w14:textId="77777777" w:rsidR="007B3DB2" w:rsidRPr="0063248C" w:rsidRDefault="00000000">
            <w:pPr>
              <w:spacing w:line="240" w:lineRule="exact"/>
              <w:rPr>
                <w:rFonts w:cs="宋体"/>
                <w:sz w:val="18"/>
                <w:szCs w:val="18"/>
              </w:rPr>
            </w:pPr>
            <w:r w:rsidRPr="0063248C">
              <w:rPr>
                <w:rFonts w:cs="宋体"/>
                <w:sz w:val="18"/>
                <w:szCs w:val="18"/>
              </w:rPr>
              <w:t>山东省安丘市</w:t>
            </w:r>
          </w:p>
        </w:tc>
        <w:tc>
          <w:tcPr>
            <w:tcW w:w="1205" w:type="dxa"/>
            <w:tcBorders>
              <w:top w:val="single" w:sz="2" w:space="0" w:color="auto"/>
              <w:left w:val="single" w:sz="2" w:space="0" w:color="auto"/>
              <w:bottom w:val="single" w:sz="2" w:space="0" w:color="auto"/>
              <w:right w:val="single" w:sz="2" w:space="0" w:color="auto"/>
            </w:tcBorders>
            <w:vAlign w:val="center"/>
          </w:tcPr>
          <w:p w14:paraId="1D49BE06" w14:textId="77777777" w:rsidR="007B3DB2" w:rsidRPr="0063248C" w:rsidRDefault="00000000">
            <w:pPr>
              <w:spacing w:line="240" w:lineRule="exact"/>
              <w:rPr>
                <w:rFonts w:cs="宋体"/>
                <w:sz w:val="18"/>
                <w:szCs w:val="18"/>
              </w:rPr>
            </w:pPr>
            <w:r w:rsidRPr="0063248C">
              <w:rPr>
                <w:rFonts w:cs="宋体"/>
                <w:sz w:val="18"/>
                <w:szCs w:val="18"/>
              </w:rPr>
              <w:t>山东省潍坊市安丘市石</w:t>
            </w:r>
            <w:proofErr w:type="gramStart"/>
            <w:r w:rsidRPr="0063248C">
              <w:rPr>
                <w:rFonts w:cs="宋体"/>
                <w:sz w:val="18"/>
                <w:szCs w:val="18"/>
              </w:rPr>
              <w:t>埠子镇晏</w:t>
            </w:r>
            <w:proofErr w:type="gramEnd"/>
            <w:r w:rsidRPr="0063248C">
              <w:rPr>
                <w:rFonts w:cs="宋体"/>
                <w:sz w:val="18"/>
                <w:szCs w:val="18"/>
              </w:rPr>
              <w:t>峪村北</w:t>
            </w:r>
          </w:p>
        </w:tc>
        <w:tc>
          <w:tcPr>
            <w:tcW w:w="1205" w:type="dxa"/>
            <w:tcBorders>
              <w:top w:val="single" w:sz="2" w:space="0" w:color="auto"/>
              <w:left w:val="single" w:sz="2" w:space="0" w:color="auto"/>
              <w:bottom w:val="single" w:sz="2" w:space="0" w:color="auto"/>
              <w:right w:val="single" w:sz="2" w:space="0" w:color="auto"/>
            </w:tcBorders>
            <w:vAlign w:val="center"/>
          </w:tcPr>
          <w:p w14:paraId="310B9FE2" w14:textId="77777777" w:rsidR="007B3DB2" w:rsidRPr="0063248C" w:rsidRDefault="00000000">
            <w:pPr>
              <w:spacing w:line="240" w:lineRule="exact"/>
              <w:rPr>
                <w:rFonts w:cs="宋体"/>
                <w:sz w:val="18"/>
                <w:szCs w:val="18"/>
              </w:rPr>
            </w:pPr>
            <w:r w:rsidRPr="0063248C">
              <w:rPr>
                <w:rFonts w:cs="宋体"/>
                <w:sz w:val="18"/>
                <w:szCs w:val="18"/>
              </w:rPr>
              <w:t>畜禽</w:t>
            </w:r>
            <w:r w:rsidRPr="0063248C">
              <w:rPr>
                <w:rFonts w:cs="宋体"/>
                <w:sz w:val="18"/>
                <w:szCs w:val="18"/>
              </w:rPr>
              <w:t>\</w:t>
            </w:r>
            <w:r w:rsidRPr="0063248C">
              <w:rPr>
                <w:rFonts w:cs="宋体"/>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26016151"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DFF2D74"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17F8A7D"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1FAB10BE"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53C0EC41" w14:textId="77777777" w:rsidR="007B3DB2" w:rsidRPr="0063248C" w:rsidRDefault="00000000">
            <w:pPr>
              <w:spacing w:line="240" w:lineRule="exact"/>
              <w:rPr>
                <w:rFonts w:cs="宋体"/>
                <w:sz w:val="18"/>
                <w:szCs w:val="18"/>
              </w:rPr>
            </w:pPr>
            <w:r w:rsidRPr="0063248C">
              <w:rPr>
                <w:rFonts w:cs="宋体"/>
                <w:sz w:val="18"/>
                <w:szCs w:val="18"/>
              </w:rPr>
              <w:t>莱阳龙大养殖有限公司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2B346031" w14:textId="77777777" w:rsidR="007B3DB2" w:rsidRPr="0063248C" w:rsidRDefault="00000000">
            <w:pPr>
              <w:spacing w:line="240" w:lineRule="exact"/>
              <w:jc w:val="right"/>
              <w:rPr>
                <w:rFonts w:cs="宋体"/>
                <w:sz w:val="18"/>
                <w:szCs w:val="18"/>
              </w:rPr>
            </w:pPr>
            <w:r w:rsidRPr="0063248C">
              <w:rPr>
                <w:rFonts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14:paraId="135B04D5" w14:textId="77777777" w:rsidR="007B3DB2" w:rsidRPr="0063248C" w:rsidRDefault="00000000">
            <w:pPr>
              <w:spacing w:line="240" w:lineRule="exact"/>
              <w:rPr>
                <w:rFonts w:cs="宋体"/>
                <w:sz w:val="18"/>
                <w:szCs w:val="18"/>
              </w:rPr>
            </w:pPr>
            <w:r w:rsidRPr="0063248C">
              <w:rPr>
                <w:rFonts w:cs="宋体"/>
                <w:sz w:val="18"/>
                <w:szCs w:val="18"/>
              </w:rPr>
              <w:t>山东省莱阳市</w:t>
            </w:r>
          </w:p>
        </w:tc>
        <w:tc>
          <w:tcPr>
            <w:tcW w:w="1205" w:type="dxa"/>
            <w:tcBorders>
              <w:top w:val="single" w:sz="2" w:space="0" w:color="auto"/>
              <w:left w:val="single" w:sz="2" w:space="0" w:color="auto"/>
              <w:bottom w:val="single" w:sz="2" w:space="0" w:color="auto"/>
              <w:right w:val="single" w:sz="2" w:space="0" w:color="auto"/>
            </w:tcBorders>
            <w:vAlign w:val="center"/>
          </w:tcPr>
          <w:p w14:paraId="25D5085E" w14:textId="77777777" w:rsidR="007B3DB2" w:rsidRPr="0063248C" w:rsidRDefault="00000000">
            <w:pPr>
              <w:spacing w:line="240" w:lineRule="exact"/>
              <w:rPr>
                <w:rFonts w:cs="宋体"/>
                <w:sz w:val="18"/>
                <w:szCs w:val="18"/>
              </w:rPr>
            </w:pPr>
            <w:r w:rsidRPr="0063248C">
              <w:rPr>
                <w:rFonts w:cs="宋体"/>
                <w:sz w:val="18"/>
                <w:szCs w:val="18"/>
              </w:rPr>
              <w:t>山东省烟台市莱阳市大</w:t>
            </w:r>
            <w:proofErr w:type="gramStart"/>
            <w:r w:rsidRPr="0063248C">
              <w:rPr>
                <w:rFonts w:cs="宋体"/>
                <w:sz w:val="18"/>
                <w:szCs w:val="18"/>
              </w:rPr>
              <w:t>夼</w:t>
            </w:r>
            <w:proofErr w:type="gramEnd"/>
            <w:r w:rsidRPr="0063248C">
              <w:rPr>
                <w:rFonts w:cs="宋体"/>
                <w:sz w:val="18"/>
                <w:szCs w:val="18"/>
              </w:rPr>
              <w:t>镇北苟格庄村</w:t>
            </w:r>
          </w:p>
        </w:tc>
        <w:tc>
          <w:tcPr>
            <w:tcW w:w="1205" w:type="dxa"/>
            <w:tcBorders>
              <w:top w:val="single" w:sz="2" w:space="0" w:color="auto"/>
              <w:left w:val="single" w:sz="2" w:space="0" w:color="auto"/>
              <w:bottom w:val="single" w:sz="2" w:space="0" w:color="auto"/>
              <w:right w:val="single" w:sz="2" w:space="0" w:color="auto"/>
            </w:tcBorders>
            <w:vAlign w:val="center"/>
          </w:tcPr>
          <w:p w14:paraId="78AEBF55" w14:textId="77777777" w:rsidR="007B3DB2" w:rsidRPr="0063248C" w:rsidRDefault="00000000">
            <w:pPr>
              <w:spacing w:line="240" w:lineRule="exact"/>
              <w:rPr>
                <w:rFonts w:cs="宋体"/>
                <w:sz w:val="18"/>
                <w:szCs w:val="18"/>
              </w:rPr>
            </w:pPr>
            <w:r w:rsidRPr="0063248C">
              <w:rPr>
                <w:rFonts w:cs="宋体"/>
                <w:sz w:val="18"/>
                <w:szCs w:val="18"/>
              </w:rPr>
              <w:t>畜禽</w:t>
            </w:r>
            <w:r w:rsidRPr="0063248C">
              <w:rPr>
                <w:rFonts w:cs="宋体"/>
                <w:sz w:val="18"/>
                <w:szCs w:val="18"/>
              </w:rPr>
              <w:t>\</w:t>
            </w:r>
            <w:r w:rsidRPr="0063248C">
              <w:rPr>
                <w:rFonts w:cs="宋体"/>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62EF2121"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AD6D592"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ECBE8B3"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6069458C"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00AE0A4A" w14:textId="77777777" w:rsidR="007B3DB2" w:rsidRPr="0063248C" w:rsidRDefault="00000000">
            <w:pPr>
              <w:spacing w:line="240" w:lineRule="exact"/>
              <w:rPr>
                <w:rFonts w:cs="宋体"/>
                <w:sz w:val="18"/>
                <w:szCs w:val="18"/>
              </w:rPr>
            </w:pPr>
            <w:r w:rsidRPr="0063248C">
              <w:rPr>
                <w:rFonts w:cs="宋体"/>
                <w:sz w:val="18"/>
                <w:szCs w:val="18"/>
              </w:rPr>
              <w:t>莱州龙大养殖有限公司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2FCD7461" w14:textId="77777777" w:rsidR="007B3DB2" w:rsidRPr="0063248C" w:rsidRDefault="00000000">
            <w:pPr>
              <w:spacing w:line="240" w:lineRule="exact"/>
              <w:jc w:val="right"/>
              <w:rPr>
                <w:rFonts w:cs="宋体"/>
                <w:sz w:val="18"/>
                <w:szCs w:val="18"/>
              </w:rPr>
            </w:pPr>
            <w:r w:rsidRPr="0063248C">
              <w:rPr>
                <w:rFonts w:cs="宋体"/>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14:paraId="77F66941" w14:textId="77777777" w:rsidR="007B3DB2" w:rsidRPr="0063248C" w:rsidRDefault="00000000">
            <w:pPr>
              <w:spacing w:line="240" w:lineRule="exact"/>
              <w:rPr>
                <w:rFonts w:cs="宋体"/>
                <w:sz w:val="18"/>
                <w:szCs w:val="18"/>
              </w:rPr>
            </w:pPr>
            <w:r w:rsidRPr="0063248C">
              <w:rPr>
                <w:rFonts w:cs="宋体"/>
                <w:sz w:val="18"/>
                <w:szCs w:val="18"/>
              </w:rPr>
              <w:t>山东省莱州市</w:t>
            </w:r>
          </w:p>
        </w:tc>
        <w:tc>
          <w:tcPr>
            <w:tcW w:w="1205" w:type="dxa"/>
            <w:tcBorders>
              <w:top w:val="single" w:sz="2" w:space="0" w:color="auto"/>
              <w:left w:val="single" w:sz="2" w:space="0" w:color="auto"/>
              <w:bottom w:val="single" w:sz="2" w:space="0" w:color="auto"/>
              <w:right w:val="single" w:sz="2" w:space="0" w:color="auto"/>
            </w:tcBorders>
            <w:vAlign w:val="center"/>
          </w:tcPr>
          <w:p w14:paraId="4330DAE9" w14:textId="77777777" w:rsidR="007B3DB2" w:rsidRPr="0063248C" w:rsidRDefault="00000000">
            <w:pPr>
              <w:spacing w:line="240" w:lineRule="exact"/>
              <w:rPr>
                <w:rFonts w:cs="宋体"/>
                <w:sz w:val="18"/>
                <w:szCs w:val="18"/>
              </w:rPr>
            </w:pPr>
            <w:r w:rsidRPr="0063248C">
              <w:rPr>
                <w:rFonts w:cs="宋体"/>
                <w:sz w:val="18"/>
                <w:szCs w:val="18"/>
              </w:rPr>
              <w:t>山东省烟台市莱州市郭家店镇马台石村</w:t>
            </w:r>
          </w:p>
        </w:tc>
        <w:tc>
          <w:tcPr>
            <w:tcW w:w="1205" w:type="dxa"/>
            <w:tcBorders>
              <w:top w:val="single" w:sz="2" w:space="0" w:color="auto"/>
              <w:left w:val="single" w:sz="2" w:space="0" w:color="auto"/>
              <w:bottom w:val="single" w:sz="2" w:space="0" w:color="auto"/>
              <w:right w:val="single" w:sz="2" w:space="0" w:color="auto"/>
            </w:tcBorders>
            <w:vAlign w:val="center"/>
          </w:tcPr>
          <w:p w14:paraId="444AFB47" w14:textId="77777777" w:rsidR="007B3DB2" w:rsidRPr="0063248C" w:rsidRDefault="00000000">
            <w:pPr>
              <w:spacing w:line="240" w:lineRule="exact"/>
              <w:rPr>
                <w:rFonts w:cs="宋体"/>
                <w:sz w:val="18"/>
                <w:szCs w:val="18"/>
              </w:rPr>
            </w:pPr>
            <w:r w:rsidRPr="0063248C">
              <w:rPr>
                <w:rFonts w:cs="宋体"/>
                <w:sz w:val="18"/>
                <w:szCs w:val="18"/>
              </w:rPr>
              <w:t>畜禽</w:t>
            </w:r>
            <w:r w:rsidRPr="0063248C">
              <w:rPr>
                <w:rFonts w:cs="宋体"/>
                <w:sz w:val="18"/>
                <w:szCs w:val="18"/>
              </w:rPr>
              <w:t>\</w:t>
            </w:r>
            <w:r w:rsidRPr="0063248C">
              <w:rPr>
                <w:rFonts w:cs="宋体"/>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0B96BC72"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0C8193D"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77CF901"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574C9847"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419DEFD0" w14:textId="77777777" w:rsidR="007B3DB2" w:rsidRPr="0063248C" w:rsidRDefault="00000000">
            <w:pPr>
              <w:spacing w:line="240" w:lineRule="exact"/>
              <w:rPr>
                <w:rFonts w:cs="宋体"/>
                <w:sz w:val="18"/>
                <w:szCs w:val="18"/>
              </w:rPr>
            </w:pPr>
            <w:r w:rsidRPr="0063248C">
              <w:rPr>
                <w:rFonts w:cs="宋体"/>
                <w:sz w:val="18"/>
                <w:szCs w:val="18"/>
              </w:rPr>
              <w:t>乳山龙大养殖有限公司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6305E43D" w14:textId="77777777" w:rsidR="007B3DB2" w:rsidRPr="0063248C" w:rsidRDefault="00000000">
            <w:pPr>
              <w:spacing w:line="240" w:lineRule="exact"/>
              <w:jc w:val="right"/>
              <w:rPr>
                <w:rFonts w:cs="宋体"/>
                <w:sz w:val="18"/>
                <w:szCs w:val="18"/>
              </w:rPr>
            </w:pPr>
            <w:r w:rsidRPr="0063248C">
              <w:rPr>
                <w:rFonts w:cs="宋体"/>
                <w:sz w:val="18"/>
                <w:szCs w:val="18"/>
              </w:rPr>
              <w:t>200,000,000.00</w:t>
            </w:r>
          </w:p>
        </w:tc>
        <w:tc>
          <w:tcPr>
            <w:tcW w:w="1205" w:type="dxa"/>
            <w:tcBorders>
              <w:top w:val="single" w:sz="2" w:space="0" w:color="auto"/>
              <w:left w:val="single" w:sz="2" w:space="0" w:color="auto"/>
              <w:bottom w:val="single" w:sz="2" w:space="0" w:color="auto"/>
              <w:right w:val="single" w:sz="2" w:space="0" w:color="auto"/>
            </w:tcBorders>
            <w:vAlign w:val="center"/>
          </w:tcPr>
          <w:p w14:paraId="7411E4A7" w14:textId="77777777" w:rsidR="007B3DB2" w:rsidRPr="0063248C" w:rsidRDefault="00000000">
            <w:pPr>
              <w:spacing w:line="240" w:lineRule="exact"/>
              <w:rPr>
                <w:rFonts w:cs="宋体"/>
                <w:sz w:val="18"/>
                <w:szCs w:val="18"/>
              </w:rPr>
            </w:pPr>
            <w:r w:rsidRPr="0063248C">
              <w:rPr>
                <w:rFonts w:cs="宋体"/>
                <w:sz w:val="18"/>
                <w:szCs w:val="18"/>
              </w:rPr>
              <w:t>山东省乳山市</w:t>
            </w:r>
          </w:p>
        </w:tc>
        <w:tc>
          <w:tcPr>
            <w:tcW w:w="1205" w:type="dxa"/>
            <w:tcBorders>
              <w:top w:val="single" w:sz="2" w:space="0" w:color="auto"/>
              <w:left w:val="single" w:sz="2" w:space="0" w:color="auto"/>
              <w:bottom w:val="single" w:sz="2" w:space="0" w:color="auto"/>
              <w:right w:val="single" w:sz="2" w:space="0" w:color="auto"/>
            </w:tcBorders>
            <w:vAlign w:val="center"/>
          </w:tcPr>
          <w:p w14:paraId="6D7DDB78" w14:textId="77777777" w:rsidR="007B3DB2" w:rsidRPr="0063248C" w:rsidRDefault="00000000">
            <w:pPr>
              <w:spacing w:line="240" w:lineRule="exact"/>
              <w:rPr>
                <w:rFonts w:cs="宋体"/>
                <w:sz w:val="18"/>
                <w:szCs w:val="18"/>
              </w:rPr>
            </w:pPr>
            <w:r w:rsidRPr="0063248C">
              <w:rPr>
                <w:rFonts w:cs="宋体"/>
                <w:sz w:val="18"/>
                <w:szCs w:val="18"/>
              </w:rPr>
              <w:t>山东省威海市乳山市下初镇下初村</w:t>
            </w:r>
            <w:proofErr w:type="gramStart"/>
            <w:r w:rsidRPr="0063248C">
              <w:rPr>
                <w:rFonts w:cs="宋体"/>
                <w:sz w:val="18"/>
                <w:szCs w:val="18"/>
              </w:rPr>
              <w:t>南国道</w:t>
            </w:r>
            <w:proofErr w:type="gramEnd"/>
            <w:r w:rsidRPr="0063248C">
              <w:rPr>
                <w:rFonts w:cs="宋体"/>
                <w:sz w:val="18"/>
                <w:szCs w:val="18"/>
              </w:rPr>
              <w:t>北</w:t>
            </w:r>
          </w:p>
        </w:tc>
        <w:tc>
          <w:tcPr>
            <w:tcW w:w="1205" w:type="dxa"/>
            <w:tcBorders>
              <w:top w:val="single" w:sz="2" w:space="0" w:color="auto"/>
              <w:left w:val="single" w:sz="2" w:space="0" w:color="auto"/>
              <w:bottom w:val="single" w:sz="2" w:space="0" w:color="auto"/>
              <w:right w:val="single" w:sz="2" w:space="0" w:color="auto"/>
            </w:tcBorders>
            <w:vAlign w:val="center"/>
          </w:tcPr>
          <w:p w14:paraId="10596DBA" w14:textId="77777777" w:rsidR="007B3DB2" w:rsidRPr="0063248C" w:rsidRDefault="00000000">
            <w:pPr>
              <w:spacing w:line="240" w:lineRule="exact"/>
              <w:rPr>
                <w:rFonts w:cs="宋体"/>
                <w:sz w:val="18"/>
                <w:szCs w:val="18"/>
              </w:rPr>
            </w:pPr>
            <w:r w:rsidRPr="0063248C">
              <w:rPr>
                <w:rFonts w:cs="宋体"/>
                <w:sz w:val="18"/>
                <w:szCs w:val="18"/>
              </w:rPr>
              <w:t>畜禽</w:t>
            </w:r>
            <w:r w:rsidRPr="0063248C">
              <w:rPr>
                <w:rFonts w:cs="宋体"/>
                <w:sz w:val="18"/>
                <w:szCs w:val="18"/>
              </w:rPr>
              <w:t>\</w:t>
            </w:r>
            <w:r w:rsidRPr="0063248C">
              <w:rPr>
                <w:rFonts w:cs="宋体"/>
                <w:sz w:val="18"/>
                <w:szCs w:val="18"/>
              </w:rPr>
              <w:t>养殖</w:t>
            </w:r>
          </w:p>
        </w:tc>
        <w:tc>
          <w:tcPr>
            <w:tcW w:w="1205" w:type="dxa"/>
            <w:tcBorders>
              <w:top w:val="single" w:sz="2" w:space="0" w:color="auto"/>
              <w:left w:val="single" w:sz="2" w:space="0" w:color="auto"/>
              <w:bottom w:val="single" w:sz="2" w:space="0" w:color="auto"/>
              <w:right w:val="single" w:sz="2" w:space="0" w:color="auto"/>
            </w:tcBorders>
            <w:vAlign w:val="center"/>
          </w:tcPr>
          <w:p w14:paraId="51D33809"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F198557"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11D2CCE"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01640C6D"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307AB389" w14:textId="77777777" w:rsidR="007B3DB2" w:rsidRPr="0063248C" w:rsidRDefault="00000000">
            <w:pPr>
              <w:spacing w:line="240" w:lineRule="exact"/>
              <w:rPr>
                <w:rFonts w:cs="宋体"/>
                <w:sz w:val="18"/>
                <w:szCs w:val="18"/>
              </w:rPr>
            </w:pPr>
            <w:r w:rsidRPr="0063248C">
              <w:rPr>
                <w:rFonts w:cs="宋体"/>
                <w:sz w:val="18"/>
                <w:szCs w:val="18"/>
              </w:rPr>
              <w:t>青岛龙大管理咨询服务有限公司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6E46689B"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1E27FA59" w14:textId="77777777" w:rsidR="007B3DB2" w:rsidRPr="0063248C" w:rsidRDefault="00000000">
            <w:pPr>
              <w:spacing w:line="240" w:lineRule="exact"/>
              <w:rPr>
                <w:rFonts w:cs="宋体"/>
                <w:sz w:val="18"/>
                <w:szCs w:val="18"/>
              </w:rPr>
            </w:pPr>
            <w:r w:rsidRPr="0063248C">
              <w:rPr>
                <w:rFonts w:cs="宋体"/>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7EBBDB81" w14:textId="77777777" w:rsidR="007B3DB2" w:rsidRPr="0063248C" w:rsidRDefault="00000000">
            <w:pPr>
              <w:spacing w:line="240" w:lineRule="exact"/>
              <w:rPr>
                <w:rFonts w:cs="宋体"/>
                <w:sz w:val="18"/>
                <w:szCs w:val="18"/>
              </w:rPr>
            </w:pPr>
            <w:r w:rsidRPr="0063248C">
              <w:rPr>
                <w:rFonts w:cs="宋体"/>
                <w:sz w:val="18"/>
                <w:szCs w:val="18"/>
              </w:rPr>
              <w:t>山东省青岛市崂山区</w:t>
            </w:r>
            <w:proofErr w:type="gramStart"/>
            <w:r w:rsidRPr="0063248C">
              <w:rPr>
                <w:rFonts w:cs="宋体"/>
                <w:sz w:val="18"/>
                <w:szCs w:val="18"/>
              </w:rPr>
              <w:t>株洲路</w:t>
            </w:r>
            <w:proofErr w:type="gramEnd"/>
            <w:r w:rsidRPr="0063248C">
              <w:rPr>
                <w:rFonts w:cs="宋体"/>
                <w:sz w:val="18"/>
                <w:szCs w:val="18"/>
              </w:rPr>
              <w:t>20</w:t>
            </w:r>
            <w:r w:rsidRPr="0063248C">
              <w:rPr>
                <w:rFonts w:cs="宋体"/>
                <w:sz w:val="18"/>
                <w:szCs w:val="18"/>
              </w:rPr>
              <w:t>号海</w:t>
            </w:r>
            <w:proofErr w:type="gramStart"/>
            <w:r w:rsidRPr="0063248C">
              <w:rPr>
                <w:rFonts w:cs="宋体"/>
                <w:sz w:val="18"/>
                <w:szCs w:val="18"/>
              </w:rPr>
              <w:t>信创智谷</w:t>
            </w:r>
            <w:proofErr w:type="gramEnd"/>
            <w:r w:rsidRPr="0063248C">
              <w:rPr>
                <w:rFonts w:cs="宋体"/>
                <w:sz w:val="18"/>
                <w:szCs w:val="18"/>
              </w:rPr>
              <w:t>3</w:t>
            </w:r>
            <w:r w:rsidRPr="0063248C">
              <w:rPr>
                <w:rFonts w:cs="宋体"/>
                <w:sz w:val="18"/>
                <w:szCs w:val="18"/>
              </w:rPr>
              <w:t>号楼</w:t>
            </w:r>
            <w:r w:rsidRPr="0063248C">
              <w:rPr>
                <w:rFonts w:cs="宋体"/>
                <w:sz w:val="18"/>
                <w:szCs w:val="18"/>
              </w:rPr>
              <w:t>A</w:t>
            </w:r>
            <w:r w:rsidRPr="0063248C">
              <w:rPr>
                <w:rFonts w:cs="宋体"/>
                <w:sz w:val="18"/>
                <w:szCs w:val="18"/>
              </w:rPr>
              <w:t>座</w:t>
            </w:r>
            <w:r w:rsidRPr="0063248C">
              <w:rPr>
                <w:rFonts w:cs="宋体"/>
                <w:sz w:val="18"/>
                <w:szCs w:val="18"/>
              </w:rPr>
              <w:t>2502A</w:t>
            </w:r>
            <w:r w:rsidRPr="0063248C">
              <w:rPr>
                <w:rFonts w:cs="宋体"/>
                <w:sz w:val="18"/>
                <w:szCs w:val="18"/>
              </w:rPr>
              <w:t>室</w:t>
            </w:r>
          </w:p>
        </w:tc>
        <w:tc>
          <w:tcPr>
            <w:tcW w:w="1205" w:type="dxa"/>
            <w:tcBorders>
              <w:top w:val="single" w:sz="2" w:space="0" w:color="auto"/>
              <w:left w:val="single" w:sz="2" w:space="0" w:color="auto"/>
              <w:bottom w:val="single" w:sz="2" w:space="0" w:color="auto"/>
              <w:right w:val="single" w:sz="2" w:space="0" w:color="auto"/>
            </w:tcBorders>
            <w:vAlign w:val="center"/>
          </w:tcPr>
          <w:p w14:paraId="07E0E664" w14:textId="77777777" w:rsidR="007B3DB2" w:rsidRPr="0063248C" w:rsidRDefault="00000000">
            <w:pPr>
              <w:spacing w:line="240" w:lineRule="exact"/>
              <w:rPr>
                <w:rFonts w:cs="宋体"/>
                <w:sz w:val="18"/>
                <w:szCs w:val="18"/>
              </w:rPr>
            </w:pPr>
            <w:r w:rsidRPr="0063248C">
              <w:rPr>
                <w:rFonts w:cs="宋体"/>
                <w:sz w:val="18"/>
                <w:szCs w:val="18"/>
              </w:rPr>
              <w:t>管理咨询</w:t>
            </w:r>
          </w:p>
        </w:tc>
        <w:tc>
          <w:tcPr>
            <w:tcW w:w="1205" w:type="dxa"/>
            <w:tcBorders>
              <w:top w:val="single" w:sz="2" w:space="0" w:color="auto"/>
              <w:left w:val="single" w:sz="2" w:space="0" w:color="auto"/>
              <w:bottom w:val="single" w:sz="2" w:space="0" w:color="auto"/>
              <w:right w:val="single" w:sz="2" w:space="0" w:color="auto"/>
            </w:tcBorders>
            <w:vAlign w:val="center"/>
          </w:tcPr>
          <w:p w14:paraId="59F34DFD"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603BD92"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88C8200"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0EBC3161"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763D5D94" w14:textId="77777777" w:rsidR="007B3DB2" w:rsidRPr="0063248C" w:rsidRDefault="00000000">
            <w:pPr>
              <w:spacing w:line="240" w:lineRule="exact"/>
              <w:rPr>
                <w:rFonts w:cs="宋体"/>
                <w:sz w:val="18"/>
                <w:szCs w:val="18"/>
              </w:rPr>
            </w:pPr>
            <w:r w:rsidRPr="0063248C">
              <w:rPr>
                <w:rFonts w:cs="宋体"/>
                <w:sz w:val="18"/>
                <w:szCs w:val="18"/>
              </w:rPr>
              <w:t>江苏龙大沁侬食品有限公司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2B3BE882" w14:textId="77777777" w:rsidR="007B3DB2" w:rsidRPr="0063248C" w:rsidRDefault="00000000">
            <w:pPr>
              <w:spacing w:line="240" w:lineRule="exact"/>
              <w:jc w:val="right"/>
              <w:rPr>
                <w:rFonts w:cs="宋体"/>
                <w:sz w:val="18"/>
                <w:szCs w:val="18"/>
              </w:rPr>
            </w:pPr>
            <w:r w:rsidRPr="0063248C">
              <w:rPr>
                <w:rFonts w:cs="宋体"/>
                <w:sz w:val="18"/>
                <w:szCs w:val="18"/>
              </w:rPr>
              <w:t>200,000,000.00</w:t>
            </w:r>
          </w:p>
        </w:tc>
        <w:tc>
          <w:tcPr>
            <w:tcW w:w="1205" w:type="dxa"/>
            <w:tcBorders>
              <w:top w:val="single" w:sz="2" w:space="0" w:color="auto"/>
              <w:left w:val="single" w:sz="2" w:space="0" w:color="auto"/>
              <w:bottom w:val="single" w:sz="2" w:space="0" w:color="auto"/>
              <w:right w:val="single" w:sz="2" w:space="0" w:color="auto"/>
            </w:tcBorders>
            <w:vAlign w:val="center"/>
          </w:tcPr>
          <w:p w14:paraId="34539E44" w14:textId="77777777" w:rsidR="007B3DB2" w:rsidRPr="0063248C" w:rsidRDefault="00000000">
            <w:pPr>
              <w:spacing w:line="240" w:lineRule="exact"/>
              <w:rPr>
                <w:rFonts w:cs="宋体"/>
                <w:sz w:val="18"/>
                <w:szCs w:val="18"/>
              </w:rPr>
            </w:pPr>
            <w:r w:rsidRPr="0063248C">
              <w:rPr>
                <w:rFonts w:cs="宋体"/>
                <w:sz w:val="18"/>
                <w:szCs w:val="18"/>
              </w:rPr>
              <w:t>连云港市</w:t>
            </w:r>
          </w:p>
        </w:tc>
        <w:tc>
          <w:tcPr>
            <w:tcW w:w="1205" w:type="dxa"/>
            <w:tcBorders>
              <w:top w:val="single" w:sz="2" w:space="0" w:color="auto"/>
              <w:left w:val="single" w:sz="2" w:space="0" w:color="auto"/>
              <w:bottom w:val="single" w:sz="2" w:space="0" w:color="auto"/>
              <w:right w:val="single" w:sz="2" w:space="0" w:color="auto"/>
            </w:tcBorders>
            <w:vAlign w:val="center"/>
          </w:tcPr>
          <w:p w14:paraId="06EB64C8" w14:textId="77777777" w:rsidR="007B3DB2" w:rsidRPr="0063248C" w:rsidRDefault="00000000">
            <w:pPr>
              <w:spacing w:line="240" w:lineRule="exact"/>
              <w:rPr>
                <w:rFonts w:cs="宋体"/>
                <w:sz w:val="18"/>
                <w:szCs w:val="18"/>
              </w:rPr>
            </w:pPr>
            <w:r w:rsidRPr="0063248C">
              <w:rPr>
                <w:rFonts w:cs="宋体"/>
                <w:sz w:val="18"/>
                <w:szCs w:val="18"/>
              </w:rPr>
              <w:t>连云港市灌云县经济开发区水利南路</w:t>
            </w:r>
            <w:r w:rsidRPr="0063248C">
              <w:rPr>
                <w:rFonts w:cs="宋体"/>
                <w:sz w:val="18"/>
                <w:szCs w:val="18"/>
              </w:rPr>
              <w:t>11</w:t>
            </w:r>
            <w:r w:rsidRPr="0063248C">
              <w:rPr>
                <w:rFonts w:cs="宋体"/>
                <w:sz w:val="18"/>
                <w:szCs w:val="18"/>
              </w:rPr>
              <w:t>、</w:t>
            </w:r>
            <w:r w:rsidRPr="0063248C">
              <w:rPr>
                <w:rFonts w:cs="宋体"/>
                <w:sz w:val="18"/>
                <w:szCs w:val="18"/>
              </w:rPr>
              <w:t>12</w:t>
            </w:r>
            <w:r w:rsidRPr="0063248C">
              <w:rPr>
                <w:rFonts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0F860A7A" w14:textId="77777777" w:rsidR="007B3DB2" w:rsidRPr="0063248C" w:rsidRDefault="00000000">
            <w:pPr>
              <w:spacing w:line="240" w:lineRule="exact"/>
              <w:rPr>
                <w:rFonts w:cs="宋体"/>
                <w:sz w:val="18"/>
                <w:szCs w:val="18"/>
              </w:rPr>
            </w:pPr>
            <w:r w:rsidRPr="0063248C">
              <w:rPr>
                <w:rFonts w:cs="宋体"/>
                <w:sz w:val="18"/>
                <w:szCs w:val="18"/>
              </w:rPr>
              <w:t>生产、销售食品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244C982E"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2976D67B"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F0F083F"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42CEE041"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64BF1D91" w14:textId="77777777" w:rsidR="007B3DB2" w:rsidRPr="0063248C" w:rsidRDefault="00000000">
            <w:pPr>
              <w:spacing w:line="240" w:lineRule="exact"/>
              <w:rPr>
                <w:rFonts w:cs="宋体"/>
                <w:sz w:val="18"/>
                <w:szCs w:val="18"/>
              </w:rPr>
            </w:pPr>
            <w:proofErr w:type="gramStart"/>
            <w:r w:rsidRPr="0063248C">
              <w:rPr>
                <w:rFonts w:cs="宋体"/>
                <w:sz w:val="18"/>
                <w:szCs w:val="18"/>
              </w:rPr>
              <w:t>通辽金泉食品</w:t>
            </w:r>
            <w:proofErr w:type="gramEnd"/>
            <w:r w:rsidRPr="0063248C">
              <w:rPr>
                <w:rFonts w:cs="宋体"/>
                <w:sz w:val="18"/>
                <w:szCs w:val="18"/>
              </w:rPr>
              <w:t>有限责任公司</w:t>
            </w:r>
          </w:p>
        </w:tc>
        <w:tc>
          <w:tcPr>
            <w:tcW w:w="1326" w:type="dxa"/>
            <w:tcBorders>
              <w:top w:val="single" w:sz="2" w:space="0" w:color="auto"/>
              <w:left w:val="single" w:sz="2" w:space="0" w:color="auto"/>
              <w:bottom w:val="single" w:sz="2" w:space="0" w:color="auto"/>
              <w:right w:val="single" w:sz="2" w:space="0" w:color="auto"/>
            </w:tcBorders>
            <w:vAlign w:val="center"/>
          </w:tcPr>
          <w:p w14:paraId="12DE40E2" w14:textId="77777777" w:rsidR="007B3DB2" w:rsidRPr="0063248C" w:rsidRDefault="00000000">
            <w:pPr>
              <w:spacing w:line="240" w:lineRule="exact"/>
              <w:jc w:val="right"/>
              <w:rPr>
                <w:rFonts w:cs="宋体"/>
                <w:sz w:val="18"/>
                <w:szCs w:val="18"/>
              </w:rPr>
            </w:pPr>
            <w:r w:rsidRPr="0063248C">
              <w:rPr>
                <w:rFonts w:cs="宋体"/>
                <w:sz w:val="18"/>
                <w:szCs w:val="18"/>
              </w:rPr>
              <w:t>34,200,000.00</w:t>
            </w:r>
          </w:p>
        </w:tc>
        <w:tc>
          <w:tcPr>
            <w:tcW w:w="1205" w:type="dxa"/>
            <w:tcBorders>
              <w:top w:val="single" w:sz="2" w:space="0" w:color="auto"/>
              <w:left w:val="single" w:sz="2" w:space="0" w:color="auto"/>
              <w:bottom w:val="single" w:sz="2" w:space="0" w:color="auto"/>
              <w:right w:val="single" w:sz="2" w:space="0" w:color="auto"/>
            </w:tcBorders>
            <w:vAlign w:val="center"/>
          </w:tcPr>
          <w:p w14:paraId="736BE595" w14:textId="77777777" w:rsidR="007B3DB2" w:rsidRPr="0063248C" w:rsidRDefault="00000000">
            <w:pPr>
              <w:spacing w:line="240" w:lineRule="exact"/>
              <w:rPr>
                <w:rFonts w:cs="宋体"/>
                <w:sz w:val="18"/>
                <w:szCs w:val="18"/>
              </w:rPr>
            </w:pPr>
            <w:r w:rsidRPr="0063248C">
              <w:rPr>
                <w:rFonts w:cs="宋体"/>
                <w:sz w:val="18"/>
                <w:szCs w:val="18"/>
              </w:rPr>
              <w:t>内蒙古</w:t>
            </w:r>
          </w:p>
        </w:tc>
        <w:tc>
          <w:tcPr>
            <w:tcW w:w="1205" w:type="dxa"/>
            <w:tcBorders>
              <w:top w:val="single" w:sz="2" w:space="0" w:color="auto"/>
              <w:left w:val="single" w:sz="2" w:space="0" w:color="auto"/>
              <w:bottom w:val="single" w:sz="2" w:space="0" w:color="auto"/>
              <w:right w:val="single" w:sz="2" w:space="0" w:color="auto"/>
            </w:tcBorders>
            <w:vAlign w:val="center"/>
          </w:tcPr>
          <w:p w14:paraId="0D5369E9" w14:textId="77777777" w:rsidR="007B3DB2" w:rsidRPr="0063248C" w:rsidRDefault="00000000">
            <w:pPr>
              <w:spacing w:line="240" w:lineRule="exact"/>
              <w:rPr>
                <w:rFonts w:cs="宋体"/>
                <w:sz w:val="18"/>
                <w:szCs w:val="18"/>
              </w:rPr>
            </w:pPr>
            <w:r w:rsidRPr="0063248C">
              <w:rPr>
                <w:rFonts w:cs="宋体"/>
                <w:sz w:val="18"/>
                <w:szCs w:val="18"/>
              </w:rPr>
              <w:t>内蒙古自治区通辽市奈</w:t>
            </w:r>
            <w:proofErr w:type="gramStart"/>
            <w:r w:rsidRPr="0063248C">
              <w:rPr>
                <w:rFonts w:cs="宋体"/>
                <w:sz w:val="18"/>
                <w:szCs w:val="18"/>
              </w:rPr>
              <w:t>曼</w:t>
            </w:r>
            <w:proofErr w:type="gramEnd"/>
            <w:r w:rsidRPr="0063248C">
              <w:rPr>
                <w:rFonts w:cs="宋体"/>
                <w:sz w:val="18"/>
                <w:szCs w:val="18"/>
              </w:rPr>
              <w:t>旗大镇双合村</w:t>
            </w:r>
          </w:p>
        </w:tc>
        <w:tc>
          <w:tcPr>
            <w:tcW w:w="1205" w:type="dxa"/>
            <w:tcBorders>
              <w:top w:val="single" w:sz="2" w:space="0" w:color="auto"/>
              <w:left w:val="single" w:sz="2" w:space="0" w:color="auto"/>
              <w:bottom w:val="single" w:sz="2" w:space="0" w:color="auto"/>
              <w:right w:val="single" w:sz="2" w:space="0" w:color="auto"/>
            </w:tcBorders>
            <w:vAlign w:val="center"/>
          </w:tcPr>
          <w:p w14:paraId="5412CEF5" w14:textId="77777777" w:rsidR="007B3DB2" w:rsidRPr="0063248C" w:rsidRDefault="00000000">
            <w:pPr>
              <w:spacing w:line="240" w:lineRule="exact"/>
              <w:rPr>
                <w:rFonts w:cs="宋体"/>
                <w:sz w:val="18"/>
                <w:szCs w:val="18"/>
              </w:rPr>
            </w:pPr>
            <w:r w:rsidRPr="0063248C">
              <w:rPr>
                <w:rFonts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709A797F"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133FDF0"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2A1C351" w14:textId="77777777" w:rsidR="007B3DB2" w:rsidRPr="0063248C" w:rsidRDefault="00000000">
            <w:pPr>
              <w:spacing w:line="240" w:lineRule="exact"/>
              <w:rPr>
                <w:rFonts w:cs="宋体"/>
                <w:sz w:val="18"/>
                <w:szCs w:val="18"/>
              </w:rPr>
            </w:pPr>
            <w:r w:rsidRPr="0063248C">
              <w:rPr>
                <w:rFonts w:cs="宋体"/>
                <w:sz w:val="18"/>
                <w:szCs w:val="18"/>
              </w:rPr>
              <w:t>非同</w:t>
            </w:r>
            <w:proofErr w:type="gramStart"/>
            <w:r w:rsidRPr="0063248C">
              <w:rPr>
                <w:rFonts w:cs="宋体"/>
                <w:sz w:val="18"/>
                <w:szCs w:val="18"/>
              </w:rPr>
              <w:t>一控制</w:t>
            </w:r>
            <w:proofErr w:type="gramEnd"/>
            <w:r w:rsidRPr="0063248C">
              <w:rPr>
                <w:rFonts w:cs="宋体"/>
                <w:sz w:val="18"/>
                <w:szCs w:val="18"/>
              </w:rPr>
              <w:t>下企业合并</w:t>
            </w:r>
          </w:p>
        </w:tc>
      </w:tr>
      <w:tr w:rsidR="007B3DB2" w:rsidRPr="0063248C" w14:paraId="6F5CBF64"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157DF1C3" w14:textId="77777777" w:rsidR="007B3DB2" w:rsidRPr="0063248C" w:rsidRDefault="00000000">
            <w:pPr>
              <w:spacing w:line="240" w:lineRule="exact"/>
              <w:rPr>
                <w:rFonts w:cs="宋体"/>
                <w:sz w:val="18"/>
                <w:szCs w:val="18"/>
              </w:rPr>
            </w:pPr>
            <w:r w:rsidRPr="0063248C">
              <w:rPr>
                <w:rFonts w:cs="宋体"/>
                <w:sz w:val="18"/>
                <w:szCs w:val="18"/>
              </w:rPr>
              <w:t>湖北龙大肉食品有限公司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1BB078A5"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1205" w:type="dxa"/>
            <w:tcBorders>
              <w:top w:val="single" w:sz="2" w:space="0" w:color="auto"/>
              <w:left w:val="single" w:sz="2" w:space="0" w:color="auto"/>
              <w:bottom w:val="single" w:sz="2" w:space="0" w:color="auto"/>
              <w:right w:val="single" w:sz="2" w:space="0" w:color="auto"/>
            </w:tcBorders>
            <w:vAlign w:val="center"/>
          </w:tcPr>
          <w:p w14:paraId="5C110B43" w14:textId="77777777" w:rsidR="007B3DB2" w:rsidRPr="0063248C" w:rsidRDefault="00000000">
            <w:pPr>
              <w:spacing w:line="240" w:lineRule="exact"/>
              <w:rPr>
                <w:rFonts w:cs="宋体"/>
                <w:sz w:val="18"/>
                <w:szCs w:val="18"/>
              </w:rPr>
            </w:pPr>
            <w:r w:rsidRPr="0063248C">
              <w:rPr>
                <w:rFonts w:cs="宋体"/>
                <w:sz w:val="18"/>
                <w:szCs w:val="18"/>
              </w:rPr>
              <w:t>湖北省黄冈市</w:t>
            </w:r>
          </w:p>
        </w:tc>
        <w:tc>
          <w:tcPr>
            <w:tcW w:w="1205" w:type="dxa"/>
            <w:tcBorders>
              <w:top w:val="single" w:sz="2" w:space="0" w:color="auto"/>
              <w:left w:val="single" w:sz="2" w:space="0" w:color="auto"/>
              <w:bottom w:val="single" w:sz="2" w:space="0" w:color="auto"/>
              <w:right w:val="single" w:sz="2" w:space="0" w:color="auto"/>
            </w:tcBorders>
            <w:vAlign w:val="center"/>
          </w:tcPr>
          <w:p w14:paraId="14E9E175" w14:textId="77777777" w:rsidR="007B3DB2" w:rsidRPr="0063248C" w:rsidRDefault="00000000">
            <w:pPr>
              <w:spacing w:line="240" w:lineRule="exact"/>
              <w:rPr>
                <w:rFonts w:cs="宋体"/>
                <w:sz w:val="18"/>
                <w:szCs w:val="18"/>
              </w:rPr>
            </w:pPr>
            <w:r w:rsidRPr="0063248C">
              <w:rPr>
                <w:rFonts w:cs="宋体"/>
                <w:sz w:val="18"/>
                <w:szCs w:val="18"/>
              </w:rPr>
              <w:t>湖北省黄冈市武穴市石佛寺镇</w:t>
            </w:r>
            <w:proofErr w:type="gramStart"/>
            <w:r w:rsidRPr="0063248C">
              <w:rPr>
                <w:rFonts w:cs="宋体"/>
                <w:sz w:val="18"/>
                <w:szCs w:val="18"/>
              </w:rPr>
              <w:t>农产品加工园武湖</w:t>
            </w:r>
            <w:proofErr w:type="gramEnd"/>
            <w:r w:rsidRPr="0063248C">
              <w:rPr>
                <w:rFonts w:cs="宋体"/>
                <w:sz w:val="18"/>
                <w:szCs w:val="18"/>
              </w:rPr>
              <w:t>大道</w:t>
            </w:r>
            <w:proofErr w:type="gramStart"/>
            <w:r w:rsidRPr="0063248C">
              <w:rPr>
                <w:rFonts w:cs="宋体"/>
                <w:sz w:val="18"/>
                <w:szCs w:val="18"/>
              </w:rPr>
              <w:t>69</w:t>
            </w:r>
            <w:r w:rsidRPr="0063248C">
              <w:rPr>
                <w:rFonts w:cs="宋体"/>
                <w:sz w:val="18"/>
                <w:szCs w:val="18"/>
              </w:rPr>
              <w:t>号襄大园区</w:t>
            </w:r>
            <w:proofErr w:type="gramEnd"/>
            <w:r w:rsidRPr="0063248C">
              <w:rPr>
                <w:rFonts w:cs="宋体"/>
                <w:sz w:val="18"/>
                <w:szCs w:val="18"/>
              </w:rPr>
              <w:t>办公区域</w:t>
            </w:r>
          </w:p>
        </w:tc>
        <w:tc>
          <w:tcPr>
            <w:tcW w:w="1205" w:type="dxa"/>
            <w:tcBorders>
              <w:top w:val="single" w:sz="2" w:space="0" w:color="auto"/>
              <w:left w:val="single" w:sz="2" w:space="0" w:color="auto"/>
              <w:bottom w:val="single" w:sz="2" w:space="0" w:color="auto"/>
              <w:right w:val="single" w:sz="2" w:space="0" w:color="auto"/>
            </w:tcBorders>
            <w:vAlign w:val="center"/>
          </w:tcPr>
          <w:p w14:paraId="6B7B105B" w14:textId="77777777" w:rsidR="007B3DB2" w:rsidRPr="0063248C" w:rsidRDefault="00000000">
            <w:pPr>
              <w:spacing w:line="240" w:lineRule="exact"/>
              <w:rPr>
                <w:rFonts w:cs="宋体"/>
                <w:sz w:val="18"/>
                <w:szCs w:val="18"/>
              </w:rPr>
            </w:pPr>
            <w:r w:rsidRPr="0063248C">
              <w:rPr>
                <w:rFonts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6B2F5E81"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34966FD"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200AF96"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70686740"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54275E7C" w14:textId="77777777" w:rsidR="007B3DB2" w:rsidRPr="0063248C" w:rsidRDefault="00000000">
            <w:pPr>
              <w:spacing w:line="240" w:lineRule="exact"/>
              <w:rPr>
                <w:rFonts w:cs="宋体"/>
                <w:sz w:val="18"/>
                <w:szCs w:val="18"/>
              </w:rPr>
            </w:pPr>
            <w:r w:rsidRPr="0063248C">
              <w:rPr>
                <w:rFonts w:cs="宋体"/>
                <w:sz w:val="18"/>
                <w:szCs w:val="18"/>
              </w:rPr>
              <w:t>成都龙大肉食品有限公司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05608EE5" w14:textId="77777777" w:rsidR="007B3DB2" w:rsidRPr="0063248C" w:rsidRDefault="00000000">
            <w:pPr>
              <w:spacing w:line="240" w:lineRule="exact"/>
              <w:jc w:val="right"/>
              <w:rPr>
                <w:rFonts w:cs="宋体"/>
                <w:sz w:val="18"/>
                <w:szCs w:val="18"/>
              </w:rPr>
            </w:pPr>
            <w:r w:rsidRPr="0063248C">
              <w:rPr>
                <w:rFonts w:cs="宋体"/>
                <w:sz w:val="18"/>
                <w:szCs w:val="18"/>
              </w:rPr>
              <w:t>40,000,000.00</w:t>
            </w:r>
          </w:p>
        </w:tc>
        <w:tc>
          <w:tcPr>
            <w:tcW w:w="1205" w:type="dxa"/>
            <w:tcBorders>
              <w:top w:val="single" w:sz="2" w:space="0" w:color="auto"/>
              <w:left w:val="single" w:sz="2" w:space="0" w:color="auto"/>
              <w:bottom w:val="single" w:sz="2" w:space="0" w:color="auto"/>
              <w:right w:val="single" w:sz="2" w:space="0" w:color="auto"/>
            </w:tcBorders>
            <w:vAlign w:val="center"/>
          </w:tcPr>
          <w:p w14:paraId="6456A47B" w14:textId="77777777" w:rsidR="007B3DB2" w:rsidRPr="0063248C" w:rsidRDefault="00000000">
            <w:pPr>
              <w:spacing w:line="240" w:lineRule="exact"/>
              <w:rPr>
                <w:rFonts w:cs="宋体"/>
                <w:sz w:val="18"/>
                <w:szCs w:val="18"/>
              </w:rPr>
            </w:pPr>
            <w:r w:rsidRPr="0063248C">
              <w:rPr>
                <w:rFonts w:cs="宋体"/>
                <w:sz w:val="18"/>
                <w:szCs w:val="18"/>
              </w:rPr>
              <w:t>四川省成都市</w:t>
            </w:r>
          </w:p>
        </w:tc>
        <w:tc>
          <w:tcPr>
            <w:tcW w:w="1205" w:type="dxa"/>
            <w:tcBorders>
              <w:top w:val="single" w:sz="2" w:space="0" w:color="auto"/>
              <w:left w:val="single" w:sz="2" w:space="0" w:color="auto"/>
              <w:bottom w:val="single" w:sz="2" w:space="0" w:color="auto"/>
              <w:right w:val="single" w:sz="2" w:space="0" w:color="auto"/>
            </w:tcBorders>
            <w:vAlign w:val="center"/>
          </w:tcPr>
          <w:p w14:paraId="6AF0F2D9" w14:textId="77777777" w:rsidR="007B3DB2" w:rsidRPr="0063248C" w:rsidRDefault="00000000">
            <w:pPr>
              <w:spacing w:line="240" w:lineRule="exact"/>
              <w:rPr>
                <w:rFonts w:cs="宋体"/>
                <w:sz w:val="18"/>
                <w:szCs w:val="18"/>
              </w:rPr>
            </w:pPr>
            <w:r w:rsidRPr="0063248C">
              <w:rPr>
                <w:rFonts w:cs="宋体"/>
                <w:sz w:val="18"/>
                <w:szCs w:val="18"/>
              </w:rPr>
              <w:t>四川省成都市</w:t>
            </w:r>
            <w:proofErr w:type="gramStart"/>
            <w:r w:rsidRPr="0063248C">
              <w:rPr>
                <w:rFonts w:cs="宋体"/>
                <w:sz w:val="18"/>
                <w:szCs w:val="18"/>
              </w:rPr>
              <w:t>蒲江县寿安街道</w:t>
            </w:r>
            <w:proofErr w:type="gramEnd"/>
            <w:r w:rsidRPr="0063248C">
              <w:rPr>
                <w:rFonts w:cs="宋体"/>
                <w:sz w:val="18"/>
                <w:szCs w:val="18"/>
              </w:rPr>
              <w:t>迎宾大道</w:t>
            </w:r>
            <w:r w:rsidRPr="0063248C">
              <w:rPr>
                <w:rFonts w:cs="宋体"/>
                <w:sz w:val="18"/>
                <w:szCs w:val="18"/>
              </w:rPr>
              <w:t>774</w:t>
            </w:r>
            <w:r w:rsidRPr="0063248C">
              <w:rPr>
                <w:rFonts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38A16BD0" w14:textId="77777777" w:rsidR="007B3DB2" w:rsidRPr="0063248C" w:rsidRDefault="00000000">
            <w:pPr>
              <w:spacing w:line="240" w:lineRule="exact"/>
              <w:rPr>
                <w:rFonts w:cs="宋体"/>
                <w:sz w:val="18"/>
                <w:szCs w:val="18"/>
              </w:rPr>
            </w:pPr>
            <w:r w:rsidRPr="0063248C">
              <w:rPr>
                <w:rFonts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23B1E381" w14:textId="77777777" w:rsidR="007B3DB2" w:rsidRPr="0063248C" w:rsidRDefault="00000000">
            <w:pPr>
              <w:spacing w:line="240" w:lineRule="exact"/>
              <w:jc w:val="right"/>
              <w:rPr>
                <w:rFonts w:cs="宋体"/>
                <w:sz w:val="18"/>
                <w:szCs w:val="18"/>
              </w:rPr>
            </w:pPr>
            <w:r w:rsidRPr="0063248C">
              <w:rPr>
                <w:rFonts w:cs="宋体"/>
                <w:sz w:val="18"/>
                <w:szCs w:val="18"/>
              </w:rPr>
              <w:t>10.00%</w:t>
            </w:r>
          </w:p>
        </w:tc>
        <w:tc>
          <w:tcPr>
            <w:tcW w:w="1205" w:type="dxa"/>
            <w:tcBorders>
              <w:top w:val="single" w:sz="2" w:space="0" w:color="auto"/>
              <w:left w:val="single" w:sz="2" w:space="0" w:color="auto"/>
              <w:bottom w:val="single" w:sz="2" w:space="0" w:color="auto"/>
              <w:right w:val="single" w:sz="2" w:space="0" w:color="auto"/>
            </w:tcBorders>
            <w:vAlign w:val="center"/>
          </w:tcPr>
          <w:p w14:paraId="7A7196A3" w14:textId="77777777" w:rsidR="007B3DB2" w:rsidRPr="0063248C" w:rsidRDefault="00000000">
            <w:pPr>
              <w:spacing w:line="240" w:lineRule="exact"/>
              <w:jc w:val="right"/>
              <w:rPr>
                <w:rFonts w:cs="宋体"/>
                <w:sz w:val="18"/>
                <w:szCs w:val="18"/>
              </w:rPr>
            </w:pPr>
            <w:r w:rsidRPr="0063248C">
              <w:rPr>
                <w:rFonts w:cs="宋体"/>
                <w:sz w:val="18"/>
                <w:szCs w:val="18"/>
              </w:rPr>
              <w:t>90.00%</w:t>
            </w:r>
          </w:p>
        </w:tc>
        <w:tc>
          <w:tcPr>
            <w:tcW w:w="1205" w:type="dxa"/>
            <w:tcBorders>
              <w:top w:val="single" w:sz="2" w:space="0" w:color="auto"/>
              <w:left w:val="single" w:sz="2" w:space="0" w:color="auto"/>
              <w:bottom w:val="single" w:sz="2" w:space="0" w:color="auto"/>
              <w:right w:val="single" w:sz="2" w:space="0" w:color="auto"/>
            </w:tcBorders>
            <w:vAlign w:val="center"/>
          </w:tcPr>
          <w:p w14:paraId="72ACF60E"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451395BE"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704DFF4D"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7B483351" w14:textId="77777777" w:rsidR="007B3DB2" w:rsidRPr="0063248C" w:rsidRDefault="00000000">
            <w:pPr>
              <w:spacing w:line="240" w:lineRule="exact"/>
              <w:jc w:val="right"/>
              <w:rPr>
                <w:rFonts w:cs="宋体"/>
                <w:sz w:val="18"/>
                <w:szCs w:val="18"/>
              </w:rPr>
            </w:pPr>
            <w:r w:rsidRPr="0063248C">
              <w:rPr>
                <w:rFonts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14:paraId="1BE59E7E" w14:textId="77777777" w:rsidR="007B3DB2" w:rsidRPr="0063248C" w:rsidRDefault="00000000">
            <w:pPr>
              <w:spacing w:line="240" w:lineRule="exact"/>
              <w:rPr>
                <w:rFonts w:cs="宋体"/>
                <w:sz w:val="18"/>
                <w:szCs w:val="18"/>
              </w:rPr>
            </w:pPr>
            <w:r w:rsidRPr="0063248C">
              <w:rPr>
                <w:rFonts w:cs="宋体"/>
                <w:sz w:val="18"/>
                <w:szCs w:val="18"/>
              </w:rPr>
              <w:t>黑龙江省绥化市</w:t>
            </w:r>
          </w:p>
        </w:tc>
        <w:tc>
          <w:tcPr>
            <w:tcW w:w="1205" w:type="dxa"/>
            <w:tcBorders>
              <w:top w:val="single" w:sz="2" w:space="0" w:color="auto"/>
              <w:left w:val="single" w:sz="2" w:space="0" w:color="auto"/>
              <w:bottom w:val="single" w:sz="2" w:space="0" w:color="auto"/>
              <w:right w:val="single" w:sz="2" w:space="0" w:color="auto"/>
            </w:tcBorders>
            <w:vAlign w:val="center"/>
          </w:tcPr>
          <w:p w14:paraId="52FE092F" w14:textId="77777777" w:rsidR="007B3DB2" w:rsidRPr="0063248C" w:rsidRDefault="00000000">
            <w:pPr>
              <w:spacing w:line="240" w:lineRule="exact"/>
              <w:rPr>
                <w:rFonts w:cs="宋体"/>
                <w:sz w:val="18"/>
                <w:szCs w:val="18"/>
              </w:rPr>
            </w:pPr>
            <w:r w:rsidRPr="0063248C">
              <w:rPr>
                <w:rFonts w:cs="宋体"/>
                <w:sz w:val="18"/>
                <w:szCs w:val="18"/>
              </w:rPr>
              <w:t>黑龙江省绥化市安达市高新化工材料产业园区</w:t>
            </w:r>
            <w:r w:rsidRPr="0063248C">
              <w:rPr>
                <w:rFonts w:cs="宋体"/>
                <w:sz w:val="18"/>
                <w:szCs w:val="18"/>
              </w:rPr>
              <w:t>A-12</w:t>
            </w:r>
            <w:r w:rsidRPr="0063248C">
              <w:rPr>
                <w:rFonts w:cs="宋体"/>
                <w:sz w:val="18"/>
                <w:szCs w:val="18"/>
              </w:rPr>
              <w:t>地块</w:t>
            </w:r>
          </w:p>
        </w:tc>
        <w:tc>
          <w:tcPr>
            <w:tcW w:w="1205" w:type="dxa"/>
            <w:tcBorders>
              <w:top w:val="single" w:sz="2" w:space="0" w:color="auto"/>
              <w:left w:val="single" w:sz="2" w:space="0" w:color="auto"/>
              <w:bottom w:val="single" w:sz="2" w:space="0" w:color="auto"/>
              <w:right w:val="single" w:sz="2" w:space="0" w:color="auto"/>
            </w:tcBorders>
            <w:vAlign w:val="center"/>
          </w:tcPr>
          <w:p w14:paraId="76B33FDD" w14:textId="77777777" w:rsidR="007B3DB2" w:rsidRPr="0063248C" w:rsidRDefault="00000000">
            <w:pPr>
              <w:spacing w:line="240" w:lineRule="exact"/>
              <w:rPr>
                <w:rFonts w:cs="宋体"/>
                <w:sz w:val="18"/>
                <w:szCs w:val="18"/>
              </w:rPr>
            </w:pPr>
            <w:r w:rsidRPr="0063248C">
              <w:rPr>
                <w:rFonts w:cs="宋体"/>
                <w:sz w:val="18"/>
                <w:szCs w:val="18"/>
              </w:rPr>
              <w:t>生猪屠宰</w:t>
            </w:r>
          </w:p>
        </w:tc>
        <w:tc>
          <w:tcPr>
            <w:tcW w:w="1205" w:type="dxa"/>
            <w:tcBorders>
              <w:top w:val="single" w:sz="2" w:space="0" w:color="auto"/>
              <w:left w:val="single" w:sz="2" w:space="0" w:color="auto"/>
              <w:bottom w:val="single" w:sz="2" w:space="0" w:color="auto"/>
              <w:right w:val="single" w:sz="2" w:space="0" w:color="auto"/>
            </w:tcBorders>
            <w:vAlign w:val="center"/>
          </w:tcPr>
          <w:p w14:paraId="55A601C9"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5C9F69A3"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AA48873"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2E264FFA"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1B647E6E" w14:textId="77777777" w:rsidR="007B3DB2" w:rsidRPr="0063248C" w:rsidRDefault="00000000">
            <w:pPr>
              <w:spacing w:line="240" w:lineRule="exact"/>
              <w:rPr>
                <w:rFonts w:cs="宋体"/>
                <w:sz w:val="18"/>
                <w:szCs w:val="18"/>
              </w:rPr>
            </w:pPr>
            <w:r w:rsidRPr="0063248C">
              <w:rPr>
                <w:rFonts w:cs="宋体"/>
                <w:sz w:val="18"/>
                <w:szCs w:val="18"/>
              </w:rPr>
              <w:t>四川龙鲜活供应链管理</w:t>
            </w:r>
            <w:r w:rsidRPr="0063248C">
              <w:rPr>
                <w:rFonts w:cs="宋体"/>
                <w:sz w:val="18"/>
                <w:szCs w:val="18"/>
              </w:rPr>
              <w:lastRenderedPageBreak/>
              <w:t>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795304B8" w14:textId="77777777" w:rsidR="007B3DB2" w:rsidRPr="0063248C" w:rsidRDefault="00000000">
            <w:pPr>
              <w:spacing w:line="240" w:lineRule="exact"/>
              <w:jc w:val="right"/>
              <w:rPr>
                <w:rFonts w:cs="宋体"/>
                <w:sz w:val="18"/>
                <w:szCs w:val="18"/>
              </w:rPr>
            </w:pPr>
            <w:r w:rsidRPr="0063248C">
              <w:rPr>
                <w:rFonts w:cs="宋体"/>
                <w:sz w:val="18"/>
                <w:szCs w:val="18"/>
              </w:rPr>
              <w:lastRenderedPageBreak/>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00E900FB" w14:textId="77777777" w:rsidR="007B3DB2" w:rsidRPr="0063248C" w:rsidRDefault="00000000">
            <w:pPr>
              <w:spacing w:line="240" w:lineRule="exact"/>
              <w:rPr>
                <w:rFonts w:cs="宋体"/>
                <w:sz w:val="18"/>
                <w:szCs w:val="18"/>
              </w:rPr>
            </w:pPr>
            <w:r w:rsidRPr="0063248C">
              <w:rPr>
                <w:rFonts w:cs="宋体"/>
                <w:sz w:val="18"/>
                <w:szCs w:val="18"/>
              </w:rPr>
              <w:t>四川省成都市</w:t>
            </w:r>
          </w:p>
        </w:tc>
        <w:tc>
          <w:tcPr>
            <w:tcW w:w="1205" w:type="dxa"/>
            <w:tcBorders>
              <w:top w:val="single" w:sz="2" w:space="0" w:color="auto"/>
              <w:left w:val="single" w:sz="2" w:space="0" w:color="auto"/>
              <w:bottom w:val="single" w:sz="2" w:space="0" w:color="auto"/>
              <w:right w:val="single" w:sz="2" w:space="0" w:color="auto"/>
            </w:tcBorders>
            <w:vAlign w:val="center"/>
          </w:tcPr>
          <w:p w14:paraId="05D753A9" w14:textId="77777777" w:rsidR="007B3DB2" w:rsidRPr="0063248C" w:rsidRDefault="00000000">
            <w:pPr>
              <w:spacing w:line="240" w:lineRule="exact"/>
              <w:rPr>
                <w:rFonts w:cs="宋体"/>
                <w:sz w:val="18"/>
                <w:szCs w:val="18"/>
              </w:rPr>
            </w:pPr>
            <w:r w:rsidRPr="0063248C">
              <w:rPr>
                <w:rFonts w:cs="宋体"/>
                <w:sz w:val="18"/>
                <w:szCs w:val="18"/>
              </w:rPr>
              <w:t>四川省成都市天府新区华阳</w:t>
            </w:r>
            <w:r w:rsidRPr="0063248C">
              <w:rPr>
                <w:rFonts w:cs="宋体"/>
                <w:sz w:val="18"/>
                <w:szCs w:val="18"/>
              </w:rPr>
              <w:lastRenderedPageBreak/>
              <w:t>街道华府大道一段</w:t>
            </w:r>
            <w:r w:rsidRPr="0063248C">
              <w:rPr>
                <w:rFonts w:cs="宋体"/>
                <w:sz w:val="18"/>
                <w:szCs w:val="18"/>
              </w:rPr>
              <w:t>1</w:t>
            </w:r>
            <w:r w:rsidRPr="0063248C">
              <w:rPr>
                <w:rFonts w:cs="宋体"/>
                <w:sz w:val="18"/>
                <w:szCs w:val="18"/>
              </w:rPr>
              <w:t>号</w:t>
            </w:r>
            <w:r w:rsidRPr="0063248C">
              <w:rPr>
                <w:rFonts w:cs="宋体"/>
                <w:sz w:val="18"/>
                <w:szCs w:val="18"/>
              </w:rPr>
              <w:t>1</w:t>
            </w:r>
            <w:r w:rsidRPr="0063248C">
              <w:rPr>
                <w:rFonts w:cs="宋体"/>
                <w:sz w:val="18"/>
                <w:szCs w:val="18"/>
              </w:rPr>
              <w:t>栋</w:t>
            </w:r>
            <w:r w:rsidRPr="0063248C">
              <w:rPr>
                <w:rFonts w:cs="宋体"/>
                <w:sz w:val="18"/>
                <w:szCs w:val="18"/>
              </w:rPr>
              <w:t>35</w:t>
            </w:r>
            <w:r w:rsidRPr="0063248C">
              <w:rPr>
                <w:rFonts w:cs="宋体"/>
                <w:sz w:val="18"/>
                <w:szCs w:val="18"/>
              </w:rPr>
              <w:t>层</w:t>
            </w:r>
            <w:r w:rsidRPr="0063248C">
              <w:rPr>
                <w:rFonts w:cs="宋体"/>
                <w:sz w:val="18"/>
                <w:szCs w:val="18"/>
              </w:rPr>
              <w:t>3</w:t>
            </w:r>
            <w:r w:rsidRPr="0063248C">
              <w:rPr>
                <w:rFonts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30B12FE5" w14:textId="77777777" w:rsidR="007B3DB2" w:rsidRPr="0063248C" w:rsidRDefault="00000000">
            <w:pPr>
              <w:spacing w:line="240" w:lineRule="exact"/>
              <w:rPr>
                <w:rFonts w:cs="宋体"/>
                <w:sz w:val="18"/>
                <w:szCs w:val="18"/>
              </w:rPr>
            </w:pPr>
            <w:r w:rsidRPr="0063248C">
              <w:rPr>
                <w:rFonts w:cs="宋体"/>
                <w:sz w:val="18"/>
                <w:szCs w:val="18"/>
              </w:rPr>
              <w:lastRenderedPageBreak/>
              <w:t>供应链管理服务</w:t>
            </w:r>
          </w:p>
        </w:tc>
        <w:tc>
          <w:tcPr>
            <w:tcW w:w="1205" w:type="dxa"/>
            <w:tcBorders>
              <w:top w:val="single" w:sz="2" w:space="0" w:color="auto"/>
              <w:left w:val="single" w:sz="2" w:space="0" w:color="auto"/>
              <w:bottom w:val="single" w:sz="2" w:space="0" w:color="auto"/>
              <w:right w:val="single" w:sz="2" w:space="0" w:color="auto"/>
            </w:tcBorders>
            <w:vAlign w:val="center"/>
          </w:tcPr>
          <w:p w14:paraId="18873DB1"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7566D28"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9A65C0D"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4C33DA65"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0ED70589" w14:textId="77777777" w:rsidR="007B3DB2" w:rsidRPr="0063248C" w:rsidRDefault="00000000">
            <w:pPr>
              <w:spacing w:line="240" w:lineRule="exact"/>
              <w:rPr>
                <w:rFonts w:cs="宋体"/>
                <w:sz w:val="18"/>
                <w:szCs w:val="18"/>
              </w:rPr>
            </w:pPr>
            <w:r w:rsidRPr="0063248C">
              <w:rPr>
                <w:rFonts w:cs="宋体"/>
                <w:sz w:val="18"/>
                <w:szCs w:val="18"/>
              </w:rPr>
              <w:t>巴中龙大肉食品有限公司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69FC18D5" w14:textId="77777777" w:rsidR="007B3DB2" w:rsidRPr="0063248C" w:rsidRDefault="00000000">
            <w:pPr>
              <w:spacing w:line="240" w:lineRule="exact"/>
              <w:jc w:val="right"/>
              <w:rPr>
                <w:rFonts w:cs="宋体"/>
                <w:sz w:val="18"/>
                <w:szCs w:val="18"/>
              </w:rPr>
            </w:pPr>
            <w:r w:rsidRPr="0063248C">
              <w:rPr>
                <w:rFonts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14:paraId="075188D6" w14:textId="77777777" w:rsidR="007B3DB2" w:rsidRPr="0063248C" w:rsidRDefault="00000000">
            <w:pPr>
              <w:spacing w:line="240" w:lineRule="exact"/>
              <w:rPr>
                <w:rFonts w:cs="宋体"/>
                <w:sz w:val="18"/>
                <w:szCs w:val="18"/>
              </w:rPr>
            </w:pPr>
            <w:r w:rsidRPr="0063248C">
              <w:rPr>
                <w:rFonts w:cs="宋体"/>
                <w:sz w:val="18"/>
                <w:szCs w:val="18"/>
              </w:rPr>
              <w:t>四川省巴中市</w:t>
            </w:r>
          </w:p>
        </w:tc>
        <w:tc>
          <w:tcPr>
            <w:tcW w:w="1205" w:type="dxa"/>
            <w:tcBorders>
              <w:top w:val="single" w:sz="2" w:space="0" w:color="auto"/>
              <w:left w:val="single" w:sz="2" w:space="0" w:color="auto"/>
              <w:bottom w:val="single" w:sz="2" w:space="0" w:color="auto"/>
              <w:right w:val="single" w:sz="2" w:space="0" w:color="auto"/>
            </w:tcBorders>
            <w:vAlign w:val="center"/>
          </w:tcPr>
          <w:p w14:paraId="5DFB2AF8" w14:textId="77777777" w:rsidR="007B3DB2" w:rsidRPr="0063248C" w:rsidRDefault="00000000">
            <w:pPr>
              <w:spacing w:line="240" w:lineRule="exact"/>
              <w:rPr>
                <w:rFonts w:cs="宋体"/>
                <w:sz w:val="18"/>
                <w:szCs w:val="18"/>
              </w:rPr>
            </w:pPr>
            <w:r w:rsidRPr="0063248C">
              <w:rPr>
                <w:rFonts w:cs="宋体"/>
                <w:sz w:val="18"/>
                <w:szCs w:val="18"/>
              </w:rPr>
              <w:t>四川省巴中市恩阳区柳林镇盐井村食品工业园一号楼</w:t>
            </w:r>
          </w:p>
        </w:tc>
        <w:tc>
          <w:tcPr>
            <w:tcW w:w="1205" w:type="dxa"/>
            <w:tcBorders>
              <w:top w:val="single" w:sz="2" w:space="0" w:color="auto"/>
              <w:left w:val="single" w:sz="2" w:space="0" w:color="auto"/>
              <w:bottom w:val="single" w:sz="2" w:space="0" w:color="auto"/>
              <w:right w:val="single" w:sz="2" w:space="0" w:color="auto"/>
            </w:tcBorders>
            <w:vAlign w:val="center"/>
          </w:tcPr>
          <w:p w14:paraId="07AC52E6" w14:textId="77777777" w:rsidR="007B3DB2" w:rsidRPr="0063248C" w:rsidRDefault="00000000">
            <w:pPr>
              <w:spacing w:line="240" w:lineRule="exact"/>
              <w:rPr>
                <w:rFonts w:cs="宋体"/>
                <w:sz w:val="18"/>
                <w:szCs w:val="18"/>
              </w:rPr>
            </w:pPr>
            <w:r w:rsidRPr="0063248C">
              <w:rPr>
                <w:rFonts w:cs="宋体"/>
                <w:sz w:val="18"/>
                <w:szCs w:val="18"/>
              </w:rPr>
              <w:t>生产、销售食品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78F4FD1F"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99F779C"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5BC8480"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45633FBE"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7C4E41DC" w14:textId="77777777" w:rsidR="007B3DB2" w:rsidRPr="0063248C" w:rsidRDefault="00000000">
            <w:pPr>
              <w:spacing w:line="240" w:lineRule="exact"/>
              <w:rPr>
                <w:rFonts w:cs="宋体"/>
                <w:sz w:val="18"/>
                <w:szCs w:val="18"/>
              </w:rPr>
            </w:pPr>
            <w:r w:rsidRPr="0063248C">
              <w:rPr>
                <w:rFonts w:cs="宋体"/>
                <w:sz w:val="18"/>
                <w:szCs w:val="18"/>
              </w:rPr>
              <w:t>海南龙大美食有限责任公司</w:t>
            </w:r>
          </w:p>
        </w:tc>
        <w:tc>
          <w:tcPr>
            <w:tcW w:w="1326" w:type="dxa"/>
            <w:tcBorders>
              <w:top w:val="single" w:sz="2" w:space="0" w:color="auto"/>
              <w:left w:val="single" w:sz="2" w:space="0" w:color="auto"/>
              <w:bottom w:val="single" w:sz="2" w:space="0" w:color="auto"/>
              <w:right w:val="single" w:sz="2" w:space="0" w:color="auto"/>
            </w:tcBorders>
            <w:vAlign w:val="center"/>
          </w:tcPr>
          <w:p w14:paraId="614187B6" w14:textId="77777777" w:rsidR="007B3DB2" w:rsidRPr="0063248C" w:rsidRDefault="00000000">
            <w:pPr>
              <w:spacing w:line="240" w:lineRule="exact"/>
              <w:jc w:val="right"/>
              <w:rPr>
                <w:rFonts w:cs="宋体"/>
                <w:sz w:val="18"/>
                <w:szCs w:val="18"/>
              </w:rPr>
            </w:pPr>
            <w:r w:rsidRPr="0063248C">
              <w:rPr>
                <w:rFonts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14:paraId="2A003573" w14:textId="77777777" w:rsidR="007B3DB2" w:rsidRPr="0063248C" w:rsidRDefault="00000000">
            <w:pPr>
              <w:spacing w:line="240" w:lineRule="exact"/>
              <w:rPr>
                <w:rFonts w:cs="宋体"/>
                <w:sz w:val="18"/>
                <w:szCs w:val="18"/>
              </w:rPr>
            </w:pPr>
            <w:r w:rsidRPr="0063248C">
              <w:rPr>
                <w:rFonts w:cs="宋体"/>
                <w:sz w:val="18"/>
                <w:szCs w:val="18"/>
              </w:rPr>
              <w:t>海南省洋浦经济开发区</w:t>
            </w:r>
          </w:p>
        </w:tc>
        <w:tc>
          <w:tcPr>
            <w:tcW w:w="1205" w:type="dxa"/>
            <w:tcBorders>
              <w:top w:val="single" w:sz="2" w:space="0" w:color="auto"/>
              <w:left w:val="single" w:sz="2" w:space="0" w:color="auto"/>
              <w:bottom w:val="single" w:sz="2" w:space="0" w:color="auto"/>
              <w:right w:val="single" w:sz="2" w:space="0" w:color="auto"/>
            </w:tcBorders>
            <w:vAlign w:val="center"/>
          </w:tcPr>
          <w:p w14:paraId="650F3891" w14:textId="77777777" w:rsidR="007B3DB2" w:rsidRPr="0063248C" w:rsidRDefault="00000000">
            <w:pPr>
              <w:spacing w:line="240" w:lineRule="exact"/>
              <w:rPr>
                <w:rFonts w:cs="宋体"/>
                <w:sz w:val="18"/>
                <w:szCs w:val="18"/>
              </w:rPr>
            </w:pPr>
            <w:r w:rsidRPr="0063248C">
              <w:rPr>
                <w:rFonts w:cs="宋体"/>
                <w:sz w:val="18"/>
                <w:szCs w:val="18"/>
              </w:rPr>
              <w:t>海南省洋浦经济开发区</w:t>
            </w:r>
            <w:proofErr w:type="gramStart"/>
            <w:r w:rsidRPr="0063248C">
              <w:rPr>
                <w:rFonts w:cs="宋体"/>
                <w:sz w:val="18"/>
                <w:szCs w:val="18"/>
              </w:rPr>
              <w:t>新英湾区</w:t>
            </w:r>
            <w:proofErr w:type="gramEnd"/>
            <w:r w:rsidRPr="0063248C">
              <w:rPr>
                <w:rFonts w:cs="宋体"/>
                <w:sz w:val="18"/>
                <w:szCs w:val="18"/>
              </w:rPr>
              <w:t>保税港区</w:t>
            </w:r>
            <w:r w:rsidRPr="0063248C">
              <w:rPr>
                <w:rFonts w:cs="宋体"/>
                <w:sz w:val="18"/>
                <w:szCs w:val="18"/>
              </w:rPr>
              <w:t>2</w:t>
            </w:r>
            <w:r w:rsidRPr="0063248C">
              <w:rPr>
                <w:rFonts w:cs="宋体"/>
                <w:sz w:val="18"/>
                <w:szCs w:val="18"/>
              </w:rPr>
              <w:t>号办公楼</w:t>
            </w:r>
            <w:r w:rsidRPr="0063248C">
              <w:rPr>
                <w:rFonts w:cs="宋体"/>
                <w:sz w:val="18"/>
                <w:szCs w:val="18"/>
              </w:rPr>
              <w:t>D608</w:t>
            </w:r>
            <w:r w:rsidRPr="0063248C">
              <w:rPr>
                <w:rFonts w:cs="宋体"/>
                <w:sz w:val="18"/>
                <w:szCs w:val="18"/>
              </w:rPr>
              <w:t>室</w:t>
            </w:r>
          </w:p>
        </w:tc>
        <w:tc>
          <w:tcPr>
            <w:tcW w:w="1205" w:type="dxa"/>
            <w:tcBorders>
              <w:top w:val="single" w:sz="2" w:space="0" w:color="auto"/>
              <w:left w:val="single" w:sz="2" w:space="0" w:color="auto"/>
              <w:bottom w:val="single" w:sz="2" w:space="0" w:color="auto"/>
              <w:right w:val="single" w:sz="2" w:space="0" w:color="auto"/>
            </w:tcBorders>
            <w:vAlign w:val="center"/>
          </w:tcPr>
          <w:p w14:paraId="13FA10EF" w14:textId="77777777" w:rsidR="007B3DB2" w:rsidRPr="0063248C" w:rsidRDefault="00000000">
            <w:pPr>
              <w:spacing w:line="240" w:lineRule="exact"/>
              <w:rPr>
                <w:rFonts w:cs="宋体"/>
                <w:sz w:val="18"/>
                <w:szCs w:val="18"/>
              </w:rPr>
            </w:pPr>
            <w:r w:rsidRPr="0063248C">
              <w:rPr>
                <w:rFonts w:cs="宋体"/>
                <w:sz w:val="18"/>
                <w:szCs w:val="18"/>
              </w:rPr>
              <w:t>生产、销售食品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7B6856C5"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CD5BB60"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E823CCC"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02C4FFC6"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0B912981" w14:textId="77777777" w:rsidR="007B3DB2" w:rsidRPr="0063248C" w:rsidRDefault="00000000">
            <w:pPr>
              <w:spacing w:line="240" w:lineRule="exact"/>
              <w:rPr>
                <w:rFonts w:cs="宋体"/>
                <w:sz w:val="18"/>
                <w:szCs w:val="18"/>
              </w:rPr>
            </w:pPr>
            <w:r w:rsidRPr="0063248C">
              <w:rPr>
                <w:rFonts w:cs="宋体"/>
                <w:sz w:val="18"/>
                <w:szCs w:val="18"/>
              </w:rPr>
              <w:t>山东</w:t>
            </w:r>
            <w:proofErr w:type="gramStart"/>
            <w:r w:rsidRPr="0063248C">
              <w:rPr>
                <w:rFonts w:cs="宋体"/>
                <w:sz w:val="18"/>
                <w:szCs w:val="18"/>
              </w:rPr>
              <w:t>龙鲜生供应</w:t>
            </w:r>
            <w:proofErr w:type="gramEnd"/>
            <w:r w:rsidRPr="0063248C">
              <w:rPr>
                <w:rFonts w:cs="宋体"/>
                <w:sz w:val="18"/>
                <w:szCs w:val="18"/>
              </w:rPr>
              <w:t>链管理有限公司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5AF1E64B"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0D1CC070" w14:textId="77777777" w:rsidR="007B3DB2" w:rsidRPr="0063248C" w:rsidRDefault="00000000">
            <w:pPr>
              <w:spacing w:line="240" w:lineRule="exact"/>
              <w:rPr>
                <w:rFonts w:cs="宋体"/>
                <w:sz w:val="18"/>
                <w:szCs w:val="18"/>
              </w:rPr>
            </w:pPr>
            <w:r w:rsidRPr="0063248C">
              <w:rPr>
                <w:rFonts w:cs="宋体"/>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230F3F76" w14:textId="77777777" w:rsidR="007B3DB2" w:rsidRPr="0063248C" w:rsidRDefault="00000000">
            <w:pPr>
              <w:spacing w:line="240" w:lineRule="exact"/>
              <w:rPr>
                <w:rFonts w:cs="宋体"/>
                <w:sz w:val="18"/>
                <w:szCs w:val="18"/>
              </w:rPr>
            </w:pPr>
            <w:r w:rsidRPr="0063248C">
              <w:rPr>
                <w:rFonts w:cs="宋体"/>
                <w:sz w:val="18"/>
                <w:szCs w:val="18"/>
              </w:rPr>
              <w:t>山东省青岛市崂山区</w:t>
            </w:r>
            <w:proofErr w:type="gramStart"/>
            <w:r w:rsidRPr="0063248C">
              <w:rPr>
                <w:rFonts w:cs="宋体"/>
                <w:sz w:val="18"/>
                <w:szCs w:val="18"/>
              </w:rPr>
              <w:t>株洲路</w:t>
            </w:r>
            <w:proofErr w:type="gramEnd"/>
            <w:r w:rsidRPr="0063248C">
              <w:rPr>
                <w:rFonts w:cs="宋体"/>
                <w:sz w:val="18"/>
                <w:szCs w:val="18"/>
              </w:rPr>
              <w:t>20</w:t>
            </w:r>
            <w:r w:rsidRPr="0063248C">
              <w:rPr>
                <w:rFonts w:cs="宋体"/>
                <w:sz w:val="18"/>
                <w:szCs w:val="18"/>
              </w:rPr>
              <w:t>号海</w:t>
            </w:r>
            <w:proofErr w:type="gramStart"/>
            <w:r w:rsidRPr="0063248C">
              <w:rPr>
                <w:rFonts w:cs="宋体"/>
                <w:sz w:val="18"/>
                <w:szCs w:val="18"/>
              </w:rPr>
              <w:t>信创智谷</w:t>
            </w:r>
            <w:proofErr w:type="gramEnd"/>
            <w:r w:rsidRPr="0063248C">
              <w:rPr>
                <w:rFonts w:cs="宋体"/>
                <w:sz w:val="18"/>
                <w:szCs w:val="18"/>
              </w:rPr>
              <w:t>3</w:t>
            </w:r>
            <w:r w:rsidRPr="0063248C">
              <w:rPr>
                <w:rFonts w:cs="宋体"/>
                <w:sz w:val="18"/>
                <w:szCs w:val="18"/>
              </w:rPr>
              <w:t>号楼</w:t>
            </w:r>
            <w:r w:rsidRPr="0063248C">
              <w:rPr>
                <w:rFonts w:cs="宋体"/>
                <w:sz w:val="18"/>
                <w:szCs w:val="18"/>
              </w:rPr>
              <w:t>A</w:t>
            </w:r>
            <w:r w:rsidRPr="0063248C">
              <w:rPr>
                <w:rFonts w:cs="宋体"/>
                <w:sz w:val="18"/>
                <w:szCs w:val="18"/>
              </w:rPr>
              <w:t>座第</w:t>
            </w:r>
            <w:r w:rsidRPr="0063248C">
              <w:rPr>
                <w:rFonts w:cs="宋体"/>
                <w:sz w:val="18"/>
                <w:szCs w:val="18"/>
              </w:rPr>
              <w:t>25</w:t>
            </w:r>
            <w:r w:rsidRPr="0063248C">
              <w:rPr>
                <w:rFonts w:cs="宋体"/>
                <w:sz w:val="18"/>
                <w:szCs w:val="18"/>
              </w:rPr>
              <w:t>层</w:t>
            </w:r>
            <w:r w:rsidRPr="0063248C">
              <w:rPr>
                <w:rFonts w:cs="宋体"/>
                <w:sz w:val="18"/>
                <w:szCs w:val="18"/>
              </w:rPr>
              <w:t>2502</w:t>
            </w:r>
          </w:p>
        </w:tc>
        <w:tc>
          <w:tcPr>
            <w:tcW w:w="1205" w:type="dxa"/>
            <w:tcBorders>
              <w:top w:val="single" w:sz="2" w:space="0" w:color="auto"/>
              <w:left w:val="single" w:sz="2" w:space="0" w:color="auto"/>
              <w:bottom w:val="single" w:sz="2" w:space="0" w:color="auto"/>
              <w:right w:val="single" w:sz="2" w:space="0" w:color="auto"/>
            </w:tcBorders>
            <w:vAlign w:val="center"/>
          </w:tcPr>
          <w:p w14:paraId="1B02633E" w14:textId="77777777" w:rsidR="007B3DB2" w:rsidRPr="0063248C" w:rsidRDefault="00000000">
            <w:pPr>
              <w:spacing w:line="240" w:lineRule="exact"/>
              <w:rPr>
                <w:rFonts w:cs="宋体"/>
                <w:sz w:val="18"/>
                <w:szCs w:val="18"/>
              </w:rPr>
            </w:pPr>
            <w:r w:rsidRPr="0063248C">
              <w:rPr>
                <w:rFonts w:cs="宋体"/>
                <w:sz w:val="18"/>
                <w:szCs w:val="18"/>
              </w:rPr>
              <w:t>供应链管理服务</w:t>
            </w:r>
          </w:p>
        </w:tc>
        <w:tc>
          <w:tcPr>
            <w:tcW w:w="1205" w:type="dxa"/>
            <w:tcBorders>
              <w:top w:val="single" w:sz="2" w:space="0" w:color="auto"/>
              <w:left w:val="single" w:sz="2" w:space="0" w:color="auto"/>
              <w:bottom w:val="single" w:sz="2" w:space="0" w:color="auto"/>
              <w:right w:val="single" w:sz="2" w:space="0" w:color="auto"/>
            </w:tcBorders>
            <w:vAlign w:val="center"/>
          </w:tcPr>
          <w:p w14:paraId="45A5FF0A"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C360158"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EDE573A"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43CA7AC5"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5A950F24" w14:textId="77777777" w:rsidR="007B3DB2" w:rsidRPr="0063248C" w:rsidRDefault="00000000">
            <w:pPr>
              <w:spacing w:line="240" w:lineRule="exact"/>
              <w:rPr>
                <w:rFonts w:cs="宋体"/>
                <w:sz w:val="18"/>
                <w:szCs w:val="18"/>
              </w:rPr>
            </w:pPr>
            <w:r w:rsidRPr="0063248C">
              <w:rPr>
                <w:rFonts w:cs="宋体"/>
                <w:sz w:val="18"/>
                <w:szCs w:val="18"/>
              </w:rPr>
              <w:t>青岛龙大鲜</w:t>
            </w:r>
            <w:proofErr w:type="gramStart"/>
            <w:r w:rsidRPr="0063248C">
              <w:rPr>
                <w:rFonts w:cs="宋体"/>
                <w:sz w:val="18"/>
                <w:szCs w:val="18"/>
              </w:rPr>
              <w:t>生供应</w:t>
            </w:r>
            <w:proofErr w:type="gramEnd"/>
            <w:r w:rsidRPr="0063248C">
              <w:rPr>
                <w:rFonts w:cs="宋体"/>
                <w:sz w:val="18"/>
                <w:szCs w:val="18"/>
              </w:rPr>
              <w:t>链有限公司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2372CB79"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205" w:type="dxa"/>
            <w:tcBorders>
              <w:top w:val="single" w:sz="2" w:space="0" w:color="auto"/>
              <w:left w:val="single" w:sz="2" w:space="0" w:color="auto"/>
              <w:bottom w:val="single" w:sz="2" w:space="0" w:color="auto"/>
              <w:right w:val="single" w:sz="2" w:space="0" w:color="auto"/>
            </w:tcBorders>
            <w:vAlign w:val="center"/>
          </w:tcPr>
          <w:p w14:paraId="05F4A0F3" w14:textId="77777777" w:rsidR="007B3DB2" w:rsidRPr="0063248C" w:rsidRDefault="00000000">
            <w:pPr>
              <w:spacing w:line="240" w:lineRule="exact"/>
              <w:rPr>
                <w:rFonts w:cs="宋体"/>
                <w:sz w:val="18"/>
                <w:szCs w:val="18"/>
              </w:rPr>
            </w:pPr>
            <w:r w:rsidRPr="0063248C">
              <w:rPr>
                <w:rFonts w:cs="宋体"/>
                <w:sz w:val="18"/>
                <w:szCs w:val="18"/>
              </w:rPr>
              <w:t>山东省青岛市</w:t>
            </w:r>
          </w:p>
        </w:tc>
        <w:tc>
          <w:tcPr>
            <w:tcW w:w="1205" w:type="dxa"/>
            <w:tcBorders>
              <w:top w:val="single" w:sz="2" w:space="0" w:color="auto"/>
              <w:left w:val="single" w:sz="2" w:space="0" w:color="auto"/>
              <w:bottom w:val="single" w:sz="2" w:space="0" w:color="auto"/>
              <w:right w:val="single" w:sz="2" w:space="0" w:color="auto"/>
            </w:tcBorders>
            <w:vAlign w:val="center"/>
          </w:tcPr>
          <w:p w14:paraId="14CF4267" w14:textId="77777777" w:rsidR="007B3DB2" w:rsidRPr="0063248C" w:rsidRDefault="00000000">
            <w:pPr>
              <w:spacing w:line="240" w:lineRule="exact"/>
              <w:rPr>
                <w:rFonts w:cs="宋体"/>
                <w:sz w:val="18"/>
                <w:szCs w:val="18"/>
              </w:rPr>
            </w:pPr>
            <w:r w:rsidRPr="0063248C">
              <w:rPr>
                <w:rFonts w:cs="宋体"/>
                <w:sz w:val="18"/>
                <w:szCs w:val="18"/>
              </w:rPr>
              <w:t>山东省青岛市李沧区金水路</w:t>
            </w:r>
            <w:r w:rsidRPr="0063248C">
              <w:rPr>
                <w:rFonts w:cs="宋体"/>
                <w:sz w:val="18"/>
                <w:szCs w:val="18"/>
              </w:rPr>
              <w:t>670</w:t>
            </w:r>
            <w:r w:rsidRPr="0063248C">
              <w:rPr>
                <w:rFonts w:cs="宋体"/>
                <w:sz w:val="18"/>
                <w:szCs w:val="18"/>
              </w:rPr>
              <w:t>号</w:t>
            </w:r>
            <w:r w:rsidRPr="0063248C">
              <w:rPr>
                <w:rFonts w:cs="宋体"/>
                <w:sz w:val="18"/>
                <w:szCs w:val="18"/>
              </w:rPr>
              <w:t>2</w:t>
            </w:r>
            <w:r w:rsidRPr="0063248C">
              <w:rPr>
                <w:rFonts w:cs="宋体"/>
                <w:sz w:val="18"/>
                <w:szCs w:val="18"/>
              </w:rPr>
              <w:t>号楼</w:t>
            </w:r>
            <w:r w:rsidRPr="0063248C">
              <w:rPr>
                <w:rFonts w:cs="宋体"/>
                <w:sz w:val="18"/>
                <w:szCs w:val="18"/>
              </w:rPr>
              <w:t>901</w:t>
            </w:r>
            <w:r w:rsidRPr="0063248C">
              <w:rPr>
                <w:rFonts w:cs="宋体"/>
                <w:sz w:val="18"/>
                <w:szCs w:val="18"/>
              </w:rPr>
              <w:t>户</w:t>
            </w:r>
          </w:p>
        </w:tc>
        <w:tc>
          <w:tcPr>
            <w:tcW w:w="1205" w:type="dxa"/>
            <w:tcBorders>
              <w:top w:val="single" w:sz="2" w:space="0" w:color="auto"/>
              <w:left w:val="single" w:sz="2" w:space="0" w:color="auto"/>
              <w:bottom w:val="single" w:sz="2" w:space="0" w:color="auto"/>
              <w:right w:val="single" w:sz="2" w:space="0" w:color="auto"/>
            </w:tcBorders>
            <w:vAlign w:val="center"/>
          </w:tcPr>
          <w:p w14:paraId="6E331EC4" w14:textId="77777777" w:rsidR="007B3DB2" w:rsidRPr="0063248C" w:rsidRDefault="00000000">
            <w:pPr>
              <w:spacing w:line="240" w:lineRule="exact"/>
              <w:rPr>
                <w:rFonts w:cs="宋体"/>
                <w:sz w:val="18"/>
                <w:szCs w:val="18"/>
              </w:rPr>
            </w:pPr>
            <w:r w:rsidRPr="0063248C">
              <w:rPr>
                <w:rFonts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3A302BA1"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506A504" w14:textId="77777777" w:rsidR="007B3DB2" w:rsidRPr="0063248C" w:rsidRDefault="00000000">
            <w:pPr>
              <w:spacing w:line="240" w:lineRule="exact"/>
              <w:jc w:val="right"/>
              <w:rPr>
                <w:rFonts w:cs="宋体"/>
                <w:sz w:val="18"/>
                <w:szCs w:val="18"/>
              </w:rPr>
            </w:pPr>
            <w:r w:rsidRPr="0063248C">
              <w:rPr>
                <w:rFonts w:cs="宋体"/>
                <w:sz w:val="18"/>
                <w:szCs w:val="18"/>
              </w:rPr>
              <w:t>60.00%</w:t>
            </w:r>
          </w:p>
        </w:tc>
        <w:tc>
          <w:tcPr>
            <w:tcW w:w="1205" w:type="dxa"/>
            <w:tcBorders>
              <w:top w:val="single" w:sz="2" w:space="0" w:color="auto"/>
              <w:left w:val="single" w:sz="2" w:space="0" w:color="auto"/>
              <w:bottom w:val="single" w:sz="2" w:space="0" w:color="auto"/>
              <w:right w:val="single" w:sz="2" w:space="0" w:color="auto"/>
            </w:tcBorders>
            <w:vAlign w:val="center"/>
          </w:tcPr>
          <w:p w14:paraId="4AF56903"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52148DB8"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49D4B9DF" w14:textId="77777777" w:rsidR="007B3DB2" w:rsidRPr="0063248C" w:rsidRDefault="00000000">
            <w:pPr>
              <w:spacing w:line="240" w:lineRule="exact"/>
              <w:rPr>
                <w:rFonts w:cs="宋体"/>
                <w:sz w:val="18"/>
                <w:szCs w:val="18"/>
              </w:rPr>
            </w:pPr>
            <w:r w:rsidRPr="0063248C">
              <w:rPr>
                <w:rFonts w:cs="宋体"/>
                <w:sz w:val="18"/>
                <w:szCs w:val="18"/>
              </w:rPr>
              <w:t>成都龙大科技有限公司（原名成都</w:t>
            </w:r>
            <w:proofErr w:type="gramStart"/>
            <w:r w:rsidRPr="0063248C">
              <w:rPr>
                <w:rFonts w:cs="宋体"/>
                <w:sz w:val="18"/>
                <w:szCs w:val="18"/>
              </w:rPr>
              <w:t>逸享潮代供应</w:t>
            </w:r>
            <w:proofErr w:type="gramEnd"/>
            <w:r w:rsidRPr="0063248C">
              <w:rPr>
                <w:rFonts w:cs="宋体"/>
                <w:sz w:val="18"/>
                <w:szCs w:val="18"/>
              </w:rPr>
              <w:t>链管理有限公司）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00EB85D8" w14:textId="77777777" w:rsidR="007B3DB2" w:rsidRPr="0063248C" w:rsidRDefault="00000000">
            <w:pPr>
              <w:spacing w:line="240" w:lineRule="exact"/>
              <w:jc w:val="right"/>
              <w:rPr>
                <w:rFonts w:cs="宋体"/>
                <w:sz w:val="18"/>
                <w:szCs w:val="18"/>
              </w:rPr>
            </w:pPr>
            <w:r w:rsidRPr="0063248C">
              <w:rPr>
                <w:rFonts w:cs="宋体"/>
                <w:sz w:val="18"/>
                <w:szCs w:val="18"/>
              </w:rPr>
              <w:t>100,000,000.00</w:t>
            </w:r>
          </w:p>
        </w:tc>
        <w:tc>
          <w:tcPr>
            <w:tcW w:w="1205" w:type="dxa"/>
            <w:tcBorders>
              <w:top w:val="single" w:sz="2" w:space="0" w:color="auto"/>
              <w:left w:val="single" w:sz="2" w:space="0" w:color="auto"/>
              <w:bottom w:val="single" w:sz="2" w:space="0" w:color="auto"/>
              <w:right w:val="single" w:sz="2" w:space="0" w:color="auto"/>
            </w:tcBorders>
            <w:vAlign w:val="center"/>
          </w:tcPr>
          <w:p w14:paraId="667A5D2C" w14:textId="77777777" w:rsidR="007B3DB2" w:rsidRPr="0063248C" w:rsidRDefault="00000000">
            <w:pPr>
              <w:spacing w:line="240" w:lineRule="exact"/>
              <w:rPr>
                <w:rFonts w:cs="宋体"/>
                <w:sz w:val="18"/>
                <w:szCs w:val="18"/>
              </w:rPr>
            </w:pPr>
            <w:r w:rsidRPr="0063248C">
              <w:rPr>
                <w:rFonts w:cs="宋体"/>
                <w:sz w:val="18"/>
                <w:szCs w:val="18"/>
              </w:rPr>
              <w:t>四川省成都市</w:t>
            </w:r>
          </w:p>
        </w:tc>
        <w:tc>
          <w:tcPr>
            <w:tcW w:w="1205" w:type="dxa"/>
            <w:tcBorders>
              <w:top w:val="single" w:sz="2" w:space="0" w:color="auto"/>
              <w:left w:val="single" w:sz="2" w:space="0" w:color="auto"/>
              <w:bottom w:val="single" w:sz="2" w:space="0" w:color="auto"/>
              <w:right w:val="single" w:sz="2" w:space="0" w:color="auto"/>
            </w:tcBorders>
            <w:vAlign w:val="center"/>
          </w:tcPr>
          <w:p w14:paraId="7F55598B" w14:textId="77777777" w:rsidR="007B3DB2" w:rsidRPr="0063248C" w:rsidRDefault="00000000">
            <w:pPr>
              <w:spacing w:line="240" w:lineRule="exact"/>
              <w:rPr>
                <w:rFonts w:cs="宋体"/>
                <w:sz w:val="18"/>
                <w:szCs w:val="18"/>
              </w:rPr>
            </w:pPr>
            <w:r w:rsidRPr="0063248C">
              <w:rPr>
                <w:rFonts w:cs="宋体"/>
                <w:sz w:val="18"/>
                <w:szCs w:val="18"/>
              </w:rPr>
              <w:t>四川省成都市天府新区华阳街道华府大道</w:t>
            </w:r>
            <w:r w:rsidRPr="0063248C">
              <w:rPr>
                <w:rFonts w:cs="宋体"/>
                <w:sz w:val="18"/>
                <w:szCs w:val="18"/>
              </w:rPr>
              <w:t>1</w:t>
            </w:r>
            <w:r w:rsidRPr="0063248C">
              <w:rPr>
                <w:rFonts w:cs="宋体"/>
                <w:sz w:val="18"/>
                <w:szCs w:val="18"/>
              </w:rPr>
              <w:t>段</w:t>
            </w:r>
            <w:r w:rsidRPr="0063248C">
              <w:rPr>
                <w:rFonts w:cs="宋体"/>
                <w:sz w:val="18"/>
                <w:szCs w:val="18"/>
              </w:rPr>
              <w:t>1</w:t>
            </w:r>
            <w:r w:rsidRPr="0063248C">
              <w:rPr>
                <w:rFonts w:cs="宋体"/>
                <w:sz w:val="18"/>
                <w:szCs w:val="18"/>
              </w:rPr>
              <w:t>号</w:t>
            </w:r>
            <w:r w:rsidRPr="0063248C">
              <w:rPr>
                <w:rFonts w:cs="宋体"/>
                <w:sz w:val="18"/>
                <w:szCs w:val="18"/>
              </w:rPr>
              <w:t>1</w:t>
            </w:r>
            <w:r w:rsidRPr="0063248C">
              <w:rPr>
                <w:rFonts w:cs="宋体"/>
                <w:sz w:val="18"/>
                <w:szCs w:val="18"/>
              </w:rPr>
              <w:t>栋</w:t>
            </w:r>
            <w:r w:rsidRPr="0063248C">
              <w:rPr>
                <w:rFonts w:cs="宋体"/>
                <w:sz w:val="18"/>
                <w:szCs w:val="18"/>
              </w:rPr>
              <w:t>35</w:t>
            </w:r>
            <w:r w:rsidRPr="0063248C">
              <w:rPr>
                <w:rFonts w:cs="宋体"/>
                <w:sz w:val="18"/>
                <w:szCs w:val="18"/>
              </w:rPr>
              <w:t>层</w:t>
            </w:r>
            <w:r w:rsidRPr="0063248C">
              <w:rPr>
                <w:rFonts w:cs="宋体"/>
                <w:sz w:val="18"/>
                <w:szCs w:val="18"/>
              </w:rPr>
              <w:t>4</w:t>
            </w:r>
            <w:r w:rsidRPr="0063248C">
              <w:rPr>
                <w:rFonts w:cs="宋体"/>
                <w:sz w:val="18"/>
                <w:szCs w:val="18"/>
              </w:rPr>
              <w:t>号</w:t>
            </w:r>
          </w:p>
        </w:tc>
        <w:tc>
          <w:tcPr>
            <w:tcW w:w="1205" w:type="dxa"/>
            <w:tcBorders>
              <w:top w:val="single" w:sz="2" w:space="0" w:color="auto"/>
              <w:left w:val="single" w:sz="2" w:space="0" w:color="auto"/>
              <w:bottom w:val="single" w:sz="2" w:space="0" w:color="auto"/>
              <w:right w:val="single" w:sz="2" w:space="0" w:color="auto"/>
            </w:tcBorders>
            <w:vAlign w:val="center"/>
          </w:tcPr>
          <w:p w14:paraId="085918C5" w14:textId="77777777" w:rsidR="007B3DB2" w:rsidRPr="0063248C" w:rsidRDefault="00000000">
            <w:pPr>
              <w:spacing w:line="240" w:lineRule="exact"/>
              <w:rPr>
                <w:rFonts w:cs="宋体"/>
                <w:sz w:val="18"/>
                <w:szCs w:val="18"/>
              </w:rPr>
            </w:pPr>
            <w:r w:rsidRPr="0063248C">
              <w:rPr>
                <w:rFonts w:cs="宋体"/>
                <w:sz w:val="18"/>
                <w:szCs w:val="18"/>
              </w:rPr>
              <w:t>供应链管理服务</w:t>
            </w:r>
          </w:p>
        </w:tc>
        <w:tc>
          <w:tcPr>
            <w:tcW w:w="1205" w:type="dxa"/>
            <w:tcBorders>
              <w:top w:val="single" w:sz="2" w:space="0" w:color="auto"/>
              <w:left w:val="single" w:sz="2" w:space="0" w:color="auto"/>
              <w:bottom w:val="single" w:sz="2" w:space="0" w:color="auto"/>
              <w:right w:val="single" w:sz="2" w:space="0" w:color="auto"/>
            </w:tcBorders>
            <w:vAlign w:val="center"/>
          </w:tcPr>
          <w:p w14:paraId="5D17E700"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905D5FF"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6FEF8029"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5AB4DB88"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798DAA2D"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食品销售有限公司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4AC6747C" w14:textId="77777777" w:rsidR="007B3DB2" w:rsidRPr="0063248C" w:rsidRDefault="00000000">
            <w:pPr>
              <w:spacing w:line="240" w:lineRule="exact"/>
              <w:jc w:val="right"/>
              <w:rPr>
                <w:rFonts w:cs="宋体"/>
                <w:sz w:val="18"/>
                <w:szCs w:val="18"/>
              </w:rPr>
            </w:pPr>
            <w:r w:rsidRPr="0063248C">
              <w:rPr>
                <w:rFonts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14:paraId="3A6FA7DE" w14:textId="77777777" w:rsidR="007B3DB2" w:rsidRPr="0063248C" w:rsidRDefault="00000000">
            <w:pPr>
              <w:spacing w:line="240" w:lineRule="exact"/>
              <w:rPr>
                <w:rFonts w:cs="宋体"/>
                <w:sz w:val="18"/>
                <w:szCs w:val="18"/>
              </w:rPr>
            </w:pPr>
            <w:r w:rsidRPr="0063248C">
              <w:rPr>
                <w:rFonts w:cs="宋体"/>
                <w:sz w:val="18"/>
                <w:szCs w:val="18"/>
              </w:rPr>
              <w:t>山东省潍坊市</w:t>
            </w:r>
          </w:p>
        </w:tc>
        <w:tc>
          <w:tcPr>
            <w:tcW w:w="1205" w:type="dxa"/>
            <w:tcBorders>
              <w:top w:val="single" w:sz="2" w:space="0" w:color="auto"/>
              <w:left w:val="single" w:sz="2" w:space="0" w:color="auto"/>
              <w:bottom w:val="single" w:sz="2" w:space="0" w:color="auto"/>
              <w:right w:val="single" w:sz="2" w:space="0" w:color="auto"/>
            </w:tcBorders>
            <w:vAlign w:val="center"/>
          </w:tcPr>
          <w:p w14:paraId="6887BBEC" w14:textId="77777777" w:rsidR="007B3DB2" w:rsidRPr="0063248C" w:rsidRDefault="00000000">
            <w:pPr>
              <w:spacing w:line="240" w:lineRule="exact"/>
              <w:rPr>
                <w:rFonts w:cs="宋体"/>
                <w:sz w:val="18"/>
                <w:szCs w:val="18"/>
              </w:rPr>
            </w:pPr>
            <w:r w:rsidRPr="0063248C">
              <w:rPr>
                <w:rFonts w:cs="宋体"/>
                <w:sz w:val="18"/>
                <w:szCs w:val="18"/>
              </w:rPr>
              <w:t>山东省潍坊市安丘市景芝镇淮安路</w:t>
            </w:r>
            <w:r w:rsidRPr="0063248C">
              <w:rPr>
                <w:rFonts w:cs="宋体"/>
                <w:sz w:val="18"/>
                <w:szCs w:val="18"/>
              </w:rPr>
              <w:t>239</w:t>
            </w:r>
            <w:r w:rsidRPr="0063248C">
              <w:rPr>
                <w:rFonts w:cs="宋体"/>
                <w:sz w:val="18"/>
                <w:szCs w:val="18"/>
              </w:rPr>
              <w:t>号振</w:t>
            </w:r>
            <w:proofErr w:type="gramStart"/>
            <w:r w:rsidRPr="0063248C">
              <w:rPr>
                <w:rFonts w:cs="宋体"/>
                <w:sz w:val="18"/>
                <w:szCs w:val="18"/>
              </w:rPr>
              <w:t>祥</w:t>
            </w:r>
            <w:proofErr w:type="gramEnd"/>
            <w:r w:rsidRPr="0063248C">
              <w:rPr>
                <w:rFonts w:cs="宋体"/>
                <w:sz w:val="18"/>
                <w:szCs w:val="18"/>
              </w:rPr>
              <w:t>食品</w:t>
            </w:r>
            <w:proofErr w:type="gramStart"/>
            <w:r w:rsidRPr="0063248C">
              <w:rPr>
                <w:rFonts w:cs="宋体"/>
                <w:sz w:val="18"/>
                <w:szCs w:val="18"/>
              </w:rPr>
              <w:t>大门北</w:t>
            </w:r>
            <w:proofErr w:type="gramEnd"/>
            <w:r w:rsidRPr="0063248C">
              <w:rPr>
                <w:rFonts w:cs="宋体"/>
                <w:sz w:val="18"/>
                <w:szCs w:val="18"/>
              </w:rPr>
              <w:t>30</w:t>
            </w:r>
            <w:r w:rsidRPr="0063248C">
              <w:rPr>
                <w:rFonts w:cs="宋体"/>
                <w:sz w:val="18"/>
                <w:szCs w:val="18"/>
              </w:rPr>
              <w:t>米</w:t>
            </w:r>
          </w:p>
        </w:tc>
        <w:tc>
          <w:tcPr>
            <w:tcW w:w="1205" w:type="dxa"/>
            <w:tcBorders>
              <w:top w:val="single" w:sz="2" w:space="0" w:color="auto"/>
              <w:left w:val="single" w:sz="2" w:space="0" w:color="auto"/>
              <w:bottom w:val="single" w:sz="2" w:space="0" w:color="auto"/>
              <w:right w:val="single" w:sz="2" w:space="0" w:color="auto"/>
            </w:tcBorders>
            <w:vAlign w:val="center"/>
          </w:tcPr>
          <w:p w14:paraId="3A41497E" w14:textId="77777777" w:rsidR="007B3DB2" w:rsidRPr="0063248C" w:rsidRDefault="00000000">
            <w:pPr>
              <w:spacing w:line="240" w:lineRule="exact"/>
              <w:rPr>
                <w:rFonts w:cs="宋体"/>
                <w:sz w:val="18"/>
                <w:szCs w:val="18"/>
              </w:rPr>
            </w:pPr>
            <w:r w:rsidRPr="0063248C">
              <w:rPr>
                <w:rFonts w:cs="宋体"/>
                <w:sz w:val="18"/>
                <w:szCs w:val="18"/>
              </w:rPr>
              <w:t>销售食品</w:t>
            </w:r>
          </w:p>
        </w:tc>
        <w:tc>
          <w:tcPr>
            <w:tcW w:w="1205" w:type="dxa"/>
            <w:tcBorders>
              <w:top w:val="single" w:sz="2" w:space="0" w:color="auto"/>
              <w:left w:val="single" w:sz="2" w:space="0" w:color="auto"/>
              <w:bottom w:val="single" w:sz="2" w:space="0" w:color="auto"/>
              <w:right w:val="single" w:sz="2" w:space="0" w:color="auto"/>
            </w:tcBorders>
            <w:vAlign w:val="center"/>
          </w:tcPr>
          <w:p w14:paraId="75AD2ACE"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F501E58" w14:textId="77777777" w:rsidR="007B3DB2" w:rsidRPr="0063248C" w:rsidRDefault="00000000">
            <w:pPr>
              <w:spacing w:line="240" w:lineRule="exact"/>
              <w:jc w:val="right"/>
              <w:rPr>
                <w:rFonts w:cs="宋体"/>
                <w:sz w:val="18"/>
                <w:szCs w:val="18"/>
              </w:rPr>
            </w:pPr>
            <w:r w:rsidRPr="0063248C">
              <w:rPr>
                <w:rFonts w:cs="宋体"/>
                <w:sz w:val="18"/>
                <w:szCs w:val="18"/>
              </w:rPr>
              <w:t>70.00%</w:t>
            </w:r>
          </w:p>
        </w:tc>
        <w:tc>
          <w:tcPr>
            <w:tcW w:w="1205" w:type="dxa"/>
            <w:tcBorders>
              <w:top w:val="single" w:sz="2" w:space="0" w:color="auto"/>
              <w:left w:val="single" w:sz="2" w:space="0" w:color="auto"/>
              <w:bottom w:val="single" w:sz="2" w:space="0" w:color="auto"/>
              <w:right w:val="single" w:sz="2" w:space="0" w:color="auto"/>
            </w:tcBorders>
            <w:vAlign w:val="center"/>
          </w:tcPr>
          <w:p w14:paraId="0FA8D30A"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3371A162"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6756D362" w14:textId="77777777" w:rsidR="007B3DB2" w:rsidRPr="0063248C" w:rsidRDefault="00000000">
            <w:pPr>
              <w:spacing w:line="240" w:lineRule="exact"/>
              <w:rPr>
                <w:rFonts w:cs="宋体"/>
                <w:sz w:val="18"/>
                <w:szCs w:val="18"/>
              </w:rPr>
            </w:pPr>
            <w:r w:rsidRPr="0063248C">
              <w:rPr>
                <w:rFonts w:cs="宋体"/>
                <w:sz w:val="18"/>
                <w:szCs w:val="18"/>
              </w:rPr>
              <w:t>龙大美食</w:t>
            </w:r>
            <w:r w:rsidRPr="0063248C">
              <w:rPr>
                <w:rFonts w:cs="宋体"/>
                <w:sz w:val="18"/>
                <w:szCs w:val="18"/>
              </w:rPr>
              <w:t>(</w:t>
            </w:r>
            <w:r w:rsidRPr="0063248C">
              <w:rPr>
                <w:rFonts w:cs="宋体"/>
                <w:sz w:val="18"/>
                <w:szCs w:val="18"/>
              </w:rPr>
              <w:t>北京</w:t>
            </w:r>
            <w:r w:rsidRPr="0063248C">
              <w:rPr>
                <w:rFonts w:cs="宋体"/>
                <w:sz w:val="18"/>
                <w:szCs w:val="18"/>
              </w:rPr>
              <w:t>)</w:t>
            </w:r>
            <w:r w:rsidRPr="0063248C">
              <w:rPr>
                <w:rFonts w:cs="宋体"/>
                <w:sz w:val="18"/>
                <w:szCs w:val="18"/>
              </w:rPr>
              <w:t>食品科技有限公司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08F854C9" w14:textId="77777777" w:rsidR="007B3DB2" w:rsidRPr="0063248C" w:rsidRDefault="00000000">
            <w:pPr>
              <w:spacing w:line="240" w:lineRule="exact"/>
              <w:jc w:val="right"/>
              <w:rPr>
                <w:rFonts w:cs="宋体"/>
                <w:sz w:val="18"/>
                <w:szCs w:val="18"/>
              </w:rPr>
            </w:pPr>
            <w:r w:rsidRPr="0063248C">
              <w:rPr>
                <w:rFonts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39D95200" w14:textId="77777777" w:rsidR="007B3DB2" w:rsidRPr="0063248C" w:rsidRDefault="00000000">
            <w:pPr>
              <w:spacing w:line="240" w:lineRule="exact"/>
              <w:rPr>
                <w:rFonts w:cs="宋体"/>
                <w:sz w:val="18"/>
                <w:szCs w:val="18"/>
              </w:rPr>
            </w:pPr>
            <w:r w:rsidRPr="0063248C">
              <w:rPr>
                <w:rFonts w:cs="宋体"/>
                <w:sz w:val="18"/>
                <w:szCs w:val="18"/>
              </w:rPr>
              <w:t>北京市经济技术开发区</w:t>
            </w:r>
          </w:p>
        </w:tc>
        <w:tc>
          <w:tcPr>
            <w:tcW w:w="1205" w:type="dxa"/>
            <w:tcBorders>
              <w:top w:val="single" w:sz="2" w:space="0" w:color="auto"/>
              <w:left w:val="single" w:sz="2" w:space="0" w:color="auto"/>
              <w:bottom w:val="single" w:sz="2" w:space="0" w:color="auto"/>
              <w:right w:val="single" w:sz="2" w:space="0" w:color="auto"/>
            </w:tcBorders>
            <w:vAlign w:val="center"/>
          </w:tcPr>
          <w:p w14:paraId="612B9F91" w14:textId="77777777" w:rsidR="007B3DB2" w:rsidRPr="0063248C" w:rsidRDefault="00000000">
            <w:pPr>
              <w:spacing w:line="240" w:lineRule="exact"/>
              <w:rPr>
                <w:rFonts w:cs="宋体"/>
                <w:sz w:val="18"/>
                <w:szCs w:val="18"/>
              </w:rPr>
            </w:pPr>
            <w:r w:rsidRPr="0063248C">
              <w:rPr>
                <w:rFonts w:cs="宋体"/>
                <w:sz w:val="18"/>
                <w:szCs w:val="18"/>
              </w:rPr>
              <w:t>北京市北京经济技术开发区文化园西路</w:t>
            </w:r>
            <w:r w:rsidRPr="0063248C">
              <w:rPr>
                <w:rFonts w:cs="宋体"/>
                <w:sz w:val="18"/>
                <w:szCs w:val="18"/>
              </w:rPr>
              <w:t>8</w:t>
            </w:r>
            <w:r w:rsidRPr="0063248C">
              <w:rPr>
                <w:rFonts w:cs="宋体"/>
                <w:sz w:val="18"/>
                <w:szCs w:val="18"/>
              </w:rPr>
              <w:t>号院</w:t>
            </w:r>
            <w:r w:rsidRPr="0063248C">
              <w:rPr>
                <w:rFonts w:cs="宋体"/>
                <w:sz w:val="18"/>
                <w:szCs w:val="18"/>
              </w:rPr>
              <w:t>41</w:t>
            </w:r>
            <w:r w:rsidRPr="0063248C">
              <w:rPr>
                <w:rFonts w:cs="宋体"/>
                <w:sz w:val="18"/>
                <w:szCs w:val="18"/>
              </w:rPr>
              <w:t>号楼</w:t>
            </w:r>
            <w:r w:rsidRPr="0063248C">
              <w:rPr>
                <w:rFonts w:cs="宋体"/>
                <w:sz w:val="18"/>
                <w:szCs w:val="18"/>
              </w:rPr>
              <w:t>1</w:t>
            </w:r>
            <w:r w:rsidRPr="0063248C">
              <w:rPr>
                <w:rFonts w:cs="宋体"/>
                <w:sz w:val="18"/>
                <w:szCs w:val="18"/>
              </w:rPr>
              <w:t>层</w:t>
            </w:r>
            <w:r w:rsidRPr="0063248C">
              <w:rPr>
                <w:rFonts w:cs="宋体"/>
                <w:sz w:val="18"/>
                <w:szCs w:val="18"/>
              </w:rPr>
              <w:t>102</w:t>
            </w:r>
          </w:p>
        </w:tc>
        <w:tc>
          <w:tcPr>
            <w:tcW w:w="1205" w:type="dxa"/>
            <w:tcBorders>
              <w:top w:val="single" w:sz="2" w:space="0" w:color="auto"/>
              <w:left w:val="single" w:sz="2" w:space="0" w:color="auto"/>
              <w:bottom w:val="single" w:sz="2" w:space="0" w:color="auto"/>
              <w:right w:val="single" w:sz="2" w:space="0" w:color="auto"/>
            </w:tcBorders>
            <w:vAlign w:val="center"/>
          </w:tcPr>
          <w:p w14:paraId="61956826" w14:textId="77777777" w:rsidR="007B3DB2" w:rsidRPr="0063248C" w:rsidRDefault="00000000">
            <w:pPr>
              <w:spacing w:line="240" w:lineRule="exact"/>
              <w:rPr>
                <w:rFonts w:cs="宋体"/>
                <w:sz w:val="18"/>
                <w:szCs w:val="18"/>
              </w:rPr>
            </w:pPr>
            <w:r w:rsidRPr="0063248C">
              <w:rPr>
                <w:rFonts w:cs="宋体"/>
                <w:sz w:val="18"/>
                <w:szCs w:val="18"/>
              </w:rPr>
              <w:t>食品销售</w:t>
            </w:r>
          </w:p>
        </w:tc>
        <w:tc>
          <w:tcPr>
            <w:tcW w:w="1205" w:type="dxa"/>
            <w:tcBorders>
              <w:top w:val="single" w:sz="2" w:space="0" w:color="auto"/>
              <w:left w:val="single" w:sz="2" w:space="0" w:color="auto"/>
              <w:bottom w:val="single" w:sz="2" w:space="0" w:color="auto"/>
              <w:right w:val="single" w:sz="2" w:space="0" w:color="auto"/>
            </w:tcBorders>
            <w:vAlign w:val="center"/>
          </w:tcPr>
          <w:p w14:paraId="3BC957EA"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63E8B3E"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8709E32"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4EB5F2BD"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2948EF70" w14:textId="77777777" w:rsidR="007B3DB2" w:rsidRPr="0063248C" w:rsidRDefault="00000000">
            <w:pPr>
              <w:spacing w:line="240" w:lineRule="exact"/>
              <w:rPr>
                <w:rFonts w:cs="宋体"/>
                <w:sz w:val="18"/>
                <w:szCs w:val="18"/>
              </w:rPr>
            </w:pPr>
            <w:r w:rsidRPr="0063248C">
              <w:rPr>
                <w:rFonts w:cs="宋体"/>
                <w:sz w:val="18"/>
                <w:szCs w:val="18"/>
              </w:rPr>
              <w:t>龙大美食</w:t>
            </w:r>
            <w:r w:rsidRPr="0063248C">
              <w:rPr>
                <w:rFonts w:cs="宋体"/>
                <w:sz w:val="18"/>
                <w:szCs w:val="18"/>
              </w:rPr>
              <w:t>(</w:t>
            </w:r>
            <w:r w:rsidRPr="0063248C">
              <w:rPr>
                <w:rFonts w:cs="宋体"/>
                <w:sz w:val="18"/>
                <w:szCs w:val="18"/>
              </w:rPr>
              <w:t>上海</w:t>
            </w:r>
            <w:r w:rsidRPr="0063248C">
              <w:rPr>
                <w:rFonts w:cs="宋体"/>
                <w:sz w:val="18"/>
                <w:szCs w:val="18"/>
              </w:rPr>
              <w:t>)</w:t>
            </w:r>
            <w:r w:rsidRPr="0063248C">
              <w:rPr>
                <w:rFonts w:cs="宋体"/>
                <w:sz w:val="18"/>
                <w:szCs w:val="18"/>
              </w:rPr>
              <w:t>食品科技有限公司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6E16766C" w14:textId="77777777" w:rsidR="007B3DB2" w:rsidRPr="0063248C" w:rsidRDefault="00000000">
            <w:pPr>
              <w:spacing w:line="240" w:lineRule="exact"/>
              <w:jc w:val="right"/>
              <w:rPr>
                <w:rFonts w:cs="宋体"/>
                <w:sz w:val="18"/>
                <w:szCs w:val="18"/>
              </w:rPr>
            </w:pPr>
            <w:r w:rsidRPr="0063248C">
              <w:rPr>
                <w:rFonts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6ECA0C29" w14:textId="77777777" w:rsidR="007B3DB2" w:rsidRPr="0063248C" w:rsidRDefault="00000000">
            <w:pPr>
              <w:spacing w:line="240" w:lineRule="exact"/>
              <w:rPr>
                <w:rFonts w:cs="宋体"/>
                <w:sz w:val="18"/>
                <w:szCs w:val="18"/>
              </w:rPr>
            </w:pPr>
            <w:r w:rsidRPr="0063248C">
              <w:rPr>
                <w:rFonts w:cs="宋体"/>
                <w:sz w:val="18"/>
                <w:szCs w:val="18"/>
              </w:rPr>
              <w:t>上海市青浦区</w:t>
            </w:r>
          </w:p>
        </w:tc>
        <w:tc>
          <w:tcPr>
            <w:tcW w:w="1205" w:type="dxa"/>
            <w:tcBorders>
              <w:top w:val="single" w:sz="2" w:space="0" w:color="auto"/>
              <w:left w:val="single" w:sz="2" w:space="0" w:color="auto"/>
              <w:bottom w:val="single" w:sz="2" w:space="0" w:color="auto"/>
              <w:right w:val="single" w:sz="2" w:space="0" w:color="auto"/>
            </w:tcBorders>
            <w:vAlign w:val="center"/>
          </w:tcPr>
          <w:p w14:paraId="584175B5" w14:textId="77777777" w:rsidR="007B3DB2" w:rsidRPr="0063248C" w:rsidRDefault="00000000">
            <w:pPr>
              <w:spacing w:line="240" w:lineRule="exact"/>
              <w:rPr>
                <w:rFonts w:cs="宋体"/>
                <w:sz w:val="18"/>
                <w:szCs w:val="18"/>
              </w:rPr>
            </w:pPr>
            <w:r w:rsidRPr="0063248C">
              <w:rPr>
                <w:rFonts w:cs="宋体"/>
                <w:sz w:val="18"/>
                <w:szCs w:val="18"/>
              </w:rPr>
              <w:t>上海市闵行区江月路</w:t>
            </w:r>
            <w:r w:rsidRPr="0063248C">
              <w:rPr>
                <w:rFonts w:cs="宋体"/>
                <w:sz w:val="18"/>
                <w:szCs w:val="18"/>
              </w:rPr>
              <w:t>999</w:t>
            </w:r>
            <w:r w:rsidRPr="0063248C">
              <w:rPr>
                <w:rFonts w:cs="宋体"/>
                <w:sz w:val="18"/>
                <w:szCs w:val="18"/>
              </w:rPr>
              <w:t>号</w:t>
            </w:r>
            <w:r w:rsidRPr="0063248C">
              <w:rPr>
                <w:rFonts w:cs="宋体"/>
                <w:sz w:val="18"/>
                <w:szCs w:val="18"/>
              </w:rPr>
              <w:t>12</w:t>
            </w:r>
            <w:r w:rsidRPr="0063248C">
              <w:rPr>
                <w:rFonts w:cs="宋体"/>
                <w:sz w:val="18"/>
                <w:szCs w:val="18"/>
              </w:rPr>
              <w:t>幢</w:t>
            </w:r>
            <w:r w:rsidRPr="0063248C">
              <w:rPr>
                <w:rFonts w:cs="宋体"/>
                <w:sz w:val="18"/>
                <w:szCs w:val="18"/>
              </w:rPr>
              <w:t>309-A</w:t>
            </w:r>
            <w:r w:rsidRPr="0063248C">
              <w:rPr>
                <w:rFonts w:cs="宋体"/>
                <w:sz w:val="18"/>
                <w:szCs w:val="18"/>
              </w:rPr>
              <w:t>室</w:t>
            </w:r>
          </w:p>
        </w:tc>
        <w:tc>
          <w:tcPr>
            <w:tcW w:w="1205" w:type="dxa"/>
            <w:tcBorders>
              <w:top w:val="single" w:sz="2" w:space="0" w:color="auto"/>
              <w:left w:val="single" w:sz="2" w:space="0" w:color="auto"/>
              <w:bottom w:val="single" w:sz="2" w:space="0" w:color="auto"/>
              <w:right w:val="single" w:sz="2" w:space="0" w:color="auto"/>
            </w:tcBorders>
            <w:vAlign w:val="center"/>
          </w:tcPr>
          <w:p w14:paraId="624D817C" w14:textId="77777777" w:rsidR="007B3DB2" w:rsidRPr="0063248C" w:rsidRDefault="00000000">
            <w:pPr>
              <w:spacing w:line="240" w:lineRule="exact"/>
              <w:rPr>
                <w:rFonts w:cs="宋体"/>
                <w:sz w:val="18"/>
                <w:szCs w:val="18"/>
              </w:rPr>
            </w:pPr>
            <w:r w:rsidRPr="0063248C">
              <w:rPr>
                <w:rFonts w:cs="宋体"/>
                <w:sz w:val="18"/>
                <w:szCs w:val="18"/>
              </w:rPr>
              <w:t>食品销售</w:t>
            </w:r>
          </w:p>
        </w:tc>
        <w:tc>
          <w:tcPr>
            <w:tcW w:w="1205" w:type="dxa"/>
            <w:tcBorders>
              <w:top w:val="single" w:sz="2" w:space="0" w:color="auto"/>
              <w:left w:val="single" w:sz="2" w:space="0" w:color="auto"/>
              <w:bottom w:val="single" w:sz="2" w:space="0" w:color="auto"/>
              <w:right w:val="single" w:sz="2" w:space="0" w:color="auto"/>
            </w:tcBorders>
            <w:vAlign w:val="center"/>
          </w:tcPr>
          <w:p w14:paraId="526D5EFE"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8E21429"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242C333A" w14:textId="77777777" w:rsidR="007B3DB2" w:rsidRPr="0063248C" w:rsidRDefault="00000000">
            <w:pPr>
              <w:spacing w:line="240" w:lineRule="exact"/>
              <w:rPr>
                <w:rFonts w:cs="宋体"/>
                <w:sz w:val="18"/>
                <w:szCs w:val="18"/>
              </w:rPr>
            </w:pPr>
            <w:r w:rsidRPr="0063248C">
              <w:rPr>
                <w:rFonts w:cs="宋体"/>
                <w:sz w:val="18"/>
                <w:szCs w:val="18"/>
              </w:rPr>
              <w:t>设立</w:t>
            </w:r>
          </w:p>
        </w:tc>
      </w:tr>
      <w:tr w:rsidR="007B3DB2" w:rsidRPr="0063248C" w14:paraId="0DDEFD0C" w14:textId="77777777" w:rsidTr="000F65D3">
        <w:trPr>
          <w:trHeight w:val="240"/>
        </w:trPr>
        <w:tc>
          <w:tcPr>
            <w:tcW w:w="1083" w:type="dxa"/>
            <w:tcBorders>
              <w:top w:val="single" w:sz="2" w:space="0" w:color="auto"/>
              <w:left w:val="single" w:sz="2" w:space="0" w:color="auto"/>
              <w:bottom w:val="single" w:sz="2" w:space="0" w:color="auto"/>
              <w:right w:val="single" w:sz="2" w:space="0" w:color="auto"/>
            </w:tcBorders>
            <w:vAlign w:val="center"/>
          </w:tcPr>
          <w:p w14:paraId="352E1F1E" w14:textId="77777777" w:rsidR="007B3DB2" w:rsidRPr="0063248C" w:rsidRDefault="00000000">
            <w:pPr>
              <w:spacing w:line="240" w:lineRule="exact"/>
              <w:rPr>
                <w:rFonts w:cs="宋体"/>
                <w:sz w:val="18"/>
                <w:szCs w:val="18"/>
              </w:rPr>
            </w:pPr>
            <w:r w:rsidRPr="0063248C">
              <w:rPr>
                <w:rFonts w:cs="宋体"/>
                <w:sz w:val="18"/>
                <w:szCs w:val="18"/>
              </w:rPr>
              <w:t>龙大美食</w:t>
            </w:r>
            <w:r w:rsidRPr="0063248C">
              <w:rPr>
                <w:rFonts w:cs="宋体"/>
                <w:sz w:val="18"/>
                <w:szCs w:val="18"/>
              </w:rPr>
              <w:t>(</w:t>
            </w:r>
            <w:r w:rsidRPr="0063248C">
              <w:rPr>
                <w:rFonts w:cs="宋体"/>
                <w:sz w:val="18"/>
                <w:szCs w:val="18"/>
              </w:rPr>
              <w:t>广东</w:t>
            </w:r>
            <w:r w:rsidRPr="0063248C">
              <w:rPr>
                <w:rFonts w:cs="宋体"/>
                <w:sz w:val="18"/>
                <w:szCs w:val="18"/>
              </w:rPr>
              <w:t>)</w:t>
            </w:r>
            <w:r w:rsidRPr="0063248C">
              <w:rPr>
                <w:rFonts w:cs="宋体"/>
                <w:sz w:val="18"/>
                <w:szCs w:val="18"/>
              </w:rPr>
              <w:t>食品科技有限公司</w:t>
            </w:r>
          </w:p>
        </w:tc>
        <w:tc>
          <w:tcPr>
            <w:tcW w:w="1326" w:type="dxa"/>
            <w:tcBorders>
              <w:top w:val="single" w:sz="2" w:space="0" w:color="auto"/>
              <w:left w:val="single" w:sz="2" w:space="0" w:color="auto"/>
              <w:bottom w:val="single" w:sz="2" w:space="0" w:color="auto"/>
              <w:right w:val="single" w:sz="2" w:space="0" w:color="auto"/>
            </w:tcBorders>
            <w:vAlign w:val="center"/>
          </w:tcPr>
          <w:p w14:paraId="456C8F4D" w14:textId="77777777" w:rsidR="007B3DB2" w:rsidRPr="0063248C" w:rsidRDefault="00000000">
            <w:pPr>
              <w:spacing w:line="240" w:lineRule="exact"/>
              <w:jc w:val="right"/>
              <w:rPr>
                <w:rFonts w:cs="宋体"/>
                <w:sz w:val="18"/>
                <w:szCs w:val="18"/>
              </w:rPr>
            </w:pPr>
            <w:r w:rsidRPr="0063248C">
              <w:rPr>
                <w:rFonts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70C248CC" w14:textId="77777777" w:rsidR="007B3DB2" w:rsidRPr="0063248C" w:rsidRDefault="00000000">
            <w:pPr>
              <w:spacing w:line="240" w:lineRule="exact"/>
              <w:rPr>
                <w:rFonts w:cs="宋体"/>
                <w:sz w:val="18"/>
                <w:szCs w:val="18"/>
              </w:rPr>
            </w:pPr>
            <w:r w:rsidRPr="0063248C">
              <w:rPr>
                <w:rFonts w:cs="宋体"/>
                <w:sz w:val="18"/>
                <w:szCs w:val="18"/>
              </w:rPr>
              <w:t>广东省东莞市</w:t>
            </w:r>
          </w:p>
        </w:tc>
        <w:tc>
          <w:tcPr>
            <w:tcW w:w="1205" w:type="dxa"/>
            <w:tcBorders>
              <w:top w:val="single" w:sz="2" w:space="0" w:color="auto"/>
              <w:left w:val="single" w:sz="2" w:space="0" w:color="auto"/>
              <w:bottom w:val="single" w:sz="2" w:space="0" w:color="auto"/>
              <w:right w:val="single" w:sz="2" w:space="0" w:color="auto"/>
            </w:tcBorders>
            <w:vAlign w:val="center"/>
          </w:tcPr>
          <w:p w14:paraId="686FB36B" w14:textId="77777777" w:rsidR="007B3DB2" w:rsidRPr="0063248C" w:rsidRDefault="00000000">
            <w:pPr>
              <w:spacing w:line="240" w:lineRule="exact"/>
              <w:rPr>
                <w:rFonts w:cs="宋体"/>
                <w:sz w:val="18"/>
                <w:szCs w:val="18"/>
              </w:rPr>
            </w:pPr>
            <w:r w:rsidRPr="0063248C">
              <w:rPr>
                <w:rFonts w:cs="宋体"/>
                <w:sz w:val="18"/>
                <w:szCs w:val="18"/>
              </w:rPr>
              <w:t>广东省东莞市大朗镇竹山竹园二路二街</w:t>
            </w:r>
            <w:r w:rsidRPr="0063248C">
              <w:rPr>
                <w:rFonts w:cs="宋体"/>
                <w:sz w:val="18"/>
                <w:szCs w:val="18"/>
              </w:rPr>
              <w:t>1</w:t>
            </w:r>
            <w:r w:rsidRPr="0063248C">
              <w:rPr>
                <w:rFonts w:cs="宋体"/>
                <w:sz w:val="18"/>
                <w:szCs w:val="18"/>
              </w:rPr>
              <w:t>号</w:t>
            </w:r>
            <w:r w:rsidRPr="0063248C">
              <w:rPr>
                <w:rFonts w:cs="宋体"/>
                <w:sz w:val="18"/>
                <w:szCs w:val="18"/>
              </w:rPr>
              <w:t>105</w:t>
            </w:r>
            <w:r w:rsidRPr="0063248C">
              <w:rPr>
                <w:rFonts w:cs="宋体"/>
                <w:sz w:val="18"/>
                <w:szCs w:val="18"/>
              </w:rPr>
              <w:t>室</w:t>
            </w:r>
          </w:p>
        </w:tc>
        <w:tc>
          <w:tcPr>
            <w:tcW w:w="1205" w:type="dxa"/>
            <w:tcBorders>
              <w:top w:val="single" w:sz="2" w:space="0" w:color="auto"/>
              <w:left w:val="single" w:sz="2" w:space="0" w:color="auto"/>
              <w:bottom w:val="single" w:sz="2" w:space="0" w:color="auto"/>
              <w:right w:val="single" w:sz="2" w:space="0" w:color="auto"/>
            </w:tcBorders>
            <w:vAlign w:val="center"/>
          </w:tcPr>
          <w:p w14:paraId="2042ECB6" w14:textId="77777777" w:rsidR="007B3DB2" w:rsidRPr="0063248C" w:rsidRDefault="00000000">
            <w:pPr>
              <w:spacing w:line="240" w:lineRule="exact"/>
              <w:rPr>
                <w:rFonts w:cs="宋体"/>
                <w:sz w:val="18"/>
                <w:szCs w:val="18"/>
              </w:rPr>
            </w:pPr>
            <w:r w:rsidRPr="0063248C">
              <w:rPr>
                <w:rFonts w:cs="宋体"/>
                <w:sz w:val="18"/>
                <w:szCs w:val="18"/>
              </w:rPr>
              <w:t>食品销售</w:t>
            </w:r>
          </w:p>
        </w:tc>
        <w:tc>
          <w:tcPr>
            <w:tcW w:w="1205" w:type="dxa"/>
            <w:tcBorders>
              <w:top w:val="single" w:sz="2" w:space="0" w:color="auto"/>
              <w:left w:val="single" w:sz="2" w:space="0" w:color="auto"/>
              <w:bottom w:val="single" w:sz="2" w:space="0" w:color="auto"/>
              <w:right w:val="single" w:sz="2" w:space="0" w:color="auto"/>
            </w:tcBorders>
            <w:vAlign w:val="center"/>
          </w:tcPr>
          <w:p w14:paraId="427FB79E"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8B3F666"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B008443" w14:textId="77777777" w:rsidR="007B3DB2" w:rsidRPr="0063248C" w:rsidRDefault="00000000">
            <w:pPr>
              <w:spacing w:line="240" w:lineRule="exact"/>
              <w:rPr>
                <w:rFonts w:cs="宋体"/>
                <w:sz w:val="18"/>
                <w:szCs w:val="18"/>
              </w:rPr>
            </w:pPr>
            <w:r w:rsidRPr="0063248C">
              <w:rPr>
                <w:rFonts w:cs="宋体"/>
                <w:sz w:val="18"/>
                <w:szCs w:val="18"/>
              </w:rPr>
              <w:t>设立</w:t>
            </w:r>
          </w:p>
        </w:tc>
      </w:tr>
    </w:tbl>
    <w:p w14:paraId="3E9E6ED4" w14:textId="77777777" w:rsidR="007B3DB2" w:rsidRPr="0063248C" w:rsidRDefault="00000000">
      <w:pPr>
        <w:spacing w:before="100" w:after="100" w:line="240" w:lineRule="exact"/>
        <w:rPr>
          <w:rFonts w:cs="宋体"/>
          <w:sz w:val="18"/>
          <w:szCs w:val="18"/>
        </w:rPr>
      </w:pPr>
      <w:r w:rsidRPr="0063248C">
        <w:rPr>
          <w:rFonts w:cs="宋体"/>
          <w:sz w:val="18"/>
          <w:szCs w:val="18"/>
        </w:rPr>
        <w:t>在子公司的持股比例不同于表决权比例的说明：</w:t>
      </w:r>
    </w:p>
    <w:p w14:paraId="5F0EA111" w14:textId="77777777" w:rsidR="00517D34" w:rsidRPr="0063248C" w:rsidRDefault="00000000">
      <w:pPr>
        <w:pStyle w:val="a3"/>
        <w:divId w:val="1640262309"/>
        <w:rPr>
          <w:rFonts w:ascii="Times New Roman" w:hAnsi="Times New Roman"/>
          <w:sz w:val="18"/>
          <w:szCs w:val="18"/>
        </w:rPr>
      </w:pPr>
      <w:r w:rsidRPr="0063248C">
        <w:rPr>
          <w:rFonts w:ascii="Times New Roman" w:hAnsi="Times New Roman" w:hint="eastAsia"/>
          <w:sz w:val="18"/>
          <w:szCs w:val="18"/>
        </w:rPr>
        <w:t>无</w:t>
      </w:r>
    </w:p>
    <w:p w14:paraId="4F45F226" w14:textId="77777777" w:rsidR="007B3DB2" w:rsidRPr="0063248C" w:rsidRDefault="00000000">
      <w:pPr>
        <w:spacing w:before="100" w:after="100" w:line="240" w:lineRule="exact"/>
        <w:rPr>
          <w:rFonts w:cs="宋体"/>
          <w:sz w:val="18"/>
          <w:szCs w:val="18"/>
        </w:rPr>
      </w:pPr>
      <w:r w:rsidRPr="0063248C">
        <w:rPr>
          <w:rFonts w:cs="宋体"/>
          <w:sz w:val="18"/>
          <w:szCs w:val="18"/>
        </w:rPr>
        <w:t>持有半数或以下表决权但仍控制被投资单位、以及持有半数以上表决权但不控制被投资单位的依据：</w:t>
      </w:r>
    </w:p>
    <w:p w14:paraId="49678800" w14:textId="77777777" w:rsidR="00517D34" w:rsidRPr="0063248C" w:rsidRDefault="00000000">
      <w:pPr>
        <w:pStyle w:val="a3"/>
        <w:divId w:val="1785419667"/>
        <w:rPr>
          <w:rFonts w:ascii="Times New Roman" w:hAnsi="Times New Roman"/>
          <w:sz w:val="18"/>
          <w:szCs w:val="18"/>
        </w:rPr>
      </w:pPr>
      <w:r w:rsidRPr="0063248C">
        <w:rPr>
          <w:rFonts w:ascii="Times New Roman" w:hAnsi="Times New Roman" w:hint="eastAsia"/>
          <w:sz w:val="18"/>
          <w:szCs w:val="18"/>
        </w:rPr>
        <w:t>无</w:t>
      </w:r>
    </w:p>
    <w:p w14:paraId="23D94CEE" w14:textId="77777777" w:rsidR="007B3DB2" w:rsidRPr="0063248C" w:rsidRDefault="00000000">
      <w:pPr>
        <w:spacing w:before="100" w:after="100" w:line="240" w:lineRule="exact"/>
        <w:rPr>
          <w:rFonts w:cs="宋体"/>
          <w:sz w:val="18"/>
          <w:szCs w:val="18"/>
        </w:rPr>
      </w:pPr>
      <w:r w:rsidRPr="0063248C">
        <w:rPr>
          <w:rFonts w:cs="宋体"/>
          <w:sz w:val="18"/>
          <w:szCs w:val="18"/>
        </w:rPr>
        <w:t>对于纳入合并范围的重要的结构化主体，控制的依据：</w:t>
      </w:r>
    </w:p>
    <w:p w14:paraId="626913A3" w14:textId="77777777" w:rsidR="00517D34" w:rsidRPr="0063248C" w:rsidRDefault="00000000">
      <w:pPr>
        <w:pStyle w:val="a3"/>
        <w:divId w:val="1275020233"/>
        <w:rPr>
          <w:rFonts w:ascii="Times New Roman" w:hAnsi="Times New Roman"/>
          <w:sz w:val="18"/>
          <w:szCs w:val="18"/>
        </w:rPr>
      </w:pPr>
      <w:r w:rsidRPr="0063248C">
        <w:rPr>
          <w:rFonts w:ascii="Times New Roman" w:hAnsi="Times New Roman" w:hint="eastAsia"/>
          <w:sz w:val="18"/>
          <w:szCs w:val="18"/>
        </w:rPr>
        <w:lastRenderedPageBreak/>
        <w:t>无</w:t>
      </w:r>
    </w:p>
    <w:p w14:paraId="7423317F" w14:textId="77777777" w:rsidR="007B3DB2" w:rsidRPr="0063248C" w:rsidRDefault="00000000">
      <w:pPr>
        <w:spacing w:before="100" w:after="100" w:line="240" w:lineRule="exact"/>
        <w:rPr>
          <w:rFonts w:cs="宋体"/>
          <w:sz w:val="18"/>
          <w:szCs w:val="18"/>
        </w:rPr>
      </w:pPr>
      <w:r w:rsidRPr="0063248C">
        <w:rPr>
          <w:rFonts w:cs="宋体"/>
          <w:sz w:val="18"/>
          <w:szCs w:val="18"/>
        </w:rPr>
        <w:t>确定公司是代理人还是委托人的依据：</w:t>
      </w:r>
    </w:p>
    <w:p w14:paraId="052EDAD0" w14:textId="77777777" w:rsidR="00517D34" w:rsidRPr="0063248C" w:rsidRDefault="00000000">
      <w:pPr>
        <w:pStyle w:val="a3"/>
        <w:divId w:val="2174671"/>
        <w:rPr>
          <w:rFonts w:ascii="Times New Roman" w:hAnsi="Times New Roman"/>
          <w:sz w:val="18"/>
          <w:szCs w:val="18"/>
        </w:rPr>
      </w:pPr>
      <w:r w:rsidRPr="0063248C">
        <w:rPr>
          <w:rFonts w:ascii="Times New Roman" w:hAnsi="Times New Roman" w:hint="eastAsia"/>
          <w:sz w:val="18"/>
          <w:szCs w:val="18"/>
        </w:rPr>
        <w:t>无</w:t>
      </w:r>
    </w:p>
    <w:p w14:paraId="718D12D5"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4C187B33" w14:textId="77777777" w:rsidR="00517D34" w:rsidRPr="0063248C" w:rsidRDefault="00000000">
      <w:pPr>
        <w:pStyle w:val="a3"/>
        <w:divId w:val="1196192299"/>
        <w:rPr>
          <w:rFonts w:ascii="Times New Roman" w:hAnsi="Times New Roman"/>
          <w:sz w:val="18"/>
          <w:szCs w:val="18"/>
        </w:rPr>
      </w:pPr>
      <w:r w:rsidRPr="0063248C">
        <w:rPr>
          <w:rFonts w:ascii="Times New Roman" w:hAnsi="Times New Roman" w:hint="eastAsia"/>
          <w:sz w:val="18"/>
          <w:szCs w:val="18"/>
        </w:rPr>
        <w:t>无</w:t>
      </w:r>
    </w:p>
    <w:p w14:paraId="623B3D40" w14:textId="77777777" w:rsidR="007B3DB2" w:rsidRPr="0063248C" w:rsidRDefault="00000000">
      <w:pPr>
        <w:keepNext/>
        <w:keepLines/>
        <w:spacing w:before="300" w:after="300" w:line="280" w:lineRule="exact"/>
        <w:outlineLvl w:val="3"/>
        <w:rPr>
          <w:rFonts w:cs="宋体"/>
          <w:b/>
          <w:bCs/>
          <w:sz w:val="18"/>
          <w:szCs w:val="18"/>
        </w:rPr>
      </w:pPr>
      <w:bookmarkStart w:id="423" w:name="_Toc989317"/>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重要的非全资子公司</w:t>
      </w:r>
      <w:bookmarkEnd w:id="423"/>
    </w:p>
    <w:p w14:paraId="15A9A568"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11C61BE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3B4280" w14:textId="77777777" w:rsidR="007B3DB2" w:rsidRPr="0063248C" w:rsidRDefault="00000000">
            <w:pPr>
              <w:spacing w:before="40" w:after="40" w:line="240" w:lineRule="exact"/>
              <w:jc w:val="center"/>
              <w:rPr>
                <w:rFonts w:cs="宋体"/>
                <w:sz w:val="18"/>
                <w:szCs w:val="18"/>
              </w:rPr>
            </w:pPr>
            <w:r w:rsidRPr="0063248C">
              <w:rPr>
                <w:rFonts w:cs="宋体"/>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472F96D" w14:textId="77777777" w:rsidR="007B3DB2" w:rsidRPr="0063248C" w:rsidRDefault="00000000">
            <w:pPr>
              <w:spacing w:before="40" w:after="40" w:line="240" w:lineRule="exact"/>
              <w:jc w:val="center"/>
              <w:rPr>
                <w:rFonts w:cs="宋体"/>
                <w:sz w:val="18"/>
                <w:szCs w:val="18"/>
              </w:rPr>
            </w:pPr>
            <w:r w:rsidRPr="0063248C">
              <w:rPr>
                <w:rFonts w:cs="宋体"/>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9D784AB"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096531"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F7BF72C"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期末少数股东权益余额</w:t>
            </w:r>
          </w:p>
        </w:tc>
      </w:tr>
      <w:tr w:rsidR="007B3DB2" w:rsidRPr="0063248C" w14:paraId="353845E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828C98C"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FC90A40" w14:textId="77777777" w:rsidR="007B3DB2" w:rsidRPr="0063248C" w:rsidRDefault="00000000">
            <w:pPr>
              <w:spacing w:line="240" w:lineRule="exact"/>
              <w:jc w:val="right"/>
              <w:rPr>
                <w:rFonts w:cs="宋体"/>
                <w:sz w:val="18"/>
                <w:szCs w:val="18"/>
              </w:rPr>
            </w:pPr>
            <w:r w:rsidRPr="0063248C">
              <w:rPr>
                <w:rFonts w:cs="宋体"/>
                <w:sz w:val="18"/>
                <w:szCs w:val="18"/>
              </w:rPr>
              <w:t>40.00%</w:t>
            </w:r>
          </w:p>
        </w:tc>
        <w:tc>
          <w:tcPr>
            <w:tcW w:w="1928" w:type="dxa"/>
            <w:tcBorders>
              <w:top w:val="single" w:sz="2" w:space="0" w:color="auto"/>
              <w:left w:val="single" w:sz="2" w:space="0" w:color="auto"/>
              <w:bottom w:val="single" w:sz="2" w:space="0" w:color="auto"/>
              <w:right w:val="single" w:sz="2" w:space="0" w:color="auto"/>
            </w:tcBorders>
            <w:vAlign w:val="center"/>
          </w:tcPr>
          <w:p w14:paraId="6E9B25F8" w14:textId="77777777" w:rsidR="007B3DB2" w:rsidRPr="0063248C" w:rsidRDefault="00000000">
            <w:pPr>
              <w:spacing w:line="240" w:lineRule="exact"/>
              <w:jc w:val="right"/>
              <w:rPr>
                <w:rFonts w:cs="宋体"/>
                <w:sz w:val="18"/>
                <w:szCs w:val="18"/>
              </w:rPr>
            </w:pPr>
            <w:r w:rsidRPr="0063248C">
              <w:rPr>
                <w:rFonts w:cs="宋体"/>
                <w:sz w:val="18"/>
                <w:szCs w:val="18"/>
              </w:rPr>
              <w:t>-1,960,640.14</w:t>
            </w:r>
          </w:p>
        </w:tc>
        <w:tc>
          <w:tcPr>
            <w:tcW w:w="1928" w:type="dxa"/>
            <w:tcBorders>
              <w:top w:val="single" w:sz="2" w:space="0" w:color="auto"/>
              <w:left w:val="single" w:sz="2" w:space="0" w:color="auto"/>
              <w:bottom w:val="single" w:sz="2" w:space="0" w:color="auto"/>
              <w:right w:val="single" w:sz="2" w:space="0" w:color="auto"/>
            </w:tcBorders>
            <w:vAlign w:val="center"/>
          </w:tcPr>
          <w:p w14:paraId="510C8A70"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927C187" w14:textId="77777777" w:rsidR="007B3DB2" w:rsidRPr="0063248C" w:rsidRDefault="00000000">
            <w:pPr>
              <w:spacing w:line="240" w:lineRule="exact"/>
              <w:jc w:val="right"/>
              <w:rPr>
                <w:rFonts w:cs="宋体"/>
                <w:sz w:val="18"/>
                <w:szCs w:val="18"/>
              </w:rPr>
            </w:pPr>
            <w:r w:rsidRPr="0063248C">
              <w:rPr>
                <w:rFonts w:cs="宋体"/>
                <w:sz w:val="18"/>
                <w:szCs w:val="18"/>
              </w:rPr>
              <w:t>118,006,377.61</w:t>
            </w:r>
          </w:p>
        </w:tc>
      </w:tr>
      <w:tr w:rsidR="007B3DB2" w:rsidRPr="0063248C" w14:paraId="67EBB05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ADDFA3E" w14:textId="77777777" w:rsidR="007B3DB2" w:rsidRPr="0063248C" w:rsidRDefault="00000000">
            <w:pPr>
              <w:spacing w:line="240" w:lineRule="exact"/>
              <w:rPr>
                <w:rFonts w:cs="宋体"/>
                <w:sz w:val="18"/>
                <w:szCs w:val="18"/>
              </w:rPr>
            </w:pPr>
            <w:r w:rsidRPr="0063248C">
              <w:rPr>
                <w:rFonts w:cs="宋体"/>
                <w:sz w:val="18"/>
                <w:szCs w:val="18"/>
              </w:rPr>
              <w:t>蓬莱富龙肉食品有限公司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0D60220" w14:textId="77777777" w:rsidR="007B3DB2" w:rsidRPr="0063248C" w:rsidRDefault="00000000">
            <w:pPr>
              <w:spacing w:line="240" w:lineRule="exact"/>
              <w:jc w:val="right"/>
              <w:rPr>
                <w:rFonts w:cs="宋体"/>
                <w:sz w:val="18"/>
                <w:szCs w:val="18"/>
              </w:rPr>
            </w:pPr>
            <w:r w:rsidRPr="0063248C">
              <w:rPr>
                <w:rFonts w:cs="宋体"/>
                <w:sz w:val="18"/>
                <w:szCs w:val="18"/>
              </w:rPr>
              <w:t>42.86%</w:t>
            </w:r>
          </w:p>
        </w:tc>
        <w:tc>
          <w:tcPr>
            <w:tcW w:w="1928" w:type="dxa"/>
            <w:tcBorders>
              <w:top w:val="single" w:sz="2" w:space="0" w:color="auto"/>
              <w:left w:val="single" w:sz="2" w:space="0" w:color="auto"/>
              <w:bottom w:val="single" w:sz="2" w:space="0" w:color="auto"/>
              <w:right w:val="single" w:sz="2" w:space="0" w:color="auto"/>
            </w:tcBorders>
            <w:vAlign w:val="center"/>
          </w:tcPr>
          <w:p w14:paraId="6D1C6B27" w14:textId="77777777" w:rsidR="007B3DB2" w:rsidRPr="0063248C" w:rsidRDefault="00000000">
            <w:pPr>
              <w:spacing w:line="240" w:lineRule="exact"/>
              <w:jc w:val="right"/>
              <w:rPr>
                <w:rFonts w:cs="宋体"/>
                <w:sz w:val="18"/>
                <w:szCs w:val="18"/>
              </w:rPr>
            </w:pPr>
            <w:r w:rsidRPr="0063248C">
              <w:rPr>
                <w:rFonts w:cs="宋体"/>
                <w:sz w:val="18"/>
                <w:szCs w:val="18"/>
              </w:rPr>
              <w:t>-172,627.07</w:t>
            </w:r>
          </w:p>
        </w:tc>
        <w:tc>
          <w:tcPr>
            <w:tcW w:w="1928" w:type="dxa"/>
            <w:tcBorders>
              <w:top w:val="single" w:sz="2" w:space="0" w:color="auto"/>
              <w:left w:val="single" w:sz="2" w:space="0" w:color="auto"/>
              <w:bottom w:val="single" w:sz="2" w:space="0" w:color="auto"/>
              <w:right w:val="single" w:sz="2" w:space="0" w:color="auto"/>
            </w:tcBorders>
            <w:vAlign w:val="center"/>
          </w:tcPr>
          <w:p w14:paraId="764795B9"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347E367" w14:textId="77777777" w:rsidR="007B3DB2" w:rsidRPr="0063248C" w:rsidRDefault="00000000">
            <w:pPr>
              <w:spacing w:line="240" w:lineRule="exact"/>
              <w:jc w:val="right"/>
              <w:rPr>
                <w:rFonts w:cs="宋体"/>
                <w:sz w:val="18"/>
                <w:szCs w:val="18"/>
              </w:rPr>
            </w:pPr>
            <w:r w:rsidRPr="0063248C">
              <w:rPr>
                <w:rFonts w:cs="宋体"/>
                <w:sz w:val="18"/>
                <w:szCs w:val="18"/>
              </w:rPr>
              <w:t>19,295,052.39</w:t>
            </w:r>
          </w:p>
        </w:tc>
      </w:tr>
      <w:tr w:rsidR="007B3DB2" w:rsidRPr="0063248C" w14:paraId="6B294DF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7DA1110"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3CD89DF" w14:textId="77777777" w:rsidR="007B3DB2" w:rsidRPr="0063248C" w:rsidRDefault="00000000">
            <w:pPr>
              <w:spacing w:line="240" w:lineRule="exact"/>
              <w:jc w:val="right"/>
              <w:rPr>
                <w:rFonts w:cs="宋体"/>
                <w:sz w:val="18"/>
                <w:szCs w:val="18"/>
              </w:rPr>
            </w:pPr>
            <w:r w:rsidRPr="0063248C">
              <w:rPr>
                <w:rFonts w:cs="宋体"/>
                <w:sz w:val="18"/>
                <w:szCs w:val="18"/>
              </w:rPr>
              <w:t>30.00%</w:t>
            </w:r>
          </w:p>
        </w:tc>
        <w:tc>
          <w:tcPr>
            <w:tcW w:w="1928" w:type="dxa"/>
            <w:tcBorders>
              <w:top w:val="single" w:sz="2" w:space="0" w:color="auto"/>
              <w:left w:val="single" w:sz="2" w:space="0" w:color="auto"/>
              <w:bottom w:val="single" w:sz="2" w:space="0" w:color="auto"/>
              <w:right w:val="single" w:sz="2" w:space="0" w:color="auto"/>
            </w:tcBorders>
            <w:vAlign w:val="center"/>
          </w:tcPr>
          <w:p w14:paraId="5F2F21E7" w14:textId="77777777" w:rsidR="007B3DB2" w:rsidRPr="0063248C" w:rsidRDefault="00000000">
            <w:pPr>
              <w:spacing w:line="240" w:lineRule="exact"/>
              <w:jc w:val="right"/>
              <w:rPr>
                <w:rFonts w:cs="宋体"/>
                <w:sz w:val="18"/>
                <w:szCs w:val="18"/>
              </w:rPr>
            </w:pPr>
            <w:r w:rsidRPr="0063248C">
              <w:rPr>
                <w:rFonts w:cs="宋体"/>
                <w:sz w:val="18"/>
                <w:szCs w:val="18"/>
              </w:rPr>
              <w:t>-4,087,823.93</w:t>
            </w:r>
          </w:p>
        </w:tc>
        <w:tc>
          <w:tcPr>
            <w:tcW w:w="1928" w:type="dxa"/>
            <w:tcBorders>
              <w:top w:val="single" w:sz="2" w:space="0" w:color="auto"/>
              <w:left w:val="single" w:sz="2" w:space="0" w:color="auto"/>
              <w:bottom w:val="single" w:sz="2" w:space="0" w:color="auto"/>
              <w:right w:val="single" w:sz="2" w:space="0" w:color="auto"/>
            </w:tcBorders>
            <w:vAlign w:val="center"/>
          </w:tcPr>
          <w:p w14:paraId="2E34785B"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DFA01F1" w14:textId="77777777" w:rsidR="007B3DB2" w:rsidRPr="0063248C" w:rsidRDefault="00000000">
            <w:pPr>
              <w:spacing w:line="240" w:lineRule="exact"/>
              <w:jc w:val="right"/>
              <w:rPr>
                <w:rFonts w:cs="宋体"/>
                <w:sz w:val="18"/>
                <w:szCs w:val="18"/>
              </w:rPr>
            </w:pPr>
            <w:r w:rsidRPr="0063248C">
              <w:rPr>
                <w:rFonts w:cs="宋体"/>
                <w:sz w:val="18"/>
                <w:szCs w:val="18"/>
              </w:rPr>
              <w:t>32,251,797.10</w:t>
            </w:r>
          </w:p>
        </w:tc>
      </w:tr>
    </w:tbl>
    <w:p w14:paraId="2AA01D20" w14:textId="77777777" w:rsidR="007B3DB2" w:rsidRPr="0063248C" w:rsidRDefault="00000000">
      <w:pPr>
        <w:spacing w:before="100" w:after="100" w:line="240" w:lineRule="exact"/>
        <w:rPr>
          <w:rFonts w:cs="宋体"/>
          <w:sz w:val="18"/>
          <w:szCs w:val="18"/>
        </w:rPr>
      </w:pPr>
      <w:r w:rsidRPr="0063248C">
        <w:rPr>
          <w:rFonts w:cs="宋体"/>
          <w:sz w:val="18"/>
          <w:szCs w:val="18"/>
        </w:rPr>
        <w:t>子公司少数股东的持股比例不同于表决权比例的说明：</w:t>
      </w:r>
    </w:p>
    <w:p w14:paraId="5B8A10CB" w14:textId="77777777" w:rsidR="00517D34" w:rsidRPr="0063248C" w:rsidRDefault="00000000">
      <w:pPr>
        <w:pStyle w:val="a3"/>
        <w:divId w:val="217789044"/>
        <w:rPr>
          <w:rFonts w:ascii="Times New Roman" w:hAnsi="Times New Roman"/>
          <w:sz w:val="18"/>
          <w:szCs w:val="18"/>
        </w:rPr>
      </w:pPr>
      <w:r w:rsidRPr="0063248C">
        <w:rPr>
          <w:rFonts w:ascii="Times New Roman" w:hAnsi="Times New Roman" w:hint="eastAsia"/>
          <w:sz w:val="18"/>
          <w:szCs w:val="18"/>
        </w:rPr>
        <w:t>无</w:t>
      </w:r>
    </w:p>
    <w:p w14:paraId="5AB3101D"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227E169B" w14:textId="77777777" w:rsidR="00517D34" w:rsidRPr="0063248C" w:rsidRDefault="00000000">
      <w:pPr>
        <w:pStyle w:val="a3"/>
        <w:divId w:val="315842479"/>
        <w:rPr>
          <w:rFonts w:ascii="Times New Roman" w:hAnsi="Times New Roman"/>
          <w:sz w:val="18"/>
          <w:szCs w:val="18"/>
        </w:rPr>
      </w:pPr>
      <w:r w:rsidRPr="0063248C">
        <w:rPr>
          <w:rFonts w:ascii="Times New Roman" w:hAnsi="Times New Roman" w:hint="eastAsia"/>
          <w:sz w:val="18"/>
          <w:szCs w:val="18"/>
        </w:rPr>
        <w:t>无</w:t>
      </w:r>
    </w:p>
    <w:p w14:paraId="5A360BA1" w14:textId="77777777" w:rsidR="007B3DB2" w:rsidRPr="0063248C" w:rsidRDefault="00000000">
      <w:pPr>
        <w:keepNext/>
        <w:keepLines/>
        <w:spacing w:before="300" w:after="300" w:line="280" w:lineRule="exact"/>
        <w:outlineLvl w:val="3"/>
        <w:rPr>
          <w:rFonts w:cs="宋体"/>
          <w:b/>
          <w:bCs/>
          <w:sz w:val="18"/>
          <w:szCs w:val="18"/>
        </w:rPr>
      </w:pPr>
      <w:bookmarkStart w:id="424" w:name="_Toc989318"/>
      <w:r w:rsidRPr="0063248C">
        <w:rPr>
          <w:rFonts w:cs="宋体"/>
          <w:b/>
          <w:bCs/>
          <w:sz w:val="18"/>
          <w:szCs w:val="18"/>
        </w:rPr>
        <w:t>（</w:t>
      </w:r>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重要非全资子公司的主要财务信息</w:t>
      </w:r>
      <w:bookmarkEnd w:id="424"/>
    </w:p>
    <w:p w14:paraId="6668F8BA"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741"/>
        <w:gridCol w:w="741"/>
        <w:gridCol w:w="741"/>
        <w:gridCol w:w="741"/>
        <w:gridCol w:w="741"/>
        <w:gridCol w:w="741"/>
        <w:gridCol w:w="744"/>
        <w:gridCol w:w="741"/>
        <w:gridCol w:w="741"/>
        <w:gridCol w:w="741"/>
        <w:gridCol w:w="741"/>
        <w:gridCol w:w="741"/>
        <w:gridCol w:w="744"/>
      </w:tblGrid>
      <w:tr w:rsidR="007B3DB2" w:rsidRPr="0063248C" w14:paraId="77D1ED52" w14:textId="77777777" w:rsidTr="000F65D3">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41ADE38" w14:textId="77777777" w:rsidR="007B3DB2" w:rsidRPr="0063248C" w:rsidRDefault="00000000">
            <w:pPr>
              <w:spacing w:before="40" w:after="40" w:line="240" w:lineRule="exact"/>
              <w:jc w:val="center"/>
              <w:rPr>
                <w:rFonts w:cs="宋体"/>
                <w:sz w:val="18"/>
                <w:szCs w:val="18"/>
              </w:rPr>
            </w:pPr>
            <w:r w:rsidRPr="0063248C">
              <w:rPr>
                <w:rFonts w:cs="宋体"/>
                <w:sz w:val="18"/>
                <w:szCs w:val="18"/>
              </w:rPr>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75CC04B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2EDD389F"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67CA3132" w14:textId="77777777" w:rsidTr="000F65D3">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B8A6085" w14:textId="77777777" w:rsidR="007B3DB2" w:rsidRPr="0063248C" w:rsidRDefault="007B3DB2"/>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6A5A05E" w14:textId="77777777" w:rsidR="007B3DB2" w:rsidRPr="0063248C" w:rsidRDefault="00000000">
            <w:pPr>
              <w:spacing w:before="40" w:after="40" w:line="240" w:lineRule="exact"/>
              <w:jc w:val="center"/>
              <w:rPr>
                <w:rFonts w:cs="宋体"/>
                <w:sz w:val="18"/>
                <w:szCs w:val="18"/>
              </w:rPr>
            </w:pPr>
            <w:r w:rsidRPr="0063248C">
              <w:rPr>
                <w:rFonts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B05E5A7" w14:textId="77777777" w:rsidR="007B3DB2" w:rsidRPr="0063248C" w:rsidRDefault="00000000">
            <w:pPr>
              <w:spacing w:before="40" w:after="40" w:line="240" w:lineRule="exact"/>
              <w:jc w:val="center"/>
              <w:rPr>
                <w:rFonts w:cs="宋体"/>
                <w:sz w:val="18"/>
                <w:szCs w:val="18"/>
              </w:rPr>
            </w:pPr>
            <w:r w:rsidRPr="0063248C">
              <w:rPr>
                <w:rFonts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C4817A6" w14:textId="77777777" w:rsidR="007B3DB2" w:rsidRPr="0063248C" w:rsidRDefault="00000000">
            <w:pPr>
              <w:spacing w:before="40" w:after="40" w:line="240" w:lineRule="exact"/>
              <w:jc w:val="center"/>
              <w:rPr>
                <w:rFonts w:cs="宋体"/>
                <w:sz w:val="18"/>
                <w:szCs w:val="18"/>
              </w:rPr>
            </w:pPr>
            <w:r w:rsidRPr="0063248C">
              <w:rPr>
                <w:rFonts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4C02F5E" w14:textId="77777777" w:rsidR="007B3DB2" w:rsidRPr="0063248C" w:rsidRDefault="00000000">
            <w:pPr>
              <w:spacing w:before="40" w:after="40" w:line="240" w:lineRule="exact"/>
              <w:jc w:val="center"/>
              <w:rPr>
                <w:rFonts w:cs="宋体"/>
                <w:sz w:val="18"/>
                <w:szCs w:val="18"/>
              </w:rPr>
            </w:pPr>
            <w:r w:rsidRPr="0063248C">
              <w:rPr>
                <w:rFonts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BE610D9" w14:textId="77777777" w:rsidR="007B3DB2" w:rsidRPr="0063248C" w:rsidRDefault="00000000">
            <w:pPr>
              <w:spacing w:before="40" w:after="40" w:line="240" w:lineRule="exact"/>
              <w:jc w:val="center"/>
              <w:rPr>
                <w:rFonts w:cs="宋体"/>
                <w:sz w:val="18"/>
                <w:szCs w:val="18"/>
              </w:rPr>
            </w:pPr>
            <w:r w:rsidRPr="0063248C">
              <w:rPr>
                <w:rFonts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4213DA7" w14:textId="77777777" w:rsidR="007B3DB2" w:rsidRPr="0063248C" w:rsidRDefault="00000000">
            <w:pPr>
              <w:spacing w:before="40" w:after="40" w:line="240" w:lineRule="exact"/>
              <w:jc w:val="center"/>
              <w:rPr>
                <w:rFonts w:cs="宋体"/>
                <w:sz w:val="18"/>
                <w:szCs w:val="18"/>
              </w:rPr>
            </w:pPr>
            <w:r w:rsidRPr="0063248C">
              <w:rPr>
                <w:rFonts w:cs="宋体"/>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A47345E" w14:textId="77777777" w:rsidR="007B3DB2" w:rsidRPr="0063248C" w:rsidRDefault="00000000">
            <w:pPr>
              <w:spacing w:before="40" w:after="40" w:line="240" w:lineRule="exact"/>
              <w:jc w:val="center"/>
              <w:rPr>
                <w:rFonts w:cs="宋体"/>
                <w:sz w:val="18"/>
                <w:szCs w:val="18"/>
              </w:rPr>
            </w:pPr>
            <w:r w:rsidRPr="0063248C">
              <w:rPr>
                <w:rFonts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8B0C7FF" w14:textId="77777777" w:rsidR="007B3DB2" w:rsidRPr="0063248C" w:rsidRDefault="00000000">
            <w:pPr>
              <w:spacing w:before="40" w:after="40" w:line="240" w:lineRule="exact"/>
              <w:jc w:val="center"/>
              <w:rPr>
                <w:rFonts w:cs="宋体"/>
                <w:sz w:val="18"/>
                <w:szCs w:val="18"/>
              </w:rPr>
            </w:pPr>
            <w:r w:rsidRPr="0063248C">
              <w:rPr>
                <w:rFonts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0F57747" w14:textId="77777777" w:rsidR="007B3DB2" w:rsidRPr="0063248C" w:rsidRDefault="00000000">
            <w:pPr>
              <w:spacing w:before="40" w:after="40" w:line="240" w:lineRule="exact"/>
              <w:jc w:val="center"/>
              <w:rPr>
                <w:rFonts w:cs="宋体"/>
                <w:sz w:val="18"/>
                <w:szCs w:val="18"/>
              </w:rPr>
            </w:pPr>
            <w:r w:rsidRPr="0063248C">
              <w:rPr>
                <w:rFonts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3ED9903" w14:textId="77777777" w:rsidR="007B3DB2" w:rsidRPr="0063248C" w:rsidRDefault="00000000">
            <w:pPr>
              <w:spacing w:before="40" w:after="40" w:line="240" w:lineRule="exact"/>
              <w:jc w:val="center"/>
              <w:rPr>
                <w:rFonts w:cs="宋体"/>
                <w:sz w:val="18"/>
                <w:szCs w:val="18"/>
              </w:rPr>
            </w:pPr>
            <w:r w:rsidRPr="0063248C">
              <w:rPr>
                <w:rFonts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D13E719" w14:textId="77777777" w:rsidR="007B3DB2" w:rsidRPr="0063248C" w:rsidRDefault="00000000">
            <w:pPr>
              <w:spacing w:before="40" w:after="40" w:line="240" w:lineRule="exact"/>
              <w:jc w:val="center"/>
              <w:rPr>
                <w:rFonts w:cs="宋体"/>
                <w:sz w:val="18"/>
                <w:szCs w:val="18"/>
              </w:rPr>
            </w:pPr>
            <w:r w:rsidRPr="0063248C">
              <w:rPr>
                <w:rFonts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F959036" w14:textId="77777777" w:rsidR="007B3DB2" w:rsidRPr="0063248C" w:rsidRDefault="00000000">
            <w:pPr>
              <w:spacing w:before="40" w:after="40" w:line="240" w:lineRule="exact"/>
              <w:jc w:val="center"/>
              <w:rPr>
                <w:rFonts w:cs="宋体"/>
                <w:sz w:val="18"/>
                <w:szCs w:val="18"/>
              </w:rPr>
            </w:pPr>
            <w:r w:rsidRPr="0063248C">
              <w:rPr>
                <w:rFonts w:cs="宋体"/>
                <w:sz w:val="18"/>
                <w:szCs w:val="18"/>
              </w:rPr>
              <w:t>负债合计</w:t>
            </w:r>
          </w:p>
        </w:tc>
      </w:tr>
      <w:tr w:rsidR="007B3DB2" w:rsidRPr="0063248C" w14:paraId="60D53038" w14:textId="77777777" w:rsidTr="000F65D3">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52CE333D"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4B909076" w14:textId="77777777" w:rsidR="007B3DB2" w:rsidRPr="0063248C" w:rsidRDefault="00000000">
            <w:pPr>
              <w:spacing w:line="240" w:lineRule="exact"/>
              <w:jc w:val="right"/>
              <w:rPr>
                <w:rFonts w:cs="宋体"/>
                <w:sz w:val="18"/>
                <w:szCs w:val="18"/>
              </w:rPr>
            </w:pPr>
            <w:r w:rsidRPr="0063248C">
              <w:rPr>
                <w:rFonts w:cs="宋体"/>
                <w:sz w:val="18"/>
                <w:szCs w:val="18"/>
              </w:rPr>
              <w:t>398,898,605.67</w:t>
            </w:r>
          </w:p>
        </w:tc>
        <w:tc>
          <w:tcPr>
            <w:tcW w:w="741" w:type="dxa"/>
            <w:tcBorders>
              <w:top w:val="single" w:sz="2" w:space="0" w:color="auto"/>
              <w:left w:val="single" w:sz="2" w:space="0" w:color="auto"/>
              <w:bottom w:val="single" w:sz="2" w:space="0" w:color="auto"/>
              <w:right w:val="single" w:sz="2" w:space="0" w:color="auto"/>
            </w:tcBorders>
            <w:vAlign w:val="center"/>
          </w:tcPr>
          <w:p w14:paraId="0402EEE4" w14:textId="77777777" w:rsidR="007B3DB2" w:rsidRPr="0063248C" w:rsidRDefault="00000000">
            <w:pPr>
              <w:spacing w:line="240" w:lineRule="exact"/>
              <w:jc w:val="right"/>
              <w:rPr>
                <w:rFonts w:cs="宋体"/>
                <w:sz w:val="18"/>
                <w:szCs w:val="18"/>
              </w:rPr>
            </w:pPr>
            <w:r w:rsidRPr="0063248C">
              <w:rPr>
                <w:rFonts w:cs="宋体"/>
                <w:sz w:val="18"/>
                <w:szCs w:val="18"/>
              </w:rPr>
              <w:t>199,377,190.43</w:t>
            </w:r>
          </w:p>
        </w:tc>
        <w:tc>
          <w:tcPr>
            <w:tcW w:w="741" w:type="dxa"/>
            <w:tcBorders>
              <w:top w:val="single" w:sz="2" w:space="0" w:color="auto"/>
              <w:left w:val="single" w:sz="2" w:space="0" w:color="auto"/>
              <w:bottom w:val="single" w:sz="2" w:space="0" w:color="auto"/>
              <w:right w:val="single" w:sz="2" w:space="0" w:color="auto"/>
            </w:tcBorders>
            <w:vAlign w:val="center"/>
          </w:tcPr>
          <w:p w14:paraId="7F934324" w14:textId="77777777" w:rsidR="007B3DB2" w:rsidRPr="0063248C" w:rsidRDefault="00000000">
            <w:pPr>
              <w:spacing w:line="240" w:lineRule="exact"/>
              <w:jc w:val="right"/>
              <w:rPr>
                <w:rFonts w:cs="宋体"/>
                <w:sz w:val="18"/>
                <w:szCs w:val="18"/>
              </w:rPr>
            </w:pPr>
            <w:r w:rsidRPr="0063248C">
              <w:rPr>
                <w:rFonts w:cs="宋体"/>
                <w:sz w:val="18"/>
                <w:szCs w:val="18"/>
              </w:rPr>
              <w:t>598,275,796.10</w:t>
            </w:r>
          </w:p>
        </w:tc>
        <w:tc>
          <w:tcPr>
            <w:tcW w:w="741" w:type="dxa"/>
            <w:tcBorders>
              <w:top w:val="single" w:sz="2" w:space="0" w:color="auto"/>
              <w:left w:val="single" w:sz="2" w:space="0" w:color="auto"/>
              <w:bottom w:val="single" w:sz="2" w:space="0" w:color="auto"/>
              <w:right w:val="single" w:sz="2" w:space="0" w:color="auto"/>
            </w:tcBorders>
            <w:vAlign w:val="center"/>
          </w:tcPr>
          <w:p w14:paraId="4F83C39F" w14:textId="77777777" w:rsidR="007B3DB2" w:rsidRPr="0063248C" w:rsidRDefault="00000000">
            <w:pPr>
              <w:spacing w:line="240" w:lineRule="exact"/>
              <w:jc w:val="right"/>
              <w:rPr>
                <w:rFonts w:cs="宋体"/>
                <w:sz w:val="18"/>
                <w:szCs w:val="18"/>
              </w:rPr>
            </w:pPr>
            <w:r w:rsidRPr="0063248C">
              <w:rPr>
                <w:rFonts w:cs="宋体"/>
                <w:sz w:val="18"/>
                <w:szCs w:val="18"/>
              </w:rPr>
              <w:t>301,362,020.59</w:t>
            </w:r>
          </w:p>
        </w:tc>
        <w:tc>
          <w:tcPr>
            <w:tcW w:w="741" w:type="dxa"/>
            <w:tcBorders>
              <w:top w:val="single" w:sz="2" w:space="0" w:color="auto"/>
              <w:left w:val="single" w:sz="2" w:space="0" w:color="auto"/>
              <w:bottom w:val="single" w:sz="2" w:space="0" w:color="auto"/>
              <w:right w:val="single" w:sz="2" w:space="0" w:color="auto"/>
            </w:tcBorders>
            <w:vAlign w:val="center"/>
          </w:tcPr>
          <w:p w14:paraId="0CF49B3C" w14:textId="77777777" w:rsidR="007B3DB2" w:rsidRPr="0063248C" w:rsidRDefault="00000000">
            <w:pPr>
              <w:spacing w:line="240" w:lineRule="exact"/>
              <w:jc w:val="right"/>
              <w:rPr>
                <w:rFonts w:cs="宋体"/>
                <w:sz w:val="18"/>
                <w:szCs w:val="18"/>
              </w:rPr>
            </w:pPr>
            <w:r w:rsidRPr="0063248C">
              <w:rPr>
                <w:rFonts w:cs="宋体"/>
                <w:sz w:val="18"/>
                <w:szCs w:val="18"/>
              </w:rPr>
              <w:t>1,141,702.01</w:t>
            </w:r>
          </w:p>
        </w:tc>
        <w:tc>
          <w:tcPr>
            <w:tcW w:w="741" w:type="dxa"/>
            <w:tcBorders>
              <w:top w:val="single" w:sz="2" w:space="0" w:color="auto"/>
              <w:left w:val="single" w:sz="2" w:space="0" w:color="auto"/>
              <w:bottom w:val="single" w:sz="2" w:space="0" w:color="auto"/>
              <w:right w:val="single" w:sz="2" w:space="0" w:color="auto"/>
            </w:tcBorders>
            <w:vAlign w:val="center"/>
          </w:tcPr>
          <w:p w14:paraId="1EF3F290" w14:textId="77777777" w:rsidR="007B3DB2" w:rsidRPr="0063248C" w:rsidRDefault="00000000">
            <w:pPr>
              <w:spacing w:line="240" w:lineRule="exact"/>
              <w:jc w:val="right"/>
              <w:rPr>
                <w:rFonts w:cs="宋体"/>
                <w:sz w:val="18"/>
                <w:szCs w:val="18"/>
              </w:rPr>
            </w:pPr>
            <w:r w:rsidRPr="0063248C">
              <w:rPr>
                <w:rFonts w:cs="宋体"/>
                <w:sz w:val="18"/>
                <w:szCs w:val="18"/>
              </w:rPr>
              <w:t>302,503,722.60</w:t>
            </w:r>
          </w:p>
        </w:tc>
        <w:tc>
          <w:tcPr>
            <w:tcW w:w="741" w:type="dxa"/>
            <w:tcBorders>
              <w:top w:val="single" w:sz="2" w:space="0" w:color="auto"/>
              <w:left w:val="single" w:sz="2" w:space="0" w:color="auto"/>
              <w:bottom w:val="single" w:sz="2" w:space="0" w:color="auto"/>
              <w:right w:val="single" w:sz="2" w:space="0" w:color="auto"/>
            </w:tcBorders>
            <w:vAlign w:val="center"/>
          </w:tcPr>
          <w:p w14:paraId="0FAD46C5" w14:textId="77777777" w:rsidR="007B3DB2" w:rsidRPr="0063248C" w:rsidRDefault="00000000">
            <w:pPr>
              <w:spacing w:line="240" w:lineRule="exact"/>
              <w:jc w:val="right"/>
              <w:rPr>
                <w:rFonts w:cs="宋体"/>
                <w:sz w:val="18"/>
                <w:szCs w:val="18"/>
              </w:rPr>
            </w:pPr>
            <w:r w:rsidRPr="0063248C">
              <w:rPr>
                <w:rFonts w:cs="宋体"/>
                <w:sz w:val="18"/>
                <w:szCs w:val="18"/>
              </w:rPr>
              <w:t>434,157,947.28</w:t>
            </w:r>
          </w:p>
        </w:tc>
        <w:tc>
          <w:tcPr>
            <w:tcW w:w="741" w:type="dxa"/>
            <w:tcBorders>
              <w:top w:val="single" w:sz="2" w:space="0" w:color="auto"/>
              <w:left w:val="single" w:sz="2" w:space="0" w:color="auto"/>
              <w:bottom w:val="single" w:sz="2" w:space="0" w:color="auto"/>
              <w:right w:val="single" w:sz="2" w:space="0" w:color="auto"/>
            </w:tcBorders>
            <w:vAlign w:val="center"/>
          </w:tcPr>
          <w:p w14:paraId="0580BFD9" w14:textId="77777777" w:rsidR="007B3DB2" w:rsidRPr="0063248C" w:rsidRDefault="00000000">
            <w:pPr>
              <w:spacing w:line="240" w:lineRule="exact"/>
              <w:jc w:val="right"/>
              <w:rPr>
                <w:rFonts w:cs="宋体"/>
                <w:sz w:val="18"/>
                <w:szCs w:val="18"/>
              </w:rPr>
            </w:pPr>
            <w:r w:rsidRPr="0063248C">
              <w:rPr>
                <w:rFonts w:cs="宋体"/>
                <w:sz w:val="18"/>
                <w:szCs w:val="18"/>
              </w:rPr>
              <w:t>195,307,692.38</w:t>
            </w:r>
          </w:p>
        </w:tc>
        <w:tc>
          <w:tcPr>
            <w:tcW w:w="741" w:type="dxa"/>
            <w:tcBorders>
              <w:top w:val="single" w:sz="2" w:space="0" w:color="auto"/>
              <w:left w:val="single" w:sz="2" w:space="0" w:color="auto"/>
              <w:bottom w:val="single" w:sz="2" w:space="0" w:color="auto"/>
              <w:right w:val="single" w:sz="2" w:space="0" w:color="auto"/>
            </w:tcBorders>
            <w:vAlign w:val="center"/>
          </w:tcPr>
          <w:p w14:paraId="374C97DD" w14:textId="77777777" w:rsidR="007B3DB2" w:rsidRPr="0063248C" w:rsidRDefault="00000000">
            <w:pPr>
              <w:spacing w:line="240" w:lineRule="exact"/>
              <w:jc w:val="right"/>
              <w:rPr>
                <w:rFonts w:cs="宋体"/>
                <w:sz w:val="18"/>
                <w:szCs w:val="18"/>
              </w:rPr>
            </w:pPr>
            <w:r w:rsidRPr="0063248C">
              <w:rPr>
                <w:rFonts w:cs="宋体"/>
                <w:sz w:val="18"/>
                <w:szCs w:val="18"/>
              </w:rPr>
              <w:t>629,465,639.66</w:t>
            </w:r>
          </w:p>
        </w:tc>
        <w:tc>
          <w:tcPr>
            <w:tcW w:w="741" w:type="dxa"/>
            <w:tcBorders>
              <w:top w:val="single" w:sz="2" w:space="0" w:color="auto"/>
              <w:left w:val="single" w:sz="2" w:space="0" w:color="auto"/>
              <w:bottom w:val="single" w:sz="2" w:space="0" w:color="auto"/>
              <w:right w:val="single" w:sz="2" w:space="0" w:color="auto"/>
            </w:tcBorders>
            <w:vAlign w:val="center"/>
          </w:tcPr>
          <w:p w14:paraId="106ABD53" w14:textId="77777777" w:rsidR="007B3DB2" w:rsidRPr="0063248C" w:rsidRDefault="00000000">
            <w:pPr>
              <w:spacing w:line="240" w:lineRule="exact"/>
              <w:jc w:val="right"/>
              <w:rPr>
                <w:rFonts w:cs="宋体"/>
                <w:sz w:val="18"/>
                <w:szCs w:val="18"/>
              </w:rPr>
            </w:pPr>
            <w:r w:rsidRPr="0063248C">
              <w:rPr>
                <w:rFonts w:cs="宋体"/>
                <w:sz w:val="18"/>
                <w:szCs w:val="18"/>
              </w:rPr>
              <w:t>327,665,367.87</w:t>
            </w:r>
          </w:p>
        </w:tc>
        <w:tc>
          <w:tcPr>
            <w:tcW w:w="741" w:type="dxa"/>
            <w:tcBorders>
              <w:top w:val="single" w:sz="2" w:space="0" w:color="auto"/>
              <w:left w:val="single" w:sz="2" w:space="0" w:color="auto"/>
              <w:bottom w:val="single" w:sz="2" w:space="0" w:color="auto"/>
              <w:right w:val="single" w:sz="2" w:space="0" w:color="auto"/>
            </w:tcBorders>
            <w:vAlign w:val="center"/>
          </w:tcPr>
          <w:p w14:paraId="69EDC9EE" w14:textId="77777777" w:rsidR="007B3DB2" w:rsidRPr="0063248C" w:rsidRDefault="00000000">
            <w:pPr>
              <w:spacing w:line="240" w:lineRule="exact"/>
              <w:jc w:val="right"/>
              <w:rPr>
                <w:rFonts w:cs="宋体"/>
                <w:sz w:val="18"/>
                <w:szCs w:val="18"/>
              </w:rPr>
            </w:pPr>
            <w:r w:rsidRPr="0063248C">
              <w:rPr>
                <w:rFonts w:cs="宋体"/>
                <w:sz w:val="18"/>
                <w:szCs w:val="18"/>
              </w:rPr>
              <w:t>1,515,026.33</w:t>
            </w:r>
          </w:p>
        </w:tc>
        <w:tc>
          <w:tcPr>
            <w:tcW w:w="741" w:type="dxa"/>
            <w:tcBorders>
              <w:top w:val="single" w:sz="2" w:space="0" w:color="auto"/>
              <w:left w:val="single" w:sz="2" w:space="0" w:color="auto"/>
              <w:bottom w:val="single" w:sz="2" w:space="0" w:color="auto"/>
              <w:right w:val="single" w:sz="2" w:space="0" w:color="auto"/>
            </w:tcBorders>
            <w:vAlign w:val="center"/>
          </w:tcPr>
          <w:p w14:paraId="626892D0" w14:textId="77777777" w:rsidR="007B3DB2" w:rsidRPr="0063248C" w:rsidRDefault="00000000">
            <w:pPr>
              <w:spacing w:line="240" w:lineRule="exact"/>
              <w:jc w:val="right"/>
              <w:rPr>
                <w:rFonts w:cs="宋体"/>
                <w:sz w:val="18"/>
                <w:szCs w:val="18"/>
              </w:rPr>
            </w:pPr>
            <w:r w:rsidRPr="0063248C">
              <w:rPr>
                <w:rFonts w:cs="宋体"/>
                <w:sz w:val="18"/>
                <w:szCs w:val="18"/>
              </w:rPr>
              <w:t>329,180,394.20</w:t>
            </w:r>
          </w:p>
        </w:tc>
      </w:tr>
      <w:tr w:rsidR="007B3DB2" w:rsidRPr="0063248C" w14:paraId="28CB1054" w14:textId="77777777" w:rsidTr="000F65D3">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6DA7BB71"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56CEDBDB" w14:textId="77777777" w:rsidR="007B3DB2" w:rsidRPr="0063248C" w:rsidRDefault="00000000">
            <w:pPr>
              <w:spacing w:line="240" w:lineRule="exact"/>
              <w:jc w:val="right"/>
              <w:rPr>
                <w:rFonts w:cs="宋体"/>
                <w:sz w:val="18"/>
                <w:szCs w:val="18"/>
              </w:rPr>
            </w:pPr>
            <w:r w:rsidRPr="0063248C">
              <w:rPr>
                <w:rFonts w:cs="宋体"/>
                <w:sz w:val="18"/>
                <w:szCs w:val="18"/>
              </w:rPr>
              <w:t>306,041,926.65</w:t>
            </w:r>
          </w:p>
        </w:tc>
        <w:tc>
          <w:tcPr>
            <w:tcW w:w="741" w:type="dxa"/>
            <w:tcBorders>
              <w:top w:val="single" w:sz="2" w:space="0" w:color="auto"/>
              <w:left w:val="single" w:sz="2" w:space="0" w:color="auto"/>
              <w:bottom w:val="single" w:sz="2" w:space="0" w:color="auto"/>
              <w:right w:val="single" w:sz="2" w:space="0" w:color="auto"/>
            </w:tcBorders>
            <w:vAlign w:val="center"/>
          </w:tcPr>
          <w:p w14:paraId="58D5397F" w14:textId="77777777" w:rsidR="007B3DB2" w:rsidRPr="0063248C" w:rsidRDefault="00000000">
            <w:pPr>
              <w:spacing w:line="240" w:lineRule="exact"/>
              <w:jc w:val="right"/>
              <w:rPr>
                <w:rFonts w:cs="宋体"/>
                <w:sz w:val="18"/>
                <w:szCs w:val="18"/>
              </w:rPr>
            </w:pPr>
            <w:r w:rsidRPr="0063248C">
              <w:rPr>
                <w:rFonts w:cs="宋体"/>
                <w:sz w:val="18"/>
                <w:szCs w:val="18"/>
              </w:rPr>
              <w:t>281,247,203.18</w:t>
            </w:r>
          </w:p>
        </w:tc>
        <w:tc>
          <w:tcPr>
            <w:tcW w:w="741" w:type="dxa"/>
            <w:tcBorders>
              <w:top w:val="single" w:sz="2" w:space="0" w:color="auto"/>
              <w:left w:val="single" w:sz="2" w:space="0" w:color="auto"/>
              <w:bottom w:val="single" w:sz="2" w:space="0" w:color="auto"/>
              <w:right w:val="single" w:sz="2" w:space="0" w:color="auto"/>
            </w:tcBorders>
            <w:vAlign w:val="center"/>
          </w:tcPr>
          <w:p w14:paraId="070BAE48" w14:textId="77777777" w:rsidR="007B3DB2" w:rsidRPr="0063248C" w:rsidRDefault="00000000">
            <w:pPr>
              <w:spacing w:line="240" w:lineRule="exact"/>
              <w:jc w:val="right"/>
              <w:rPr>
                <w:rFonts w:cs="宋体"/>
                <w:sz w:val="18"/>
                <w:szCs w:val="18"/>
              </w:rPr>
            </w:pPr>
            <w:r w:rsidRPr="0063248C">
              <w:rPr>
                <w:rFonts w:cs="宋体"/>
                <w:sz w:val="18"/>
                <w:szCs w:val="18"/>
              </w:rPr>
              <w:t>587,289,129.83</w:t>
            </w:r>
          </w:p>
        </w:tc>
        <w:tc>
          <w:tcPr>
            <w:tcW w:w="741" w:type="dxa"/>
            <w:tcBorders>
              <w:top w:val="single" w:sz="2" w:space="0" w:color="auto"/>
              <w:left w:val="single" w:sz="2" w:space="0" w:color="auto"/>
              <w:bottom w:val="single" w:sz="2" w:space="0" w:color="auto"/>
              <w:right w:val="single" w:sz="2" w:space="0" w:color="auto"/>
            </w:tcBorders>
            <w:vAlign w:val="center"/>
          </w:tcPr>
          <w:p w14:paraId="6629BE45" w14:textId="77777777" w:rsidR="007B3DB2" w:rsidRPr="0063248C" w:rsidRDefault="00000000">
            <w:pPr>
              <w:spacing w:line="240" w:lineRule="exact"/>
              <w:jc w:val="right"/>
              <w:rPr>
                <w:rFonts w:cs="宋体"/>
                <w:sz w:val="18"/>
                <w:szCs w:val="18"/>
              </w:rPr>
            </w:pPr>
            <w:r w:rsidRPr="0063248C">
              <w:rPr>
                <w:rFonts w:cs="宋体"/>
                <w:sz w:val="18"/>
                <w:szCs w:val="18"/>
              </w:rPr>
              <w:t>443,325,725.07</w:t>
            </w:r>
          </w:p>
        </w:tc>
        <w:tc>
          <w:tcPr>
            <w:tcW w:w="741" w:type="dxa"/>
            <w:tcBorders>
              <w:top w:val="single" w:sz="2" w:space="0" w:color="auto"/>
              <w:left w:val="single" w:sz="2" w:space="0" w:color="auto"/>
              <w:bottom w:val="single" w:sz="2" w:space="0" w:color="auto"/>
              <w:right w:val="single" w:sz="2" w:space="0" w:color="auto"/>
            </w:tcBorders>
            <w:vAlign w:val="center"/>
          </w:tcPr>
          <w:p w14:paraId="6A754D28" w14:textId="77777777" w:rsidR="007B3DB2" w:rsidRPr="0063248C" w:rsidRDefault="00000000">
            <w:pPr>
              <w:spacing w:line="240" w:lineRule="exact"/>
              <w:jc w:val="right"/>
              <w:rPr>
                <w:rFonts w:cs="宋体"/>
                <w:sz w:val="18"/>
                <w:szCs w:val="18"/>
              </w:rPr>
            </w:pPr>
            <w:r w:rsidRPr="0063248C">
              <w:rPr>
                <w:rFonts w:cs="宋体"/>
                <w:sz w:val="18"/>
                <w:szCs w:val="18"/>
              </w:rPr>
              <w:t>36,811,102.05</w:t>
            </w:r>
          </w:p>
        </w:tc>
        <w:tc>
          <w:tcPr>
            <w:tcW w:w="741" w:type="dxa"/>
            <w:tcBorders>
              <w:top w:val="single" w:sz="2" w:space="0" w:color="auto"/>
              <w:left w:val="single" w:sz="2" w:space="0" w:color="auto"/>
              <w:bottom w:val="single" w:sz="2" w:space="0" w:color="auto"/>
              <w:right w:val="single" w:sz="2" w:space="0" w:color="auto"/>
            </w:tcBorders>
            <w:vAlign w:val="center"/>
          </w:tcPr>
          <w:p w14:paraId="311DED8B" w14:textId="77777777" w:rsidR="007B3DB2" w:rsidRPr="0063248C" w:rsidRDefault="00000000">
            <w:pPr>
              <w:spacing w:line="240" w:lineRule="exact"/>
              <w:jc w:val="right"/>
              <w:rPr>
                <w:rFonts w:cs="宋体"/>
                <w:sz w:val="18"/>
                <w:szCs w:val="18"/>
              </w:rPr>
            </w:pPr>
            <w:r w:rsidRPr="0063248C">
              <w:rPr>
                <w:rFonts w:cs="宋体"/>
                <w:sz w:val="18"/>
                <w:szCs w:val="18"/>
              </w:rPr>
              <w:t>480,136,827.12</w:t>
            </w:r>
          </w:p>
        </w:tc>
        <w:tc>
          <w:tcPr>
            <w:tcW w:w="741" w:type="dxa"/>
            <w:tcBorders>
              <w:top w:val="single" w:sz="2" w:space="0" w:color="auto"/>
              <w:left w:val="single" w:sz="2" w:space="0" w:color="auto"/>
              <w:bottom w:val="single" w:sz="2" w:space="0" w:color="auto"/>
              <w:right w:val="single" w:sz="2" w:space="0" w:color="auto"/>
            </w:tcBorders>
            <w:vAlign w:val="center"/>
          </w:tcPr>
          <w:p w14:paraId="642ECA8E" w14:textId="77777777" w:rsidR="007B3DB2" w:rsidRPr="0063248C" w:rsidRDefault="00000000">
            <w:pPr>
              <w:spacing w:line="240" w:lineRule="exact"/>
              <w:jc w:val="right"/>
              <w:rPr>
                <w:rFonts w:cs="宋体"/>
                <w:sz w:val="18"/>
                <w:szCs w:val="18"/>
              </w:rPr>
            </w:pPr>
            <w:r w:rsidRPr="0063248C">
              <w:rPr>
                <w:rFonts w:cs="宋体"/>
                <w:sz w:val="18"/>
                <w:szCs w:val="18"/>
              </w:rPr>
              <w:t>322,602,550.60</w:t>
            </w:r>
          </w:p>
        </w:tc>
        <w:tc>
          <w:tcPr>
            <w:tcW w:w="741" w:type="dxa"/>
            <w:tcBorders>
              <w:top w:val="single" w:sz="2" w:space="0" w:color="auto"/>
              <w:left w:val="single" w:sz="2" w:space="0" w:color="auto"/>
              <w:bottom w:val="single" w:sz="2" w:space="0" w:color="auto"/>
              <w:right w:val="single" w:sz="2" w:space="0" w:color="auto"/>
            </w:tcBorders>
            <w:vAlign w:val="center"/>
          </w:tcPr>
          <w:p w14:paraId="721D9A5A" w14:textId="77777777" w:rsidR="007B3DB2" w:rsidRPr="0063248C" w:rsidRDefault="00000000">
            <w:pPr>
              <w:spacing w:line="240" w:lineRule="exact"/>
              <w:jc w:val="right"/>
              <w:rPr>
                <w:rFonts w:cs="宋体"/>
                <w:sz w:val="18"/>
                <w:szCs w:val="18"/>
              </w:rPr>
            </w:pPr>
            <w:r w:rsidRPr="0063248C">
              <w:rPr>
                <w:rFonts w:cs="宋体"/>
                <w:sz w:val="18"/>
                <w:szCs w:val="18"/>
              </w:rPr>
              <w:t>285,870,160.93</w:t>
            </w:r>
          </w:p>
        </w:tc>
        <w:tc>
          <w:tcPr>
            <w:tcW w:w="741" w:type="dxa"/>
            <w:tcBorders>
              <w:top w:val="single" w:sz="2" w:space="0" w:color="auto"/>
              <w:left w:val="single" w:sz="2" w:space="0" w:color="auto"/>
              <w:bottom w:val="single" w:sz="2" w:space="0" w:color="auto"/>
              <w:right w:val="single" w:sz="2" w:space="0" w:color="auto"/>
            </w:tcBorders>
            <w:vAlign w:val="center"/>
          </w:tcPr>
          <w:p w14:paraId="74B756B1" w14:textId="77777777" w:rsidR="007B3DB2" w:rsidRPr="0063248C" w:rsidRDefault="00000000">
            <w:pPr>
              <w:spacing w:line="240" w:lineRule="exact"/>
              <w:jc w:val="right"/>
              <w:rPr>
                <w:rFonts w:cs="宋体"/>
                <w:sz w:val="18"/>
                <w:szCs w:val="18"/>
              </w:rPr>
            </w:pPr>
            <w:r w:rsidRPr="0063248C">
              <w:rPr>
                <w:rFonts w:cs="宋体"/>
                <w:sz w:val="18"/>
                <w:szCs w:val="18"/>
              </w:rPr>
              <w:t>608,472,711.53</w:t>
            </w:r>
          </w:p>
        </w:tc>
        <w:tc>
          <w:tcPr>
            <w:tcW w:w="741" w:type="dxa"/>
            <w:tcBorders>
              <w:top w:val="single" w:sz="2" w:space="0" w:color="auto"/>
              <w:left w:val="single" w:sz="2" w:space="0" w:color="auto"/>
              <w:bottom w:val="single" w:sz="2" w:space="0" w:color="auto"/>
              <w:right w:val="single" w:sz="2" w:space="0" w:color="auto"/>
            </w:tcBorders>
            <w:vAlign w:val="center"/>
          </w:tcPr>
          <w:p w14:paraId="3885C900" w14:textId="77777777" w:rsidR="007B3DB2" w:rsidRPr="0063248C" w:rsidRDefault="00000000">
            <w:pPr>
              <w:spacing w:line="240" w:lineRule="exact"/>
              <w:jc w:val="right"/>
              <w:rPr>
                <w:rFonts w:cs="宋体"/>
                <w:sz w:val="18"/>
                <w:szCs w:val="18"/>
              </w:rPr>
            </w:pPr>
            <w:r w:rsidRPr="0063248C">
              <w:rPr>
                <w:rFonts w:cs="宋体"/>
                <w:sz w:val="18"/>
                <w:szCs w:val="18"/>
              </w:rPr>
              <w:t>450,293,798.72</w:t>
            </w:r>
          </w:p>
        </w:tc>
        <w:tc>
          <w:tcPr>
            <w:tcW w:w="741" w:type="dxa"/>
            <w:tcBorders>
              <w:top w:val="single" w:sz="2" w:space="0" w:color="auto"/>
              <w:left w:val="single" w:sz="2" w:space="0" w:color="auto"/>
              <w:bottom w:val="single" w:sz="2" w:space="0" w:color="auto"/>
              <w:right w:val="single" w:sz="2" w:space="0" w:color="auto"/>
            </w:tcBorders>
            <w:vAlign w:val="center"/>
          </w:tcPr>
          <w:p w14:paraId="7F7CD2D9" w14:textId="77777777" w:rsidR="007B3DB2" w:rsidRPr="0063248C" w:rsidRDefault="00000000">
            <w:pPr>
              <w:spacing w:line="240" w:lineRule="exact"/>
              <w:jc w:val="right"/>
              <w:rPr>
                <w:rFonts w:cs="宋体"/>
                <w:sz w:val="18"/>
                <w:szCs w:val="18"/>
              </w:rPr>
            </w:pPr>
            <w:r w:rsidRPr="0063248C">
              <w:rPr>
                <w:rFonts w:cs="宋体"/>
                <w:sz w:val="18"/>
                <w:szCs w:val="18"/>
              </w:rPr>
              <w:t>37,018,783.67</w:t>
            </w:r>
          </w:p>
        </w:tc>
        <w:tc>
          <w:tcPr>
            <w:tcW w:w="741" w:type="dxa"/>
            <w:tcBorders>
              <w:top w:val="single" w:sz="2" w:space="0" w:color="auto"/>
              <w:left w:val="single" w:sz="2" w:space="0" w:color="auto"/>
              <w:bottom w:val="single" w:sz="2" w:space="0" w:color="auto"/>
              <w:right w:val="single" w:sz="2" w:space="0" w:color="auto"/>
            </w:tcBorders>
            <w:vAlign w:val="center"/>
          </w:tcPr>
          <w:p w14:paraId="72B1C477" w14:textId="77777777" w:rsidR="007B3DB2" w:rsidRPr="0063248C" w:rsidRDefault="00000000">
            <w:pPr>
              <w:spacing w:line="240" w:lineRule="exact"/>
              <w:jc w:val="right"/>
              <w:rPr>
                <w:rFonts w:cs="宋体"/>
                <w:sz w:val="18"/>
                <w:szCs w:val="18"/>
              </w:rPr>
            </w:pPr>
            <w:r w:rsidRPr="0063248C">
              <w:rPr>
                <w:rFonts w:cs="宋体"/>
                <w:sz w:val="18"/>
                <w:szCs w:val="18"/>
              </w:rPr>
              <w:t>487,312,582.39</w:t>
            </w:r>
          </w:p>
        </w:tc>
      </w:tr>
      <w:tr w:rsidR="007B3DB2" w:rsidRPr="0063248C" w14:paraId="35E62124" w14:textId="77777777" w:rsidTr="000F65D3">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13E2D2D" w14:textId="77777777" w:rsidR="007B3DB2" w:rsidRPr="0063248C" w:rsidRDefault="00000000">
            <w:pPr>
              <w:spacing w:line="240" w:lineRule="exact"/>
              <w:rPr>
                <w:rFonts w:cs="宋体"/>
                <w:sz w:val="18"/>
                <w:szCs w:val="18"/>
              </w:rPr>
            </w:pPr>
            <w:r w:rsidRPr="0063248C">
              <w:rPr>
                <w:rFonts w:cs="宋体"/>
                <w:sz w:val="18"/>
                <w:szCs w:val="18"/>
              </w:rPr>
              <w:t>蓬莱富龙肉食品有限公司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1957D5D7" w14:textId="77777777" w:rsidR="007B3DB2" w:rsidRPr="0063248C" w:rsidRDefault="00000000">
            <w:pPr>
              <w:spacing w:line="240" w:lineRule="exact"/>
              <w:jc w:val="right"/>
              <w:rPr>
                <w:rFonts w:cs="宋体"/>
                <w:sz w:val="18"/>
                <w:szCs w:val="18"/>
              </w:rPr>
            </w:pPr>
            <w:r w:rsidRPr="0063248C">
              <w:rPr>
                <w:rFonts w:cs="宋体"/>
                <w:sz w:val="18"/>
                <w:szCs w:val="18"/>
              </w:rPr>
              <w:t>46,778,762.82</w:t>
            </w:r>
          </w:p>
        </w:tc>
        <w:tc>
          <w:tcPr>
            <w:tcW w:w="741" w:type="dxa"/>
            <w:tcBorders>
              <w:top w:val="single" w:sz="2" w:space="0" w:color="auto"/>
              <w:left w:val="single" w:sz="2" w:space="0" w:color="auto"/>
              <w:bottom w:val="single" w:sz="2" w:space="0" w:color="auto"/>
              <w:right w:val="single" w:sz="2" w:space="0" w:color="auto"/>
            </w:tcBorders>
            <w:vAlign w:val="center"/>
          </w:tcPr>
          <w:p w14:paraId="59B35F50" w14:textId="77777777" w:rsidR="007B3DB2" w:rsidRPr="0063248C" w:rsidRDefault="00000000">
            <w:pPr>
              <w:spacing w:line="240" w:lineRule="exact"/>
              <w:jc w:val="right"/>
              <w:rPr>
                <w:rFonts w:cs="宋体"/>
                <w:sz w:val="18"/>
                <w:szCs w:val="18"/>
              </w:rPr>
            </w:pPr>
            <w:r w:rsidRPr="0063248C">
              <w:rPr>
                <w:rFonts w:cs="宋体"/>
                <w:sz w:val="18"/>
                <w:szCs w:val="18"/>
              </w:rPr>
              <w:t>37,009,628.78</w:t>
            </w:r>
          </w:p>
        </w:tc>
        <w:tc>
          <w:tcPr>
            <w:tcW w:w="741" w:type="dxa"/>
            <w:tcBorders>
              <w:top w:val="single" w:sz="2" w:space="0" w:color="auto"/>
              <w:left w:val="single" w:sz="2" w:space="0" w:color="auto"/>
              <w:bottom w:val="single" w:sz="2" w:space="0" w:color="auto"/>
              <w:right w:val="single" w:sz="2" w:space="0" w:color="auto"/>
            </w:tcBorders>
            <w:vAlign w:val="center"/>
          </w:tcPr>
          <w:p w14:paraId="515C6178" w14:textId="77777777" w:rsidR="007B3DB2" w:rsidRPr="0063248C" w:rsidRDefault="00000000">
            <w:pPr>
              <w:spacing w:line="240" w:lineRule="exact"/>
              <w:jc w:val="right"/>
              <w:rPr>
                <w:rFonts w:cs="宋体"/>
                <w:sz w:val="18"/>
                <w:szCs w:val="18"/>
              </w:rPr>
            </w:pPr>
            <w:r w:rsidRPr="0063248C">
              <w:rPr>
                <w:rFonts w:cs="宋体"/>
                <w:sz w:val="18"/>
                <w:szCs w:val="18"/>
              </w:rPr>
              <w:t>83,788,391.60</w:t>
            </w:r>
          </w:p>
        </w:tc>
        <w:tc>
          <w:tcPr>
            <w:tcW w:w="741" w:type="dxa"/>
            <w:tcBorders>
              <w:top w:val="single" w:sz="2" w:space="0" w:color="auto"/>
              <w:left w:val="single" w:sz="2" w:space="0" w:color="auto"/>
              <w:bottom w:val="single" w:sz="2" w:space="0" w:color="auto"/>
              <w:right w:val="single" w:sz="2" w:space="0" w:color="auto"/>
            </w:tcBorders>
            <w:vAlign w:val="center"/>
          </w:tcPr>
          <w:p w14:paraId="60141787" w14:textId="77777777" w:rsidR="007B3DB2" w:rsidRPr="0063248C" w:rsidRDefault="00000000">
            <w:pPr>
              <w:spacing w:line="240" w:lineRule="exact"/>
              <w:jc w:val="right"/>
              <w:rPr>
                <w:rFonts w:cs="宋体"/>
                <w:sz w:val="18"/>
                <w:szCs w:val="18"/>
              </w:rPr>
            </w:pPr>
            <w:r w:rsidRPr="0063248C">
              <w:rPr>
                <w:rFonts w:cs="宋体"/>
                <w:sz w:val="18"/>
                <w:szCs w:val="18"/>
              </w:rPr>
              <w:t>38,770,985.65</w:t>
            </w:r>
          </w:p>
        </w:tc>
        <w:tc>
          <w:tcPr>
            <w:tcW w:w="741" w:type="dxa"/>
            <w:tcBorders>
              <w:top w:val="single" w:sz="2" w:space="0" w:color="auto"/>
              <w:left w:val="single" w:sz="2" w:space="0" w:color="auto"/>
              <w:bottom w:val="single" w:sz="2" w:space="0" w:color="auto"/>
              <w:right w:val="single" w:sz="2" w:space="0" w:color="auto"/>
            </w:tcBorders>
            <w:vAlign w:val="center"/>
          </w:tcPr>
          <w:p w14:paraId="7DD77533"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4DB81997" w14:textId="77777777" w:rsidR="007B3DB2" w:rsidRPr="0063248C" w:rsidRDefault="00000000">
            <w:pPr>
              <w:spacing w:line="240" w:lineRule="exact"/>
              <w:jc w:val="right"/>
              <w:rPr>
                <w:rFonts w:cs="宋体"/>
                <w:sz w:val="18"/>
                <w:szCs w:val="18"/>
              </w:rPr>
            </w:pPr>
            <w:r w:rsidRPr="0063248C">
              <w:rPr>
                <w:rFonts w:cs="宋体"/>
                <w:sz w:val="18"/>
                <w:szCs w:val="18"/>
              </w:rPr>
              <w:t>38,770,985.65</w:t>
            </w:r>
          </w:p>
        </w:tc>
        <w:tc>
          <w:tcPr>
            <w:tcW w:w="741" w:type="dxa"/>
            <w:tcBorders>
              <w:top w:val="single" w:sz="2" w:space="0" w:color="auto"/>
              <w:left w:val="single" w:sz="2" w:space="0" w:color="auto"/>
              <w:bottom w:val="single" w:sz="2" w:space="0" w:color="auto"/>
              <w:right w:val="single" w:sz="2" w:space="0" w:color="auto"/>
            </w:tcBorders>
            <w:vAlign w:val="center"/>
          </w:tcPr>
          <w:p w14:paraId="2ABA9DA2" w14:textId="77777777" w:rsidR="007B3DB2" w:rsidRPr="0063248C" w:rsidRDefault="00000000">
            <w:pPr>
              <w:spacing w:line="240" w:lineRule="exact"/>
              <w:jc w:val="right"/>
              <w:rPr>
                <w:rFonts w:cs="宋体"/>
                <w:sz w:val="18"/>
                <w:szCs w:val="18"/>
              </w:rPr>
            </w:pPr>
            <w:r w:rsidRPr="0063248C">
              <w:rPr>
                <w:rFonts w:cs="宋体"/>
                <w:sz w:val="18"/>
                <w:szCs w:val="18"/>
              </w:rPr>
              <w:t>52,085,677.63</w:t>
            </w:r>
          </w:p>
        </w:tc>
        <w:tc>
          <w:tcPr>
            <w:tcW w:w="741" w:type="dxa"/>
            <w:tcBorders>
              <w:top w:val="single" w:sz="2" w:space="0" w:color="auto"/>
              <w:left w:val="single" w:sz="2" w:space="0" w:color="auto"/>
              <w:bottom w:val="single" w:sz="2" w:space="0" w:color="auto"/>
              <w:right w:val="single" w:sz="2" w:space="0" w:color="auto"/>
            </w:tcBorders>
            <w:vAlign w:val="center"/>
          </w:tcPr>
          <w:p w14:paraId="543E1948" w14:textId="77777777" w:rsidR="007B3DB2" w:rsidRPr="0063248C" w:rsidRDefault="00000000">
            <w:pPr>
              <w:spacing w:line="240" w:lineRule="exact"/>
              <w:jc w:val="right"/>
              <w:rPr>
                <w:rFonts w:cs="宋体"/>
                <w:sz w:val="18"/>
                <w:szCs w:val="18"/>
              </w:rPr>
            </w:pPr>
            <w:r w:rsidRPr="0063248C">
              <w:rPr>
                <w:rFonts w:cs="宋体"/>
                <w:sz w:val="18"/>
                <w:szCs w:val="18"/>
              </w:rPr>
              <w:t>38,329,082.63</w:t>
            </w:r>
          </w:p>
        </w:tc>
        <w:tc>
          <w:tcPr>
            <w:tcW w:w="741" w:type="dxa"/>
            <w:tcBorders>
              <w:top w:val="single" w:sz="2" w:space="0" w:color="auto"/>
              <w:left w:val="single" w:sz="2" w:space="0" w:color="auto"/>
              <w:bottom w:val="single" w:sz="2" w:space="0" w:color="auto"/>
              <w:right w:val="single" w:sz="2" w:space="0" w:color="auto"/>
            </w:tcBorders>
            <w:vAlign w:val="center"/>
          </w:tcPr>
          <w:p w14:paraId="6D5CB94B" w14:textId="77777777" w:rsidR="007B3DB2" w:rsidRPr="0063248C" w:rsidRDefault="00000000">
            <w:pPr>
              <w:spacing w:line="240" w:lineRule="exact"/>
              <w:jc w:val="right"/>
              <w:rPr>
                <w:rFonts w:cs="宋体"/>
                <w:sz w:val="18"/>
                <w:szCs w:val="18"/>
              </w:rPr>
            </w:pPr>
            <w:r w:rsidRPr="0063248C">
              <w:rPr>
                <w:rFonts w:cs="宋体"/>
                <w:sz w:val="18"/>
                <w:szCs w:val="18"/>
              </w:rPr>
              <w:t>90,414,760.26</w:t>
            </w:r>
          </w:p>
        </w:tc>
        <w:tc>
          <w:tcPr>
            <w:tcW w:w="741" w:type="dxa"/>
            <w:tcBorders>
              <w:top w:val="single" w:sz="2" w:space="0" w:color="auto"/>
              <w:left w:val="single" w:sz="2" w:space="0" w:color="auto"/>
              <w:bottom w:val="single" w:sz="2" w:space="0" w:color="auto"/>
              <w:right w:val="single" w:sz="2" w:space="0" w:color="auto"/>
            </w:tcBorders>
            <w:vAlign w:val="center"/>
          </w:tcPr>
          <w:p w14:paraId="193D5FCB" w14:textId="77777777" w:rsidR="007B3DB2" w:rsidRPr="0063248C" w:rsidRDefault="00000000">
            <w:pPr>
              <w:spacing w:line="240" w:lineRule="exact"/>
              <w:jc w:val="right"/>
              <w:rPr>
                <w:rFonts w:cs="宋体"/>
                <w:sz w:val="18"/>
                <w:szCs w:val="18"/>
              </w:rPr>
            </w:pPr>
            <w:r w:rsidRPr="0063248C">
              <w:rPr>
                <w:rFonts w:cs="宋体"/>
                <w:sz w:val="18"/>
                <w:szCs w:val="18"/>
              </w:rPr>
              <w:t>44,990,174.84</w:t>
            </w:r>
          </w:p>
        </w:tc>
        <w:tc>
          <w:tcPr>
            <w:tcW w:w="741" w:type="dxa"/>
            <w:tcBorders>
              <w:top w:val="single" w:sz="2" w:space="0" w:color="auto"/>
              <w:left w:val="single" w:sz="2" w:space="0" w:color="auto"/>
              <w:bottom w:val="single" w:sz="2" w:space="0" w:color="auto"/>
              <w:right w:val="single" w:sz="2" w:space="0" w:color="auto"/>
            </w:tcBorders>
            <w:vAlign w:val="center"/>
          </w:tcPr>
          <w:p w14:paraId="6290B7CD"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14:paraId="64E81122" w14:textId="77777777" w:rsidR="007B3DB2" w:rsidRPr="0063248C" w:rsidRDefault="00000000">
            <w:pPr>
              <w:spacing w:line="240" w:lineRule="exact"/>
              <w:jc w:val="right"/>
              <w:rPr>
                <w:rFonts w:cs="宋体"/>
                <w:sz w:val="18"/>
                <w:szCs w:val="18"/>
              </w:rPr>
            </w:pPr>
            <w:r w:rsidRPr="0063248C">
              <w:rPr>
                <w:rFonts w:cs="宋体"/>
                <w:sz w:val="18"/>
                <w:szCs w:val="18"/>
              </w:rPr>
              <w:t>44,990,174.84</w:t>
            </w:r>
          </w:p>
        </w:tc>
      </w:tr>
    </w:tbl>
    <w:p w14:paraId="5892291C"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071"/>
        <w:gridCol w:w="1071"/>
        <w:gridCol w:w="1071"/>
        <w:gridCol w:w="1071"/>
        <w:gridCol w:w="1071"/>
        <w:gridCol w:w="1071"/>
        <w:gridCol w:w="1071"/>
        <w:gridCol w:w="1071"/>
        <w:gridCol w:w="1071"/>
      </w:tblGrid>
      <w:tr w:rsidR="007B3DB2" w:rsidRPr="0063248C" w14:paraId="41055CAE" w14:textId="77777777" w:rsidTr="000F65D3">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A3FF880" w14:textId="77777777" w:rsidR="007B3DB2" w:rsidRPr="0063248C" w:rsidRDefault="00000000">
            <w:pPr>
              <w:spacing w:before="40" w:after="40" w:line="240" w:lineRule="exact"/>
              <w:jc w:val="center"/>
              <w:rPr>
                <w:rFonts w:cs="宋体"/>
                <w:sz w:val="18"/>
                <w:szCs w:val="18"/>
              </w:rPr>
            </w:pPr>
            <w:r w:rsidRPr="0063248C">
              <w:rPr>
                <w:rFonts w:cs="宋体"/>
                <w:sz w:val="18"/>
                <w:szCs w:val="18"/>
              </w:rPr>
              <w:t>子公司名称</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32D44D5"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AB65C71"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67BB6639" w14:textId="77777777" w:rsidTr="000F65D3">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5C152E9" w14:textId="77777777" w:rsidR="007B3DB2" w:rsidRPr="0063248C" w:rsidRDefault="007B3DB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49663FF" w14:textId="77777777" w:rsidR="007B3DB2" w:rsidRPr="0063248C" w:rsidRDefault="00000000">
            <w:pPr>
              <w:spacing w:before="40" w:after="40" w:line="240" w:lineRule="exact"/>
              <w:jc w:val="center"/>
              <w:rPr>
                <w:rFonts w:cs="宋体"/>
                <w:sz w:val="18"/>
                <w:szCs w:val="18"/>
              </w:rPr>
            </w:pPr>
            <w:r w:rsidRPr="0063248C">
              <w:rPr>
                <w:rFonts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887260B" w14:textId="77777777" w:rsidR="007B3DB2" w:rsidRPr="0063248C" w:rsidRDefault="00000000">
            <w:pPr>
              <w:spacing w:before="40" w:after="40" w:line="240" w:lineRule="exact"/>
              <w:jc w:val="center"/>
              <w:rPr>
                <w:rFonts w:cs="宋体"/>
                <w:sz w:val="18"/>
                <w:szCs w:val="18"/>
              </w:rPr>
            </w:pPr>
            <w:r w:rsidRPr="0063248C">
              <w:rPr>
                <w:rFonts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3CB7039" w14:textId="77777777" w:rsidR="007B3DB2" w:rsidRPr="0063248C" w:rsidRDefault="00000000">
            <w:pPr>
              <w:spacing w:before="40" w:after="40" w:line="240" w:lineRule="exact"/>
              <w:jc w:val="center"/>
              <w:rPr>
                <w:rFonts w:cs="宋体"/>
                <w:sz w:val="18"/>
                <w:szCs w:val="18"/>
              </w:rPr>
            </w:pPr>
            <w:r w:rsidRPr="0063248C">
              <w:rPr>
                <w:rFonts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E9D4134" w14:textId="77777777" w:rsidR="007B3DB2" w:rsidRPr="0063248C" w:rsidRDefault="00000000">
            <w:pPr>
              <w:spacing w:before="40" w:after="40" w:line="240" w:lineRule="exact"/>
              <w:jc w:val="center"/>
              <w:rPr>
                <w:rFonts w:cs="宋体"/>
                <w:sz w:val="18"/>
                <w:szCs w:val="18"/>
              </w:rPr>
            </w:pPr>
            <w:r w:rsidRPr="0063248C">
              <w:rPr>
                <w:rFonts w:cs="宋体"/>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1DB4387" w14:textId="77777777" w:rsidR="007B3DB2" w:rsidRPr="0063248C" w:rsidRDefault="00000000">
            <w:pPr>
              <w:spacing w:before="40" w:after="40" w:line="240" w:lineRule="exact"/>
              <w:jc w:val="center"/>
              <w:rPr>
                <w:rFonts w:cs="宋体"/>
                <w:sz w:val="18"/>
                <w:szCs w:val="18"/>
              </w:rPr>
            </w:pPr>
            <w:r w:rsidRPr="0063248C">
              <w:rPr>
                <w:rFonts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3BA7180" w14:textId="77777777" w:rsidR="007B3DB2" w:rsidRPr="0063248C" w:rsidRDefault="00000000">
            <w:pPr>
              <w:spacing w:before="40" w:after="40" w:line="240" w:lineRule="exact"/>
              <w:jc w:val="center"/>
              <w:rPr>
                <w:rFonts w:cs="宋体"/>
                <w:sz w:val="18"/>
                <w:szCs w:val="18"/>
              </w:rPr>
            </w:pPr>
            <w:r w:rsidRPr="0063248C">
              <w:rPr>
                <w:rFonts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2A12514" w14:textId="77777777" w:rsidR="007B3DB2" w:rsidRPr="0063248C" w:rsidRDefault="00000000">
            <w:pPr>
              <w:spacing w:before="40" w:after="40" w:line="240" w:lineRule="exact"/>
              <w:jc w:val="center"/>
              <w:rPr>
                <w:rFonts w:cs="宋体"/>
                <w:sz w:val="18"/>
                <w:szCs w:val="18"/>
              </w:rPr>
            </w:pPr>
            <w:r w:rsidRPr="0063248C">
              <w:rPr>
                <w:rFonts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B18211E" w14:textId="77777777" w:rsidR="007B3DB2" w:rsidRPr="0063248C" w:rsidRDefault="00000000">
            <w:pPr>
              <w:spacing w:before="40" w:after="40" w:line="240" w:lineRule="exact"/>
              <w:jc w:val="center"/>
              <w:rPr>
                <w:rFonts w:cs="宋体"/>
                <w:sz w:val="18"/>
                <w:szCs w:val="18"/>
              </w:rPr>
            </w:pPr>
            <w:r w:rsidRPr="0063248C">
              <w:rPr>
                <w:rFonts w:cs="宋体"/>
                <w:sz w:val="18"/>
                <w:szCs w:val="18"/>
              </w:rPr>
              <w:t>经营活动现金流量</w:t>
            </w:r>
          </w:p>
        </w:tc>
      </w:tr>
      <w:tr w:rsidR="007B3DB2" w:rsidRPr="0063248C" w14:paraId="6ECA8FA8" w14:textId="77777777" w:rsidTr="000F65D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B4D7FE3"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72FDF84" w14:textId="77777777" w:rsidR="007B3DB2" w:rsidRPr="0063248C" w:rsidRDefault="00000000">
            <w:pPr>
              <w:spacing w:line="240" w:lineRule="exact"/>
              <w:jc w:val="right"/>
              <w:rPr>
                <w:rFonts w:cs="宋体"/>
                <w:sz w:val="18"/>
                <w:szCs w:val="18"/>
              </w:rPr>
            </w:pPr>
            <w:r w:rsidRPr="0063248C">
              <w:rPr>
                <w:rFonts w:cs="宋体"/>
                <w:sz w:val="18"/>
                <w:szCs w:val="18"/>
              </w:rPr>
              <w:t>997,237,220.35</w:t>
            </w:r>
          </w:p>
        </w:tc>
        <w:tc>
          <w:tcPr>
            <w:tcW w:w="1071" w:type="dxa"/>
            <w:tcBorders>
              <w:top w:val="single" w:sz="2" w:space="0" w:color="auto"/>
              <w:left w:val="single" w:sz="2" w:space="0" w:color="auto"/>
              <w:bottom w:val="single" w:sz="2" w:space="0" w:color="auto"/>
              <w:right w:val="single" w:sz="2" w:space="0" w:color="auto"/>
            </w:tcBorders>
            <w:vAlign w:val="center"/>
          </w:tcPr>
          <w:p w14:paraId="529E7955" w14:textId="77777777" w:rsidR="007B3DB2" w:rsidRPr="0063248C" w:rsidRDefault="00000000">
            <w:pPr>
              <w:spacing w:line="240" w:lineRule="exact"/>
              <w:jc w:val="right"/>
              <w:rPr>
                <w:rFonts w:cs="宋体"/>
                <w:sz w:val="18"/>
                <w:szCs w:val="18"/>
              </w:rPr>
            </w:pPr>
            <w:r w:rsidRPr="0063248C">
              <w:rPr>
                <w:rFonts w:cs="宋体"/>
                <w:sz w:val="18"/>
                <w:szCs w:val="18"/>
              </w:rPr>
              <w:t>-4,513,171.96</w:t>
            </w:r>
          </w:p>
        </w:tc>
        <w:tc>
          <w:tcPr>
            <w:tcW w:w="1071" w:type="dxa"/>
            <w:tcBorders>
              <w:top w:val="single" w:sz="2" w:space="0" w:color="auto"/>
              <w:left w:val="single" w:sz="2" w:space="0" w:color="auto"/>
              <w:bottom w:val="single" w:sz="2" w:space="0" w:color="auto"/>
              <w:right w:val="single" w:sz="2" w:space="0" w:color="auto"/>
            </w:tcBorders>
            <w:vAlign w:val="center"/>
          </w:tcPr>
          <w:p w14:paraId="24A19C6E" w14:textId="77777777" w:rsidR="007B3DB2" w:rsidRPr="0063248C" w:rsidRDefault="00000000">
            <w:pPr>
              <w:spacing w:line="240" w:lineRule="exact"/>
              <w:jc w:val="right"/>
              <w:rPr>
                <w:rFonts w:cs="宋体"/>
                <w:sz w:val="18"/>
                <w:szCs w:val="18"/>
              </w:rPr>
            </w:pPr>
            <w:r w:rsidRPr="0063248C">
              <w:rPr>
                <w:rFonts w:cs="宋体"/>
                <w:sz w:val="18"/>
                <w:szCs w:val="18"/>
              </w:rPr>
              <w:t>-4,513,171.96</w:t>
            </w:r>
          </w:p>
        </w:tc>
        <w:tc>
          <w:tcPr>
            <w:tcW w:w="1071" w:type="dxa"/>
            <w:tcBorders>
              <w:top w:val="single" w:sz="2" w:space="0" w:color="auto"/>
              <w:left w:val="single" w:sz="2" w:space="0" w:color="auto"/>
              <w:bottom w:val="single" w:sz="2" w:space="0" w:color="auto"/>
              <w:right w:val="single" w:sz="2" w:space="0" w:color="auto"/>
            </w:tcBorders>
            <w:vAlign w:val="center"/>
          </w:tcPr>
          <w:p w14:paraId="66FAE6AD" w14:textId="77777777" w:rsidR="007B3DB2" w:rsidRPr="0063248C" w:rsidRDefault="00000000">
            <w:pPr>
              <w:spacing w:line="240" w:lineRule="exact"/>
              <w:jc w:val="right"/>
              <w:rPr>
                <w:rFonts w:cs="宋体"/>
                <w:sz w:val="18"/>
                <w:szCs w:val="18"/>
              </w:rPr>
            </w:pPr>
            <w:r w:rsidRPr="0063248C">
              <w:rPr>
                <w:rFonts w:cs="宋体"/>
                <w:sz w:val="18"/>
                <w:szCs w:val="18"/>
              </w:rPr>
              <w:t>-16,346,096.91</w:t>
            </w:r>
          </w:p>
        </w:tc>
        <w:tc>
          <w:tcPr>
            <w:tcW w:w="1071" w:type="dxa"/>
            <w:tcBorders>
              <w:top w:val="single" w:sz="2" w:space="0" w:color="auto"/>
              <w:left w:val="single" w:sz="2" w:space="0" w:color="auto"/>
              <w:bottom w:val="single" w:sz="2" w:space="0" w:color="auto"/>
              <w:right w:val="single" w:sz="2" w:space="0" w:color="auto"/>
            </w:tcBorders>
            <w:vAlign w:val="center"/>
          </w:tcPr>
          <w:p w14:paraId="427055F6" w14:textId="77777777" w:rsidR="007B3DB2" w:rsidRPr="0063248C" w:rsidRDefault="00000000">
            <w:pPr>
              <w:spacing w:line="240" w:lineRule="exact"/>
              <w:jc w:val="right"/>
              <w:rPr>
                <w:rFonts w:cs="宋体"/>
                <w:sz w:val="18"/>
                <w:szCs w:val="18"/>
              </w:rPr>
            </w:pPr>
            <w:r w:rsidRPr="0063248C">
              <w:rPr>
                <w:rFonts w:cs="宋体"/>
                <w:sz w:val="18"/>
                <w:szCs w:val="18"/>
              </w:rPr>
              <w:t>1,273,303,780.48</w:t>
            </w:r>
          </w:p>
        </w:tc>
        <w:tc>
          <w:tcPr>
            <w:tcW w:w="1071" w:type="dxa"/>
            <w:tcBorders>
              <w:top w:val="single" w:sz="2" w:space="0" w:color="auto"/>
              <w:left w:val="single" w:sz="2" w:space="0" w:color="auto"/>
              <w:bottom w:val="single" w:sz="2" w:space="0" w:color="auto"/>
              <w:right w:val="single" w:sz="2" w:space="0" w:color="auto"/>
            </w:tcBorders>
            <w:vAlign w:val="center"/>
          </w:tcPr>
          <w:p w14:paraId="6A9E9369" w14:textId="77777777" w:rsidR="007B3DB2" w:rsidRPr="0063248C" w:rsidRDefault="00000000">
            <w:pPr>
              <w:spacing w:line="240" w:lineRule="exact"/>
              <w:jc w:val="right"/>
              <w:rPr>
                <w:rFonts w:cs="宋体"/>
                <w:sz w:val="18"/>
                <w:szCs w:val="18"/>
              </w:rPr>
            </w:pPr>
            <w:r w:rsidRPr="0063248C">
              <w:rPr>
                <w:rFonts w:cs="宋体"/>
                <w:sz w:val="18"/>
                <w:szCs w:val="18"/>
              </w:rPr>
              <w:t>-1,264,958.31</w:t>
            </w:r>
          </w:p>
        </w:tc>
        <w:tc>
          <w:tcPr>
            <w:tcW w:w="1071" w:type="dxa"/>
            <w:tcBorders>
              <w:top w:val="single" w:sz="2" w:space="0" w:color="auto"/>
              <w:left w:val="single" w:sz="2" w:space="0" w:color="auto"/>
              <w:bottom w:val="single" w:sz="2" w:space="0" w:color="auto"/>
              <w:right w:val="single" w:sz="2" w:space="0" w:color="auto"/>
            </w:tcBorders>
            <w:vAlign w:val="center"/>
          </w:tcPr>
          <w:p w14:paraId="608A0333" w14:textId="77777777" w:rsidR="007B3DB2" w:rsidRPr="0063248C" w:rsidRDefault="00000000">
            <w:pPr>
              <w:spacing w:line="240" w:lineRule="exact"/>
              <w:jc w:val="right"/>
              <w:rPr>
                <w:rFonts w:cs="宋体"/>
                <w:sz w:val="18"/>
                <w:szCs w:val="18"/>
              </w:rPr>
            </w:pPr>
            <w:r w:rsidRPr="0063248C">
              <w:rPr>
                <w:rFonts w:cs="宋体"/>
                <w:sz w:val="18"/>
                <w:szCs w:val="18"/>
              </w:rPr>
              <w:t>-1,264,958.31</w:t>
            </w:r>
          </w:p>
        </w:tc>
        <w:tc>
          <w:tcPr>
            <w:tcW w:w="1071" w:type="dxa"/>
            <w:tcBorders>
              <w:top w:val="single" w:sz="2" w:space="0" w:color="auto"/>
              <w:left w:val="single" w:sz="2" w:space="0" w:color="auto"/>
              <w:bottom w:val="single" w:sz="2" w:space="0" w:color="auto"/>
              <w:right w:val="single" w:sz="2" w:space="0" w:color="auto"/>
            </w:tcBorders>
            <w:vAlign w:val="center"/>
          </w:tcPr>
          <w:p w14:paraId="29A9B67D" w14:textId="77777777" w:rsidR="007B3DB2" w:rsidRPr="0063248C" w:rsidRDefault="00000000">
            <w:pPr>
              <w:spacing w:line="240" w:lineRule="exact"/>
              <w:jc w:val="right"/>
              <w:rPr>
                <w:rFonts w:cs="宋体"/>
                <w:sz w:val="18"/>
                <w:szCs w:val="18"/>
              </w:rPr>
            </w:pPr>
            <w:r w:rsidRPr="0063248C">
              <w:rPr>
                <w:rFonts w:cs="宋体"/>
                <w:sz w:val="18"/>
                <w:szCs w:val="18"/>
              </w:rPr>
              <w:t>-15,824,753.08</w:t>
            </w:r>
          </w:p>
        </w:tc>
      </w:tr>
      <w:tr w:rsidR="007B3DB2" w:rsidRPr="0063248C" w14:paraId="10BE8D01" w14:textId="77777777" w:rsidTr="000F65D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BF60D59"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96B1022" w14:textId="77777777" w:rsidR="007B3DB2" w:rsidRPr="0063248C" w:rsidRDefault="00000000">
            <w:pPr>
              <w:spacing w:line="240" w:lineRule="exact"/>
              <w:jc w:val="right"/>
              <w:rPr>
                <w:rFonts w:cs="宋体"/>
                <w:sz w:val="18"/>
                <w:szCs w:val="18"/>
              </w:rPr>
            </w:pPr>
            <w:r w:rsidRPr="0063248C">
              <w:rPr>
                <w:rFonts w:cs="宋体"/>
                <w:sz w:val="18"/>
                <w:szCs w:val="18"/>
              </w:rPr>
              <w:t>909,632,586.32</w:t>
            </w:r>
          </w:p>
        </w:tc>
        <w:tc>
          <w:tcPr>
            <w:tcW w:w="1071" w:type="dxa"/>
            <w:tcBorders>
              <w:top w:val="single" w:sz="2" w:space="0" w:color="auto"/>
              <w:left w:val="single" w:sz="2" w:space="0" w:color="auto"/>
              <w:bottom w:val="single" w:sz="2" w:space="0" w:color="auto"/>
              <w:right w:val="single" w:sz="2" w:space="0" w:color="auto"/>
            </w:tcBorders>
            <w:vAlign w:val="center"/>
          </w:tcPr>
          <w:p w14:paraId="7B56CB7A" w14:textId="77777777" w:rsidR="007B3DB2" w:rsidRPr="0063248C" w:rsidRDefault="00000000">
            <w:pPr>
              <w:spacing w:line="240" w:lineRule="exact"/>
              <w:jc w:val="right"/>
              <w:rPr>
                <w:rFonts w:cs="宋体"/>
                <w:sz w:val="18"/>
                <w:szCs w:val="18"/>
              </w:rPr>
            </w:pPr>
            <w:r w:rsidRPr="0063248C">
              <w:rPr>
                <w:rFonts w:cs="宋体"/>
                <w:sz w:val="18"/>
                <w:szCs w:val="18"/>
              </w:rPr>
              <w:t>-14,007,826.43</w:t>
            </w:r>
          </w:p>
        </w:tc>
        <w:tc>
          <w:tcPr>
            <w:tcW w:w="1071" w:type="dxa"/>
            <w:tcBorders>
              <w:top w:val="single" w:sz="2" w:space="0" w:color="auto"/>
              <w:left w:val="single" w:sz="2" w:space="0" w:color="auto"/>
              <w:bottom w:val="single" w:sz="2" w:space="0" w:color="auto"/>
              <w:right w:val="single" w:sz="2" w:space="0" w:color="auto"/>
            </w:tcBorders>
            <w:vAlign w:val="center"/>
          </w:tcPr>
          <w:p w14:paraId="4BC91370" w14:textId="77777777" w:rsidR="007B3DB2" w:rsidRPr="0063248C" w:rsidRDefault="00000000">
            <w:pPr>
              <w:spacing w:line="240" w:lineRule="exact"/>
              <w:jc w:val="right"/>
              <w:rPr>
                <w:rFonts w:cs="宋体"/>
                <w:sz w:val="18"/>
                <w:szCs w:val="18"/>
              </w:rPr>
            </w:pPr>
            <w:r w:rsidRPr="0063248C">
              <w:rPr>
                <w:rFonts w:cs="宋体"/>
                <w:sz w:val="18"/>
                <w:szCs w:val="18"/>
              </w:rPr>
              <w:t>-14,007,826.43</w:t>
            </w:r>
          </w:p>
        </w:tc>
        <w:tc>
          <w:tcPr>
            <w:tcW w:w="1071" w:type="dxa"/>
            <w:tcBorders>
              <w:top w:val="single" w:sz="2" w:space="0" w:color="auto"/>
              <w:left w:val="single" w:sz="2" w:space="0" w:color="auto"/>
              <w:bottom w:val="single" w:sz="2" w:space="0" w:color="auto"/>
              <w:right w:val="single" w:sz="2" w:space="0" w:color="auto"/>
            </w:tcBorders>
            <w:vAlign w:val="center"/>
          </w:tcPr>
          <w:p w14:paraId="7BFB7CEF" w14:textId="77777777" w:rsidR="007B3DB2" w:rsidRPr="0063248C" w:rsidRDefault="00000000">
            <w:pPr>
              <w:spacing w:line="240" w:lineRule="exact"/>
              <w:jc w:val="right"/>
              <w:rPr>
                <w:rFonts w:cs="宋体"/>
                <w:sz w:val="18"/>
                <w:szCs w:val="18"/>
              </w:rPr>
            </w:pPr>
            <w:r w:rsidRPr="0063248C">
              <w:rPr>
                <w:rFonts w:cs="宋体"/>
                <w:sz w:val="18"/>
                <w:szCs w:val="18"/>
              </w:rPr>
              <w:t>-36,950,307.12</w:t>
            </w:r>
          </w:p>
        </w:tc>
        <w:tc>
          <w:tcPr>
            <w:tcW w:w="1071" w:type="dxa"/>
            <w:tcBorders>
              <w:top w:val="single" w:sz="2" w:space="0" w:color="auto"/>
              <w:left w:val="single" w:sz="2" w:space="0" w:color="auto"/>
              <w:bottom w:val="single" w:sz="2" w:space="0" w:color="auto"/>
              <w:right w:val="single" w:sz="2" w:space="0" w:color="auto"/>
            </w:tcBorders>
            <w:vAlign w:val="center"/>
          </w:tcPr>
          <w:p w14:paraId="79F4E770" w14:textId="77777777" w:rsidR="007B3DB2" w:rsidRPr="0063248C" w:rsidRDefault="00000000">
            <w:pPr>
              <w:spacing w:line="240" w:lineRule="exact"/>
              <w:jc w:val="right"/>
              <w:rPr>
                <w:rFonts w:cs="宋体"/>
                <w:sz w:val="18"/>
                <w:szCs w:val="18"/>
              </w:rPr>
            </w:pPr>
            <w:r w:rsidRPr="0063248C">
              <w:rPr>
                <w:rFonts w:cs="宋体"/>
                <w:sz w:val="18"/>
                <w:szCs w:val="18"/>
              </w:rPr>
              <w:t>1,380,104,566.41</w:t>
            </w:r>
          </w:p>
        </w:tc>
        <w:tc>
          <w:tcPr>
            <w:tcW w:w="1071" w:type="dxa"/>
            <w:tcBorders>
              <w:top w:val="single" w:sz="2" w:space="0" w:color="auto"/>
              <w:left w:val="single" w:sz="2" w:space="0" w:color="auto"/>
              <w:bottom w:val="single" w:sz="2" w:space="0" w:color="auto"/>
              <w:right w:val="single" w:sz="2" w:space="0" w:color="auto"/>
            </w:tcBorders>
            <w:vAlign w:val="center"/>
          </w:tcPr>
          <w:p w14:paraId="435FB563" w14:textId="77777777" w:rsidR="007B3DB2" w:rsidRPr="0063248C" w:rsidRDefault="00000000">
            <w:pPr>
              <w:spacing w:line="240" w:lineRule="exact"/>
              <w:jc w:val="right"/>
              <w:rPr>
                <w:rFonts w:cs="宋体"/>
                <w:sz w:val="18"/>
                <w:szCs w:val="18"/>
              </w:rPr>
            </w:pPr>
            <w:r w:rsidRPr="0063248C">
              <w:rPr>
                <w:rFonts w:cs="宋体"/>
                <w:sz w:val="18"/>
                <w:szCs w:val="18"/>
              </w:rPr>
              <w:t>-2,344,816.95</w:t>
            </w:r>
          </w:p>
        </w:tc>
        <w:tc>
          <w:tcPr>
            <w:tcW w:w="1071" w:type="dxa"/>
            <w:tcBorders>
              <w:top w:val="single" w:sz="2" w:space="0" w:color="auto"/>
              <w:left w:val="single" w:sz="2" w:space="0" w:color="auto"/>
              <w:bottom w:val="single" w:sz="2" w:space="0" w:color="auto"/>
              <w:right w:val="single" w:sz="2" w:space="0" w:color="auto"/>
            </w:tcBorders>
            <w:vAlign w:val="center"/>
          </w:tcPr>
          <w:p w14:paraId="49BE80FD" w14:textId="77777777" w:rsidR="007B3DB2" w:rsidRPr="0063248C" w:rsidRDefault="00000000">
            <w:pPr>
              <w:spacing w:line="240" w:lineRule="exact"/>
              <w:jc w:val="right"/>
              <w:rPr>
                <w:rFonts w:cs="宋体"/>
                <w:sz w:val="18"/>
                <w:szCs w:val="18"/>
              </w:rPr>
            </w:pPr>
            <w:r w:rsidRPr="0063248C">
              <w:rPr>
                <w:rFonts w:cs="宋体"/>
                <w:sz w:val="18"/>
                <w:szCs w:val="18"/>
              </w:rPr>
              <w:t>-2,344,816.95</w:t>
            </w:r>
          </w:p>
        </w:tc>
        <w:tc>
          <w:tcPr>
            <w:tcW w:w="1071" w:type="dxa"/>
            <w:tcBorders>
              <w:top w:val="single" w:sz="2" w:space="0" w:color="auto"/>
              <w:left w:val="single" w:sz="2" w:space="0" w:color="auto"/>
              <w:bottom w:val="single" w:sz="2" w:space="0" w:color="auto"/>
              <w:right w:val="single" w:sz="2" w:space="0" w:color="auto"/>
            </w:tcBorders>
            <w:vAlign w:val="center"/>
          </w:tcPr>
          <w:p w14:paraId="2C674493" w14:textId="77777777" w:rsidR="007B3DB2" w:rsidRPr="0063248C" w:rsidRDefault="00000000">
            <w:pPr>
              <w:spacing w:line="240" w:lineRule="exact"/>
              <w:jc w:val="right"/>
              <w:rPr>
                <w:rFonts w:cs="宋体"/>
                <w:sz w:val="18"/>
                <w:szCs w:val="18"/>
              </w:rPr>
            </w:pPr>
            <w:r w:rsidRPr="0063248C">
              <w:rPr>
                <w:rFonts w:cs="宋体"/>
                <w:sz w:val="18"/>
                <w:szCs w:val="18"/>
              </w:rPr>
              <w:t>-35,051,092.18</w:t>
            </w:r>
          </w:p>
        </w:tc>
      </w:tr>
      <w:tr w:rsidR="007B3DB2" w:rsidRPr="0063248C" w14:paraId="0447C998" w14:textId="77777777" w:rsidTr="000F65D3">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9340B6B" w14:textId="77777777" w:rsidR="007B3DB2" w:rsidRPr="0063248C" w:rsidRDefault="00000000">
            <w:pPr>
              <w:spacing w:line="240" w:lineRule="exact"/>
              <w:rPr>
                <w:rFonts w:cs="宋体"/>
                <w:sz w:val="18"/>
                <w:szCs w:val="18"/>
              </w:rPr>
            </w:pPr>
            <w:r w:rsidRPr="0063248C">
              <w:rPr>
                <w:rFonts w:cs="宋体"/>
                <w:sz w:val="18"/>
                <w:szCs w:val="18"/>
              </w:rPr>
              <w:t>蓬莱富龙肉食品有限公司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CA70094" w14:textId="77777777" w:rsidR="007B3DB2" w:rsidRPr="0063248C" w:rsidRDefault="00000000">
            <w:pPr>
              <w:spacing w:line="240" w:lineRule="exact"/>
              <w:jc w:val="right"/>
              <w:rPr>
                <w:rFonts w:cs="宋体"/>
                <w:sz w:val="18"/>
                <w:szCs w:val="18"/>
              </w:rPr>
            </w:pPr>
            <w:r w:rsidRPr="0063248C">
              <w:rPr>
                <w:rFonts w:cs="宋体"/>
                <w:sz w:val="18"/>
                <w:szCs w:val="18"/>
              </w:rPr>
              <w:t>200,314,053.14</w:t>
            </w:r>
          </w:p>
        </w:tc>
        <w:tc>
          <w:tcPr>
            <w:tcW w:w="1071" w:type="dxa"/>
            <w:tcBorders>
              <w:top w:val="single" w:sz="2" w:space="0" w:color="auto"/>
              <w:left w:val="single" w:sz="2" w:space="0" w:color="auto"/>
              <w:bottom w:val="single" w:sz="2" w:space="0" w:color="auto"/>
              <w:right w:val="single" w:sz="2" w:space="0" w:color="auto"/>
            </w:tcBorders>
            <w:vAlign w:val="center"/>
          </w:tcPr>
          <w:p w14:paraId="0DCE1F96" w14:textId="77777777" w:rsidR="007B3DB2" w:rsidRPr="0063248C" w:rsidRDefault="00000000">
            <w:pPr>
              <w:spacing w:line="240" w:lineRule="exact"/>
              <w:jc w:val="right"/>
              <w:rPr>
                <w:rFonts w:cs="宋体"/>
                <w:sz w:val="18"/>
                <w:szCs w:val="18"/>
              </w:rPr>
            </w:pPr>
            <w:r w:rsidRPr="0063248C">
              <w:rPr>
                <w:rFonts w:cs="宋体"/>
                <w:sz w:val="18"/>
                <w:szCs w:val="18"/>
              </w:rPr>
              <w:t>-407,179.47</w:t>
            </w:r>
          </w:p>
        </w:tc>
        <w:tc>
          <w:tcPr>
            <w:tcW w:w="1071" w:type="dxa"/>
            <w:tcBorders>
              <w:top w:val="single" w:sz="2" w:space="0" w:color="auto"/>
              <w:left w:val="single" w:sz="2" w:space="0" w:color="auto"/>
              <w:bottom w:val="single" w:sz="2" w:space="0" w:color="auto"/>
              <w:right w:val="single" w:sz="2" w:space="0" w:color="auto"/>
            </w:tcBorders>
            <w:vAlign w:val="center"/>
          </w:tcPr>
          <w:p w14:paraId="379E6D99" w14:textId="77777777" w:rsidR="007B3DB2" w:rsidRPr="0063248C" w:rsidRDefault="00000000">
            <w:pPr>
              <w:spacing w:line="240" w:lineRule="exact"/>
              <w:jc w:val="right"/>
              <w:rPr>
                <w:rFonts w:cs="宋体"/>
                <w:sz w:val="18"/>
                <w:szCs w:val="18"/>
              </w:rPr>
            </w:pPr>
            <w:r w:rsidRPr="0063248C">
              <w:rPr>
                <w:rFonts w:cs="宋体"/>
                <w:sz w:val="18"/>
                <w:szCs w:val="18"/>
              </w:rPr>
              <w:t>-407,179.47</w:t>
            </w:r>
          </w:p>
        </w:tc>
        <w:tc>
          <w:tcPr>
            <w:tcW w:w="1071" w:type="dxa"/>
            <w:tcBorders>
              <w:top w:val="single" w:sz="2" w:space="0" w:color="auto"/>
              <w:left w:val="single" w:sz="2" w:space="0" w:color="auto"/>
              <w:bottom w:val="single" w:sz="2" w:space="0" w:color="auto"/>
              <w:right w:val="single" w:sz="2" w:space="0" w:color="auto"/>
            </w:tcBorders>
            <w:vAlign w:val="center"/>
          </w:tcPr>
          <w:p w14:paraId="53DF5196" w14:textId="77777777" w:rsidR="007B3DB2" w:rsidRPr="0063248C" w:rsidRDefault="00000000">
            <w:pPr>
              <w:spacing w:line="240" w:lineRule="exact"/>
              <w:jc w:val="right"/>
              <w:rPr>
                <w:rFonts w:cs="宋体"/>
                <w:sz w:val="18"/>
                <w:szCs w:val="18"/>
              </w:rPr>
            </w:pPr>
            <w:r w:rsidRPr="0063248C">
              <w:rPr>
                <w:rFonts w:cs="宋体"/>
                <w:sz w:val="18"/>
                <w:szCs w:val="18"/>
              </w:rPr>
              <w:t>11,006,026.51</w:t>
            </w:r>
          </w:p>
        </w:tc>
        <w:tc>
          <w:tcPr>
            <w:tcW w:w="1071" w:type="dxa"/>
            <w:tcBorders>
              <w:top w:val="single" w:sz="2" w:space="0" w:color="auto"/>
              <w:left w:val="single" w:sz="2" w:space="0" w:color="auto"/>
              <w:bottom w:val="single" w:sz="2" w:space="0" w:color="auto"/>
              <w:right w:val="single" w:sz="2" w:space="0" w:color="auto"/>
            </w:tcBorders>
            <w:vAlign w:val="center"/>
          </w:tcPr>
          <w:p w14:paraId="3949BA83" w14:textId="77777777" w:rsidR="007B3DB2" w:rsidRPr="0063248C" w:rsidRDefault="00000000">
            <w:pPr>
              <w:spacing w:line="240" w:lineRule="exact"/>
              <w:jc w:val="right"/>
              <w:rPr>
                <w:rFonts w:cs="宋体"/>
                <w:sz w:val="18"/>
                <w:szCs w:val="18"/>
              </w:rPr>
            </w:pPr>
            <w:r w:rsidRPr="0063248C">
              <w:rPr>
                <w:rFonts w:cs="宋体"/>
                <w:sz w:val="18"/>
                <w:szCs w:val="18"/>
              </w:rPr>
              <w:t>229,803,771.48</w:t>
            </w:r>
          </w:p>
        </w:tc>
        <w:tc>
          <w:tcPr>
            <w:tcW w:w="1071" w:type="dxa"/>
            <w:tcBorders>
              <w:top w:val="single" w:sz="2" w:space="0" w:color="auto"/>
              <w:left w:val="single" w:sz="2" w:space="0" w:color="auto"/>
              <w:bottom w:val="single" w:sz="2" w:space="0" w:color="auto"/>
              <w:right w:val="single" w:sz="2" w:space="0" w:color="auto"/>
            </w:tcBorders>
            <w:vAlign w:val="center"/>
          </w:tcPr>
          <w:p w14:paraId="5C851751" w14:textId="77777777" w:rsidR="007B3DB2" w:rsidRPr="0063248C" w:rsidRDefault="00000000">
            <w:pPr>
              <w:spacing w:line="240" w:lineRule="exact"/>
              <w:jc w:val="right"/>
              <w:rPr>
                <w:rFonts w:cs="宋体"/>
                <w:sz w:val="18"/>
                <w:szCs w:val="18"/>
              </w:rPr>
            </w:pPr>
            <w:r w:rsidRPr="0063248C">
              <w:rPr>
                <w:rFonts w:cs="宋体"/>
                <w:sz w:val="18"/>
                <w:szCs w:val="18"/>
              </w:rPr>
              <w:t>4,029,027.75</w:t>
            </w:r>
          </w:p>
        </w:tc>
        <w:tc>
          <w:tcPr>
            <w:tcW w:w="1071" w:type="dxa"/>
            <w:tcBorders>
              <w:top w:val="single" w:sz="2" w:space="0" w:color="auto"/>
              <w:left w:val="single" w:sz="2" w:space="0" w:color="auto"/>
              <w:bottom w:val="single" w:sz="2" w:space="0" w:color="auto"/>
              <w:right w:val="single" w:sz="2" w:space="0" w:color="auto"/>
            </w:tcBorders>
            <w:vAlign w:val="center"/>
          </w:tcPr>
          <w:p w14:paraId="78DC758F" w14:textId="77777777" w:rsidR="007B3DB2" w:rsidRPr="0063248C" w:rsidRDefault="00000000">
            <w:pPr>
              <w:spacing w:line="240" w:lineRule="exact"/>
              <w:jc w:val="right"/>
              <w:rPr>
                <w:rFonts w:cs="宋体"/>
                <w:sz w:val="18"/>
                <w:szCs w:val="18"/>
              </w:rPr>
            </w:pPr>
            <w:r w:rsidRPr="0063248C">
              <w:rPr>
                <w:rFonts w:cs="宋体"/>
                <w:sz w:val="18"/>
                <w:szCs w:val="18"/>
              </w:rPr>
              <w:t>4,029,027.75</w:t>
            </w:r>
          </w:p>
        </w:tc>
        <w:tc>
          <w:tcPr>
            <w:tcW w:w="1071" w:type="dxa"/>
            <w:tcBorders>
              <w:top w:val="single" w:sz="2" w:space="0" w:color="auto"/>
              <w:left w:val="single" w:sz="2" w:space="0" w:color="auto"/>
              <w:bottom w:val="single" w:sz="2" w:space="0" w:color="auto"/>
              <w:right w:val="single" w:sz="2" w:space="0" w:color="auto"/>
            </w:tcBorders>
            <w:vAlign w:val="center"/>
          </w:tcPr>
          <w:p w14:paraId="3C96E7CF" w14:textId="77777777" w:rsidR="007B3DB2" w:rsidRPr="0063248C" w:rsidRDefault="00000000">
            <w:pPr>
              <w:spacing w:line="240" w:lineRule="exact"/>
              <w:jc w:val="right"/>
              <w:rPr>
                <w:rFonts w:cs="宋体"/>
                <w:sz w:val="18"/>
                <w:szCs w:val="18"/>
              </w:rPr>
            </w:pPr>
            <w:r w:rsidRPr="0063248C">
              <w:rPr>
                <w:rFonts w:cs="宋体"/>
                <w:sz w:val="18"/>
                <w:szCs w:val="18"/>
              </w:rPr>
              <w:t>-17,820,240.83</w:t>
            </w:r>
          </w:p>
        </w:tc>
      </w:tr>
    </w:tbl>
    <w:p w14:paraId="510D7414"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0C2B1563" w14:textId="77777777" w:rsidR="00517D34" w:rsidRPr="0063248C" w:rsidRDefault="00000000">
      <w:pPr>
        <w:pStyle w:val="a3"/>
        <w:divId w:val="1353336382"/>
        <w:rPr>
          <w:rFonts w:ascii="Times New Roman" w:hAnsi="Times New Roman"/>
          <w:sz w:val="18"/>
          <w:szCs w:val="18"/>
        </w:rPr>
      </w:pPr>
      <w:r w:rsidRPr="0063248C">
        <w:rPr>
          <w:rFonts w:ascii="Times New Roman" w:hAnsi="Times New Roman" w:hint="eastAsia"/>
          <w:sz w:val="18"/>
          <w:szCs w:val="18"/>
        </w:rPr>
        <w:t>无</w:t>
      </w:r>
    </w:p>
    <w:p w14:paraId="6BE01C94" w14:textId="77777777" w:rsidR="007B3DB2" w:rsidRPr="0063248C" w:rsidRDefault="00000000">
      <w:pPr>
        <w:keepNext/>
        <w:keepLines/>
        <w:spacing w:before="300" w:after="300" w:line="280" w:lineRule="exact"/>
        <w:outlineLvl w:val="3"/>
        <w:rPr>
          <w:rFonts w:cs="宋体"/>
          <w:b/>
          <w:bCs/>
          <w:sz w:val="18"/>
          <w:szCs w:val="18"/>
        </w:rPr>
      </w:pPr>
      <w:bookmarkStart w:id="425" w:name="_Toc989319"/>
      <w:r w:rsidRPr="0063248C">
        <w:rPr>
          <w:rFonts w:cs="宋体"/>
          <w:b/>
          <w:bCs/>
          <w:sz w:val="18"/>
          <w:szCs w:val="18"/>
        </w:rPr>
        <w:t>（</w:t>
      </w:r>
      <w:r w:rsidRPr="0063248C">
        <w:rPr>
          <w:rFonts w:cs="宋体"/>
          <w:b/>
          <w:bCs/>
          <w:sz w:val="18"/>
          <w:szCs w:val="18"/>
        </w:rPr>
        <w:t>4</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使用企业集团资产和清偿企业集团债务的重大限制</w:t>
      </w:r>
      <w:bookmarkEnd w:id="425"/>
    </w:p>
    <w:p w14:paraId="0FB53AA7" w14:textId="77777777" w:rsidR="00517D34" w:rsidRPr="0063248C" w:rsidRDefault="00000000">
      <w:pPr>
        <w:pStyle w:val="a3"/>
        <w:divId w:val="1213736400"/>
        <w:rPr>
          <w:rFonts w:ascii="Times New Roman" w:hAnsi="Times New Roman"/>
          <w:sz w:val="18"/>
          <w:szCs w:val="18"/>
        </w:rPr>
      </w:pPr>
      <w:r w:rsidRPr="0063248C">
        <w:rPr>
          <w:rFonts w:ascii="Times New Roman" w:hAnsi="Times New Roman" w:hint="eastAsia"/>
          <w:sz w:val="18"/>
          <w:szCs w:val="18"/>
        </w:rPr>
        <w:t>无</w:t>
      </w:r>
    </w:p>
    <w:p w14:paraId="3697C6E6" w14:textId="77777777" w:rsidR="007B3DB2" w:rsidRPr="0063248C" w:rsidRDefault="00000000">
      <w:pPr>
        <w:keepNext/>
        <w:keepLines/>
        <w:spacing w:before="300" w:after="300" w:line="280" w:lineRule="exact"/>
        <w:outlineLvl w:val="3"/>
        <w:rPr>
          <w:rFonts w:cs="宋体"/>
          <w:b/>
          <w:bCs/>
          <w:sz w:val="18"/>
          <w:szCs w:val="18"/>
        </w:rPr>
      </w:pPr>
      <w:bookmarkStart w:id="426" w:name="_Toc989320"/>
      <w:r w:rsidRPr="0063248C">
        <w:rPr>
          <w:rFonts w:cs="宋体"/>
          <w:b/>
          <w:bCs/>
          <w:sz w:val="18"/>
          <w:szCs w:val="18"/>
        </w:rPr>
        <w:t>（</w:t>
      </w:r>
      <w:r w:rsidRPr="0063248C">
        <w:rPr>
          <w:rFonts w:cs="宋体"/>
          <w:b/>
          <w:bCs/>
          <w:sz w:val="18"/>
          <w:szCs w:val="18"/>
        </w:rPr>
        <w:t>5</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向纳入合并财务报表范围的结构化主体提供的财务支持或其他支持</w:t>
      </w:r>
      <w:bookmarkEnd w:id="426"/>
    </w:p>
    <w:p w14:paraId="048CD7F3" w14:textId="77777777" w:rsidR="00517D34" w:rsidRPr="0063248C" w:rsidRDefault="00000000">
      <w:pPr>
        <w:pStyle w:val="a3"/>
        <w:divId w:val="260453215"/>
        <w:rPr>
          <w:rFonts w:ascii="Times New Roman" w:hAnsi="Times New Roman"/>
          <w:sz w:val="18"/>
          <w:szCs w:val="18"/>
        </w:rPr>
      </w:pPr>
      <w:r w:rsidRPr="0063248C">
        <w:rPr>
          <w:rFonts w:ascii="Times New Roman" w:hAnsi="Times New Roman" w:hint="eastAsia"/>
          <w:sz w:val="18"/>
          <w:szCs w:val="18"/>
        </w:rPr>
        <w:t>无</w:t>
      </w:r>
    </w:p>
    <w:p w14:paraId="2A453DB3" w14:textId="77777777" w:rsidR="007B3DB2" w:rsidRPr="0063248C" w:rsidRDefault="00000000">
      <w:pPr>
        <w:pStyle w:val="3"/>
        <w:spacing w:line="280" w:lineRule="exact"/>
        <w:jc w:val="left"/>
        <w:rPr>
          <w:rFonts w:cs="宋体"/>
          <w:b/>
          <w:bCs/>
        </w:rPr>
      </w:pPr>
      <w:bookmarkStart w:id="427" w:name="_Toc989321"/>
      <w:r w:rsidRPr="0063248C">
        <w:rPr>
          <w:rFonts w:cs="宋体"/>
          <w:b/>
          <w:bCs/>
        </w:rPr>
        <w:t>2</w:t>
      </w:r>
      <w:r w:rsidRPr="0063248C">
        <w:rPr>
          <w:rFonts w:cs="宋体"/>
          <w:b/>
          <w:bCs/>
        </w:rPr>
        <w:t>、在子公司的所有者权益份额发生变化且仍控制子公司的交易</w:t>
      </w:r>
      <w:bookmarkEnd w:id="427"/>
    </w:p>
    <w:p w14:paraId="3D5CCD40" w14:textId="77777777" w:rsidR="007B3DB2" w:rsidRPr="0063248C" w:rsidRDefault="00000000">
      <w:pPr>
        <w:keepNext/>
        <w:keepLines/>
        <w:spacing w:before="300" w:after="300" w:line="280" w:lineRule="exact"/>
        <w:outlineLvl w:val="3"/>
        <w:rPr>
          <w:rFonts w:cs="宋体"/>
          <w:b/>
          <w:bCs/>
          <w:sz w:val="18"/>
          <w:szCs w:val="18"/>
        </w:rPr>
      </w:pPr>
      <w:bookmarkStart w:id="428" w:name="_Toc989322"/>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在子公司所有者权益份额发生变化的情况说明</w:t>
      </w:r>
      <w:bookmarkEnd w:id="428"/>
    </w:p>
    <w:p w14:paraId="2C3AE632" w14:textId="77777777" w:rsidR="00517D34" w:rsidRPr="0063248C" w:rsidRDefault="00000000">
      <w:pPr>
        <w:pStyle w:val="a3"/>
        <w:divId w:val="1722636626"/>
        <w:rPr>
          <w:rFonts w:ascii="Times New Roman" w:hAnsi="Times New Roman"/>
          <w:sz w:val="18"/>
          <w:szCs w:val="18"/>
        </w:rPr>
      </w:pPr>
      <w:r w:rsidRPr="0063248C">
        <w:rPr>
          <w:rFonts w:ascii="Times New Roman" w:hAnsi="Times New Roman" w:hint="eastAsia"/>
          <w:sz w:val="18"/>
          <w:szCs w:val="18"/>
        </w:rPr>
        <w:t>无</w:t>
      </w:r>
    </w:p>
    <w:p w14:paraId="6A9DCCC0" w14:textId="77777777" w:rsidR="007B3DB2" w:rsidRPr="0063248C" w:rsidRDefault="00000000">
      <w:pPr>
        <w:keepNext/>
        <w:keepLines/>
        <w:spacing w:before="300" w:after="300" w:line="280" w:lineRule="exact"/>
        <w:outlineLvl w:val="3"/>
        <w:rPr>
          <w:rFonts w:cs="宋体"/>
          <w:b/>
          <w:bCs/>
          <w:sz w:val="18"/>
          <w:szCs w:val="18"/>
        </w:rPr>
      </w:pPr>
      <w:bookmarkStart w:id="429" w:name="_Toc989323"/>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交易对于少数股东权益及归属于母公司所有者权益的影响</w:t>
      </w:r>
      <w:bookmarkEnd w:id="429"/>
    </w:p>
    <w:p w14:paraId="0E970814" w14:textId="77777777" w:rsidR="00517D34" w:rsidRPr="0063248C" w:rsidRDefault="00000000">
      <w:pPr>
        <w:pStyle w:val="a3"/>
        <w:divId w:val="1332175470"/>
        <w:rPr>
          <w:rFonts w:ascii="Times New Roman" w:hAnsi="Times New Roman"/>
          <w:sz w:val="18"/>
          <w:szCs w:val="18"/>
        </w:rPr>
      </w:pPr>
      <w:r w:rsidRPr="0063248C">
        <w:rPr>
          <w:rFonts w:ascii="Times New Roman" w:hAnsi="Times New Roman" w:hint="eastAsia"/>
          <w:sz w:val="18"/>
          <w:szCs w:val="18"/>
        </w:rPr>
        <w:t>无</w:t>
      </w:r>
    </w:p>
    <w:p w14:paraId="531DA0A9" w14:textId="77777777" w:rsidR="007B3DB2" w:rsidRPr="0063248C" w:rsidRDefault="00000000">
      <w:pPr>
        <w:pStyle w:val="3"/>
        <w:spacing w:line="280" w:lineRule="exact"/>
        <w:jc w:val="left"/>
        <w:rPr>
          <w:rFonts w:cs="宋体"/>
          <w:b/>
          <w:bCs/>
        </w:rPr>
      </w:pPr>
      <w:bookmarkStart w:id="430" w:name="_Toc989324"/>
      <w:r w:rsidRPr="0063248C">
        <w:rPr>
          <w:rFonts w:cs="宋体"/>
          <w:b/>
          <w:bCs/>
        </w:rPr>
        <w:t>3</w:t>
      </w:r>
      <w:r w:rsidRPr="0063248C">
        <w:rPr>
          <w:rFonts w:cs="宋体"/>
          <w:b/>
          <w:bCs/>
        </w:rPr>
        <w:t>、在合营安排或联营企业中的权益</w:t>
      </w:r>
      <w:bookmarkEnd w:id="430"/>
    </w:p>
    <w:p w14:paraId="32A9527B" w14:textId="77777777" w:rsidR="007B3DB2" w:rsidRPr="0063248C" w:rsidRDefault="00000000">
      <w:pPr>
        <w:keepNext/>
        <w:keepLines/>
        <w:spacing w:before="300" w:after="300" w:line="280" w:lineRule="exact"/>
        <w:outlineLvl w:val="3"/>
        <w:rPr>
          <w:rFonts w:cs="宋体"/>
          <w:b/>
          <w:bCs/>
          <w:szCs w:val="21"/>
        </w:rPr>
      </w:pPr>
      <w:bookmarkStart w:id="431" w:name="_Toc989325"/>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重要的合营企业或联营企业</w:t>
      </w:r>
      <w:bookmarkEnd w:id="431"/>
    </w:p>
    <w:p w14:paraId="3BE72CFC" w14:textId="77777777" w:rsidR="00080A31" w:rsidRPr="000A04E4" w:rsidRDefault="00080A31" w:rsidP="00080A31">
      <w:pPr>
        <w:pStyle w:val="a3"/>
        <w:rPr>
          <w:rFonts w:ascii="Times New Roman" w:hAnsi="Times New Roman"/>
          <w:sz w:val="18"/>
          <w:szCs w:val="18"/>
        </w:rPr>
      </w:pPr>
      <w:bookmarkStart w:id="432" w:name="_Toc989326"/>
      <w:r w:rsidRPr="0063248C">
        <w:rPr>
          <w:rFonts w:ascii="Times New Roman" w:hAnsi="Times New Roman" w:hint="eastAsia"/>
          <w:sz w:val="18"/>
          <w:szCs w:val="18"/>
        </w:rPr>
        <w:t>无</w:t>
      </w:r>
    </w:p>
    <w:p w14:paraId="0904FC16"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重要合营企业的主要财务信息</w:t>
      </w:r>
      <w:bookmarkEnd w:id="432"/>
    </w:p>
    <w:p w14:paraId="4B7F1179" w14:textId="3D9B1155" w:rsidR="007B3DB2" w:rsidRPr="000A04E4" w:rsidRDefault="000A04E4" w:rsidP="000A04E4">
      <w:pPr>
        <w:pStyle w:val="a3"/>
        <w:rPr>
          <w:rFonts w:ascii="Times New Roman" w:hAnsi="Times New Roman"/>
          <w:sz w:val="18"/>
          <w:szCs w:val="18"/>
        </w:rPr>
      </w:pPr>
      <w:r w:rsidRPr="0063248C">
        <w:rPr>
          <w:rFonts w:ascii="Times New Roman" w:hAnsi="Times New Roman" w:hint="eastAsia"/>
          <w:sz w:val="18"/>
          <w:szCs w:val="18"/>
        </w:rPr>
        <w:t>无</w:t>
      </w:r>
    </w:p>
    <w:p w14:paraId="64CE39E1" w14:textId="77777777" w:rsidR="007B3DB2" w:rsidRPr="0063248C" w:rsidRDefault="00000000">
      <w:pPr>
        <w:keepNext/>
        <w:keepLines/>
        <w:spacing w:before="300" w:after="300" w:line="280" w:lineRule="exact"/>
        <w:outlineLvl w:val="3"/>
        <w:rPr>
          <w:rFonts w:cs="宋体"/>
          <w:b/>
          <w:bCs/>
          <w:szCs w:val="21"/>
        </w:rPr>
      </w:pPr>
      <w:bookmarkStart w:id="433" w:name="_Toc989327"/>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重要联营企业的主要财务信息</w:t>
      </w:r>
      <w:bookmarkEnd w:id="433"/>
    </w:p>
    <w:p w14:paraId="26F05587" w14:textId="480846E5" w:rsidR="007B3DB2" w:rsidRPr="000A04E4" w:rsidRDefault="000A04E4" w:rsidP="000A04E4">
      <w:pPr>
        <w:pStyle w:val="a3"/>
        <w:rPr>
          <w:rFonts w:ascii="Times New Roman" w:hAnsi="Times New Roman"/>
          <w:sz w:val="18"/>
          <w:szCs w:val="18"/>
        </w:rPr>
      </w:pPr>
      <w:r w:rsidRPr="0063248C">
        <w:rPr>
          <w:rFonts w:ascii="Times New Roman" w:hAnsi="Times New Roman" w:hint="eastAsia"/>
          <w:sz w:val="18"/>
          <w:szCs w:val="18"/>
        </w:rPr>
        <w:t>无</w:t>
      </w:r>
    </w:p>
    <w:p w14:paraId="6D0DE399" w14:textId="77777777" w:rsidR="007B3DB2" w:rsidRPr="0063248C" w:rsidRDefault="00000000">
      <w:pPr>
        <w:keepNext/>
        <w:keepLines/>
        <w:spacing w:before="300" w:after="300" w:line="280" w:lineRule="exact"/>
        <w:outlineLvl w:val="3"/>
        <w:rPr>
          <w:rFonts w:cs="宋体"/>
          <w:b/>
          <w:bCs/>
          <w:szCs w:val="21"/>
        </w:rPr>
      </w:pPr>
      <w:bookmarkStart w:id="434" w:name="_Toc989328"/>
      <w:r w:rsidRPr="0063248C">
        <w:rPr>
          <w:rFonts w:cs="宋体"/>
          <w:b/>
          <w:bCs/>
          <w:szCs w:val="21"/>
        </w:rPr>
        <w:lastRenderedPageBreak/>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不重要的合营企业和联营企业的汇总财务信息</w:t>
      </w:r>
      <w:bookmarkEnd w:id="434"/>
    </w:p>
    <w:p w14:paraId="2275C3E1" w14:textId="624947D0" w:rsidR="007B3DB2" w:rsidRPr="000A04E4" w:rsidRDefault="000A04E4" w:rsidP="000A04E4">
      <w:pPr>
        <w:pStyle w:val="a3"/>
        <w:rPr>
          <w:rFonts w:ascii="Times New Roman" w:hAnsi="Times New Roman"/>
          <w:sz w:val="18"/>
          <w:szCs w:val="18"/>
        </w:rPr>
      </w:pPr>
      <w:r w:rsidRPr="0063248C">
        <w:rPr>
          <w:rFonts w:ascii="Times New Roman" w:hAnsi="Times New Roman" w:hint="eastAsia"/>
          <w:sz w:val="18"/>
          <w:szCs w:val="18"/>
        </w:rPr>
        <w:t>无</w:t>
      </w:r>
    </w:p>
    <w:p w14:paraId="1AE84DD5" w14:textId="77777777" w:rsidR="007B3DB2" w:rsidRPr="0063248C" w:rsidRDefault="00000000">
      <w:pPr>
        <w:keepNext/>
        <w:keepLines/>
        <w:spacing w:before="300" w:after="300" w:line="280" w:lineRule="exact"/>
        <w:outlineLvl w:val="3"/>
        <w:rPr>
          <w:rFonts w:cs="宋体"/>
          <w:b/>
          <w:bCs/>
          <w:szCs w:val="21"/>
        </w:rPr>
      </w:pPr>
      <w:bookmarkStart w:id="435" w:name="_Toc989329"/>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合营企业或联营企业向本公司转移资金的能力存在重大限制的说明</w:t>
      </w:r>
      <w:bookmarkEnd w:id="435"/>
    </w:p>
    <w:p w14:paraId="5CFE959B" w14:textId="77777777" w:rsidR="00517D34" w:rsidRPr="0063248C" w:rsidRDefault="00000000">
      <w:pPr>
        <w:pStyle w:val="a3"/>
        <w:divId w:val="1341662758"/>
        <w:rPr>
          <w:rFonts w:ascii="Times New Roman" w:hAnsi="Times New Roman"/>
          <w:sz w:val="18"/>
          <w:szCs w:val="18"/>
        </w:rPr>
      </w:pPr>
      <w:r w:rsidRPr="0063248C">
        <w:rPr>
          <w:rFonts w:ascii="Times New Roman" w:hAnsi="Times New Roman" w:hint="eastAsia"/>
          <w:sz w:val="18"/>
          <w:szCs w:val="18"/>
        </w:rPr>
        <w:t>无</w:t>
      </w:r>
    </w:p>
    <w:p w14:paraId="2DBE421D" w14:textId="77777777" w:rsidR="007B3DB2" w:rsidRPr="0063248C" w:rsidRDefault="00000000">
      <w:pPr>
        <w:keepNext/>
        <w:keepLines/>
        <w:spacing w:before="300" w:after="300" w:line="280" w:lineRule="exact"/>
        <w:outlineLvl w:val="3"/>
        <w:rPr>
          <w:rFonts w:cs="宋体"/>
          <w:b/>
          <w:bCs/>
          <w:szCs w:val="21"/>
        </w:rPr>
      </w:pPr>
      <w:bookmarkStart w:id="436" w:name="_Toc989330"/>
      <w:r w:rsidRPr="0063248C">
        <w:rPr>
          <w:rFonts w:cs="宋体"/>
          <w:b/>
          <w:bCs/>
          <w:szCs w:val="21"/>
        </w:rPr>
        <w:t>（</w:t>
      </w:r>
      <w:r w:rsidRPr="0063248C">
        <w:rPr>
          <w:rFonts w:cs="宋体"/>
          <w:b/>
          <w:bCs/>
          <w:szCs w:val="21"/>
        </w:rPr>
        <w:t>6</w:t>
      </w:r>
      <w:r w:rsidRPr="0063248C">
        <w:rPr>
          <w:rFonts w:cs="宋体"/>
          <w:b/>
          <w:bCs/>
          <w:szCs w:val="21"/>
        </w:rPr>
        <w:t>）</w:t>
      </w:r>
      <w:r w:rsidRPr="0063248C">
        <w:rPr>
          <w:rFonts w:cs="宋体"/>
          <w:b/>
          <w:bCs/>
          <w:szCs w:val="21"/>
        </w:rPr>
        <w:t xml:space="preserve"> </w:t>
      </w:r>
      <w:r w:rsidRPr="0063248C">
        <w:rPr>
          <w:rFonts w:cs="宋体"/>
          <w:b/>
          <w:bCs/>
          <w:szCs w:val="21"/>
        </w:rPr>
        <w:t>合营企业或联营企业发生的超额亏损</w:t>
      </w:r>
      <w:bookmarkEnd w:id="436"/>
    </w:p>
    <w:p w14:paraId="4B4C1229" w14:textId="77777777" w:rsidR="00517D34" w:rsidRPr="0063248C" w:rsidRDefault="00000000">
      <w:pPr>
        <w:pStyle w:val="a3"/>
        <w:divId w:val="583607728"/>
        <w:rPr>
          <w:rFonts w:ascii="Times New Roman" w:hAnsi="Times New Roman"/>
          <w:sz w:val="18"/>
          <w:szCs w:val="18"/>
        </w:rPr>
      </w:pPr>
      <w:r w:rsidRPr="0063248C">
        <w:rPr>
          <w:rFonts w:ascii="Times New Roman" w:hAnsi="Times New Roman" w:hint="eastAsia"/>
          <w:sz w:val="18"/>
          <w:szCs w:val="18"/>
        </w:rPr>
        <w:t>无</w:t>
      </w:r>
    </w:p>
    <w:p w14:paraId="406186C9" w14:textId="77777777" w:rsidR="007B3DB2" w:rsidRPr="0063248C" w:rsidRDefault="00000000">
      <w:pPr>
        <w:keepNext/>
        <w:keepLines/>
        <w:spacing w:before="300" w:after="300" w:line="280" w:lineRule="exact"/>
        <w:outlineLvl w:val="3"/>
        <w:rPr>
          <w:rFonts w:cs="宋体"/>
          <w:b/>
          <w:bCs/>
          <w:szCs w:val="21"/>
        </w:rPr>
      </w:pPr>
      <w:bookmarkStart w:id="437" w:name="_Toc989331"/>
      <w:r w:rsidRPr="0063248C">
        <w:rPr>
          <w:rFonts w:cs="宋体"/>
          <w:b/>
          <w:bCs/>
          <w:szCs w:val="21"/>
        </w:rPr>
        <w:t>（</w:t>
      </w:r>
      <w:r w:rsidRPr="0063248C">
        <w:rPr>
          <w:rFonts w:cs="宋体"/>
          <w:b/>
          <w:bCs/>
          <w:szCs w:val="21"/>
        </w:rPr>
        <w:t>7</w:t>
      </w:r>
      <w:r w:rsidRPr="0063248C">
        <w:rPr>
          <w:rFonts w:cs="宋体"/>
          <w:b/>
          <w:bCs/>
          <w:szCs w:val="21"/>
        </w:rPr>
        <w:t>）</w:t>
      </w:r>
      <w:r w:rsidRPr="0063248C">
        <w:rPr>
          <w:rFonts w:cs="宋体"/>
          <w:b/>
          <w:bCs/>
          <w:szCs w:val="21"/>
        </w:rPr>
        <w:t xml:space="preserve"> </w:t>
      </w:r>
      <w:r w:rsidRPr="0063248C">
        <w:rPr>
          <w:rFonts w:cs="宋体"/>
          <w:b/>
          <w:bCs/>
          <w:szCs w:val="21"/>
        </w:rPr>
        <w:t>与合营企业投资相关的未确认承诺</w:t>
      </w:r>
      <w:bookmarkEnd w:id="437"/>
    </w:p>
    <w:p w14:paraId="787CA954" w14:textId="77777777" w:rsidR="00517D34" w:rsidRPr="0063248C" w:rsidRDefault="00000000">
      <w:pPr>
        <w:pStyle w:val="a3"/>
        <w:divId w:val="1763260627"/>
        <w:rPr>
          <w:rFonts w:ascii="Times New Roman" w:hAnsi="Times New Roman"/>
          <w:sz w:val="18"/>
          <w:szCs w:val="18"/>
        </w:rPr>
      </w:pPr>
      <w:r w:rsidRPr="0063248C">
        <w:rPr>
          <w:rFonts w:ascii="Times New Roman" w:hAnsi="Times New Roman" w:hint="eastAsia"/>
          <w:sz w:val="18"/>
          <w:szCs w:val="18"/>
        </w:rPr>
        <w:t>无</w:t>
      </w:r>
    </w:p>
    <w:p w14:paraId="6178F353" w14:textId="77777777" w:rsidR="007B3DB2" w:rsidRPr="0063248C" w:rsidRDefault="00000000">
      <w:pPr>
        <w:keepNext/>
        <w:keepLines/>
        <w:spacing w:before="300" w:after="300" w:line="280" w:lineRule="exact"/>
        <w:outlineLvl w:val="3"/>
        <w:rPr>
          <w:rFonts w:cs="宋体"/>
          <w:b/>
          <w:bCs/>
          <w:szCs w:val="21"/>
        </w:rPr>
      </w:pPr>
      <w:bookmarkStart w:id="438" w:name="_Toc989332"/>
      <w:r w:rsidRPr="0063248C">
        <w:rPr>
          <w:rFonts w:cs="宋体"/>
          <w:b/>
          <w:bCs/>
          <w:szCs w:val="21"/>
        </w:rPr>
        <w:t>（</w:t>
      </w:r>
      <w:r w:rsidRPr="0063248C">
        <w:rPr>
          <w:rFonts w:cs="宋体"/>
          <w:b/>
          <w:bCs/>
          <w:szCs w:val="21"/>
        </w:rPr>
        <w:t>8</w:t>
      </w:r>
      <w:r w:rsidRPr="0063248C">
        <w:rPr>
          <w:rFonts w:cs="宋体"/>
          <w:b/>
          <w:bCs/>
          <w:szCs w:val="21"/>
        </w:rPr>
        <w:t>）</w:t>
      </w:r>
      <w:r w:rsidRPr="0063248C">
        <w:rPr>
          <w:rFonts w:cs="宋体"/>
          <w:b/>
          <w:bCs/>
          <w:szCs w:val="21"/>
        </w:rPr>
        <w:t xml:space="preserve"> </w:t>
      </w:r>
      <w:r w:rsidRPr="0063248C">
        <w:rPr>
          <w:rFonts w:cs="宋体"/>
          <w:b/>
          <w:bCs/>
          <w:szCs w:val="21"/>
        </w:rPr>
        <w:t>与合营企业或联营企业投资相关的或有负债</w:t>
      </w:r>
      <w:bookmarkEnd w:id="438"/>
    </w:p>
    <w:p w14:paraId="781BA212" w14:textId="77777777" w:rsidR="00517D34" w:rsidRPr="0063248C" w:rsidRDefault="00000000">
      <w:pPr>
        <w:pStyle w:val="a3"/>
        <w:divId w:val="219052660"/>
        <w:rPr>
          <w:rFonts w:ascii="Times New Roman" w:hAnsi="Times New Roman"/>
          <w:sz w:val="18"/>
          <w:szCs w:val="18"/>
        </w:rPr>
      </w:pPr>
      <w:r w:rsidRPr="0063248C">
        <w:rPr>
          <w:rFonts w:ascii="Times New Roman" w:hAnsi="Times New Roman" w:hint="eastAsia"/>
          <w:sz w:val="18"/>
          <w:szCs w:val="18"/>
        </w:rPr>
        <w:t>无</w:t>
      </w:r>
    </w:p>
    <w:p w14:paraId="57259475" w14:textId="77777777" w:rsidR="007B3DB2" w:rsidRPr="0063248C" w:rsidRDefault="00000000">
      <w:pPr>
        <w:pStyle w:val="3"/>
        <w:spacing w:line="280" w:lineRule="exact"/>
        <w:jc w:val="left"/>
        <w:rPr>
          <w:rFonts w:cs="宋体"/>
          <w:b/>
          <w:bCs/>
        </w:rPr>
      </w:pPr>
      <w:bookmarkStart w:id="439" w:name="_Toc989333"/>
      <w:r w:rsidRPr="0063248C">
        <w:rPr>
          <w:rFonts w:cs="宋体"/>
          <w:b/>
          <w:bCs/>
        </w:rPr>
        <w:t>4</w:t>
      </w:r>
      <w:r w:rsidRPr="0063248C">
        <w:rPr>
          <w:rFonts w:cs="宋体"/>
          <w:b/>
          <w:bCs/>
        </w:rPr>
        <w:t>、重要的共同经营</w:t>
      </w:r>
      <w:bookmarkEnd w:id="439"/>
    </w:p>
    <w:p w14:paraId="3D116418" w14:textId="77777777" w:rsidR="00517D34" w:rsidRPr="0063248C" w:rsidRDefault="00000000">
      <w:pPr>
        <w:pStyle w:val="a3"/>
        <w:divId w:val="1762678989"/>
        <w:rPr>
          <w:rFonts w:ascii="Times New Roman" w:hAnsi="Times New Roman"/>
          <w:sz w:val="18"/>
          <w:szCs w:val="18"/>
        </w:rPr>
      </w:pPr>
      <w:r w:rsidRPr="0063248C">
        <w:rPr>
          <w:rFonts w:ascii="Times New Roman" w:hAnsi="Times New Roman" w:hint="eastAsia"/>
          <w:sz w:val="18"/>
          <w:szCs w:val="18"/>
        </w:rPr>
        <w:t>无</w:t>
      </w:r>
    </w:p>
    <w:p w14:paraId="5F39B240" w14:textId="77777777" w:rsidR="007B3DB2" w:rsidRPr="0063248C" w:rsidRDefault="00000000">
      <w:pPr>
        <w:pStyle w:val="3"/>
        <w:spacing w:line="280" w:lineRule="exact"/>
        <w:jc w:val="left"/>
        <w:rPr>
          <w:rFonts w:cs="宋体"/>
          <w:b/>
          <w:bCs/>
        </w:rPr>
      </w:pPr>
      <w:bookmarkStart w:id="440" w:name="_Toc989334"/>
      <w:r w:rsidRPr="0063248C">
        <w:rPr>
          <w:rFonts w:cs="宋体"/>
          <w:b/>
          <w:bCs/>
        </w:rPr>
        <w:t>5</w:t>
      </w:r>
      <w:r w:rsidRPr="0063248C">
        <w:rPr>
          <w:rFonts w:cs="宋体"/>
          <w:b/>
          <w:bCs/>
        </w:rPr>
        <w:t>、在未纳入合并财务报表范围的结构化主体中的权益</w:t>
      </w:r>
      <w:bookmarkEnd w:id="440"/>
    </w:p>
    <w:p w14:paraId="74EFEDC7" w14:textId="77777777" w:rsidR="00517D34" w:rsidRPr="0063248C" w:rsidRDefault="00000000">
      <w:pPr>
        <w:pStyle w:val="a3"/>
        <w:divId w:val="1240289894"/>
        <w:rPr>
          <w:rFonts w:ascii="Times New Roman" w:hAnsi="Times New Roman"/>
          <w:sz w:val="18"/>
          <w:szCs w:val="18"/>
        </w:rPr>
      </w:pPr>
      <w:r w:rsidRPr="0063248C">
        <w:rPr>
          <w:rFonts w:ascii="Times New Roman" w:hAnsi="Times New Roman" w:hint="eastAsia"/>
          <w:sz w:val="18"/>
          <w:szCs w:val="18"/>
        </w:rPr>
        <w:t>无</w:t>
      </w:r>
    </w:p>
    <w:p w14:paraId="3381ED72" w14:textId="77777777" w:rsidR="007B3DB2" w:rsidRPr="0063248C" w:rsidRDefault="00000000">
      <w:pPr>
        <w:pStyle w:val="3"/>
        <w:spacing w:line="280" w:lineRule="exact"/>
        <w:jc w:val="left"/>
        <w:rPr>
          <w:rFonts w:cs="宋体"/>
          <w:b/>
          <w:bCs/>
        </w:rPr>
      </w:pPr>
      <w:bookmarkStart w:id="441" w:name="_Toc989335"/>
      <w:r w:rsidRPr="0063248C">
        <w:rPr>
          <w:rFonts w:cs="宋体"/>
          <w:b/>
          <w:bCs/>
        </w:rPr>
        <w:t>6</w:t>
      </w:r>
      <w:r w:rsidRPr="0063248C">
        <w:rPr>
          <w:rFonts w:cs="宋体"/>
          <w:b/>
          <w:bCs/>
        </w:rPr>
        <w:t>、其他</w:t>
      </w:r>
      <w:bookmarkEnd w:id="441"/>
    </w:p>
    <w:p w14:paraId="1A7EF586" w14:textId="77777777" w:rsidR="00517D34" w:rsidRPr="0063248C" w:rsidRDefault="00000000">
      <w:pPr>
        <w:pStyle w:val="a3"/>
        <w:divId w:val="1152600782"/>
        <w:rPr>
          <w:rFonts w:ascii="Times New Roman" w:hAnsi="Times New Roman"/>
          <w:sz w:val="18"/>
          <w:szCs w:val="18"/>
        </w:rPr>
      </w:pPr>
      <w:r w:rsidRPr="0063248C">
        <w:rPr>
          <w:rFonts w:ascii="Times New Roman" w:hAnsi="Times New Roman" w:hint="eastAsia"/>
          <w:sz w:val="18"/>
          <w:szCs w:val="18"/>
        </w:rPr>
        <w:t>无</w:t>
      </w:r>
    </w:p>
    <w:p w14:paraId="139DD79F" w14:textId="77777777" w:rsidR="007B3DB2" w:rsidRPr="0063248C" w:rsidRDefault="00000000">
      <w:pPr>
        <w:pStyle w:val="2"/>
        <w:spacing w:before="300" w:after="300" w:line="320" w:lineRule="exact"/>
        <w:rPr>
          <w:rFonts w:cs="宋体"/>
          <w:b/>
          <w:bCs/>
          <w:sz w:val="24"/>
          <w:szCs w:val="24"/>
        </w:rPr>
      </w:pPr>
      <w:bookmarkStart w:id="442" w:name="_Toc989336"/>
      <w:r w:rsidRPr="0063248C">
        <w:rPr>
          <w:rFonts w:cs="宋体"/>
          <w:b/>
          <w:bCs/>
          <w:sz w:val="24"/>
          <w:szCs w:val="24"/>
        </w:rPr>
        <w:t>十一、政府补助</w:t>
      </w:r>
      <w:bookmarkEnd w:id="442"/>
    </w:p>
    <w:p w14:paraId="29659C3F" w14:textId="77777777" w:rsidR="007B3DB2" w:rsidRPr="0063248C" w:rsidRDefault="00000000">
      <w:pPr>
        <w:pStyle w:val="3"/>
        <w:spacing w:line="280" w:lineRule="exact"/>
        <w:jc w:val="left"/>
        <w:rPr>
          <w:rFonts w:cs="宋体"/>
          <w:b/>
          <w:bCs/>
        </w:rPr>
      </w:pPr>
      <w:bookmarkStart w:id="443" w:name="_Toc989337"/>
      <w:r w:rsidRPr="0063248C">
        <w:rPr>
          <w:rFonts w:cs="宋体"/>
          <w:b/>
          <w:bCs/>
        </w:rPr>
        <w:t>1</w:t>
      </w:r>
      <w:r w:rsidRPr="0063248C">
        <w:rPr>
          <w:rFonts w:cs="宋体"/>
          <w:b/>
          <w:bCs/>
        </w:rPr>
        <w:t>、报告期末按应收金额确认的政府补助</w:t>
      </w:r>
      <w:bookmarkEnd w:id="443"/>
    </w:p>
    <w:p w14:paraId="3A27DA2E"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5E9E084" w14:textId="77777777" w:rsidR="007B3DB2" w:rsidRPr="0063248C" w:rsidRDefault="00000000">
      <w:pPr>
        <w:spacing w:line="240" w:lineRule="exact"/>
        <w:rPr>
          <w:rFonts w:cs="宋体"/>
          <w:sz w:val="18"/>
          <w:szCs w:val="18"/>
        </w:rPr>
      </w:pPr>
      <w:r w:rsidRPr="0063248C">
        <w:rPr>
          <w:rFonts w:cs="宋体"/>
          <w:sz w:val="18"/>
          <w:szCs w:val="18"/>
        </w:rPr>
        <w:t>未能在预计时点收到预计金额的政府补助的原因</w:t>
      </w:r>
    </w:p>
    <w:p w14:paraId="1856FE93"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5C70FFFA" w14:textId="77777777" w:rsidR="007B3DB2" w:rsidRPr="0063248C" w:rsidRDefault="00000000">
      <w:pPr>
        <w:pStyle w:val="3"/>
        <w:spacing w:line="280" w:lineRule="exact"/>
        <w:jc w:val="left"/>
        <w:rPr>
          <w:rFonts w:cs="宋体"/>
          <w:b/>
          <w:bCs/>
        </w:rPr>
      </w:pPr>
      <w:bookmarkStart w:id="444" w:name="_Toc989338"/>
      <w:r w:rsidRPr="0063248C">
        <w:rPr>
          <w:rFonts w:cs="宋体"/>
          <w:b/>
          <w:bCs/>
        </w:rPr>
        <w:t>2</w:t>
      </w:r>
      <w:r w:rsidRPr="0063248C">
        <w:rPr>
          <w:rFonts w:cs="宋体"/>
          <w:b/>
          <w:bCs/>
        </w:rPr>
        <w:t>、涉及政府补助的负债项目</w:t>
      </w:r>
      <w:bookmarkEnd w:id="444"/>
    </w:p>
    <w:p w14:paraId="76190AF6" w14:textId="77777777" w:rsidR="007B3DB2" w:rsidRPr="0063248C" w:rsidRDefault="00000000">
      <w:pPr>
        <w:spacing w:before="100" w:after="10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39C663D9"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34"/>
        <w:gridCol w:w="1275"/>
        <w:gridCol w:w="1205"/>
        <w:gridCol w:w="1205"/>
        <w:gridCol w:w="1205"/>
        <w:gridCol w:w="1064"/>
        <w:gridCol w:w="1346"/>
        <w:gridCol w:w="1205"/>
      </w:tblGrid>
      <w:tr w:rsidR="007B3DB2" w:rsidRPr="0063248C" w14:paraId="6DAFA94B" w14:textId="77777777" w:rsidTr="000F65D3">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AF145A4" w14:textId="77777777" w:rsidR="007B3DB2" w:rsidRPr="0063248C" w:rsidRDefault="00000000">
            <w:pPr>
              <w:spacing w:before="40" w:after="40" w:line="240" w:lineRule="exact"/>
              <w:jc w:val="center"/>
              <w:rPr>
                <w:rFonts w:cs="宋体"/>
                <w:sz w:val="18"/>
                <w:szCs w:val="18"/>
              </w:rPr>
            </w:pPr>
            <w:r w:rsidRPr="0063248C">
              <w:rPr>
                <w:rFonts w:cs="宋体"/>
                <w:sz w:val="18"/>
                <w:szCs w:val="18"/>
              </w:rPr>
              <w:t>会计科目</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650954D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2084852"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本期新增补助金额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2CB3C92"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本期计入营业外收入金</w:t>
            </w:r>
            <w:r w:rsidRPr="0063248C">
              <w:rPr>
                <w:rFonts w:cs="宋体"/>
                <w:sz w:val="18"/>
                <w:szCs w:val="18"/>
              </w:rPr>
              <w:lastRenderedPageBreak/>
              <w:t>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9DF6B28" w14:textId="77777777" w:rsidR="007B3DB2" w:rsidRPr="0063248C" w:rsidRDefault="00000000">
            <w:pPr>
              <w:spacing w:before="40" w:after="40" w:line="240" w:lineRule="exact"/>
              <w:jc w:val="center"/>
              <w:rPr>
                <w:rFonts w:cs="宋体"/>
                <w:sz w:val="18"/>
                <w:szCs w:val="18"/>
              </w:rPr>
            </w:pPr>
            <w:r w:rsidRPr="0063248C">
              <w:rPr>
                <w:rFonts w:cs="宋体"/>
                <w:sz w:val="18"/>
                <w:szCs w:val="18"/>
              </w:rPr>
              <w:lastRenderedPageBreak/>
              <w:t>本期转入其他收益金额</w:t>
            </w:r>
          </w:p>
        </w:tc>
        <w:tc>
          <w:tcPr>
            <w:tcW w:w="1064" w:type="dxa"/>
            <w:tcBorders>
              <w:top w:val="single" w:sz="2" w:space="0" w:color="auto"/>
              <w:left w:val="single" w:sz="2" w:space="0" w:color="auto"/>
              <w:bottom w:val="single" w:sz="2" w:space="0" w:color="auto"/>
              <w:right w:val="single" w:sz="2" w:space="0" w:color="auto"/>
            </w:tcBorders>
            <w:shd w:val="clear" w:color="auto" w:fill="D3D3D3"/>
            <w:vAlign w:val="center"/>
          </w:tcPr>
          <w:p w14:paraId="1B1EA744"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本期其他变动</w:t>
            </w:r>
          </w:p>
        </w:tc>
        <w:tc>
          <w:tcPr>
            <w:tcW w:w="1346" w:type="dxa"/>
            <w:tcBorders>
              <w:top w:val="single" w:sz="2" w:space="0" w:color="auto"/>
              <w:left w:val="single" w:sz="2" w:space="0" w:color="auto"/>
              <w:bottom w:val="single" w:sz="2" w:space="0" w:color="auto"/>
              <w:right w:val="single" w:sz="2" w:space="0" w:color="auto"/>
            </w:tcBorders>
            <w:shd w:val="clear" w:color="auto" w:fill="D3D3D3"/>
            <w:vAlign w:val="center"/>
          </w:tcPr>
          <w:p w14:paraId="02039BFF"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F843344" w14:textId="77777777" w:rsidR="007B3DB2" w:rsidRPr="0063248C" w:rsidRDefault="00000000">
            <w:pPr>
              <w:spacing w:before="40" w:after="40" w:line="240" w:lineRule="exact"/>
              <w:jc w:val="center"/>
              <w:rPr>
                <w:rFonts w:cs="宋体"/>
                <w:sz w:val="18"/>
                <w:szCs w:val="18"/>
              </w:rPr>
            </w:pPr>
            <w:r w:rsidRPr="0063248C">
              <w:rPr>
                <w:rFonts w:cs="宋体"/>
                <w:sz w:val="18"/>
                <w:szCs w:val="18"/>
              </w:rPr>
              <w:t>与资产</w:t>
            </w:r>
            <w:r w:rsidRPr="0063248C">
              <w:rPr>
                <w:rFonts w:cs="宋体"/>
                <w:sz w:val="18"/>
                <w:szCs w:val="18"/>
              </w:rPr>
              <w:t>/</w:t>
            </w:r>
            <w:r w:rsidRPr="0063248C">
              <w:rPr>
                <w:rFonts w:cs="宋体"/>
                <w:sz w:val="18"/>
                <w:szCs w:val="18"/>
              </w:rPr>
              <w:t>收益相关</w:t>
            </w:r>
          </w:p>
        </w:tc>
      </w:tr>
      <w:tr w:rsidR="007B3DB2" w:rsidRPr="0063248C" w14:paraId="239C6B37" w14:textId="77777777" w:rsidTr="000F65D3">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6FEA12E" w14:textId="77777777" w:rsidR="007B3DB2" w:rsidRPr="0063248C" w:rsidRDefault="00000000">
            <w:pPr>
              <w:spacing w:before="40" w:after="40" w:line="240" w:lineRule="exact"/>
              <w:rPr>
                <w:rFonts w:cs="宋体"/>
                <w:sz w:val="18"/>
                <w:szCs w:val="18"/>
              </w:rPr>
            </w:pPr>
            <w:r w:rsidRPr="0063248C">
              <w:rPr>
                <w:rFonts w:cs="宋体"/>
                <w:sz w:val="18"/>
                <w:szCs w:val="18"/>
              </w:rPr>
              <w:t>递延收益</w:t>
            </w:r>
          </w:p>
        </w:tc>
        <w:tc>
          <w:tcPr>
            <w:tcW w:w="1275" w:type="dxa"/>
            <w:tcBorders>
              <w:top w:val="single" w:sz="2" w:space="0" w:color="auto"/>
              <w:left w:val="single" w:sz="2" w:space="0" w:color="auto"/>
              <w:bottom w:val="single" w:sz="2" w:space="0" w:color="auto"/>
              <w:right w:val="single" w:sz="2" w:space="0" w:color="auto"/>
            </w:tcBorders>
            <w:vAlign w:val="center"/>
          </w:tcPr>
          <w:p w14:paraId="717A09CB" w14:textId="77777777" w:rsidR="007B3DB2" w:rsidRPr="0063248C" w:rsidRDefault="00000000">
            <w:pPr>
              <w:spacing w:line="240" w:lineRule="exact"/>
              <w:jc w:val="right"/>
              <w:rPr>
                <w:rFonts w:cs="宋体"/>
                <w:sz w:val="18"/>
                <w:szCs w:val="18"/>
              </w:rPr>
            </w:pPr>
            <w:r w:rsidRPr="0063248C">
              <w:rPr>
                <w:rFonts w:cs="宋体"/>
                <w:sz w:val="18"/>
                <w:szCs w:val="18"/>
              </w:rPr>
              <w:t>39,612,043.24</w:t>
            </w:r>
          </w:p>
        </w:tc>
        <w:tc>
          <w:tcPr>
            <w:tcW w:w="1205" w:type="dxa"/>
            <w:tcBorders>
              <w:top w:val="single" w:sz="2" w:space="0" w:color="auto"/>
              <w:left w:val="single" w:sz="2" w:space="0" w:color="auto"/>
              <w:bottom w:val="single" w:sz="2" w:space="0" w:color="auto"/>
              <w:right w:val="single" w:sz="2" w:space="0" w:color="auto"/>
            </w:tcBorders>
            <w:vAlign w:val="center"/>
          </w:tcPr>
          <w:p w14:paraId="71D6B7C4" w14:textId="77777777" w:rsidR="007B3DB2" w:rsidRPr="0063248C" w:rsidRDefault="00000000">
            <w:pPr>
              <w:spacing w:line="240" w:lineRule="exact"/>
              <w:jc w:val="right"/>
              <w:rPr>
                <w:rFonts w:cs="宋体"/>
                <w:sz w:val="18"/>
                <w:szCs w:val="18"/>
              </w:rPr>
            </w:pPr>
            <w:r w:rsidRPr="0063248C">
              <w:rPr>
                <w:rFonts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14:paraId="5554C054" w14:textId="77777777" w:rsidR="007B3DB2" w:rsidRPr="0063248C" w:rsidRDefault="007B3DB2">
            <w:pPr>
              <w:spacing w:line="240" w:lineRule="exact"/>
              <w:jc w:val="right"/>
              <w:rPr>
                <w:rFonts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F634689" w14:textId="77777777" w:rsidR="007B3DB2" w:rsidRPr="0063248C" w:rsidRDefault="00000000">
            <w:pPr>
              <w:spacing w:line="240" w:lineRule="exact"/>
              <w:jc w:val="right"/>
              <w:rPr>
                <w:rFonts w:cs="宋体"/>
                <w:sz w:val="18"/>
                <w:szCs w:val="18"/>
              </w:rPr>
            </w:pPr>
            <w:r w:rsidRPr="0063248C">
              <w:rPr>
                <w:rFonts w:cs="宋体"/>
                <w:sz w:val="18"/>
                <w:szCs w:val="18"/>
              </w:rPr>
              <w:t>1,987,105.54</w:t>
            </w:r>
          </w:p>
        </w:tc>
        <w:tc>
          <w:tcPr>
            <w:tcW w:w="1064" w:type="dxa"/>
            <w:tcBorders>
              <w:top w:val="single" w:sz="2" w:space="0" w:color="auto"/>
              <w:left w:val="single" w:sz="2" w:space="0" w:color="auto"/>
              <w:bottom w:val="single" w:sz="2" w:space="0" w:color="auto"/>
              <w:right w:val="single" w:sz="2" w:space="0" w:color="auto"/>
            </w:tcBorders>
            <w:vAlign w:val="center"/>
          </w:tcPr>
          <w:p w14:paraId="0E95BE74" w14:textId="77777777" w:rsidR="007B3DB2" w:rsidRPr="0063248C" w:rsidRDefault="007B3DB2">
            <w:pPr>
              <w:spacing w:line="240" w:lineRule="exact"/>
              <w:jc w:val="right"/>
              <w:rPr>
                <w:rFonts w:cs="宋体"/>
                <w:sz w:val="18"/>
                <w:szCs w:val="18"/>
              </w:rPr>
            </w:pPr>
          </w:p>
        </w:tc>
        <w:tc>
          <w:tcPr>
            <w:tcW w:w="1346" w:type="dxa"/>
            <w:tcBorders>
              <w:top w:val="single" w:sz="2" w:space="0" w:color="auto"/>
              <w:left w:val="single" w:sz="2" w:space="0" w:color="auto"/>
              <w:bottom w:val="single" w:sz="2" w:space="0" w:color="auto"/>
              <w:right w:val="single" w:sz="2" w:space="0" w:color="auto"/>
            </w:tcBorders>
            <w:vAlign w:val="center"/>
          </w:tcPr>
          <w:p w14:paraId="21B822F6" w14:textId="77777777" w:rsidR="007B3DB2" w:rsidRPr="0063248C" w:rsidRDefault="00000000">
            <w:pPr>
              <w:spacing w:line="240" w:lineRule="exact"/>
              <w:jc w:val="right"/>
              <w:rPr>
                <w:rFonts w:cs="宋体"/>
                <w:sz w:val="18"/>
                <w:szCs w:val="18"/>
              </w:rPr>
            </w:pPr>
            <w:r w:rsidRPr="0063248C">
              <w:rPr>
                <w:rFonts w:cs="宋体"/>
                <w:sz w:val="18"/>
                <w:szCs w:val="18"/>
              </w:rPr>
              <w:t>38,624,937.70</w:t>
            </w:r>
          </w:p>
        </w:tc>
        <w:tc>
          <w:tcPr>
            <w:tcW w:w="1205" w:type="dxa"/>
            <w:tcBorders>
              <w:top w:val="single" w:sz="2" w:space="0" w:color="auto"/>
              <w:left w:val="single" w:sz="2" w:space="0" w:color="auto"/>
              <w:bottom w:val="single" w:sz="2" w:space="0" w:color="auto"/>
              <w:right w:val="single" w:sz="2" w:space="0" w:color="auto"/>
            </w:tcBorders>
            <w:vAlign w:val="center"/>
          </w:tcPr>
          <w:p w14:paraId="30220166" w14:textId="77777777" w:rsidR="007B3DB2" w:rsidRPr="0063248C" w:rsidRDefault="00000000">
            <w:pPr>
              <w:spacing w:line="240" w:lineRule="exact"/>
              <w:rPr>
                <w:rFonts w:cs="宋体"/>
                <w:sz w:val="18"/>
                <w:szCs w:val="18"/>
              </w:rPr>
            </w:pPr>
            <w:r w:rsidRPr="0063248C">
              <w:rPr>
                <w:rFonts w:cs="宋体"/>
                <w:sz w:val="18"/>
                <w:szCs w:val="18"/>
              </w:rPr>
              <w:t> </w:t>
            </w:r>
            <w:r w:rsidRPr="0063248C">
              <w:rPr>
                <w:rFonts w:cs="宋体"/>
                <w:sz w:val="18"/>
                <w:szCs w:val="18"/>
              </w:rPr>
              <w:t>与资产相关</w:t>
            </w:r>
          </w:p>
        </w:tc>
      </w:tr>
    </w:tbl>
    <w:p w14:paraId="42C9E98F" w14:textId="77777777" w:rsidR="007B3DB2" w:rsidRPr="0063248C" w:rsidRDefault="00000000">
      <w:pPr>
        <w:pStyle w:val="3"/>
        <w:spacing w:line="280" w:lineRule="exact"/>
        <w:jc w:val="left"/>
        <w:rPr>
          <w:rFonts w:cs="宋体"/>
          <w:b/>
          <w:bCs/>
        </w:rPr>
      </w:pPr>
      <w:bookmarkStart w:id="445" w:name="_Toc989339"/>
      <w:r w:rsidRPr="0063248C">
        <w:rPr>
          <w:rFonts w:cs="宋体"/>
          <w:b/>
          <w:bCs/>
        </w:rPr>
        <w:t>3</w:t>
      </w:r>
      <w:r w:rsidRPr="0063248C">
        <w:rPr>
          <w:rFonts w:cs="宋体"/>
          <w:b/>
          <w:bCs/>
        </w:rPr>
        <w:t>、计入当期损益的政府补助</w:t>
      </w:r>
      <w:bookmarkEnd w:id="445"/>
    </w:p>
    <w:p w14:paraId="5711DEDA" w14:textId="77777777" w:rsidR="007B3DB2" w:rsidRPr="0063248C" w:rsidRDefault="00000000">
      <w:pPr>
        <w:spacing w:before="100" w:after="100"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639F2B1B"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43DDA7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45A9CF" w14:textId="77777777" w:rsidR="007B3DB2" w:rsidRPr="0063248C" w:rsidRDefault="00000000">
            <w:pPr>
              <w:spacing w:before="40" w:after="40" w:line="240" w:lineRule="exact"/>
              <w:jc w:val="center"/>
              <w:rPr>
                <w:rFonts w:cs="宋体"/>
                <w:sz w:val="18"/>
                <w:szCs w:val="18"/>
              </w:rPr>
            </w:pPr>
            <w:r w:rsidRPr="0063248C">
              <w:rPr>
                <w:rFonts w:cs="宋体"/>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9065D5"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9F6B22"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17BED8B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9627F07" w14:textId="77777777" w:rsidR="007B3DB2" w:rsidRPr="0063248C" w:rsidRDefault="00000000">
            <w:pPr>
              <w:spacing w:line="240" w:lineRule="exact"/>
              <w:rPr>
                <w:rFonts w:cs="宋体"/>
                <w:sz w:val="18"/>
                <w:szCs w:val="18"/>
              </w:rPr>
            </w:pPr>
            <w:r w:rsidRPr="0063248C">
              <w:rPr>
                <w:rFonts w:cs="宋体"/>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42AFECAF" w14:textId="77777777" w:rsidR="007B3DB2" w:rsidRPr="0063248C" w:rsidRDefault="00000000">
            <w:pPr>
              <w:spacing w:line="240" w:lineRule="exact"/>
              <w:jc w:val="right"/>
              <w:rPr>
                <w:rFonts w:cs="宋体"/>
                <w:sz w:val="18"/>
                <w:szCs w:val="18"/>
              </w:rPr>
            </w:pPr>
            <w:r w:rsidRPr="0063248C">
              <w:rPr>
                <w:rFonts w:cs="宋体"/>
                <w:sz w:val="18"/>
                <w:szCs w:val="18"/>
              </w:rPr>
              <w:t>6,969,253.10</w:t>
            </w:r>
          </w:p>
        </w:tc>
        <w:tc>
          <w:tcPr>
            <w:tcW w:w="3213" w:type="dxa"/>
            <w:tcBorders>
              <w:top w:val="single" w:sz="2" w:space="0" w:color="auto"/>
              <w:left w:val="single" w:sz="2" w:space="0" w:color="auto"/>
              <w:bottom w:val="single" w:sz="2" w:space="0" w:color="auto"/>
              <w:right w:val="single" w:sz="2" w:space="0" w:color="auto"/>
            </w:tcBorders>
            <w:vAlign w:val="center"/>
          </w:tcPr>
          <w:p w14:paraId="7217D7CD" w14:textId="77777777" w:rsidR="007B3DB2" w:rsidRPr="0063248C" w:rsidRDefault="00000000">
            <w:pPr>
              <w:spacing w:line="240" w:lineRule="exact"/>
              <w:jc w:val="right"/>
              <w:rPr>
                <w:rFonts w:cs="宋体"/>
                <w:sz w:val="18"/>
                <w:szCs w:val="18"/>
              </w:rPr>
            </w:pPr>
            <w:r w:rsidRPr="0063248C">
              <w:rPr>
                <w:rFonts w:cs="宋体"/>
                <w:sz w:val="18"/>
                <w:szCs w:val="18"/>
              </w:rPr>
              <w:t>6,210,255.05</w:t>
            </w:r>
          </w:p>
        </w:tc>
      </w:tr>
      <w:tr w:rsidR="007B3DB2" w:rsidRPr="0063248C" w14:paraId="111AB81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F8BFD02" w14:textId="77777777" w:rsidR="007B3DB2" w:rsidRPr="0063248C" w:rsidRDefault="00000000">
            <w:pPr>
              <w:spacing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875EF20" w14:textId="77777777" w:rsidR="007B3DB2" w:rsidRPr="0063248C" w:rsidRDefault="00000000">
            <w:pPr>
              <w:spacing w:line="240" w:lineRule="exact"/>
              <w:jc w:val="right"/>
              <w:rPr>
                <w:rFonts w:cs="宋体"/>
                <w:sz w:val="18"/>
                <w:szCs w:val="18"/>
              </w:rPr>
            </w:pPr>
            <w:r w:rsidRPr="0063248C">
              <w:rPr>
                <w:rFonts w:cs="宋体"/>
                <w:sz w:val="18"/>
                <w:szCs w:val="18"/>
              </w:rPr>
              <w:t>6,969,253.10</w:t>
            </w:r>
          </w:p>
        </w:tc>
        <w:tc>
          <w:tcPr>
            <w:tcW w:w="3213" w:type="dxa"/>
            <w:tcBorders>
              <w:top w:val="single" w:sz="2" w:space="0" w:color="auto"/>
              <w:left w:val="single" w:sz="2" w:space="0" w:color="auto"/>
              <w:bottom w:val="single" w:sz="2" w:space="0" w:color="auto"/>
              <w:right w:val="single" w:sz="2" w:space="0" w:color="auto"/>
            </w:tcBorders>
            <w:vAlign w:val="center"/>
          </w:tcPr>
          <w:p w14:paraId="2F635759" w14:textId="77777777" w:rsidR="007B3DB2" w:rsidRPr="0063248C" w:rsidRDefault="00000000">
            <w:pPr>
              <w:spacing w:line="240" w:lineRule="exact"/>
              <w:jc w:val="right"/>
              <w:rPr>
                <w:rFonts w:cs="宋体"/>
                <w:sz w:val="18"/>
                <w:szCs w:val="18"/>
              </w:rPr>
            </w:pPr>
            <w:r w:rsidRPr="0063248C">
              <w:rPr>
                <w:rFonts w:cs="宋体"/>
                <w:sz w:val="18"/>
                <w:szCs w:val="18"/>
              </w:rPr>
              <w:t>6,210,255.05</w:t>
            </w:r>
          </w:p>
        </w:tc>
      </w:tr>
    </w:tbl>
    <w:p w14:paraId="491429A2"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258E144E" w14:textId="77777777" w:rsidR="00517D34" w:rsidRPr="0063248C" w:rsidRDefault="00000000">
      <w:pPr>
        <w:pStyle w:val="a3"/>
        <w:divId w:val="1862432073"/>
        <w:rPr>
          <w:rFonts w:ascii="Times New Roman" w:hAnsi="Times New Roman"/>
          <w:sz w:val="18"/>
          <w:szCs w:val="18"/>
        </w:rPr>
      </w:pPr>
      <w:r w:rsidRPr="0063248C">
        <w:rPr>
          <w:rFonts w:ascii="Times New Roman" w:hAnsi="Times New Roman" w:hint="eastAsia"/>
          <w:sz w:val="18"/>
          <w:szCs w:val="18"/>
        </w:rPr>
        <w:t>无</w:t>
      </w:r>
    </w:p>
    <w:p w14:paraId="56ADAFC1" w14:textId="77777777" w:rsidR="007B3DB2" w:rsidRPr="0063248C" w:rsidRDefault="00000000">
      <w:pPr>
        <w:pStyle w:val="2"/>
        <w:spacing w:before="300" w:after="300" w:line="320" w:lineRule="exact"/>
        <w:rPr>
          <w:rFonts w:cs="宋体"/>
          <w:b/>
          <w:bCs/>
          <w:sz w:val="24"/>
          <w:szCs w:val="24"/>
        </w:rPr>
      </w:pPr>
      <w:bookmarkStart w:id="446" w:name="_Toc989340"/>
      <w:r w:rsidRPr="0063248C">
        <w:rPr>
          <w:rFonts w:cs="宋体"/>
          <w:b/>
          <w:bCs/>
          <w:sz w:val="24"/>
          <w:szCs w:val="24"/>
        </w:rPr>
        <w:t>十二、与金融工具相关的风险</w:t>
      </w:r>
      <w:bookmarkEnd w:id="446"/>
    </w:p>
    <w:p w14:paraId="603C5A86" w14:textId="77777777" w:rsidR="007B3DB2" w:rsidRPr="0063248C" w:rsidRDefault="00000000">
      <w:pPr>
        <w:pStyle w:val="3"/>
        <w:spacing w:line="280" w:lineRule="exact"/>
        <w:jc w:val="left"/>
        <w:rPr>
          <w:rFonts w:cs="宋体"/>
          <w:b/>
          <w:bCs/>
        </w:rPr>
      </w:pPr>
      <w:bookmarkStart w:id="447" w:name="_Toc989341"/>
      <w:r w:rsidRPr="0063248C">
        <w:rPr>
          <w:rFonts w:cs="宋体"/>
          <w:b/>
          <w:bCs/>
        </w:rPr>
        <w:t>1</w:t>
      </w:r>
      <w:r w:rsidRPr="0063248C">
        <w:rPr>
          <w:rFonts w:cs="宋体"/>
          <w:b/>
          <w:bCs/>
        </w:rPr>
        <w:t>、金融工具产生的各类风险</w:t>
      </w:r>
      <w:bookmarkEnd w:id="447"/>
    </w:p>
    <w:p w14:paraId="0669B79A" w14:textId="77777777" w:rsidR="00517D34" w:rsidRPr="0063248C" w:rsidRDefault="00000000" w:rsidP="00FA083A">
      <w:pPr>
        <w:pStyle w:val="a3"/>
        <w:spacing w:before="0" w:beforeAutospacing="0" w:after="0" w:afterAutospacing="0" w:line="273" w:lineRule="auto"/>
        <w:ind w:firstLine="360"/>
        <w:jc w:val="both"/>
        <w:divId w:val="589853700"/>
        <w:rPr>
          <w:rFonts w:ascii="Times New Roman" w:hAnsi="Times New Roman" w:cs="Calibri"/>
          <w:sz w:val="21"/>
          <w:szCs w:val="21"/>
        </w:rPr>
      </w:pPr>
      <w:r w:rsidRPr="0063248C">
        <w:rPr>
          <w:rFonts w:ascii="Times New Roman" w:hAnsi="Times New Roman" w:cs="Calibri" w:hint="eastAsia"/>
          <w:sz w:val="18"/>
          <w:szCs w:val="18"/>
        </w:rPr>
        <w:t>本集团的主要金融工具包括股权投资、债权投资、借款、应收款项、应付账款、可转换债券等，各项金融工具的详细情况说明见本附注</w:t>
      </w:r>
      <w:proofErr w:type="gramStart"/>
      <w:r w:rsidRPr="0063248C">
        <w:rPr>
          <w:rFonts w:ascii="Times New Roman" w:hAnsi="Times New Roman" w:cs="Calibri" w:hint="eastAsia"/>
          <w:sz w:val="18"/>
          <w:szCs w:val="18"/>
        </w:rPr>
        <w:t>六相关</w:t>
      </w:r>
      <w:proofErr w:type="gramEnd"/>
      <w:r w:rsidRPr="0063248C">
        <w:rPr>
          <w:rFonts w:ascii="Times New Roman" w:hAnsi="Times New Roman" w:cs="Calibri" w:hint="eastAsia"/>
          <w:sz w:val="18"/>
          <w:szCs w:val="18"/>
        </w:rPr>
        <w:t>项目。本集团从事风险管理的目标是在风险和收益之间取得适当的平衡，将风险对本集团经营业绩的负面影响降低到最低水平，使股东及其他权益投资者的利益最大化。基于该风险管理目标，本集团风险管理的基本策略是确定和分析本集团所面临的各种风险，建立适当的风险承受底线和进行风险管理，并及时可靠地对各种风险进行监督，将风险控制在限定的范围之内。</w:t>
      </w:r>
    </w:p>
    <w:p w14:paraId="20B53828" w14:textId="77777777" w:rsidR="00517D34" w:rsidRPr="0063248C" w:rsidRDefault="00000000" w:rsidP="00FA083A">
      <w:pPr>
        <w:pStyle w:val="a3"/>
        <w:spacing w:before="0" w:beforeAutospacing="0" w:after="0" w:afterAutospacing="0" w:line="273" w:lineRule="auto"/>
        <w:ind w:firstLine="360"/>
        <w:jc w:val="both"/>
        <w:divId w:val="589853700"/>
        <w:rPr>
          <w:rFonts w:ascii="Times New Roman" w:hAnsi="Times New Roman" w:cs="Calibri"/>
          <w:sz w:val="21"/>
          <w:szCs w:val="21"/>
        </w:rPr>
      </w:pPr>
      <w:r w:rsidRPr="0063248C">
        <w:rPr>
          <w:rFonts w:ascii="Times New Roman" w:hAnsi="Times New Roman" w:cs="Calibri" w:hint="eastAsia"/>
          <w:sz w:val="18"/>
          <w:szCs w:val="18"/>
        </w:rPr>
        <w:t>（</w:t>
      </w:r>
      <w:r w:rsidRPr="0063248C">
        <w:rPr>
          <w:rFonts w:ascii="Times New Roman" w:hAnsi="Times New Roman" w:cs="Times New Roman"/>
          <w:sz w:val="18"/>
          <w:szCs w:val="18"/>
        </w:rPr>
        <w:t>1</w:t>
      </w:r>
      <w:r w:rsidRPr="0063248C">
        <w:rPr>
          <w:rFonts w:ascii="Times New Roman" w:hAnsi="Times New Roman" w:cs="Calibri" w:hint="eastAsia"/>
          <w:sz w:val="18"/>
          <w:szCs w:val="18"/>
        </w:rPr>
        <w:t>）</w:t>
      </w:r>
      <w:r w:rsidRPr="0063248C">
        <w:rPr>
          <w:rFonts w:ascii="Times New Roman" w:hAnsi="Times New Roman" w:cs="Times New Roman"/>
          <w:sz w:val="18"/>
          <w:szCs w:val="18"/>
        </w:rPr>
        <w:t>  </w:t>
      </w:r>
      <w:r w:rsidRPr="0063248C">
        <w:rPr>
          <w:rFonts w:ascii="Times New Roman" w:hAnsi="Times New Roman" w:cs="Calibri" w:hint="eastAsia"/>
          <w:sz w:val="18"/>
          <w:szCs w:val="18"/>
        </w:rPr>
        <w:t>市场风险</w:t>
      </w:r>
    </w:p>
    <w:p w14:paraId="63382C9F" w14:textId="77777777" w:rsidR="00517D34" w:rsidRPr="0063248C" w:rsidRDefault="00000000" w:rsidP="00FA083A">
      <w:pPr>
        <w:pStyle w:val="a3"/>
        <w:spacing w:before="0" w:beforeAutospacing="0" w:after="0" w:afterAutospacing="0" w:line="273" w:lineRule="auto"/>
        <w:ind w:firstLine="360"/>
        <w:jc w:val="both"/>
        <w:divId w:val="589853700"/>
        <w:rPr>
          <w:rFonts w:ascii="Times New Roman" w:hAnsi="Times New Roman" w:cs="Calibri"/>
          <w:sz w:val="21"/>
          <w:szCs w:val="21"/>
        </w:rPr>
      </w:pPr>
      <w:r w:rsidRPr="0063248C">
        <w:rPr>
          <w:rFonts w:ascii="Times New Roman" w:hAnsi="Times New Roman" w:cs="Calibri" w:hint="eastAsia"/>
          <w:sz w:val="18"/>
          <w:szCs w:val="18"/>
        </w:rPr>
        <w:t>金融工具的市场风险，是指金融工具的公允价值或未来现金流量因市场价格变动而发生波动的风险，包括汇率风险、利率风险和其他价格风险。</w:t>
      </w:r>
    </w:p>
    <w:p w14:paraId="7D14C4A5" w14:textId="77777777" w:rsidR="00517D34" w:rsidRPr="0063248C" w:rsidRDefault="00000000" w:rsidP="00FA083A">
      <w:pPr>
        <w:pStyle w:val="a3"/>
        <w:spacing w:before="0" w:beforeAutospacing="0" w:after="0" w:afterAutospacing="0" w:line="273" w:lineRule="auto"/>
        <w:ind w:firstLine="360"/>
        <w:jc w:val="both"/>
        <w:divId w:val="589853700"/>
        <w:rPr>
          <w:rFonts w:ascii="Times New Roman" w:hAnsi="Times New Roman" w:cs="Calibri"/>
          <w:sz w:val="21"/>
          <w:szCs w:val="21"/>
        </w:rPr>
      </w:pPr>
      <w:r w:rsidRPr="0063248C">
        <w:rPr>
          <w:rFonts w:ascii="Times New Roman" w:hAnsi="Times New Roman" w:cs="Calibri" w:hint="eastAsia"/>
          <w:sz w:val="18"/>
          <w:szCs w:val="18"/>
        </w:rPr>
        <w:t>本集团采用敏感性分析技术分析市场风险相关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14:paraId="20C8FBEF" w14:textId="77777777" w:rsidR="00517D34" w:rsidRPr="0063248C" w:rsidRDefault="00000000" w:rsidP="00FA083A">
      <w:pPr>
        <w:pStyle w:val="a3"/>
        <w:spacing w:before="0" w:beforeAutospacing="0" w:after="0" w:afterAutospacing="0" w:line="273" w:lineRule="auto"/>
        <w:ind w:firstLine="360"/>
        <w:jc w:val="both"/>
        <w:divId w:val="589853700"/>
        <w:rPr>
          <w:rFonts w:ascii="Times New Roman" w:hAnsi="Times New Roman" w:cs="Calibri"/>
          <w:sz w:val="21"/>
          <w:szCs w:val="21"/>
        </w:rPr>
      </w:pPr>
      <w:r w:rsidRPr="0063248C">
        <w:rPr>
          <w:rFonts w:ascii="Times New Roman" w:hAnsi="Times New Roman" w:cs="Calibri" w:hint="eastAsia"/>
          <w:sz w:val="18"/>
          <w:szCs w:val="18"/>
        </w:rPr>
        <w:t>（</w:t>
      </w:r>
      <w:r w:rsidRPr="0063248C">
        <w:rPr>
          <w:rFonts w:ascii="Times New Roman" w:hAnsi="Times New Roman" w:cs="Times New Roman"/>
          <w:sz w:val="18"/>
          <w:szCs w:val="18"/>
        </w:rPr>
        <w:t>1</w:t>
      </w:r>
      <w:r w:rsidRPr="0063248C">
        <w:rPr>
          <w:rFonts w:ascii="Times New Roman" w:hAnsi="Times New Roman" w:cs="Calibri" w:hint="eastAsia"/>
          <w:sz w:val="18"/>
          <w:szCs w:val="18"/>
        </w:rPr>
        <w:t>）汇率风险</w:t>
      </w:r>
    </w:p>
    <w:p w14:paraId="5975BB64" w14:textId="77777777" w:rsidR="00517D34" w:rsidRPr="0063248C" w:rsidRDefault="00000000" w:rsidP="00FA083A">
      <w:pPr>
        <w:pStyle w:val="a3"/>
        <w:spacing w:before="0" w:beforeAutospacing="0" w:after="0" w:afterAutospacing="0" w:line="273" w:lineRule="auto"/>
        <w:ind w:firstLine="360"/>
        <w:jc w:val="both"/>
        <w:divId w:val="589853700"/>
        <w:rPr>
          <w:rFonts w:ascii="Times New Roman" w:hAnsi="Times New Roman" w:cs="Calibri"/>
          <w:sz w:val="21"/>
          <w:szCs w:val="21"/>
        </w:rPr>
      </w:pPr>
      <w:r w:rsidRPr="0063248C">
        <w:rPr>
          <w:rFonts w:ascii="Times New Roman" w:hAnsi="Times New Roman" w:cs="Calibri" w:hint="eastAsia"/>
          <w:sz w:val="18"/>
          <w:szCs w:val="18"/>
        </w:rPr>
        <w:t>汇率风险，是指金融工具的公允价值或未来现金流量因外汇汇率变动而发生波动的风险。本集团承受外汇风险主要与美元、欧元、日元有关，除本集团的几个下属子公司以美元、欧元、日元进行采购和销售外，本集团的其他主要业务活动以人民币计价结算。汇率风险对本集团的交易及境外经营的业绩均构成影响。于</w:t>
      </w:r>
      <w:r w:rsidRPr="0063248C">
        <w:rPr>
          <w:rFonts w:ascii="Times New Roman" w:hAnsi="Times New Roman" w:cs="Times New Roman"/>
          <w:sz w:val="18"/>
          <w:szCs w:val="18"/>
        </w:rPr>
        <w:t>2023</w:t>
      </w:r>
      <w:r w:rsidRPr="0063248C">
        <w:rPr>
          <w:rFonts w:ascii="Times New Roman" w:hAnsi="Times New Roman" w:cs="Calibri" w:hint="eastAsia"/>
          <w:sz w:val="18"/>
          <w:szCs w:val="18"/>
        </w:rPr>
        <w:t>年</w:t>
      </w:r>
      <w:r w:rsidRPr="0063248C">
        <w:rPr>
          <w:rFonts w:ascii="Times New Roman" w:hAnsi="Times New Roman" w:cs="Times New Roman"/>
          <w:sz w:val="18"/>
          <w:szCs w:val="18"/>
        </w:rPr>
        <w:t>12</w:t>
      </w:r>
      <w:r w:rsidRPr="0063248C">
        <w:rPr>
          <w:rFonts w:ascii="Times New Roman" w:hAnsi="Times New Roman" w:cs="Calibri" w:hint="eastAsia"/>
          <w:sz w:val="18"/>
          <w:szCs w:val="18"/>
        </w:rPr>
        <w:t>月</w:t>
      </w:r>
      <w:r w:rsidRPr="0063248C">
        <w:rPr>
          <w:rFonts w:ascii="Times New Roman" w:hAnsi="Times New Roman" w:cs="Times New Roman"/>
          <w:sz w:val="18"/>
          <w:szCs w:val="18"/>
        </w:rPr>
        <w:t>31</w:t>
      </w:r>
      <w:r w:rsidRPr="0063248C">
        <w:rPr>
          <w:rFonts w:ascii="Times New Roman" w:hAnsi="Times New Roman" w:cs="Calibri" w:hint="eastAsia"/>
          <w:sz w:val="18"/>
          <w:szCs w:val="18"/>
        </w:rPr>
        <w:t>日，本集团的外币货币性项目余额参见本附注七、</w:t>
      </w:r>
      <w:r w:rsidRPr="0063248C">
        <w:rPr>
          <w:rFonts w:ascii="Times New Roman" w:hAnsi="Times New Roman" w:cs="Times New Roman"/>
          <w:sz w:val="18"/>
          <w:szCs w:val="18"/>
        </w:rPr>
        <w:t>81    “</w:t>
      </w:r>
      <w:r w:rsidRPr="0063248C">
        <w:rPr>
          <w:rFonts w:ascii="Times New Roman" w:hAnsi="Times New Roman" w:cs="Calibri" w:hint="eastAsia"/>
          <w:sz w:val="18"/>
          <w:szCs w:val="18"/>
        </w:rPr>
        <w:t>外币货币性项目</w:t>
      </w:r>
      <w:r w:rsidRPr="0063248C">
        <w:rPr>
          <w:rFonts w:ascii="Times New Roman" w:hAnsi="Times New Roman" w:cs="Times New Roman"/>
          <w:sz w:val="18"/>
          <w:szCs w:val="18"/>
        </w:rPr>
        <w:t>”</w:t>
      </w:r>
      <w:r w:rsidRPr="0063248C">
        <w:rPr>
          <w:rFonts w:ascii="Times New Roman" w:hAnsi="Times New Roman" w:cs="Calibri" w:hint="eastAsia"/>
          <w:sz w:val="18"/>
          <w:szCs w:val="18"/>
        </w:rPr>
        <w:t>。</w:t>
      </w:r>
    </w:p>
    <w:p w14:paraId="14A2D4AE" w14:textId="77777777" w:rsidR="00517D34" w:rsidRPr="0063248C" w:rsidRDefault="00000000" w:rsidP="00FA083A">
      <w:pPr>
        <w:pStyle w:val="a3"/>
        <w:spacing w:before="0" w:beforeAutospacing="0" w:after="0" w:afterAutospacing="0" w:line="273" w:lineRule="auto"/>
        <w:ind w:firstLine="360"/>
        <w:jc w:val="both"/>
        <w:divId w:val="589853700"/>
        <w:rPr>
          <w:rFonts w:ascii="Times New Roman" w:hAnsi="Times New Roman" w:cs="Calibri"/>
          <w:sz w:val="21"/>
          <w:szCs w:val="21"/>
        </w:rPr>
      </w:pPr>
      <w:r w:rsidRPr="0063248C">
        <w:rPr>
          <w:rFonts w:ascii="Times New Roman" w:hAnsi="Times New Roman" w:cs="Calibri" w:hint="eastAsia"/>
          <w:sz w:val="18"/>
          <w:szCs w:val="18"/>
        </w:rPr>
        <w:t>本集团密切关注汇率变动对本</w:t>
      </w:r>
      <w:proofErr w:type="gramStart"/>
      <w:r w:rsidRPr="0063248C">
        <w:rPr>
          <w:rFonts w:ascii="Times New Roman" w:hAnsi="Times New Roman" w:cs="Calibri" w:hint="eastAsia"/>
          <w:sz w:val="18"/>
          <w:szCs w:val="18"/>
        </w:rPr>
        <w:t>集团汇率</w:t>
      </w:r>
      <w:proofErr w:type="gramEnd"/>
      <w:r w:rsidRPr="0063248C">
        <w:rPr>
          <w:rFonts w:ascii="Times New Roman" w:hAnsi="Times New Roman" w:cs="Calibri" w:hint="eastAsia"/>
          <w:sz w:val="18"/>
          <w:szCs w:val="18"/>
        </w:rPr>
        <w:t>风险的影响。本集团目前并未采取任何措施规避汇率风险。</w:t>
      </w:r>
    </w:p>
    <w:p w14:paraId="45C5D986" w14:textId="77777777" w:rsidR="00517D34" w:rsidRPr="0063248C" w:rsidRDefault="00000000" w:rsidP="00FA083A">
      <w:pPr>
        <w:pStyle w:val="a3"/>
        <w:spacing w:before="0" w:beforeAutospacing="0" w:after="0" w:afterAutospacing="0" w:line="273" w:lineRule="auto"/>
        <w:ind w:firstLine="360"/>
        <w:jc w:val="both"/>
        <w:divId w:val="589853700"/>
        <w:rPr>
          <w:rFonts w:ascii="Times New Roman" w:hAnsi="Times New Roman" w:cs="Calibri"/>
          <w:sz w:val="21"/>
          <w:szCs w:val="21"/>
        </w:rPr>
      </w:pPr>
      <w:r w:rsidRPr="0063248C">
        <w:rPr>
          <w:rFonts w:ascii="Times New Roman" w:hAnsi="Times New Roman" w:cs="Calibri" w:hint="eastAsia"/>
          <w:sz w:val="18"/>
          <w:szCs w:val="18"/>
        </w:rPr>
        <w:t>汇率风险的敏感性分析见下表，反映了在其他变量不变的假设下，以下所</w:t>
      </w:r>
      <w:proofErr w:type="gramStart"/>
      <w:r w:rsidRPr="0063248C">
        <w:rPr>
          <w:rFonts w:ascii="Times New Roman" w:hAnsi="Times New Roman" w:cs="Calibri" w:hint="eastAsia"/>
          <w:sz w:val="18"/>
          <w:szCs w:val="18"/>
        </w:rPr>
        <w:t>列外</w:t>
      </w:r>
      <w:proofErr w:type="gramEnd"/>
      <w:r w:rsidRPr="0063248C">
        <w:rPr>
          <w:rFonts w:ascii="Times New Roman" w:hAnsi="Times New Roman" w:cs="Calibri" w:hint="eastAsia"/>
          <w:sz w:val="18"/>
          <w:szCs w:val="18"/>
        </w:rPr>
        <w:t>币汇率发生合理、可能的变动时，由于货币性资产和货币性负债的公允价值变化将对净利润和股东权益产生的影响。</w:t>
      </w:r>
    </w:p>
    <w:tbl>
      <w:tblPr>
        <w:tblW w:w="5100" w:type="pct"/>
        <w:jc w:val="center"/>
        <w:tblCellMar>
          <w:top w:w="15" w:type="dxa"/>
          <w:left w:w="15" w:type="dxa"/>
          <w:bottom w:w="15" w:type="dxa"/>
          <w:right w:w="15" w:type="dxa"/>
        </w:tblCellMar>
        <w:tblLook w:val="04A0" w:firstRow="1" w:lastRow="0" w:firstColumn="1" w:lastColumn="0" w:noHBand="0" w:noVBand="1"/>
      </w:tblPr>
      <w:tblGrid>
        <w:gridCol w:w="4263"/>
        <w:gridCol w:w="1421"/>
        <w:gridCol w:w="1524"/>
        <w:gridCol w:w="1421"/>
        <w:gridCol w:w="1421"/>
      </w:tblGrid>
      <w:tr w:rsidR="00517D34" w:rsidRPr="0063248C" w14:paraId="79C22B71" w14:textId="77777777" w:rsidTr="000F65D3">
        <w:trPr>
          <w:divId w:val="589853700"/>
          <w:trHeight w:val="355"/>
          <w:jc w:val="center"/>
        </w:trPr>
        <w:tc>
          <w:tcPr>
            <w:tcW w:w="212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6BA01" w14:textId="77777777" w:rsidR="00517D34" w:rsidRPr="0063248C" w:rsidRDefault="00000000" w:rsidP="000A04E4">
            <w:pPr>
              <w:jc w:val="center"/>
              <w:rPr>
                <w:rFonts w:cs="Times New Roman"/>
                <w:sz w:val="20"/>
                <w:szCs w:val="20"/>
              </w:rPr>
            </w:pPr>
            <w:r w:rsidRPr="0063248C">
              <w:rPr>
                <w:rFonts w:cs="Times New Roman" w:hint="eastAsia"/>
                <w:sz w:val="18"/>
                <w:szCs w:val="18"/>
              </w:rPr>
              <w:t>项目</w:t>
            </w:r>
          </w:p>
        </w:tc>
        <w:tc>
          <w:tcPr>
            <w:tcW w:w="14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8A876A" w14:textId="77777777" w:rsidR="00517D34" w:rsidRPr="0063248C" w:rsidRDefault="00000000">
            <w:pPr>
              <w:pStyle w:val="a3"/>
              <w:spacing w:before="0" w:beforeAutospacing="0" w:after="0" w:afterAutospacing="0"/>
              <w:jc w:val="center"/>
              <w:rPr>
                <w:rFonts w:ascii="Times New Roman" w:hAnsi="Times New Roman" w:cs="Calibri"/>
                <w:sz w:val="21"/>
                <w:szCs w:val="21"/>
              </w:rPr>
            </w:pPr>
            <w:r w:rsidRPr="0063248C">
              <w:rPr>
                <w:rFonts w:ascii="Times New Roman" w:hAnsi="Times New Roman" w:cs="Calibri" w:hint="eastAsia"/>
                <w:color w:val="000000"/>
                <w:sz w:val="18"/>
                <w:szCs w:val="18"/>
              </w:rPr>
              <w:t>本年</w:t>
            </w:r>
          </w:p>
        </w:tc>
        <w:tc>
          <w:tcPr>
            <w:tcW w:w="141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79B930" w14:textId="77777777" w:rsidR="00517D34" w:rsidRPr="0063248C" w:rsidRDefault="00000000">
            <w:pPr>
              <w:pStyle w:val="a3"/>
              <w:spacing w:before="0" w:beforeAutospacing="0" w:after="0" w:afterAutospacing="0"/>
              <w:jc w:val="center"/>
              <w:rPr>
                <w:rFonts w:ascii="Times New Roman" w:hAnsi="Times New Roman" w:cs="Calibri"/>
                <w:sz w:val="21"/>
                <w:szCs w:val="21"/>
              </w:rPr>
            </w:pPr>
            <w:r w:rsidRPr="0063248C">
              <w:rPr>
                <w:rFonts w:ascii="Times New Roman" w:hAnsi="Times New Roman" w:cs="Calibri" w:hint="eastAsia"/>
                <w:color w:val="000000"/>
                <w:sz w:val="18"/>
                <w:szCs w:val="18"/>
              </w:rPr>
              <w:t>上年</w:t>
            </w:r>
          </w:p>
        </w:tc>
      </w:tr>
      <w:tr w:rsidR="00517D34" w:rsidRPr="0063248C" w14:paraId="10EC2806" w14:textId="77777777" w:rsidTr="000F65D3">
        <w:trPr>
          <w:divId w:val="589853700"/>
          <w:trHeight w:val="35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909996B" w14:textId="77777777" w:rsidR="00517D34" w:rsidRPr="0063248C" w:rsidRDefault="00517D34">
            <w:pPr>
              <w:rPr>
                <w:rFonts w:cs="Times New Roman"/>
                <w:sz w:val="20"/>
                <w:szCs w:val="20"/>
              </w:rPr>
            </w:pPr>
          </w:p>
        </w:tc>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F7203" w14:textId="77777777" w:rsidR="00517D34" w:rsidRPr="0063248C" w:rsidRDefault="00000000">
            <w:pPr>
              <w:pStyle w:val="a3"/>
              <w:spacing w:before="0" w:beforeAutospacing="0" w:after="0" w:afterAutospacing="0"/>
              <w:jc w:val="center"/>
              <w:rPr>
                <w:rFonts w:ascii="Times New Roman" w:hAnsi="Times New Roman" w:cs="Calibri"/>
                <w:sz w:val="21"/>
                <w:szCs w:val="21"/>
              </w:rPr>
            </w:pPr>
            <w:r w:rsidRPr="0063248C">
              <w:rPr>
                <w:rFonts w:ascii="Times New Roman" w:hAnsi="Times New Roman" w:cs="Calibri" w:hint="eastAsia"/>
                <w:color w:val="000000"/>
                <w:sz w:val="18"/>
                <w:szCs w:val="18"/>
              </w:rPr>
              <w:t>对利润的影响</w:t>
            </w:r>
          </w:p>
        </w:tc>
        <w:tc>
          <w:tcPr>
            <w:tcW w:w="7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5DC9E" w14:textId="77777777" w:rsidR="00517D34" w:rsidRPr="0063248C" w:rsidRDefault="00000000">
            <w:pPr>
              <w:pStyle w:val="a3"/>
              <w:spacing w:before="0" w:beforeAutospacing="0" w:after="0" w:afterAutospacing="0"/>
              <w:jc w:val="center"/>
              <w:rPr>
                <w:rFonts w:ascii="Times New Roman" w:hAnsi="Times New Roman" w:cs="Calibri"/>
                <w:sz w:val="21"/>
                <w:szCs w:val="21"/>
              </w:rPr>
            </w:pPr>
            <w:r w:rsidRPr="0063248C">
              <w:rPr>
                <w:rFonts w:ascii="Times New Roman" w:hAnsi="Times New Roman" w:cs="Calibri" w:hint="eastAsia"/>
                <w:color w:val="000000"/>
                <w:sz w:val="18"/>
                <w:szCs w:val="18"/>
              </w:rPr>
              <w:t>对股东权益的影响</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D793B" w14:textId="77777777" w:rsidR="00517D34" w:rsidRPr="0063248C" w:rsidRDefault="00000000">
            <w:pPr>
              <w:pStyle w:val="a3"/>
              <w:spacing w:before="0" w:beforeAutospacing="0" w:after="0" w:afterAutospacing="0"/>
              <w:jc w:val="center"/>
              <w:rPr>
                <w:rFonts w:ascii="Times New Roman" w:hAnsi="Times New Roman" w:cs="Calibri"/>
                <w:sz w:val="21"/>
                <w:szCs w:val="21"/>
              </w:rPr>
            </w:pPr>
            <w:r w:rsidRPr="0063248C">
              <w:rPr>
                <w:rFonts w:ascii="Times New Roman" w:hAnsi="Times New Roman" w:cs="Calibri" w:hint="eastAsia"/>
                <w:color w:val="000000"/>
                <w:sz w:val="18"/>
                <w:szCs w:val="18"/>
              </w:rPr>
              <w:t>对利润的影响</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0B27C" w14:textId="77777777" w:rsidR="00517D34" w:rsidRPr="0063248C" w:rsidRDefault="00000000">
            <w:pPr>
              <w:pStyle w:val="a3"/>
              <w:spacing w:before="0" w:beforeAutospacing="0" w:after="0" w:afterAutospacing="0"/>
              <w:jc w:val="center"/>
              <w:rPr>
                <w:rFonts w:ascii="Times New Roman" w:hAnsi="Times New Roman" w:cs="Calibri"/>
                <w:sz w:val="21"/>
                <w:szCs w:val="21"/>
              </w:rPr>
            </w:pPr>
            <w:r w:rsidRPr="0063248C">
              <w:rPr>
                <w:rFonts w:ascii="Times New Roman" w:hAnsi="Times New Roman" w:cs="Calibri" w:hint="eastAsia"/>
                <w:color w:val="000000"/>
                <w:sz w:val="18"/>
                <w:szCs w:val="18"/>
              </w:rPr>
              <w:t>对股东权益的影响</w:t>
            </w:r>
          </w:p>
        </w:tc>
      </w:tr>
      <w:tr w:rsidR="00517D34" w:rsidRPr="0063248C" w14:paraId="73F5598B" w14:textId="77777777" w:rsidTr="000F65D3">
        <w:trPr>
          <w:divId w:val="589853700"/>
          <w:trHeight w:val="355"/>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83403" w14:textId="77777777" w:rsidR="00517D34" w:rsidRPr="0063248C" w:rsidRDefault="00000000">
            <w:pPr>
              <w:pStyle w:val="a3"/>
              <w:spacing w:before="0" w:beforeAutospacing="0" w:after="0" w:afterAutospacing="0"/>
              <w:rPr>
                <w:rFonts w:ascii="Times New Roman" w:hAnsi="Times New Roman" w:cs="Calibri"/>
                <w:sz w:val="21"/>
                <w:szCs w:val="21"/>
              </w:rPr>
            </w:pPr>
            <w:r w:rsidRPr="0063248C">
              <w:rPr>
                <w:rFonts w:ascii="Times New Roman" w:hAnsi="Times New Roman" w:cs="Calibri" w:hint="eastAsia"/>
                <w:color w:val="000000"/>
                <w:sz w:val="18"/>
                <w:szCs w:val="18"/>
              </w:rPr>
              <w:t>人民币对美元汇率增加</w:t>
            </w:r>
            <w:r w:rsidRPr="0063248C">
              <w:rPr>
                <w:rFonts w:ascii="Times New Roman" w:hAnsi="Times New Roman" w:cs="Times New Roman"/>
                <w:color w:val="000000"/>
                <w:sz w:val="18"/>
                <w:szCs w:val="18"/>
              </w:rPr>
              <w:t>100</w:t>
            </w:r>
            <w:r w:rsidRPr="0063248C">
              <w:rPr>
                <w:rFonts w:ascii="Times New Roman" w:hAnsi="Times New Roman" w:cs="Calibri" w:hint="eastAsia"/>
                <w:color w:val="000000"/>
                <w:sz w:val="18"/>
                <w:szCs w:val="18"/>
              </w:rPr>
              <w:t>个基准点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71803C04"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994.00</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5F8B58FE"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994.00</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1E5B5"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72.13</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63E01"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72.13</w:t>
            </w:r>
          </w:p>
        </w:tc>
      </w:tr>
      <w:tr w:rsidR="00517D34" w:rsidRPr="0063248C" w14:paraId="25CDB602" w14:textId="77777777" w:rsidTr="000F65D3">
        <w:trPr>
          <w:divId w:val="589853700"/>
          <w:trHeight w:val="355"/>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7917A5" w14:textId="77777777" w:rsidR="00517D34" w:rsidRPr="0063248C" w:rsidRDefault="00000000">
            <w:pPr>
              <w:pStyle w:val="a3"/>
              <w:spacing w:before="0" w:beforeAutospacing="0" w:after="0" w:afterAutospacing="0"/>
              <w:rPr>
                <w:rFonts w:ascii="Times New Roman" w:hAnsi="Times New Roman" w:cs="Calibri"/>
                <w:sz w:val="21"/>
                <w:szCs w:val="21"/>
              </w:rPr>
            </w:pPr>
            <w:r w:rsidRPr="0063248C">
              <w:rPr>
                <w:rFonts w:ascii="Times New Roman" w:hAnsi="Times New Roman" w:cs="Calibri" w:hint="eastAsia"/>
                <w:color w:val="000000"/>
                <w:sz w:val="18"/>
                <w:szCs w:val="18"/>
              </w:rPr>
              <w:t>人民币对欧元汇率增加</w:t>
            </w:r>
            <w:r w:rsidRPr="0063248C">
              <w:rPr>
                <w:rFonts w:ascii="Times New Roman" w:hAnsi="Times New Roman" w:cs="Times New Roman"/>
                <w:color w:val="000000"/>
                <w:sz w:val="18"/>
                <w:szCs w:val="18"/>
              </w:rPr>
              <w:t>100</w:t>
            </w:r>
            <w:r w:rsidRPr="0063248C">
              <w:rPr>
                <w:rFonts w:ascii="Times New Roman" w:hAnsi="Times New Roman" w:cs="Calibri" w:hint="eastAsia"/>
                <w:color w:val="000000"/>
                <w:sz w:val="18"/>
                <w:szCs w:val="18"/>
              </w:rPr>
              <w:t>个基准点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0E8CC905"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0.00</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A088182"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0.00</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D3703"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 xml:space="preserve">118.00 </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43F4F"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 xml:space="preserve">118.00 </w:t>
            </w:r>
          </w:p>
        </w:tc>
      </w:tr>
      <w:tr w:rsidR="00517D34" w:rsidRPr="0063248C" w14:paraId="2CC1D7C6" w14:textId="77777777" w:rsidTr="000F65D3">
        <w:trPr>
          <w:divId w:val="589853700"/>
          <w:trHeight w:val="355"/>
          <w:jc w:val="center"/>
        </w:trPr>
        <w:tc>
          <w:tcPr>
            <w:tcW w:w="21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CC2B50" w14:textId="77777777" w:rsidR="00517D34" w:rsidRPr="0063248C" w:rsidRDefault="00000000">
            <w:pPr>
              <w:pStyle w:val="a3"/>
              <w:spacing w:before="0" w:beforeAutospacing="0" w:after="0" w:afterAutospacing="0"/>
              <w:rPr>
                <w:rFonts w:ascii="Times New Roman" w:hAnsi="Times New Roman" w:cs="Calibri"/>
                <w:sz w:val="21"/>
                <w:szCs w:val="21"/>
              </w:rPr>
            </w:pPr>
            <w:r w:rsidRPr="0063248C">
              <w:rPr>
                <w:rFonts w:ascii="Times New Roman" w:hAnsi="Times New Roman" w:cs="Calibri" w:hint="eastAsia"/>
                <w:color w:val="000000"/>
                <w:sz w:val="18"/>
                <w:szCs w:val="18"/>
              </w:rPr>
              <w:lastRenderedPageBreak/>
              <w:t>人民币对日元汇率增加</w:t>
            </w:r>
            <w:r w:rsidRPr="0063248C">
              <w:rPr>
                <w:rFonts w:ascii="Times New Roman" w:hAnsi="Times New Roman" w:cs="Times New Roman"/>
                <w:color w:val="000000"/>
                <w:sz w:val="18"/>
                <w:szCs w:val="18"/>
              </w:rPr>
              <w:t>100</w:t>
            </w:r>
            <w:r w:rsidRPr="0063248C">
              <w:rPr>
                <w:rFonts w:ascii="Times New Roman" w:hAnsi="Times New Roman" w:cs="Calibri" w:hint="eastAsia"/>
                <w:color w:val="000000"/>
                <w:sz w:val="18"/>
                <w:szCs w:val="18"/>
              </w:rPr>
              <w:t>个基准点</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14:paraId="36A68BEE"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0.00</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2E530A92"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0.00</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9461A"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 xml:space="preserve">8,500.00 </w:t>
            </w:r>
          </w:p>
        </w:tc>
        <w:tc>
          <w:tcPr>
            <w:tcW w:w="7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31CBA"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8,500.00</w:t>
            </w:r>
          </w:p>
        </w:tc>
      </w:tr>
    </w:tbl>
    <w:p w14:paraId="237F965B" w14:textId="77777777" w:rsidR="00517D34" w:rsidRPr="0063248C" w:rsidRDefault="00000000">
      <w:pPr>
        <w:pStyle w:val="a3"/>
        <w:spacing w:before="0" w:beforeAutospacing="0" w:after="0" w:afterAutospacing="0" w:line="273" w:lineRule="auto"/>
        <w:ind w:firstLine="360"/>
        <w:divId w:val="589853700"/>
        <w:rPr>
          <w:rFonts w:ascii="Times New Roman" w:hAnsi="Times New Roman" w:cs="Calibri"/>
          <w:sz w:val="21"/>
          <w:szCs w:val="21"/>
        </w:rPr>
      </w:pPr>
      <w:r w:rsidRPr="0063248C">
        <w:rPr>
          <w:rFonts w:ascii="Times New Roman" w:hAnsi="Times New Roman" w:cs="Calibri" w:hint="eastAsia"/>
          <w:color w:val="000000"/>
          <w:sz w:val="18"/>
          <w:szCs w:val="18"/>
        </w:rPr>
        <w:t>注</w:t>
      </w:r>
      <w:r w:rsidRPr="0063248C">
        <w:rPr>
          <w:rFonts w:ascii="Times New Roman" w:hAnsi="Times New Roman" w:cs="Times New Roman"/>
          <w:color w:val="000000"/>
          <w:sz w:val="18"/>
          <w:szCs w:val="18"/>
        </w:rPr>
        <w:t>1</w:t>
      </w:r>
      <w:r w:rsidRPr="0063248C">
        <w:rPr>
          <w:rFonts w:ascii="Times New Roman" w:hAnsi="Times New Roman" w:cs="Calibri" w:hint="eastAsia"/>
          <w:color w:val="000000"/>
          <w:sz w:val="18"/>
          <w:szCs w:val="18"/>
        </w:rPr>
        <w:t>：上表以正数表示增加，以负数表示减少。</w:t>
      </w:r>
    </w:p>
    <w:p w14:paraId="70B7E936" w14:textId="77777777" w:rsidR="00517D34" w:rsidRPr="0063248C" w:rsidRDefault="00000000">
      <w:pPr>
        <w:pStyle w:val="a3"/>
        <w:spacing w:before="0" w:beforeAutospacing="0" w:after="0" w:afterAutospacing="0" w:line="273" w:lineRule="auto"/>
        <w:ind w:firstLine="360"/>
        <w:divId w:val="589853700"/>
        <w:rPr>
          <w:rFonts w:ascii="Times New Roman" w:hAnsi="Times New Roman" w:cs="Calibri"/>
          <w:sz w:val="21"/>
          <w:szCs w:val="21"/>
        </w:rPr>
      </w:pPr>
      <w:r w:rsidRPr="0063248C">
        <w:rPr>
          <w:rFonts w:ascii="Times New Roman" w:hAnsi="Times New Roman" w:cs="Calibri" w:hint="eastAsia"/>
          <w:color w:val="000000"/>
          <w:sz w:val="18"/>
          <w:szCs w:val="18"/>
        </w:rPr>
        <w:t>注</w:t>
      </w:r>
      <w:r w:rsidRPr="0063248C">
        <w:rPr>
          <w:rFonts w:ascii="Times New Roman" w:hAnsi="Times New Roman" w:cs="Times New Roman"/>
          <w:color w:val="000000"/>
          <w:sz w:val="18"/>
          <w:szCs w:val="18"/>
        </w:rPr>
        <w:t>2</w:t>
      </w:r>
      <w:r w:rsidRPr="0063248C">
        <w:rPr>
          <w:rFonts w:ascii="Times New Roman" w:hAnsi="Times New Roman" w:cs="Calibri" w:hint="eastAsia"/>
          <w:color w:val="000000"/>
          <w:sz w:val="18"/>
          <w:szCs w:val="18"/>
        </w:rPr>
        <w:t>：上表的股东权益变动不包括留存收益。</w:t>
      </w:r>
    </w:p>
    <w:p w14:paraId="5A7AB9BF" w14:textId="77777777" w:rsidR="00517D34" w:rsidRPr="0063248C" w:rsidRDefault="00000000">
      <w:pPr>
        <w:pStyle w:val="a3"/>
        <w:spacing w:before="0" w:beforeAutospacing="0" w:after="0" w:afterAutospacing="0" w:line="273" w:lineRule="auto"/>
        <w:ind w:firstLine="360"/>
        <w:divId w:val="589853700"/>
        <w:rPr>
          <w:rFonts w:ascii="Times New Roman" w:hAnsi="Times New Roman" w:cs="Calibri"/>
          <w:sz w:val="21"/>
          <w:szCs w:val="21"/>
        </w:rPr>
      </w:pPr>
      <w:r w:rsidRPr="0063248C">
        <w:rPr>
          <w:rFonts w:ascii="Times New Roman" w:hAnsi="Times New Roman" w:cs="Times New Roman"/>
          <w:color w:val="000000"/>
          <w:sz w:val="18"/>
          <w:szCs w:val="18"/>
        </w:rPr>
        <w:t>2</w:t>
      </w:r>
      <w:r w:rsidRPr="0063248C">
        <w:rPr>
          <w:rFonts w:ascii="Times New Roman" w:hAnsi="Times New Roman" w:cs="Calibri" w:hint="eastAsia"/>
          <w:color w:val="000000"/>
          <w:sz w:val="18"/>
          <w:szCs w:val="18"/>
        </w:rPr>
        <w:t>）利率风险</w:t>
      </w:r>
    </w:p>
    <w:p w14:paraId="3134BB6A" w14:textId="77777777" w:rsidR="00517D34" w:rsidRPr="0063248C" w:rsidRDefault="00000000" w:rsidP="00FA083A">
      <w:pPr>
        <w:pStyle w:val="a3"/>
        <w:spacing w:before="0" w:beforeAutospacing="0" w:after="0" w:afterAutospacing="0" w:line="273" w:lineRule="auto"/>
        <w:ind w:firstLine="360"/>
        <w:jc w:val="both"/>
        <w:divId w:val="589853700"/>
        <w:rPr>
          <w:rFonts w:ascii="Times New Roman" w:hAnsi="Times New Roman" w:cs="Calibri"/>
          <w:sz w:val="21"/>
          <w:szCs w:val="21"/>
        </w:rPr>
      </w:pPr>
      <w:r w:rsidRPr="0063248C">
        <w:rPr>
          <w:rFonts w:ascii="Times New Roman" w:hAnsi="Times New Roman" w:cs="Calibri" w:hint="eastAsia"/>
          <w:color w:val="000000"/>
          <w:sz w:val="18"/>
          <w:szCs w:val="18"/>
        </w:rPr>
        <w:t>利率风险，是指金融工具的公允价值或未来现金流量因市场利率变动而发生波动的风险。本集团的利率风险产生于银行借款及应付债券等带息债务。浮动利率的金融负债使本集团面临现金流量利率风险，固定利率的金融负债使本集团面临公允价值利率风险。本集团根据当时的市场环境来决定固定利率及浮动利率合同的相对比例。于</w:t>
      </w:r>
      <w:r w:rsidRPr="0063248C">
        <w:rPr>
          <w:rFonts w:ascii="Times New Roman" w:hAnsi="Times New Roman" w:cs="Times New Roman"/>
          <w:color w:val="000000"/>
          <w:sz w:val="18"/>
          <w:szCs w:val="18"/>
        </w:rPr>
        <w:t>2023</w:t>
      </w:r>
      <w:r w:rsidRPr="0063248C">
        <w:rPr>
          <w:rFonts w:ascii="Times New Roman" w:hAnsi="Times New Roman" w:cs="Calibri" w:hint="eastAsia"/>
          <w:color w:val="000000"/>
          <w:sz w:val="18"/>
          <w:szCs w:val="18"/>
        </w:rPr>
        <w:t>年</w:t>
      </w:r>
      <w:r w:rsidRPr="0063248C">
        <w:rPr>
          <w:rFonts w:ascii="Times New Roman" w:hAnsi="Times New Roman" w:cs="Times New Roman"/>
          <w:color w:val="000000"/>
          <w:sz w:val="18"/>
          <w:szCs w:val="18"/>
        </w:rPr>
        <w:t>12</w:t>
      </w:r>
      <w:r w:rsidRPr="0063248C">
        <w:rPr>
          <w:rFonts w:ascii="Times New Roman" w:hAnsi="Times New Roman" w:cs="Calibri" w:hint="eastAsia"/>
          <w:color w:val="000000"/>
          <w:sz w:val="18"/>
          <w:szCs w:val="18"/>
        </w:rPr>
        <w:t>月</w:t>
      </w:r>
      <w:r w:rsidRPr="0063248C">
        <w:rPr>
          <w:rFonts w:ascii="Times New Roman" w:hAnsi="Times New Roman" w:cs="Times New Roman"/>
          <w:color w:val="000000"/>
          <w:sz w:val="18"/>
          <w:szCs w:val="18"/>
        </w:rPr>
        <w:t>31</w:t>
      </w:r>
      <w:r w:rsidRPr="0063248C">
        <w:rPr>
          <w:rFonts w:ascii="Times New Roman" w:hAnsi="Times New Roman" w:cs="Calibri" w:hint="eastAsia"/>
          <w:color w:val="000000"/>
          <w:sz w:val="18"/>
          <w:szCs w:val="18"/>
        </w:rPr>
        <w:t>日，本集团的带息债务主要为浮动利率借款合同，金额合计为</w:t>
      </w:r>
      <w:r w:rsidRPr="0063248C">
        <w:rPr>
          <w:rFonts w:ascii="Times New Roman" w:hAnsi="Times New Roman" w:cs="Times New Roman"/>
          <w:color w:val="000000"/>
          <w:sz w:val="18"/>
          <w:szCs w:val="18"/>
        </w:rPr>
        <w:t>381,212,925.48</w:t>
      </w:r>
      <w:r w:rsidRPr="0063248C">
        <w:rPr>
          <w:rFonts w:ascii="Times New Roman" w:hAnsi="Times New Roman" w:cs="Calibri" w:hint="eastAsia"/>
          <w:color w:val="000000"/>
          <w:sz w:val="18"/>
          <w:szCs w:val="18"/>
        </w:rPr>
        <w:t>元，及固定利率合同金额为</w:t>
      </w:r>
      <w:r w:rsidRPr="0063248C">
        <w:rPr>
          <w:rFonts w:ascii="Times New Roman" w:hAnsi="Times New Roman" w:cs="Times New Roman"/>
          <w:color w:val="000000"/>
          <w:sz w:val="18"/>
          <w:szCs w:val="18"/>
        </w:rPr>
        <w:t>2,795,076,315.70 </w:t>
      </w:r>
      <w:r w:rsidRPr="0063248C">
        <w:rPr>
          <w:rFonts w:ascii="Times New Roman" w:hAnsi="Times New Roman" w:cs="Calibri" w:hint="eastAsia"/>
          <w:color w:val="000000"/>
          <w:sz w:val="18"/>
          <w:szCs w:val="18"/>
        </w:rPr>
        <w:t>元。</w:t>
      </w:r>
    </w:p>
    <w:p w14:paraId="4F06A1FB" w14:textId="77777777" w:rsidR="00517D34" w:rsidRPr="0063248C" w:rsidRDefault="00000000" w:rsidP="00FA083A">
      <w:pPr>
        <w:pStyle w:val="a3"/>
        <w:spacing w:before="0" w:beforeAutospacing="0" w:after="0" w:afterAutospacing="0" w:line="273" w:lineRule="auto"/>
        <w:ind w:firstLine="360"/>
        <w:jc w:val="both"/>
        <w:divId w:val="589853700"/>
        <w:rPr>
          <w:rFonts w:ascii="Times New Roman" w:hAnsi="Times New Roman" w:cs="Calibri"/>
          <w:sz w:val="21"/>
          <w:szCs w:val="21"/>
        </w:rPr>
      </w:pPr>
      <w:r w:rsidRPr="0063248C">
        <w:rPr>
          <w:rFonts w:ascii="Times New Roman" w:hAnsi="Times New Roman" w:cs="Calibri" w:hint="eastAsia"/>
          <w:color w:val="000000"/>
          <w:sz w:val="18"/>
          <w:szCs w:val="18"/>
        </w:rPr>
        <w:t>利率风险的敏感性分析见下表，反映了在其他变量不变的假设下，浮动利率金融资产和负债的利率发生合理、可能的变动时，将对净利润和股东权益产生的影响。</w:t>
      </w:r>
    </w:p>
    <w:tbl>
      <w:tblPr>
        <w:tblW w:w="5086" w:type="pct"/>
        <w:tblCellMar>
          <w:top w:w="15" w:type="dxa"/>
          <w:left w:w="15" w:type="dxa"/>
          <w:bottom w:w="15" w:type="dxa"/>
          <w:right w:w="15" w:type="dxa"/>
        </w:tblCellMar>
        <w:tblLook w:val="04A0" w:firstRow="1" w:lastRow="0" w:firstColumn="1" w:lastColumn="0" w:noHBand="0" w:noVBand="1"/>
      </w:tblPr>
      <w:tblGrid>
        <w:gridCol w:w="3784"/>
        <w:gridCol w:w="1431"/>
        <w:gridCol w:w="1535"/>
        <w:gridCol w:w="1636"/>
        <w:gridCol w:w="1636"/>
      </w:tblGrid>
      <w:tr w:rsidR="00517D34" w:rsidRPr="0063248C" w14:paraId="06CDD83D" w14:textId="77777777" w:rsidTr="000F65D3">
        <w:trPr>
          <w:divId w:val="589853700"/>
          <w:trHeight w:val="394"/>
        </w:trPr>
        <w:tc>
          <w:tcPr>
            <w:tcW w:w="18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80F72B" w14:textId="77777777" w:rsidR="00517D34" w:rsidRPr="0063248C" w:rsidRDefault="00000000" w:rsidP="000A04E4">
            <w:pPr>
              <w:jc w:val="center"/>
              <w:rPr>
                <w:rFonts w:cs="Times New Roman"/>
                <w:sz w:val="20"/>
                <w:szCs w:val="20"/>
              </w:rPr>
            </w:pPr>
            <w:r w:rsidRPr="0063248C">
              <w:rPr>
                <w:rFonts w:cs="Times New Roman" w:hint="eastAsia"/>
                <w:sz w:val="18"/>
                <w:szCs w:val="18"/>
              </w:rPr>
              <w:t>项目</w:t>
            </w:r>
          </w:p>
        </w:tc>
        <w:tc>
          <w:tcPr>
            <w:tcW w:w="14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97166C" w14:textId="77777777" w:rsidR="00517D34" w:rsidRPr="0063248C" w:rsidRDefault="00000000">
            <w:pPr>
              <w:pStyle w:val="a3"/>
              <w:spacing w:before="0" w:beforeAutospacing="0" w:after="0" w:afterAutospacing="0"/>
              <w:rPr>
                <w:rFonts w:ascii="Times New Roman" w:hAnsi="Times New Roman" w:cs="Calibri"/>
                <w:sz w:val="21"/>
                <w:szCs w:val="21"/>
              </w:rPr>
            </w:pPr>
            <w:r w:rsidRPr="0063248C">
              <w:rPr>
                <w:rFonts w:ascii="Times New Roman" w:hAnsi="Times New Roman" w:cs="Calibri" w:hint="eastAsia"/>
                <w:color w:val="000000"/>
                <w:sz w:val="18"/>
                <w:szCs w:val="18"/>
              </w:rPr>
              <w:t>本年</w:t>
            </w:r>
          </w:p>
        </w:tc>
        <w:tc>
          <w:tcPr>
            <w:tcW w:w="16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43F2FE" w14:textId="77777777" w:rsidR="00517D34" w:rsidRPr="0063248C" w:rsidRDefault="00000000">
            <w:pPr>
              <w:pStyle w:val="a3"/>
              <w:spacing w:before="0" w:beforeAutospacing="0" w:after="0" w:afterAutospacing="0"/>
              <w:rPr>
                <w:rFonts w:ascii="Times New Roman" w:hAnsi="Times New Roman" w:cs="Calibri"/>
                <w:sz w:val="21"/>
                <w:szCs w:val="21"/>
              </w:rPr>
            </w:pPr>
            <w:r w:rsidRPr="0063248C">
              <w:rPr>
                <w:rFonts w:ascii="Times New Roman" w:hAnsi="Times New Roman" w:cs="Calibri" w:hint="eastAsia"/>
                <w:color w:val="000000"/>
                <w:sz w:val="18"/>
                <w:szCs w:val="18"/>
              </w:rPr>
              <w:t>上年</w:t>
            </w:r>
          </w:p>
        </w:tc>
      </w:tr>
      <w:tr w:rsidR="00517D34" w:rsidRPr="0063248C" w14:paraId="52CA9792" w14:textId="77777777" w:rsidTr="000F65D3">
        <w:trPr>
          <w:divId w:val="589853700"/>
          <w:trHeight w:val="39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1ED4719" w14:textId="77777777" w:rsidR="00517D34" w:rsidRPr="0063248C" w:rsidRDefault="00517D34">
            <w:pPr>
              <w:rPr>
                <w:rFonts w:cs="Times New Roman"/>
                <w:sz w:val="20"/>
                <w:szCs w:val="20"/>
              </w:rPr>
            </w:pPr>
          </w:p>
        </w:tc>
        <w:tc>
          <w:tcPr>
            <w:tcW w:w="7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D40A2" w14:textId="77777777" w:rsidR="00517D34" w:rsidRPr="0063248C" w:rsidRDefault="00000000">
            <w:pPr>
              <w:pStyle w:val="a3"/>
              <w:spacing w:before="0" w:beforeAutospacing="0" w:after="0" w:afterAutospacing="0"/>
              <w:rPr>
                <w:rFonts w:ascii="Times New Roman" w:hAnsi="Times New Roman" w:cs="Calibri"/>
                <w:sz w:val="21"/>
                <w:szCs w:val="21"/>
              </w:rPr>
            </w:pPr>
            <w:r w:rsidRPr="0063248C">
              <w:rPr>
                <w:rFonts w:ascii="Times New Roman" w:hAnsi="Times New Roman" w:cs="Calibri" w:hint="eastAsia"/>
                <w:color w:val="000000"/>
                <w:sz w:val="18"/>
                <w:szCs w:val="18"/>
              </w:rPr>
              <w:t>对利润的影响</w:t>
            </w:r>
          </w:p>
        </w:tc>
        <w:tc>
          <w:tcPr>
            <w:tcW w:w="7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54352" w14:textId="77777777" w:rsidR="00517D34" w:rsidRPr="0063248C" w:rsidRDefault="00000000">
            <w:pPr>
              <w:pStyle w:val="a3"/>
              <w:spacing w:before="0" w:beforeAutospacing="0" w:after="0" w:afterAutospacing="0"/>
              <w:rPr>
                <w:rFonts w:ascii="Times New Roman" w:hAnsi="Times New Roman" w:cs="Calibri"/>
                <w:sz w:val="21"/>
                <w:szCs w:val="21"/>
              </w:rPr>
            </w:pPr>
            <w:r w:rsidRPr="0063248C">
              <w:rPr>
                <w:rFonts w:ascii="Times New Roman" w:hAnsi="Times New Roman" w:cs="Calibri" w:hint="eastAsia"/>
                <w:color w:val="000000"/>
                <w:sz w:val="18"/>
                <w:szCs w:val="18"/>
              </w:rPr>
              <w:t>对股东权益的影响</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46AAB" w14:textId="77777777" w:rsidR="00517D34" w:rsidRPr="0063248C" w:rsidRDefault="00000000">
            <w:pPr>
              <w:pStyle w:val="a3"/>
              <w:spacing w:before="0" w:beforeAutospacing="0" w:after="0" w:afterAutospacing="0"/>
              <w:rPr>
                <w:rFonts w:ascii="Times New Roman" w:hAnsi="Times New Roman" w:cs="Calibri"/>
                <w:sz w:val="21"/>
                <w:szCs w:val="21"/>
              </w:rPr>
            </w:pPr>
            <w:r w:rsidRPr="0063248C">
              <w:rPr>
                <w:rFonts w:ascii="Times New Roman" w:hAnsi="Times New Roman" w:cs="Calibri" w:hint="eastAsia"/>
                <w:color w:val="000000"/>
                <w:sz w:val="18"/>
                <w:szCs w:val="18"/>
              </w:rPr>
              <w:t>对利润的影响</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CFFB4" w14:textId="77777777" w:rsidR="00517D34" w:rsidRPr="0063248C" w:rsidRDefault="00000000">
            <w:pPr>
              <w:pStyle w:val="a3"/>
              <w:spacing w:before="0" w:beforeAutospacing="0" w:after="0" w:afterAutospacing="0"/>
              <w:rPr>
                <w:rFonts w:ascii="Times New Roman" w:hAnsi="Times New Roman" w:cs="Calibri"/>
                <w:sz w:val="21"/>
                <w:szCs w:val="21"/>
              </w:rPr>
            </w:pPr>
            <w:r w:rsidRPr="0063248C">
              <w:rPr>
                <w:rFonts w:ascii="Times New Roman" w:hAnsi="Times New Roman" w:cs="Calibri" w:hint="eastAsia"/>
                <w:color w:val="000000"/>
                <w:sz w:val="18"/>
                <w:szCs w:val="18"/>
              </w:rPr>
              <w:t>对股东权益的影响</w:t>
            </w:r>
          </w:p>
        </w:tc>
      </w:tr>
      <w:tr w:rsidR="00517D34" w:rsidRPr="0063248C" w14:paraId="256188BE" w14:textId="77777777" w:rsidTr="000F65D3">
        <w:trPr>
          <w:divId w:val="589853700"/>
          <w:trHeight w:val="394"/>
        </w:trPr>
        <w:tc>
          <w:tcPr>
            <w:tcW w:w="1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25AD8E" w14:textId="77777777" w:rsidR="00517D34" w:rsidRPr="0063248C" w:rsidRDefault="00000000">
            <w:pPr>
              <w:pStyle w:val="a3"/>
              <w:spacing w:before="0" w:beforeAutospacing="0" w:after="0" w:afterAutospacing="0"/>
              <w:rPr>
                <w:rFonts w:ascii="Times New Roman" w:hAnsi="Times New Roman" w:cs="Calibri"/>
                <w:sz w:val="21"/>
                <w:szCs w:val="21"/>
              </w:rPr>
            </w:pPr>
            <w:r w:rsidRPr="0063248C">
              <w:rPr>
                <w:rFonts w:ascii="Times New Roman" w:hAnsi="Times New Roman" w:cs="Calibri" w:hint="eastAsia"/>
                <w:color w:val="000000"/>
                <w:sz w:val="18"/>
                <w:szCs w:val="18"/>
              </w:rPr>
              <w:t>人民币基准利率增加</w:t>
            </w:r>
            <w:r w:rsidRPr="0063248C">
              <w:rPr>
                <w:rFonts w:ascii="Times New Roman" w:hAnsi="Times New Roman" w:cs="Times New Roman"/>
                <w:color w:val="000000"/>
                <w:sz w:val="18"/>
                <w:szCs w:val="18"/>
              </w:rPr>
              <w:t>25</w:t>
            </w:r>
            <w:r w:rsidRPr="0063248C">
              <w:rPr>
                <w:rFonts w:ascii="Times New Roman" w:hAnsi="Times New Roman" w:cs="Calibri" w:hint="eastAsia"/>
                <w:color w:val="000000"/>
                <w:sz w:val="18"/>
                <w:szCs w:val="18"/>
              </w:rPr>
              <w:t>个基准点</w:t>
            </w:r>
          </w:p>
        </w:tc>
        <w:tc>
          <w:tcPr>
            <w:tcW w:w="7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0018B"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 xml:space="preserve"> -1,011,511.15 </w:t>
            </w:r>
          </w:p>
        </w:tc>
        <w:tc>
          <w:tcPr>
            <w:tcW w:w="7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80CFD" w14:textId="77777777" w:rsidR="00517D34" w:rsidRPr="0063248C" w:rsidRDefault="00000000">
            <w:pPr>
              <w:pStyle w:val="a3"/>
              <w:spacing w:before="0" w:beforeAutospacing="0" w:after="0" w:afterAutospacing="0"/>
              <w:jc w:val="right"/>
              <w:textAlignment w:val="center"/>
              <w:rPr>
                <w:rFonts w:ascii="Times New Roman" w:hAnsi="Times New Roman" w:cs="Calibri"/>
                <w:sz w:val="21"/>
                <w:szCs w:val="21"/>
              </w:rPr>
            </w:pPr>
            <w:r w:rsidRPr="0063248C">
              <w:rPr>
                <w:rFonts w:ascii="Times New Roman" w:hAnsi="Times New Roman" w:cs="Times New Roman"/>
                <w:color w:val="000000"/>
                <w:sz w:val="20"/>
                <w:szCs w:val="20"/>
              </w:rPr>
              <w:t xml:space="preserve"> -1,011,511.15 </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6F112"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-370,000.00</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B0AFD"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-370,000.00</w:t>
            </w:r>
          </w:p>
        </w:tc>
      </w:tr>
      <w:tr w:rsidR="00517D34" w:rsidRPr="0063248C" w14:paraId="46E2EA05" w14:textId="77777777" w:rsidTr="000F65D3">
        <w:trPr>
          <w:divId w:val="589853700"/>
          <w:trHeight w:val="394"/>
        </w:trPr>
        <w:tc>
          <w:tcPr>
            <w:tcW w:w="1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C7AC07" w14:textId="77777777" w:rsidR="00517D34" w:rsidRPr="0063248C" w:rsidRDefault="00000000">
            <w:pPr>
              <w:pStyle w:val="a3"/>
              <w:spacing w:before="0" w:beforeAutospacing="0" w:after="0" w:afterAutospacing="0"/>
              <w:rPr>
                <w:rFonts w:ascii="Times New Roman" w:hAnsi="Times New Roman" w:cs="Calibri"/>
                <w:sz w:val="21"/>
                <w:szCs w:val="21"/>
              </w:rPr>
            </w:pPr>
            <w:r w:rsidRPr="0063248C">
              <w:rPr>
                <w:rFonts w:ascii="Times New Roman" w:hAnsi="Times New Roman" w:cs="Calibri" w:hint="eastAsia"/>
                <w:color w:val="000000"/>
                <w:sz w:val="18"/>
                <w:szCs w:val="18"/>
              </w:rPr>
              <w:t>人民币基准利率降低</w:t>
            </w:r>
            <w:r w:rsidRPr="0063248C">
              <w:rPr>
                <w:rFonts w:ascii="Times New Roman" w:hAnsi="Times New Roman" w:cs="Times New Roman"/>
                <w:color w:val="000000"/>
                <w:sz w:val="18"/>
                <w:szCs w:val="18"/>
              </w:rPr>
              <w:t>25</w:t>
            </w:r>
            <w:r w:rsidRPr="0063248C">
              <w:rPr>
                <w:rFonts w:ascii="Times New Roman" w:hAnsi="Times New Roman" w:cs="Calibri" w:hint="eastAsia"/>
                <w:color w:val="000000"/>
                <w:sz w:val="18"/>
                <w:szCs w:val="18"/>
              </w:rPr>
              <w:t>个基准点</w:t>
            </w:r>
          </w:p>
        </w:tc>
        <w:tc>
          <w:tcPr>
            <w:tcW w:w="7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F5B90" w14:textId="77777777" w:rsidR="00517D34" w:rsidRPr="0063248C" w:rsidRDefault="00000000">
            <w:pPr>
              <w:pStyle w:val="a3"/>
              <w:spacing w:before="0" w:beforeAutospacing="0" w:after="0" w:afterAutospacing="0"/>
              <w:jc w:val="right"/>
              <w:textAlignment w:val="center"/>
              <w:rPr>
                <w:rFonts w:ascii="Times New Roman" w:hAnsi="Times New Roman" w:cs="Calibri"/>
                <w:sz w:val="21"/>
                <w:szCs w:val="21"/>
              </w:rPr>
            </w:pPr>
            <w:r w:rsidRPr="0063248C">
              <w:rPr>
                <w:rFonts w:ascii="Times New Roman" w:hAnsi="Times New Roman" w:cs="Times New Roman"/>
                <w:color w:val="000000"/>
                <w:sz w:val="20"/>
                <w:szCs w:val="20"/>
              </w:rPr>
              <w:t xml:space="preserve"> 1,011,511.15 </w:t>
            </w:r>
          </w:p>
        </w:tc>
        <w:tc>
          <w:tcPr>
            <w:tcW w:w="7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8870C" w14:textId="77777777" w:rsidR="00517D34" w:rsidRPr="0063248C" w:rsidRDefault="00000000">
            <w:pPr>
              <w:pStyle w:val="a3"/>
              <w:spacing w:before="0" w:beforeAutospacing="0" w:after="0" w:afterAutospacing="0"/>
              <w:jc w:val="right"/>
              <w:textAlignment w:val="center"/>
              <w:rPr>
                <w:rFonts w:ascii="Times New Roman" w:hAnsi="Times New Roman" w:cs="Calibri"/>
                <w:sz w:val="21"/>
                <w:szCs w:val="21"/>
              </w:rPr>
            </w:pPr>
            <w:r w:rsidRPr="0063248C">
              <w:rPr>
                <w:rFonts w:ascii="Times New Roman" w:hAnsi="Times New Roman" w:cs="Times New Roman"/>
                <w:color w:val="000000"/>
                <w:sz w:val="20"/>
                <w:szCs w:val="20"/>
              </w:rPr>
              <w:t xml:space="preserve">1,011,511.15 </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181D9"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370,000.00</w:t>
            </w:r>
          </w:p>
        </w:tc>
        <w:tc>
          <w:tcPr>
            <w:tcW w:w="8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4F14EE" w14:textId="77777777" w:rsidR="00517D34" w:rsidRPr="0063248C" w:rsidRDefault="00000000">
            <w:pPr>
              <w:pStyle w:val="a3"/>
              <w:spacing w:before="0" w:beforeAutospacing="0" w:after="0" w:afterAutospacing="0"/>
              <w:jc w:val="right"/>
              <w:rPr>
                <w:rFonts w:ascii="Times New Roman" w:hAnsi="Times New Roman" w:cs="Calibri"/>
                <w:sz w:val="21"/>
                <w:szCs w:val="21"/>
              </w:rPr>
            </w:pPr>
            <w:r w:rsidRPr="0063248C">
              <w:rPr>
                <w:rFonts w:ascii="Times New Roman" w:hAnsi="Times New Roman" w:cs="Times New Roman"/>
                <w:color w:val="000000"/>
                <w:sz w:val="18"/>
                <w:szCs w:val="18"/>
              </w:rPr>
              <w:t>370,000.00</w:t>
            </w:r>
          </w:p>
        </w:tc>
      </w:tr>
    </w:tbl>
    <w:p w14:paraId="0A388987" w14:textId="77777777" w:rsidR="00517D34" w:rsidRPr="0063248C" w:rsidRDefault="00000000" w:rsidP="00FA083A">
      <w:pPr>
        <w:pStyle w:val="a3"/>
        <w:spacing w:before="0" w:beforeAutospacing="0" w:after="0" w:afterAutospacing="0"/>
        <w:ind w:firstLineChars="200" w:firstLine="360"/>
        <w:divId w:val="589853700"/>
        <w:rPr>
          <w:rFonts w:ascii="Times New Roman" w:hAnsi="Times New Roman" w:cs="Calibri"/>
          <w:sz w:val="21"/>
          <w:szCs w:val="21"/>
        </w:rPr>
      </w:pPr>
      <w:r w:rsidRPr="0063248C">
        <w:rPr>
          <w:rFonts w:ascii="Times New Roman" w:hAnsi="Times New Roman" w:cs="Calibri" w:hint="eastAsia"/>
          <w:color w:val="000000"/>
          <w:sz w:val="18"/>
          <w:szCs w:val="18"/>
        </w:rPr>
        <w:t>注</w:t>
      </w:r>
      <w:r w:rsidRPr="0063248C">
        <w:rPr>
          <w:rFonts w:ascii="Times New Roman" w:hAnsi="Times New Roman" w:cs="Times New Roman"/>
          <w:color w:val="000000"/>
          <w:sz w:val="18"/>
          <w:szCs w:val="18"/>
        </w:rPr>
        <w:t>1</w:t>
      </w:r>
      <w:r w:rsidRPr="0063248C">
        <w:rPr>
          <w:rFonts w:ascii="Times New Roman" w:hAnsi="Times New Roman" w:cs="Calibri" w:hint="eastAsia"/>
          <w:color w:val="000000"/>
          <w:sz w:val="18"/>
          <w:szCs w:val="18"/>
        </w:rPr>
        <w:t>：上表以正数表示增加，以负数表示减少。</w:t>
      </w:r>
    </w:p>
    <w:p w14:paraId="3600AD00" w14:textId="77777777" w:rsidR="00517D34" w:rsidRPr="0063248C" w:rsidRDefault="00000000">
      <w:pPr>
        <w:pStyle w:val="a3"/>
        <w:spacing w:before="0" w:beforeAutospacing="0" w:after="0" w:afterAutospacing="0" w:line="273" w:lineRule="auto"/>
        <w:ind w:firstLine="360"/>
        <w:divId w:val="589853700"/>
        <w:rPr>
          <w:rFonts w:ascii="Times New Roman" w:hAnsi="Times New Roman" w:cs="Calibri"/>
          <w:sz w:val="21"/>
          <w:szCs w:val="21"/>
        </w:rPr>
      </w:pPr>
      <w:r w:rsidRPr="0063248C">
        <w:rPr>
          <w:rFonts w:ascii="Times New Roman" w:hAnsi="Times New Roman" w:cs="Calibri" w:hint="eastAsia"/>
          <w:color w:val="000000"/>
          <w:sz w:val="18"/>
          <w:szCs w:val="18"/>
          <w:shd w:val="clear" w:color="auto" w:fill="FFFFFF"/>
        </w:rPr>
        <w:t>注</w:t>
      </w:r>
      <w:r w:rsidRPr="0063248C">
        <w:rPr>
          <w:rFonts w:ascii="Times New Roman" w:hAnsi="Times New Roman" w:cs="Times New Roman"/>
          <w:color w:val="000000"/>
          <w:sz w:val="18"/>
          <w:szCs w:val="18"/>
          <w:shd w:val="clear" w:color="auto" w:fill="FFFFFF"/>
        </w:rPr>
        <w:t>2</w:t>
      </w:r>
      <w:r w:rsidRPr="0063248C">
        <w:rPr>
          <w:rFonts w:ascii="Times New Roman" w:hAnsi="Times New Roman" w:cs="Calibri" w:hint="eastAsia"/>
          <w:color w:val="000000"/>
          <w:sz w:val="18"/>
          <w:szCs w:val="18"/>
          <w:shd w:val="clear" w:color="auto" w:fill="FFFFFF"/>
        </w:rPr>
        <w:t>：上表的股东权益变动不包括留存收益。</w:t>
      </w:r>
    </w:p>
    <w:p w14:paraId="52F9B23D" w14:textId="77777777" w:rsidR="00517D34" w:rsidRPr="0063248C" w:rsidRDefault="00000000" w:rsidP="00FA083A">
      <w:pPr>
        <w:pStyle w:val="a3"/>
        <w:spacing w:before="0" w:beforeAutospacing="0" w:after="0" w:afterAutospacing="0" w:line="273" w:lineRule="auto"/>
        <w:ind w:firstLine="360"/>
        <w:jc w:val="both"/>
        <w:divId w:val="589853700"/>
        <w:rPr>
          <w:rFonts w:ascii="Times New Roman" w:hAnsi="Times New Roman" w:cs="Calibri"/>
          <w:sz w:val="21"/>
          <w:szCs w:val="21"/>
        </w:rPr>
      </w:pPr>
      <w:r w:rsidRPr="0063248C">
        <w:rPr>
          <w:rFonts w:ascii="Times New Roman" w:hAnsi="Times New Roman" w:cs="Calibri" w:hint="eastAsia"/>
          <w:color w:val="000000"/>
          <w:sz w:val="18"/>
          <w:szCs w:val="18"/>
        </w:rPr>
        <w:t>其他价格风险，是指金融工具的公允价值或未来现金流量因汇率风险和利率风险以外的市场价格变动而发生波动的风险，无论这些变动是由于与单项金融工具或其发行方有关的因素而引起的，还是由于与市场内交易的所有类似金融工具有关的因素而引起的。本集团持有的分类为以公允价值计量且其变动计入当期损益、以公允价值计量且其变动计入其他综合收益的金融资产的投资在资产负债表日以公允价值计量。因此，本集团承担着证券市场价格变动的风险。本集团采取持有多种权益证券组合的方式降低权益证券投资的价格风险。</w:t>
      </w:r>
    </w:p>
    <w:p w14:paraId="5037B4D0" w14:textId="77777777" w:rsidR="00517D34" w:rsidRPr="0063248C" w:rsidRDefault="00000000" w:rsidP="00FA083A">
      <w:pPr>
        <w:pStyle w:val="a3"/>
        <w:spacing w:before="0" w:beforeAutospacing="0" w:after="0" w:afterAutospacing="0" w:line="273" w:lineRule="auto"/>
        <w:ind w:firstLine="360"/>
        <w:jc w:val="both"/>
        <w:divId w:val="589853700"/>
        <w:rPr>
          <w:rFonts w:ascii="Times New Roman" w:hAnsi="Times New Roman" w:cs="Calibri"/>
          <w:sz w:val="21"/>
          <w:szCs w:val="21"/>
        </w:rPr>
      </w:pPr>
      <w:r w:rsidRPr="0063248C">
        <w:rPr>
          <w:rFonts w:ascii="Times New Roman" w:hAnsi="Times New Roman" w:cs="Calibri" w:hint="eastAsia"/>
          <w:color w:val="000000"/>
          <w:sz w:val="18"/>
          <w:szCs w:val="18"/>
        </w:rPr>
        <w:t>本集团无高风险投资，无重大的其他市场风险。</w:t>
      </w:r>
    </w:p>
    <w:p w14:paraId="04206390" w14:textId="77777777" w:rsidR="007B3DB2" w:rsidRPr="0063248C" w:rsidRDefault="00000000">
      <w:pPr>
        <w:pStyle w:val="3"/>
        <w:spacing w:line="280" w:lineRule="exact"/>
        <w:jc w:val="left"/>
        <w:rPr>
          <w:rFonts w:cs="宋体"/>
          <w:b/>
          <w:bCs/>
        </w:rPr>
      </w:pPr>
      <w:bookmarkStart w:id="448" w:name="_Toc989342"/>
      <w:r w:rsidRPr="0063248C">
        <w:rPr>
          <w:rFonts w:cs="宋体"/>
          <w:b/>
          <w:bCs/>
        </w:rPr>
        <w:t>2</w:t>
      </w:r>
      <w:r w:rsidRPr="0063248C">
        <w:rPr>
          <w:rFonts w:cs="宋体"/>
          <w:b/>
          <w:bCs/>
        </w:rPr>
        <w:t>、套期</w:t>
      </w:r>
      <w:bookmarkEnd w:id="448"/>
    </w:p>
    <w:p w14:paraId="6998302D" w14:textId="77777777" w:rsidR="007B3DB2" w:rsidRPr="0063248C" w:rsidRDefault="00000000">
      <w:pPr>
        <w:keepNext/>
        <w:keepLines/>
        <w:spacing w:before="300" w:after="300" w:line="280" w:lineRule="exact"/>
        <w:outlineLvl w:val="4"/>
        <w:rPr>
          <w:rFonts w:cs="宋体"/>
          <w:b/>
          <w:bCs/>
          <w:sz w:val="18"/>
          <w:szCs w:val="18"/>
        </w:rPr>
      </w:pPr>
      <w:bookmarkStart w:id="449" w:name="_Toc989343"/>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公司开展套期业务进行风险管理</w:t>
      </w:r>
      <w:bookmarkEnd w:id="449"/>
    </w:p>
    <w:p w14:paraId="0E7D1647"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FCC52CB" w14:textId="77777777" w:rsidR="007B3DB2" w:rsidRPr="0063248C" w:rsidRDefault="00000000">
      <w:pPr>
        <w:keepNext/>
        <w:keepLines/>
        <w:spacing w:before="300" w:after="300" w:line="280" w:lineRule="exact"/>
        <w:outlineLvl w:val="4"/>
        <w:rPr>
          <w:rFonts w:cs="宋体"/>
          <w:b/>
          <w:bCs/>
          <w:sz w:val="18"/>
          <w:szCs w:val="18"/>
        </w:rPr>
      </w:pPr>
      <w:bookmarkStart w:id="450" w:name="_Toc989344"/>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公司开展符合条件套期业务并应用套期会计</w:t>
      </w:r>
      <w:bookmarkEnd w:id="450"/>
    </w:p>
    <w:p w14:paraId="6DFAA7A4" w14:textId="77777777" w:rsidR="00517D34" w:rsidRPr="0063248C" w:rsidRDefault="00000000">
      <w:pPr>
        <w:pStyle w:val="a3"/>
        <w:divId w:val="1619099606"/>
        <w:rPr>
          <w:rFonts w:ascii="Times New Roman" w:hAnsi="Times New Roman"/>
          <w:sz w:val="18"/>
          <w:szCs w:val="18"/>
        </w:rPr>
      </w:pPr>
      <w:r w:rsidRPr="0063248C">
        <w:rPr>
          <w:rFonts w:ascii="Times New Roman" w:hAnsi="Times New Roman" w:hint="eastAsia"/>
          <w:sz w:val="18"/>
          <w:szCs w:val="18"/>
        </w:rPr>
        <w:t>无</w:t>
      </w:r>
    </w:p>
    <w:p w14:paraId="43FE39FD" w14:textId="77777777" w:rsidR="007B3DB2" w:rsidRPr="0063248C" w:rsidRDefault="00000000">
      <w:pPr>
        <w:keepNext/>
        <w:keepLines/>
        <w:spacing w:before="300" w:after="300" w:line="280" w:lineRule="exact"/>
        <w:outlineLvl w:val="3"/>
        <w:rPr>
          <w:rFonts w:cs="宋体"/>
          <w:b/>
          <w:bCs/>
          <w:sz w:val="18"/>
          <w:szCs w:val="18"/>
        </w:rPr>
      </w:pPr>
      <w:bookmarkStart w:id="451" w:name="_Toc989345"/>
      <w:r w:rsidRPr="0063248C">
        <w:rPr>
          <w:rFonts w:cs="宋体"/>
          <w:b/>
          <w:bCs/>
          <w:sz w:val="18"/>
          <w:szCs w:val="18"/>
        </w:rPr>
        <w:t>（</w:t>
      </w:r>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公司开展套期业务进行风险管理、预期能实现风险管理目标但未应用套期会计</w:t>
      </w:r>
      <w:bookmarkEnd w:id="451"/>
    </w:p>
    <w:p w14:paraId="0B036F9D"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DDD7F34" w14:textId="77777777" w:rsidR="007B3DB2" w:rsidRPr="0063248C" w:rsidRDefault="00000000">
      <w:pPr>
        <w:pStyle w:val="3"/>
        <w:spacing w:line="280" w:lineRule="exact"/>
        <w:jc w:val="left"/>
        <w:rPr>
          <w:rFonts w:cs="宋体"/>
          <w:b/>
          <w:bCs/>
        </w:rPr>
      </w:pPr>
      <w:bookmarkStart w:id="452" w:name="_Toc989346"/>
      <w:r w:rsidRPr="0063248C">
        <w:rPr>
          <w:rFonts w:cs="宋体"/>
          <w:b/>
          <w:bCs/>
        </w:rPr>
        <w:t>3</w:t>
      </w:r>
      <w:r w:rsidRPr="0063248C">
        <w:rPr>
          <w:rFonts w:cs="宋体"/>
          <w:b/>
          <w:bCs/>
        </w:rPr>
        <w:t>、金融资产</w:t>
      </w:r>
      <w:bookmarkEnd w:id="452"/>
    </w:p>
    <w:p w14:paraId="5565A4F6" w14:textId="77777777" w:rsidR="007B3DB2" w:rsidRPr="0063248C" w:rsidRDefault="00000000">
      <w:pPr>
        <w:keepNext/>
        <w:keepLines/>
        <w:spacing w:before="300" w:after="300" w:line="280" w:lineRule="exact"/>
        <w:outlineLvl w:val="3"/>
        <w:rPr>
          <w:rFonts w:cs="宋体"/>
          <w:b/>
          <w:bCs/>
          <w:sz w:val="18"/>
          <w:szCs w:val="18"/>
        </w:rPr>
      </w:pPr>
      <w:bookmarkStart w:id="453" w:name="_Toc989347"/>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转移方式分类</w:t>
      </w:r>
      <w:bookmarkEnd w:id="453"/>
    </w:p>
    <w:p w14:paraId="37765E9D"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5318806E" w14:textId="77777777" w:rsidR="007B3DB2" w:rsidRPr="0063248C" w:rsidRDefault="00000000">
      <w:pPr>
        <w:keepNext/>
        <w:keepLines/>
        <w:spacing w:before="300" w:after="300" w:line="280" w:lineRule="exact"/>
        <w:outlineLvl w:val="3"/>
        <w:rPr>
          <w:rFonts w:cs="宋体"/>
          <w:b/>
          <w:bCs/>
          <w:sz w:val="18"/>
          <w:szCs w:val="18"/>
        </w:rPr>
      </w:pPr>
      <w:bookmarkStart w:id="454" w:name="_Toc989348"/>
      <w:r w:rsidRPr="0063248C">
        <w:rPr>
          <w:rFonts w:cs="宋体"/>
          <w:b/>
          <w:bCs/>
          <w:sz w:val="18"/>
          <w:szCs w:val="18"/>
        </w:rPr>
        <w:lastRenderedPageBreak/>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因转移而终止确认的金融资产</w:t>
      </w:r>
      <w:bookmarkEnd w:id="454"/>
    </w:p>
    <w:p w14:paraId="6E03DC2B"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5224027" w14:textId="77777777" w:rsidR="007B3DB2" w:rsidRPr="0063248C" w:rsidRDefault="00000000">
      <w:pPr>
        <w:keepNext/>
        <w:keepLines/>
        <w:spacing w:before="300" w:after="300" w:line="280" w:lineRule="exact"/>
        <w:outlineLvl w:val="3"/>
        <w:rPr>
          <w:rFonts w:cs="宋体"/>
          <w:b/>
          <w:bCs/>
          <w:sz w:val="18"/>
          <w:szCs w:val="18"/>
        </w:rPr>
      </w:pPr>
      <w:bookmarkStart w:id="455" w:name="_Toc989349"/>
      <w:r w:rsidRPr="0063248C">
        <w:rPr>
          <w:rFonts w:cs="宋体"/>
          <w:b/>
          <w:bCs/>
          <w:sz w:val="18"/>
          <w:szCs w:val="18"/>
        </w:rPr>
        <w:t>（</w:t>
      </w:r>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继续涉入的资产转移金融资产</w:t>
      </w:r>
      <w:bookmarkEnd w:id="455"/>
    </w:p>
    <w:p w14:paraId="2E03EC9D"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79911B5"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76494250" w14:textId="77777777" w:rsidR="00517D34" w:rsidRPr="0063248C" w:rsidRDefault="00000000">
      <w:pPr>
        <w:pStyle w:val="a3"/>
        <w:divId w:val="1817382135"/>
        <w:rPr>
          <w:rFonts w:ascii="Times New Roman" w:hAnsi="Times New Roman"/>
          <w:sz w:val="18"/>
          <w:szCs w:val="18"/>
        </w:rPr>
      </w:pPr>
      <w:r w:rsidRPr="0063248C">
        <w:rPr>
          <w:rFonts w:ascii="Times New Roman" w:hAnsi="Times New Roman" w:hint="eastAsia"/>
          <w:sz w:val="18"/>
          <w:szCs w:val="18"/>
        </w:rPr>
        <w:t>无</w:t>
      </w:r>
    </w:p>
    <w:p w14:paraId="7381F70A" w14:textId="77777777" w:rsidR="007B3DB2" w:rsidRPr="0063248C" w:rsidRDefault="00000000">
      <w:pPr>
        <w:pStyle w:val="2"/>
        <w:spacing w:before="300" w:after="300" w:line="320" w:lineRule="exact"/>
        <w:rPr>
          <w:rFonts w:cs="宋体"/>
          <w:b/>
          <w:bCs/>
          <w:sz w:val="24"/>
          <w:szCs w:val="24"/>
        </w:rPr>
      </w:pPr>
      <w:bookmarkStart w:id="456" w:name="_Toc989350"/>
      <w:r w:rsidRPr="0063248C">
        <w:rPr>
          <w:rFonts w:cs="宋体"/>
          <w:b/>
          <w:bCs/>
          <w:sz w:val="24"/>
          <w:szCs w:val="24"/>
        </w:rPr>
        <w:t>十三、公允价值的披露</w:t>
      </w:r>
      <w:bookmarkEnd w:id="456"/>
    </w:p>
    <w:p w14:paraId="5BEF1DC3" w14:textId="77777777" w:rsidR="007B3DB2" w:rsidRPr="0063248C" w:rsidRDefault="00000000">
      <w:pPr>
        <w:pStyle w:val="3"/>
        <w:spacing w:line="280" w:lineRule="exact"/>
        <w:jc w:val="left"/>
        <w:rPr>
          <w:rFonts w:cs="宋体"/>
          <w:b/>
          <w:bCs/>
        </w:rPr>
      </w:pPr>
      <w:bookmarkStart w:id="457" w:name="_Toc989351"/>
      <w:r w:rsidRPr="0063248C">
        <w:rPr>
          <w:rFonts w:cs="宋体"/>
          <w:b/>
          <w:bCs/>
        </w:rPr>
        <w:t>1</w:t>
      </w:r>
      <w:r w:rsidRPr="0063248C">
        <w:rPr>
          <w:rFonts w:cs="宋体"/>
          <w:b/>
          <w:bCs/>
        </w:rPr>
        <w:t>、以公允价值计量的资产和负债的期末公允价值</w:t>
      </w:r>
      <w:bookmarkEnd w:id="457"/>
    </w:p>
    <w:p w14:paraId="3054E3A9" w14:textId="77777777" w:rsidR="000A04E4" w:rsidRPr="0063248C" w:rsidRDefault="000A04E4" w:rsidP="000A04E4">
      <w:pPr>
        <w:pStyle w:val="a3"/>
        <w:rPr>
          <w:rFonts w:ascii="Times New Roman" w:hAnsi="Times New Roman"/>
          <w:sz w:val="18"/>
          <w:szCs w:val="18"/>
        </w:rPr>
      </w:pPr>
      <w:bookmarkStart w:id="458" w:name="_Toc989352"/>
      <w:r w:rsidRPr="0063248C">
        <w:rPr>
          <w:rFonts w:ascii="Times New Roman" w:hAnsi="Times New Roman" w:hint="eastAsia"/>
          <w:sz w:val="18"/>
          <w:szCs w:val="18"/>
        </w:rPr>
        <w:t>无</w:t>
      </w:r>
    </w:p>
    <w:p w14:paraId="51001133" w14:textId="77777777" w:rsidR="007B3DB2" w:rsidRPr="0063248C" w:rsidRDefault="00000000">
      <w:pPr>
        <w:pStyle w:val="3"/>
        <w:spacing w:line="280" w:lineRule="exact"/>
        <w:jc w:val="left"/>
        <w:rPr>
          <w:rFonts w:cs="宋体"/>
          <w:b/>
          <w:bCs/>
        </w:rPr>
      </w:pPr>
      <w:r w:rsidRPr="0063248C">
        <w:rPr>
          <w:rFonts w:cs="宋体"/>
          <w:b/>
          <w:bCs/>
        </w:rPr>
        <w:t>2</w:t>
      </w:r>
      <w:r w:rsidRPr="0063248C">
        <w:rPr>
          <w:rFonts w:cs="宋体"/>
          <w:b/>
          <w:bCs/>
        </w:rPr>
        <w:t>、持续和非持续第一层次公允价值计量项目市价的确定依据</w:t>
      </w:r>
      <w:bookmarkEnd w:id="458"/>
    </w:p>
    <w:p w14:paraId="0AA0AE5E" w14:textId="77777777" w:rsidR="00517D34" w:rsidRPr="0063248C" w:rsidRDefault="00000000">
      <w:pPr>
        <w:pStyle w:val="a3"/>
        <w:divId w:val="1693072226"/>
        <w:rPr>
          <w:rFonts w:ascii="Times New Roman" w:hAnsi="Times New Roman"/>
          <w:sz w:val="18"/>
          <w:szCs w:val="18"/>
        </w:rPr>
      </w:pPr>
      <w:r w:rsidRPr="0063248C">
        <w:rPr>
          <w:rFonts w:ascii="Times New Roman" w:hAnsi="Times New Roman" w:hint="eastAsia"/>
          <w:sz w:val="18"/>
          <w:szCs w:val="18"/>
        </w:rPr>
        <w:t>无</w:t>
      </w:r>
    </w:p>
    <w:p w14:paraId="514E01A6" w14:textId="77777777" w:rsidR="007B3DB2" w:rsidRPr="0063248C" w:rsidRDefault="00000000">
      <w:pPr>
        <w:pStyle w:val="3"/>
        <w:spacing w:line="280" w:lineRule="exact"/>
        <w:jc w:val="left"/>
        <w:rPr>
          <w:rFonts w:cs="宋体"/>
          <w:b/>
          <w:bCs/>
        </w:rPr>
      </w:pPr>
      <w:bookmarkStart w:id="459" w:name="_Toc989353"/>
      <w:r w:rsidRPr="0063248C">
        <w:rPr>
          <w:rFonts w:cs="宋体"/>
          <w:b/>
          <w:bCs/>
        </w:rPr>
        <w:t>3</w:t>
      </w:r>
      <w:r w:rsidRPr="0063248C">
        <w:rPr>
          <w:rFonts w:cs="宋体"/>
          <w:b/>
          <w:bCs/>
        </w:rPr>
        <w:t>、持续和非持续第二层次公允价值计量项目，采用的估值技术和重要参数的定性及定量信息</w:t>
      </w:r>
      <w:bookmarkEnd w:id="459"/>
    </w:p>
    <w:p w14:paraId="38A20B4E" w14:textId="77777777" w:rsidR="00517D34" w:rsidRPr="0063248C" w:rsidRDefault="00000000">
      <w:pPr>
        <w:pStyle w:val="a3"/>
        <w:divId w:val="1009412432"/>
        <w:rPr>
          <w:rFonts w:ascii="Times New Roman" w:hAnsi="Times New Roman"/>
          <w:sz w:val="18"/>
          <w:szCs w:val="18"/>
        </w:rPr>
      </w:pPr>
      <w:r w:rsidRPr="0063248C">
        <w:rPr>
          <w:rFonts w:ascii="Times New Roman" w:hAnsi="Times New Roman" w:hint="eastAsia"/>
          <w:sz w:val="18"/>
          <w:szCs w:val="18"/>
        </w:rPr>
        <w:t>无</w:t>
      </w:r>
    </w:p>
    <w:p w14:paraId="3B988C8C" w14:textId="77777777" w:rsidR="007B3DB2" w:rsidRPr="0063248C" w:rsidRDefault="00000000">
      <w:pPr>
        <w:pStyle w:val="3"/>
        <w:spacing w:line="280" w:lineRule="exact"/>
        <w:jc w:val="left"/>
        <w:rPr>
          <w:rFonts w:cs="宋体"/>
          <w:b/>
          <w:bCs/>
        </w:rPr>
      </w:pPr>
      <w:bookmarkStart w:id="460" w:name="_Toc989354"/>
      <w:r w:rsidRPr="0063248C">
        <w:rPr>
          <w:rFonts w:cs="宋体"/>
          <w:b/>
          <w:bCs/>
        </w:rPr>
        <w:t>4</w:t>
      </w:r>
      <w:r w:rsidRPr="0063248C">
        <w:rPr>
          <w:rFonts w:cs="宋体"/>
          <w:b/>
          <w:bCs/>
        </w:rPr>
        <w:t>、持续和非持续第三层次公允价值计量项目，采用的估值技术和重要参数的定性及定量信息</w:t>
      </w:r>
      <w:bookmarkEnd w:id="460"/>
    </w:p>
    <w:p w14:paraId="6654AF33" w14:textId="77777777" w:rsidR="00517D34" w:rsidRPr="0063248C" w:rsidRDefault="00000000">
      <w:pPr>
        <w:pStyle w:val="a3"/>
        <w:divId w:val="1072390258"/>
        <w:rPr>
          <w:rFonts w:ascii="Times New Roman" w:hAnsi="Times New Roman"/>
          <w:sz w:val="18"/>
          <w:szCs w:val="18"/>
        </w:rPr>
      </w:pPr>
      <w:r w:rsidRPr="0063248C">
        <w:rPr>
          <w:rFonts w:ascii="Times New Roman" w:hAnsi="Times New Roman" w:hint="eastAsia"/>
          <w:sz w:val="18"/>
          <w:szCs w:val="18"/>
        </w:rPr>
        <w:t>无</w:t>
      </w:r>
    </w:p>
    <w:p w14:paraId="59D21749" w14:textId="77777777" w:rsidR="007B3DB2" w:rsidRPr="0063248C" w:rsidRDefault="00000000">
      <w:pPr>
        <w:pStyle w:val="3"/>
        <w:spacing w:line="280" w:lineRule="exact"/>
        <w:jc w:val="left"/>
        <w:rPr>
          <w:rFonts w:cs="宋体"/>
          <w:b/>
          <w:bCs/>
        </w:rPr>
      </w:pPr>
      <w:bookmarkStart w:id="461" w:name="_Toc989355"/>
      <w:r w:rsidRPr="0063248C">
        <w:rPr>
          <w:rFonts w:cs="宋体"/>
          <w:b/>
          <w:bCs/>
        </w:rPr>
        <w:t>5</w:t>
      </w:r>
      <w:r w:rsidRPr="0063248C">
        <w:rPr>
          <w:rFonts w:cs="宋体"/>
          <w:b/>
          <w:bCs/>
        </w:rPr>
        <w:t>、持续的第三层次公允价值计量项目，期初与期末账面价值间的调节信息及不可观察参数敏感性分析</w:t>
      </w:r>
      <w:bookmarkEnd w:id="461"/>
    </w:p>
    <w:p w14:paraId="6BD42A9A" w14:textId="77777777" w:rsidR="00517D34" w:rsidRPr="0063248C" w:rsidRDefault="00000000">
      <w:pPr>
        <w:pStyle w:val="a3"/>
        <w:divId w:val="219948033"/>
        <w:rPr>
          <w:rFonts w:ascii="Times New Roman" w:hAnsi="Times New Roman"/>
          <w:sz w:val="18"/>
          <w:szCs w:val="18"/>
        </w:rPr>
      </w:pPr>
      <w:r w:rsidRPr="0063248C">
        <w:rPr>
          <w:rFonts w:ascii="Times New Roman" w:hAnsi="Times New Roman" w:hint="eastAsia"/>
          <w:sz w:val="18"/>
          <w:szCs w:val="18"/>
        </w:rPr>
        <w:t>无</w:t>
      </w:r>
    </w:p>
    <w:p w14:paraId="4573430A" w14:textId="77777777" w:rsidR="007B3DB2" w:rsidRPr="0063248C" w:rsidRDefault="00000000">
      <w:pPr>
        <w:pStyle w:val="3"/>
        <w:spacing w:line="280" w:lineRule="exact"/>
        <w:jc w:val="left"/>
        <w:rPr>
          <w:rFonts w:cs="宋体"/>
          <w:b/>
          <w:bCs/>
        </w:rPr>
      </w:pPr>
      <w:bookmarkStart w:id="462" w:name="_Toc989356"/>
      <w:r w:rsidRPr="0063248C">
        <w:rPr>
          <w:rFonts w:cs="宋体"/>
          <w:b/>
          <w:bCs/>
        </w:rPr>
        <w:t>6</w:t>
      </w:r>
      <w:r w:rsidRPr="0063248C">
        <w:rPr>
          <w:rFonts w:cs="宋体"/>
          <w:b/>
          <w:bCs/>
        </w:rPr>
        <w:t>、持续的公允价值计量项目，本期内发生各层级之间转换的，转换的原因及确定转换时点的政策</w:t>
      </w:r>
      <w:bookmarkEnd w:id="462"/>
    </w:p>
    <w:p w14:paraId="71DFC274" w14:textId="77777777" w:rsidR="00517D34" w:rsidRPr="0063248C" w:rsidRDefault="00000000">
      <w:pPr>
        <w:pStyle w:val="a3"/>
        <w:divId w:val="1531411774"/>
        <w:rPr>
          <w:rFonts w:ascii="Times New Roman" w:hAnsi="Times New Roman"/>
          <w:sz w:val="18"/>
          <w:szCs w:val="18"/>
        </w:rPr>
      </w:pPr>
      <w:r w:rsidRPr="0063248C">
        <w:rPr>
          <w:rFonts w:ascii="Times New Roman" w:hAnsi="Times New Roman" w:hint="eastAsia"/>
          <w:sz w:val="18"/>
          <w:szCs w:val="18"/>
        </w:rPr>
        <w:t>无</w:t>
      </w:r>
    </w:p>
    <w:p w14:paraId="3033C498" w14:textId="77777777" w:rsidR="007B3DB2" w:rsidRPr="0063248C" w:rsidRDefault="00000000">
      <w:pPr>
        <w:pStyle w:val="3"/>
        <w:spacing w:line="280" w:lineRule="exact"/>
        <w:jc w:val="left"/>
        <w:rPr>
          <w:rFonts w:cs="宋体"/>
          <w:b/>
          <w:bCs/>
        </w:rPr>
      </w:pPr>
      <w:bookmarkStart w:id="463" w:name="_Toc989357"/>
      <w:r w:rsidRPr="0063248C">
        <w:rPr>
          <w:rFonts w:cs="宋体"/>
          <w:b/>
          <w:bCs/>
        </w:rPr>
        <w:t>7</w:t>
      </w:r>
      <w:r w:rsidRPr="0063248C">
        <w:rPr>
          <w:rFonts w:cs="宋体"/>
          <w:b/>
          <w:bCs/>
        </w:rPr>
        <w:t>、本期内发生的估值技术变更及变更原因</w:t>
      </w:r>
      <w:bookmarkEnd w:id="463"/>
    </w:p>
    <w:p w14:paraId="4D09B6C9" w14:textId="77777777" w:rsidR="00517D34" w:rsidRPr="0063248C" w:rsidRDefault="00000000">
      <w:pPr>
        <w:pStyle w:val="a3"/>
        <w:divId w:val="1808164626"/>
        <w:rPr>
          <w:rFonts w:ascii="Times New Roman" w:hAnsi="Times New Roman"/>
          <w:sz w:val="18"/>
          <w:szCs w:val="18"/>
        </w:rPr>
      </w:pPr>
      <w:r w:rsidRPr="0063248C">
        <w:rPr>
          <w:rFonts w:ascii="Times New Roman" w:hAnsi="Times New Roman" w:hint="eastAsia"/>
          <w:sz w:val="18"/>
          <w:szCs w:val="18"/>
        </w:rPr>
        <w:t>无</w:t>
      </w:r>
    </w:p>
    <w:p w14:paraId="08B6265F" w14:textId="77777777" w:rsidR="007B3DB2" w:rsidRPr="0063248C" w:rsidRDefault="00000000">
      <w:pPr>
        <w:pStyle w:val="3"/>
        <w:spacing w:line="280" w:lineRule="exact"/>
        <w:jc w:val="left"/>
        <w:rPr>
          <w:rFonts w:cs="宋体"/>
          <w:b/>
          <w:bCs/>
        </w:rPr>
      </w:pPr>
      <w:bookmarkStart w:id="464" w:name="_Toc989358"/>
      <w:r w:rsidRPr="0063248C">
        <w:rPr>
          <w:rFonts w:cs="宋体"/>
          <w:b/>
          <w:bCs/>
        </w:rPr>
        <w:t>8</w:t>
      </w:r>
      <w:r w:rsidRPr="0063248C">
        <w:rPr>
          <w:rFonts w:cs="宋体"/>
          <w:b/>
          <w:bCs/>
        </w:rPr>
        <w:t>、不以公允价值计量的金融资产和金融负债的公允价值情况</w:t>
      </w:r>
      <w:bookmarkEnd w:id="464"/>
    </w:p>
    <w:p w14:paraId="4EEACCD3" w14:textId="77777777" w:rsidR="00517D34" w:rsidRPr="0063248C" w:rsidRDefault="00000000">
      <w:pPr>
        <w:pStyle w:val="a3"/>
        <w:divId w:val="1348143347"/>
        <w:rPr>
          <w:rFonts w:ascii="Times New Roman" w:hAnsi="Times New Roman"/>
          <w:sz w:val="18"/>
          <w:szCs w:val="18"/>
        </w:rPr>
      </w:pPr>
      <w:r w:rsidRPr="0063248C">
        <w:rPr>
          <w:rFonts w:ascii="Times New Roman" w:hAnsi="Times New Roman" w:hint="eastAsia"/>
          <w:sz w:val="18"/>
          <w:szCs w:val="18"/>
        </w:rPr>
        <w:t>无</w:t>
      </w:r>
    </w:p>
    <w:p w14:paraId="20C08AFA" w14:textId="77777777" w:rsidR="007B3DB2" w:rsidRPr="0063248C" w:rsidRDefault="00000000">
      <w:pPr>
        <w:pStyle w:val="3"/>
        <w:spacing w:line="280" w:lineRule="exact"/>
        <w:jc w:val="left"/>
        <w:rPr>
          <w:rFonts w:cs="宋体"/>
          <w:b/>
          <w:bCs/>
        </w:rPr>
      </w:pPr>
      <w:bookmarkStart w:id="465" w:name="_Toc989359"/>
      <w:r w:rsidRPr="0063248C">
        <w:rPr>
          <w:rFonts w:cs="宋体"/>
          <w:b/>
          <w:bCs/>
        </w:rPr>
        <w:lastRenderedPageBreak/>
        <w:t>9</w:t>
      </w:r>
      <w:r w:rsidRPr="0063248C">
        <w:rPr>
          <w:rFonts w:cs="宋体"/>
          <w:b/>
          <w:bCs/>
        </w:rPr>
        <w:t>、其他</w:t>
      </w:r>
      <w:bookmarkEnd w:id="465"/>
    </w:p>
    <w:p w14:paraId="15A067DF" w14:textId="77777777" w:rsidR="00517D34" w:rsidRPr="0063248C" w:rsidRDefault="00000000">
      <w:pPr>
        <w:pStyle w:val="a3"/>
        <w:divId w:val="1679775449"/>
        <w:rPr>
          <w:rFonts w:ascii="Times New Roman" w:hAnsi="Times New Roman"/>
          <w:sz w:val="18"/>
          <w:szCs w:val="18"/>
        </w:rPr>
      </w:pPr>
      <w:r w:rsidRPr="0063248C">
        <w:rPr>
          <w:rFonts w:ascii="Times New Roman" w:hAnsi="Times New Roman" w:hint="eastAsia"/>
          <w:sz w:val="18"/>
          <w:szCs w:val="18"/>
        </w:rPr>
        <w:t>无</w:t>
      </w:r>
    </w:p>
    <w:p w14:paraId="45BDA1B0" w14:textId="77777777" w:rsidR="007B3DB2" w:rsidRPr="0063248C" w:rsidRDefault="00000000">
      <w:pPr>
        <w:pStyle w:val="2"/>
        <w:spacing w:before="300" w:after="300" w:line="320" w:lineRule="exact"/>
        <w:rPr>
          <w:rFonts w:cs="宋体"/>
          <w:b/>
          <w:bCs/>
          <w:sz w:val="24"/>
          <w:szCs w:val="24"/>
        </w:rPr>
      </w:pPr>
      <w:bookmarkStart w:id="466" w:name="_Toc989360"/>
      <w:r w:rsidRPr="0063248C">
        <w:rPr>
          <w:rFonts w:cs="宋体"/>
          <w:b/>
          <w:bCs/>
          <w:sz w:val="24"/>
          <w:szCs w:val="24"/>
        </w:rPr>
        <w:t>十四、关联方及关联交易</w:t>
      </w:r>
      <w:bookmarkEnd w:id="466"/>
    </w:p>
    <w:p w14:paraId="16F0C850" w14:textId="77777777" w:rsidR="007B3DB2" w:rsidRPr="0063248C" w:rsidRDefault="00000000">
      <w:pPr>
        <w:pStyle w:val="3"/>
        <w:spacing w:line="280" w:lineRule="exact"/>
        <w:jc w:val="left"/>
        <w:rPr>
          <w:rFonts w:cs="宋体"/>
          <w:b/>
          <w:bCs/>
        </w:rPr>
      </w:pPr>
      <w:bookmarkStart w:id="467" w:name="_Toc989361"/>
      <w:r w:rsidRPr="0063248C">
        <w:rPr>
          <w:rFonts w:cs="宋体"/>
          <w:b/>
          <w:bCs/>
        </w:rPr>
        <w:t>1</w:t>
      </w:r>
      <w:r w:rsidRPr="0063248C">
        <w:rPr>
          <w:rFonts w:cs="宋体"/>
          <w:b/>
          <w:bCs/>
        </w:rPr>
        <w:t>、本企业的母公司情况</w:t>
      </w:r>
      <w:bookmarkEnd w:id="467"/>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B3DB2" w:rsidRPr="0063248C" w14:paraId="62EAA4BC"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E4163B4" w14:textId="77777777" w:rsidR="007B3DB2" w:rsidRPr="0063248C" w:rsidRDefault="00000000">
            <w:pPr>
              <w:spacing w:before="40" w:after="40" w:line="240" w:lineRule="exact"/>
              <w:jc w:val="center"/>
              <w:rPr>
                <w:rFonts w:cs="宋体"/>
                <w:sz w:val="18"/>
                <w:szCs w:val="18"/>
              </w:rPr>
            </w:pPr>
            <w:r w:rsidRPr="0063248C">
              <w:rPr>
                <w:rFonts w:cs="宋体"/>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D9AC48A" w14:textId="77777777" w:rsidR="007B3DB2" w:rsidRPr="0063248C" w:rsidRDefault="00000000">
            <w:pPr>
              <w:spacing w:before="40" w:after="40" w:line="240" w:lineRule="exact"/>
              <w:jc w:val="center"/>
              <w:rPr>
                <w:rFonts w:cs="宋体"/>
                <w:sz w:val="18"/>
                <w:szCs w:val="18"/>
              </w:rPr>
            </w:pPr>
            <w:r w:rsidRPr="0063248C">
              <w:rPr>
                <w:rFonts w:cs="宋体"/>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57294EF" w14:textId="77777777" w:rsidR="007B3DB2" w:rsidRPr="0063248C" w:rsidRDefault="00000000">
            <w:pPr>
              <w:spacing w:before="40" w:after="40" w:line="240" w:lineRule="exact"/>
              <w:jc w:val="center"/>
              <w:rPr>
                <w:rFonts w:cs="宋体"/>
                <w:sz w:val="18"/>
                <w:szCs w:val="18"/>
              </w:rPr>
            </w:pPr>
            <w:r w:rsidRPr="0063248C">
              <w:rPr>
                <w:rFonts w:cs="宋体"/>
                <w:sz w:val="18"/>
                <w:szCs w:val="18"/>
              </w:rPr>
              <w:t>业务性质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7C87482" w14:textId="77777777" w:rsidR="007B3DB2" w:rsidRPr="0063248C" w:rsidRDefault="00000000">
            <w:pPr>
              <w:spacing w:before="40" w:after="40" w:line="240" w:lineRule="exact"/>
              <w:jc w:val="center"/>
              <w:rPr>
                <w:rFonts w:cs="宋体"/>
                <w:sz w:val="18"/>
                <w:szCs w:val="18"/>
              </w:rPr>
            </w:pPr>
            <w:r w:rsidRPr="0063248C">
              <w:rPr>
                <w:rFonts w:cs="宋体"/>
                <w:sz w:val="18"/>
                <w:szCs w:val="18"/>
              </w:rPr>
              <w:t>注册资本</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02A7757" w14:textId="77777777" w:rsidR="007B3DB2" w:rsidRPr="0063248C" w:rsidRDefault="00000000">
            <w:pPr>
              <w:spacing w:before="40" w:after="40" w:line="240" w:lineRule="exact"/>
              <w:jc w:val="center"/>
              <w:rPr>
                <w:rFonts w:cs="宋体"/>
                <w:sz w:val="18"/>
                <w:szCs w:val="18"/>
              </w:rPr>
            </w:pPr>
            <w:r w:rsidRPr="0063248C">
              <w:rPr>
                <w:rFonts w:cs="宋体"/>
                <w:sz w:val="18"/>
                <w:szCs w:val="18"/>
              </w:rPr>
              <w:t>母公司对本企业的持股比例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83135D3" w14:textId="77777777" w:rsidR="007B3DB2" w:rsidRPr="0063248C" w:rsidRDefault="00000000">
            <w:pPr>
              <w:spacing w:before="40" w:after="40" w:line="240" w:lineRule="exact"/>
              <w:jc w:val="center"/>
              <w:rPr>
                <w:rFonts w:cs="宋体"/>
                <w:sz w:val="18"/>
                <w:szCs w:val="18"/>
              </w:rPr>
            </w:pPr>
            <w:r w:rsidRPr="0063248C">
              <w:rPr>
                <w:rFonts w:cs="宋体"/>
                <w:sz w:val="18"/>
                <w:szCs w:val="18"/>
              </w:rPr>
              <w:t>母公司对本企业的表决权比例</w:t>
            </w:r>
          </w:p>
        </w:tc>
      </w:tr>
      <w:tr w:rsidR="007B3DB2" w:rsidRPr="0063248C" w14:paraId="1B792B0B"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EBEAC44"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53E3A317" w14:textId="77777777" w:rsidR="007B3DB2" w:rsidRPr="0063248C" w:rsidRDefault="00000000">
            <w:pPr>
              <w:spacing w:line="240" w:lineRule="exact"/>
              <w:rPr>
                <w:rFonts w:cs="宋体"/>
                <w:sz w:val="18"/>
                <w:szCs w:val="18"/>
              </w:rPr>
            </w:pPr>
            <w:r w:rsidRPr="0063248C">
              <w:rPr>
                <w:rFonts w:cs="宋体"/>
                <w:sz w:val="18"/>
                <w:szCs w:val="18"/>
              </w:rPr>
              <w:t>深圳</w:t>
            </w:r>
          </w:p>
        </w:tc>
        <w:tc>
          <w:tcPr>
            <w:tcW w:w="1606" w:type="dxa"/>
            <w:tcBorders>
              <w:top w:val="single" w:sz="2" w:space="0" w:color="auto"/>
              <w:left w:val="single" w:sz="2" w:space="0" w:color="auto"/>
              <w:bottom w:val="single" w:sz="2" w:space="0" w:color="auto"/>
              <w:right w:val="single" w:sz="2" w:space="0" w:color="auto"/>
            </w:tcBorders>
            <w:vAlign w:val="center"/>
          </w:tcPr>
          <w:p w14:paraId="5EF482E5" w14:textId="77777777" w:rsidR="007B3DB2" w:rsidRPr="0063248C" w:rsidRDefault="00000000">
            <w:pPr>
              <w:spacing w:line="240" w:lineRule="exact"/>
              <w:rPr>
                <w:rFonts w:cs="宋体"/>
                <w:sz w:val="18"/>
                <w:szCs w:val="18"/>
              </w:rPr>
            </w:pPr>
            <w:r w:rsidRPr="0063248C">
              <w:rPr>
                <w:rFonts w:cs="宋体"/>
                <w:sz w:val="18"/>
                <w:szCs w:val="18"/>
              </w:rPr>
              <w:t>投资</w:t>
            </w:r>
          </w:p>
        </w:tc>
        <w:tc>
          <w:tcPr>
            <w:tcW w:w="1606" w:type="dxa"/>
            <w:tcBorders>
              <w:top w:val="single" w:sz="2" w:space="0" w:color="auto"/>
              <w:left w:val="single" w:sz="2" w:space="0" w:color="auto"/>
              <w:bottom w:val="single" w:sz="2" w:space="0" w:color="auto"/>
              <w:right w:val="single" w:sz="2" w:space="0" w:color="auto"/>
            </w:tcBorders>
            <w:vAlign w:val="center"/>
          </w:tcPr>
          <w:p w14:paraId="654E675A" w14:textId="77777777" w:rsidR="007B3DB2" w:rsidRPr="0063248C" w:rsidRDefault="00000000">
            <w:pPr>
              <w:spacing w:line="240" w:lineRule="exact"/>
              <w:rPr>
                <w:rFonts w:cs="宋体"/>
                <w:sz w:val="18"/>
                <w:szCs w:val="18"/>
              </w:rPr>
            </w:pPr>
            <w:r w:rsidRPr="0063248C">
              <w:rPr>
                <w:rFonts w:cs="宋体"/>
                <w:sz w:val="18"/>
                <w:szCs w:val="18"/>
              </w:rPr>
              <w:t xml:space="preserve">666,700.00 </w:t>
            </w:r>
            <w:r w:rsidRPr="0063248C">
              <w:rPr>
                <w:rFonts w:cs="宋体"/>
                <w:sz w:val="18"/>
                <w:szCs w:val="18"/>
              </w:rPr>
              <w:t>万元</w:t>
            </w:r>
          </w:p>
        </w:tc>
        <w:tc>
          <w:tcPr>
            <w:tcW w:w="1606" w:type="dxa"/>
            <w:tcBorders>
              <w:top w:val="single" w:sz="2" w:space="0" w:color="auto"/>
              <w:left w:val="single" w:sz="2" w:space="0" w:color="auto"/>
              <w:bottom w:val="single" w:sz="2" w:space="0" w:color="auto"/>
              <w:right w:val="single" w:sz="2" w:space="0" w:color="auto"/>
            </w:tcBorders>
            <w:vAlign w:val="center"/>
          </w:tcPr>
          <w:p w14:paraId="0BDFD193" w14:textId="77777777" w:rsidR="007B3DB2" w:rsidRPr="0063248C" w:rsidRDefault="00000000">
            <w:pPr>
              <w:spacing w:line="240" w:lineRule="exact"/>
              <w:jc w:val="right"/>
              <w:rPr>
                <w:rFonts w:cs="宋体"/>
                <w:sz w:val="18"/>
                <w:szCs w:val="18"/>
              </w:rPr>
            </w:pPr>
            <w:r w:rsidRPr="0063248C">
              <w:rPr>
                <w:rFonts w:cs="宋体"/>
                <w:sz w:val="18"/>
                <w:szCs w:val="18"/>
              </w:rPr>
              <w:t>27.23%</w:t>
            </w:r>
          </w:p>
        </w:tc>
        <w:tc>
          <w:tcPr>
            <w:tcW w:w="1606" w:type="dxa"/>
            <w:tcBorders>
              <w:top w:val="single" w:sz="2" w:space="0" w:color="auto"/>
              <w:left w:val="single" w:sz="2" w:space="0" w:color="auto"/>
              <w:bottom w:val="single" w:sz="2" w:space="0" w:color="auto"/>
              <w:right w:val="single" w:sz="2" w:space="0" w:color="auto"/>
            </w:tcBorders>
            <w:vAlign w:val="center"/>
          </w:tcPr>
          <w:p w14:paraId="24779AC5" w14:textId="77777777" w:rsidR="007B3DB2" w:rsidRPr="0063248C" w:rsidRDefault="00000000">
            <w:pPr>
              <w:spacing w:line="240" w:lineRule="exact"/>
              <w:jc w:val="right"/>
              <w:rPr>
                <w:rFonts w:cs="宋体"/>
                <w:sz w:val="18"/>
                <w:szCs w:val="18"/>
              </w:rPr>
            </w:pPr>
            <w:r w:rsidRPr="0063248C">
              <w:rPr>
                <w:rFonts w:cs="宋体"/>
                <w:sz w:val="18"/>
                <w:szCs w:val="18"/>
              </w:rPr>
              <w:t>27.23%</w:t>
            </w:r>
          </w:p>
        </w:tc>
      </w:tr>
    </w:tbl>
    <w:p w14:paraId="127516AC" w14:textId="77777777" w:rsidR="007B3DB2" w:rsidRPr="0063248C" w:rsidRDefault="00000000">
      <w:pPr>
        <w:spacing w:before="100" w:after="100" w:line="240" w:lineRule="exact"/>
        <w:rPr>
          <w:rFonts w:cs="宋体"/>
          <w:sz w:val="18"/>
          <w:szCs w:val="18"/>
        </w:rPr>
      </w:pPr>
      <w:r w:rsidRPr="0063248C">
        <w:rPr>
          <w:rFonts w:cs="宋体"/>
          <w:sz w:val="18"/>
          <w:szCs w:val="18"/>
        </w:rPr>
        <w:t>本企业的母公司情况的说明</w:t>
      </w:r>
    </w:p>
    <w:p w14:paraId="30F37783" w14:textId="77777777" w:rsidR="00517D34" w:rsidRPr="0063248C" w:rsidRDefault="00000000">
      <w:pPr>
        <w:pStyle w:val="a3"/>
        <w:divId w:val="1761873312"/>
        <w:rPr>
          <w:rFonts w:ascii="Times New Roman" w:hAnsi="Times New Roman"/>
          <w:sz w:val="18"/>
          <w:szCs w:val="18"/>
        </w:rPr>
      </w:pPr>
      <w:r w:rsidRPr="0063248C">
        <w:rPr>
          <w:rFonts w:ascii="Times New Roman" w:hAnsi="Times New Roman" w:hint="eastAsia"/>
          <w:sz w:val="18"/>
          <w:szCs w:val="18"/>
        </w:rPr>
        <w:t>无</w:t>
      </w:r>
    </w:p>
    <w:p w14:paraId="073CAAD2" w14:textId="77777777" w:rsidR="007B3DB2" w:rsidRPr="0063248C" w:rsidRDefault="00000000">
      <w:pPr>
        <w:spacing w:before="100" w:after="100" w:line="240" w:lineRule="exact"/>
        <w:rPr>
          <w:rFonts w:cs="宋体"/>
          <w:sz w:val="18"/>
          <w:szCs w:val="18"/>
        </w:rPr>
      </w:pPr>
      <w:r w:rsidRPr="0063248C">
        <w:rPr>
          <w:rFonts w:cs="宋体"/>
          <w:sz w:val="18"/>
          <w:szCs w:val="18"/>
        </w:rPr>
        <w:t>本企业最终控制方是戴学斌、董翔。</w:t>
      </w:r>
    </w:p>
    <w:p w14:paraId="3D71DFAE"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549EE230" w14:textId="77777777" w:rsidR="00517D34" w:rsidRPr="0063248C" w:rsidRDefault="00000000">
      <w:pPr>
        <w:pStyle w:val="a3"/>
        <w:divId w:val="945573935"/>
        <w:rPr>
          <w:rFonts w:ascii="Times New Roman" w:hAnsi="Times New Roman"/>
          <w:sz w:val="18"/>
          <w:szCs w:val="18"/>
        </w:rPr>
      </w:pPr>
      <w:r w:rsidRPr="0063248C">
        <w:rPr>
          <w:rFonts w:ascii="Times New Roman" w:hAnsi="Times New Roman" w:hint="eastAsia"/>
          <w:sz w:val="18"/>
          <w:szCs w:val="18"/>
        </w:rPr>
        <w:t>无</w:t>
      </w:r>
    </w:p>
    <w:p w14:paraId="6E582C51" w14:textId="77777777" w:rsidR="007B3DB2" w:rsidRPr="0063248C" w:rsidRDefault="00000000">
      <w:pPr>
        <w:pStyle w:val="3"/>
        <w:spacing w:line="280" w:lineRule="exact"/>
        <w:jc w:val="left"/>
        <w:rPr>
          <w:rFonts w:cs="宋体"/>
          <w:b/>
          <w:bCs/>
        </w:rPr>
      </w:pPr>
      <w:bookmarkStart w:id="468" w:name="_Toc989362"/>
      <w:r w:rsidRPr="0063248C">
        <w:rPr>
          <w:rFonts w:cs="宋体"/>
          <w:b/>
          <w:bCs/>
        </w:rPr>
        <w:t>2</w:t>
      </w:r>
      <w:r w:rsidRPr="0063248C">
        <w:rPr>
          <w:rFonts w:cs="宋体"/>
          <w:b/>
          <w:bCs/>
        </w:rPr>
        <w:t>、本企业的子公司情况</w:t>
      </w:r>
      <w:bookmarkEnd w:id="468"/>
    </w:p>
    <w:p w14:paraId="47A91A4F" w14:textId="77777777" w:rsidR="007B3DB2" w:rsidRPr="0063248C" w:rsidRDefault="00000000">
      <w:pPr>
        <w:spacing w:before="40" w:after="40" w:line="240" w:lineRule="exact"/>
        <w:rPr>
          <w:rFonts w:cs="宋体"/>
          <w:sz w:val="18"/>
          <w:szCs w:val="18"/>
        </w:rPr>
      </w:pPr>
      <w:r w:rsidRPr="0063248C">
        <w:rPr>
          <w:rFonts w:cs="宋体"/>
          <w:sz w:val="18"/>
          <w:szCs w:val="18"/>
        </w:rPr>
        <w:t>本企业子公司的情况详见附注十、</w:t>
      </w:r>
      <w:r w:rsidRPr="0063248C">
        <w:rPr>
          <w:rFonts w:cs="宋体"/>
          <w:sz w:val="18"/>
          <w:szCs w:val="18"/>
        </w:rPr>
        <w:t>1</w:t>
      </w:r>
      <w:r w:rsidRPr="0063248C">
        <w:rPr>
          <w:rFonts w:cs="宋体"/>
          <w:sz w:val="18"/>
          <w:szCs w:val="18"/>
        </w:rPr>
        <w:t>、在子公司中的权益。</w:t>
      </w:r>
    </w:p>
    <w:p w14:paraId="3D631E58" w14:textId="77777777" w:rsidR="007B3DB2" w:rsidRPr="0063248C" w:rsidRDefault="00000000">
      <w:pPr>
        <w:pStyle w:val="3"/>
        <w:spacing w:line="280" w:lineRule="exact"/>
        <w:jc w:val="left"/>
        <w:rPr>
          <w:rFonts w:cs="宋体"/>
          <w:b/>
          <w:bCs/>
        </w:rPr>
      </w:pPr>
      <w:bookmarkStart w:id="469" w:name="_Toc989363"/>
      <w:r w:rsidRPr="0063248C">
        <w:rPr>
          <w:rFonts w:cs="宋体"/>
          <w:b/>
          <w:bCs/>
        </w:rPr>
        <w:t>3</w:t>
      </w:r>
      <w:r w:rsidRPr="0063248C">
        <w:rPr>
          <w:rFonts w:cs="宋体"/>
          <w:b/>
          <w:bCs/>
        </w:rPr>
        <w:t>、本企业合营和联营企业情况</w:t>
      </w:r>
      <w:bookmarkEnd w:id="469"/>
    </w:p>
    <w:p w14:paraId="6E4CC508" w14:textId="77777777" w:rsidR="00517D34" w:rsidRPr="0063248C" w:rsidRDefault="00000000">
      <w:pPr>
        <w:pStyle w:val="a3"/>
        <w:divId w:val="1171797747"/>
        <w:rPr>
          <w:rFonts w:ascii="Times New Roman" w:hAnsi="Times New Roman"/>
          <w:sz w:val="18"/>
          <w:szCs w:val="18"/>
        </w:rPr>
      </w:pPr>
      <w:r w:rsidRPr="0063248C">
        <w:rPr>
          <w:rFonts w:ascii="Times New Roman" w:hAnsi="Times New Roman" w:hint="eastAsia"/>
          <w:sz w:val="18"/>
          <w:szCs w:val="18"/>
        </w:rPr>
        <w:t>无</w:t>
      </w:r>
    </w:p>
    <w:p w14:paraId="122FA88A" w14:textId="77777777" w:rsidR="007B3DB2" w:rsidRPr="0063248C" w:rsidRDefault="00000000">
      <w:pPr>
        <w:pStyle w:val="3"/>
        <w:spacing w:line="280" w:lineRule="exact"/>
        <w:jc w:val="left"/>
        <w:rPr>
          <w:rFonts w:cs="宋体"/>
          <w:b/>
          <w:bCs/>
        </w:rPr>
      </w:pPr>
      <w:bookmarkStart w:id="470" w:name="_Toc989364"/>
      <w:r w:rsidRPr="0063248C">
        <w:rPr>
          <w:rFonts w:cs="宋体"/>
          <w:b/>
          <w:bCs/>
        </w:rPr>
        <w:t>4</w:t>
      </w:r>
      <w:r w:rsidRPr="0063248C">
        <w:rPr>
          <w:rFonts w:cs="宋体"/>
          <w:b/>
          <w:bCs/>
        </w:rPr>
        <w:t>、其他关联方情况</w:t>
      </w:r>
      <w:bookmarkEnd w:id="470"/>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7B3DB2" w:rsidRPr="0063248C" w14:paraId="25F90F6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9616783"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8CCDAF7"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其他关联方与本企业关系</w:t>
            </w:r>
          </w:p>
        </w:tc>
      </w:tr>
      <w:tr w:rsidR="007B3DB2" w:rsidRPr="0063248C" w14:paraId="4EF1F90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ED165F8" w14:textId="77777777" w:rsidR="007B3DB2" w:rsidRPr="0063248C" w:rsidRDefault="00000000">
            <w:pPr>
              <w:spacing w:line="240" w:lineRule="exact"/>
              <w:rPr>
                <w:rFonts w:cs="宋体"/>
                <w:sz w:val="18"/>
                <w:szCs w:val="18"/>
              </w:rPr>
            </w:pPr>
            <w:proofErr w:type="gramStart"/>
            <w:r w:rsidRPr="0063248C">
              <w:rPr>
                <w:rFonts w:cs="宋体"/>
                <w:sz w:val="18"/>
                <w:szCs w:val="18"/>
              </w:rPr>
              <w:t>怡</w:t>
            </w:r>
            <w:proofErr w:type="gramEnd"/>
            <w:r w:rsidRPr="0063248C">
              <w:rPr>
                <w:rFonts w:cs="宋体"/>
                <w:sz w:val="18"/>
                <w:szCs w:val="18"/>
              </w:rPr>
              <w:t>君控股有限公司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241BCBA"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367CAD3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3EC1428" w14:textId="77777777" w:rsidR="007B3DB2" w:rsidRPr="0063248C" w:rsidRDefault="00000000">
            <w:pPr>
              <w:spacing w:line="240" w:lineRule="exact"/>
              <w:rPr>
                <w:rFonts w:cs="宋体"/>
                <w:sz w:val="18"/>
                <w:szCs w:val="18"/>
              </w:rPr>
            </w:pPr>
            <w:r w:rsidRPr="0063248C">
              <w:rPr>
                <w:rFonts w:cs="宋体"/>
                <w:sz w:val="18"/>
                <w:szCs w:val="18"/>
              </w:rPr>
              <w:t>蓝润集团有限公司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2CE115C"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307A7E5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80D2889" w14:textId="77777777" w:rsidR="007B3DB2" w:rsidRPr="0063248C" w:rsidRDefault="00000000">
            <w:pPr>
              <w:spacing w:line="240" w:lineRule="exact"/>
              <w:rPr>
                <w:rFonts w:cs="宋体"/>
                <w:sz w:val="18"/>
                <w:szCs w:val="18"/>
              </w:rPr>
            </w:pPr>
            <w:r w:rsidRPr="0063248C">
              <w:rPr>
                <w:rFonts w:cs="宋体"/>
                <w:sz w:val="18"/>
                <w:szCs w:val="18"/>
              </w:rPr>
              <w:t>上海信赫投资管理有限公司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BD90AA7"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6EFBCCC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64C8E23" w14:textId="77777777" w:rsidR="007B3DB2" w:rsidRPr="0063248C" w:rsidRDefault="00000000">
            <w:pPr>
              <w:spacing w:line="240" w:lineRule="exact"/>
              <w:rPr>
                <w:rFonts w:cs="宋体"/>
                <w:sz w:val="18"/>
                <w:szCs w:val="18"/>
              </w:rPr>
            </w:pPr>
            <w:r w:rsidRPr="0063248C">
              <w:rPr>
                <w:rFonts w:cs="宋体"/>
                <w:sz w:val="18"/>
                <w:szCs w:val="18"/>
              </w:rPr>
              <w:t>深圳蓝润控股有限公司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1F5D512"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6AD63E2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CEC0C2B" w14:textId="77777777" w:rsidR="007B3DB2" w:rsidRPr="0063248C" w:rsidRDefault="00000000">
            <w:pPr>
              <w:spacing w:line="240" w:lineRule="exact"/>
              <w:rPr>
                <w:rFonts w:cs="宋体"/>
                <w:sz w:val="18"/>
                <w:szCs w:val="18"/>
              </w:rPr>
            </w:pPr>
            <w:r w:rsidRPr="0063248C">
              <w:rPr>
                <w:rFonts w:cs="宋体"/>
                <w:sz w:val="18"/>
                <w:szCs w:val="18"/>
              </w:rPr>
              <w:t>蓝润地产有限责任公司</w:t>
            </w:r>
          </w:p>
        </w:tc>
        <w:tc>
          <w:tcPr>
            <w:tcW w:w="4820" w:type="dxa"/>
            <w:tcBorders>
              <w:top w:val="single" w:sz="2" w:space="0" w:color="auto"/>
              <w:left w:val="single" w:sz="2" w:space="0" w:color="auto"/>
              <w:bottom w:val="single" w:sz="2" w:space="0" w:color="auto"/>
              <w:right w:val="single" w:sz="2" w:space="0" w:color="auto"/>
            </w:tcBorders>
            <w:vAlign w:val="center"/>
          </w:tcPr>
          <w:p w14:paraId="169B9CAC"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35123AC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81B9645" w14:textId="77777777" w:rsidR="007B3DB2" w:rsidRPr="0063248C" w:rsidRDefault="00000000">
            <w:pPr>
              <w:spacing w:line="240" w:lineRule="exact"/>
              <w:rPr>
                <w:rFonts w:cs="宋体"/>
                <w:sz w:val="18"/>
                <w:szCs w:val="18"/>
              </w:rPr>
            </w:pPr>
            <w:r w:rsidRPr="0063248C">
              <w:rPr>
                <w:rFonts w:cs="宋体"/>
                <w:sz w:val="18"/>
                <w:szCs w:val="18"/>
              </w:rPr>
              <w:t>成都蓝润置业有限公司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56093C9"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C31E68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7656C9D" w14:textId="77777777" w:rsidR="007B3DB2" w:rsidRPr="0063248C" w:rsidRDefault="00000000">
            <w:pPr>
              <w:spacing w:line="240" w:lineRule="exact"/>
              <w:rPr>
                <w:rFonts w:cs="宋体"/>
                <w:sz w:val="18"/>
                <w:szCs w:val="18"/>
              </w:rPr>
            </w:pPr>
            <w:r w:rsidRPr="0063248C">
              <w:rPr>
                <w:rFonts w:cs="宋体"/>
                <w:sz w:val="18"/>
                <w:szCs w:val="18"/>
              </w:rPr>
              <w:t>成都天府新区蓝润城市发展有限公司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9047CBB"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68AD984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165A5A8" w14:textId="77777777" w:rsidR="007B3DB2" w:rsidRPr="0063248C" w:rsidRDefault="00000000">
            <w:pPr>
              <w:spacing w:line="240" w:lineRule="exact"/>
              <w:rPr>
                <w:rFonts w:cs="宋体"/>
                <w:sz w:val="18"/>
                <w:szCs w:val="18"/>
              </w:rPr>
            </w:pPr>
            <w:r w:rsidRPr="0063248C">
              <w:rPr>
                <w:rFonts w:cs="宋体"/>
                <w:sz w:val="18"/>
                <w:szCs w:val="18"/>
              </w:rPr>
              <w:t>成都弘骏盛通实业有限公司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390E4FE"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A7563C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6B79184" w14:textId="77777777" w:rsidR="007B3DB2" w:rsidRPr="0063248C" w:rsidRDefault="00000000">
            <w:pPr>
              <w:spacing w:line="240" w:lineRule="exact"/>
              <w:rPr>
                <w:rFonts w:cs="宋体"/>
                <w:sz w:val="18"/>
                <w:szCs w:val="18"/>
              </w:rPr>
            </w:pPr>
            <w:r w:rsidRPr="0063248C">
              <w:rPr>
                <w:rFonts w:cs="宋体"/>
                <w:sz w:val="18"/>
                <w:szCs w:val="18"/>
              </w:rPr>
              <w:t>南充</w:t>
            </w:r>
            <w:proofErr w:type="gramStart"/>
            <w:r w:rsidRPr="0063248C">
              <w:rPr>
                <w:rFonts w:cs="宋体"/>
                <w:sz w:val="18"/>
                <w:szCs w:val="18"/>
              </w:rPr>
              <w:t>弘润通</w:t>
            </w:r>
            <w:proofErr w:type="gramEnd"/>
            <w:r w:rsidRPr="0063248C">
              <w:rPr>
                <w:rFonts w:cs="宋体"/>
                <w:sz w:val="18"/>
                <w:szCs w:val="18"/>
              </w:rPr>
              <w:t>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B5657DC"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4641B2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4815607" w14:textId="77777777" w:rsidR="007B3DB2" w:rsidRPr="0063248C" w:rsidRDefault="00000000">
            <w:pPr>
              <w:spacing w:line="240" w:lineRule="exact"/>
              <w:rPr>
                <w:rFonts w:cs="宋体"/>
                <w:sz w:val="18"/>
                <w:szCs w:val="18"/>
              </w:rPr>
            </w:pPr>
            <w:r w:rsidRPr="0063248C">
              <w:rPr>
                <w:rFonts w:cs="宋体"/>
                <w:sz w:val="18"/>
                <w:szCs w:val="18"/>
              </w:rPr>
              <w:t>成都盛泰华星实业有限公司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0CE461A"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708A54F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F727A7D" w14:textId="77777777" w:rsidR="007B3DB2" w:rsidRPr="0063248C" w:rsidRDefault="00000000">
            <w:pPr>
              <w:spacing w:line="240" w:lineRule="exact"/>
              <w:rPr>
                <w:rFonts w:cs="宋体"/>
                <w:sz w:val="18"/>
                <w:szCs w:val="18"/>
              </w:rPr>
            </w:pPr>
            <w:r w:rsidRPr="0063248C">
              <w:rPr>
                <w:rFonts w:cs="宋体"/>
                <w:sz w:val="18"/>
                <w:szCs w:val="18"/>
              </w:rPr>
              <w:t>成都昊翔盛达实业有限公司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5D1E6A6"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77B8FED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5EA0F01" w14:textId="77777777" w:rsidR="007B3DB2" w:rsidRPr="0063248C" w:rsidRDefault="00000000">
            <w:pPr>
              <w:spacing w:line="240" w:lineRule="exact"/>
              <w:rPr>
                <w:rFonts w:cs="宋体"/>
                <w:sz w:val="18"/>
                <w:szCs w:val="18"/>
              </w:rPr>
            </w:pPr>
            <w:r w:rsidRPr="0063248C">
              <w:rPr>
                <w:rFonts w:cs="宋体"/>
                <w:sz w:val="18"/>
                <w:szCs w:val="18"/>
              </w:rPr>
              <w:t>成都博瑞华达实业有限公司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F4E3E4D"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38AB358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F165DE6" w14:textId="77777777" w:rsidR="007B3DB2" w:rsidRPr="0063248C" w:rsidRDefault="00000000">
            <w:pPr>
              <w:spacing w:line="240" w:lineRule="exact"/>
              <w:rPr>
                <w:rFonts w:cs="宋体"/>
                <w:sz w:val="18"/>
                <w:szCs w:val="18"/>
              </w:rPr>
            </w:pPr>
            <w:r w:rsidRPr="0063248C">
              <w:rPr>
                <w:rFonts w:cs="宋体"/>
                <w:sz w:val="18"/>
                <w:szCs w:val="18"/>
              </w:rPr>
              <w:t>成都玉林宾馆有限公司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81CEC89"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7452A05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B30B217" w14:textId="77777777" w:rsidR="007B3DB2" w:rsidRPr="0063248C" w:rsidRDefault="00000000">
            <w:pPr>
              <w:spacing w:line="240" w:lineRule="exact"/>
              <w:rPr>
                <w:rFonts w:cs="宋体"/>
                <w:sz w:val="18"/>
                <w:szCs w:val="18"/>
              </w:rPr>
            </w:pPr>
            <w:r w:rsidRPr="0063248C">
              <w:rPr>
                <w:rFonts w:cs="宋体"/>
                <w:sz w:val="18"/>
                <w:szCs w:val="18"/>
              </w:rPr>
              <w:t>成都华宇胜汇实业有限公司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62CEB7B"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4D84DD7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0DD9DC5" w14:textId="77777777" w:rsidR="007B3DB2" w:rsidRPr="0063248C" w:rsidRDefault="00000000">
            <w:pPr>
              <w:spacing w:line="240" w:lineRule="exact"/>
              <w:rPr>
                <w:rFonts w:cs="宋体"/>
                <w:sz w:val="18"/>
                <w:szCs w:val="18"/>
              </w:rPr>
            </w:pPr>
            <w:r w:rsidRPr="0063248C">
              <w:rPr>
                <w:rFonts w:cs="宋体"/>
                <w:sz w:val="18"/>
                <w:szCs w:val="18"/>
              </w:rPr>
              <w:t>成都锦融盛通实业有限公司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0FA4DBA"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42A6B82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D320D9A" w14:textId="77777777" w:rsidR="007B3DB2" w:rsidRPr="0063248C" w:rsidRDefault="00000000">
            <w:pPr>
              <w:spacing w:line="240" w:lineRule="exact"/>
              <w:rPr>
                <w:rFonts w:cs="宋体"/>
                <w:sz w:val="18"/>
                <w:szCs w:val="18"/>
              </w:rPr>
            </w:pPr>
            <w:r w:rsidRPr="0063248C">
              <w:rPr>
                <w:rFonts w:cs="宋体"/>
                <w:sz w:val="18"/>
                <w:szCs w:val="18"/>
              </w:rPr>
              <w:t>成都新悦房地产开发有限公司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440BD31"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764B838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0F452BE" w14:textId="77777777" w:rsidR="007B3DB2" w:rsidRPr="0063248C" w:rsidRDefault="00000000">
            <w:pPr>
              <w:spacing w:line="240" w:lineRule="exact"/>
              <w:rPr>
                <w:rFonts w:cs="宋体"/>
                <w:sz w:val="18"/>
                <w:szCs w:val="18"/>
              </w:rPr>
            </w:pPr>
            <w:r w:rsidRPr="0063248C">
              <w:rPr>
                <w:rFonts w:cs="宋体"/>
                <w:sz w:val="18"/>
                <w:szCs w:val="18"/>
              </w:rPr>
              <w:t>四川中建</w:t>
            </w:r>
            <w:proofErr w:type="gramStart"/>
            <w:r w:rsidRPr="0063248C">
              <w:rPr>
                <w:rFonts w:cs="宋体"/>
                <w:sz w:val="18"/>
                <w:szCs w:val="18"/>
              </w:rPr>
              <w:t>建</w:t>
            </w:r>
            <w:proofErr w:type="gramEnd"/>
            <w:r w:rsidRPr="0063248C">
              <w:rPr>
                <w:rFonts w:cs="宋体"/>
                <w:sz w:val="18"/>
                <w:szCs w:val="18"/>
              </w:rPr>
              <w:t>宏置业有限公司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81705F0"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5DB13B1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A01CCDA" w14:textId="77777777" w:rsidR="007B3DB2" w:rsidRPr="0063248C" w:rsidRDefault="00000000">
            <w:pPr>
              <w:spacing w:line="240" w:lineRule="exact"/>
              <w:rPr>
                <w:rFonts w:cs="宋体"/>
                <w:sz w:val="18"/>
                <w:szCs w:val="18"/>
              </w:rPr>
            </w:pPr>
            <w:r w:rsidRPr="0063248C">
              <w:rPr>
                <w:rFonts w:cs="宋体"/>
                <w:sz w:val="18"/>
                <w:szCs w:val="18"/>
              </w:rPr>
              <w:t>重庆畅映实业有限公司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21C95F2"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4721E36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3346A1F" w14:textId="77777777" w:rsidR="007B3DB2" w:rsidRPr="0063248C" w:rsidRDefault="00000000">
            <w:pPr>
              <w:spacing w:line="240" w:lineRule="exact"/>
              <w:rPr>
                <w:rFonts w:cs="宋体"/>
                <w:sz w:val="18"/>
                <w:szCs w:val="18"/>
              </w:rPr>
            </w:pPr>
            <w:r w:rsidRPr="0063248C">
              <w:rPr>
                <w:rFonts w:cs="宋体"/>
                <w:sz w:val="18"/>
                <w:szCs w:val="18"/>
              </w:rPr>
              <w:lastRenderedPageBreak/>
              <w:t>成都明兴金汇置业有限公司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CD80AC4"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C6B319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A1EF82E" w14:textId="77777777" w:rsidR="007B3DB2" w:rsidRPr="0063248C" w:rsidRDefault="00000000">
            <w:pPr>
              <w:spacing w:line="240" w:lineRule="exact"/>
              <w:rPr>
                <w:rFonts w:cs="宋体"/>
                <w:sz w:val="18"/>
                <w:szCs w:val="18"/>
              </w:rPr>
            </w:pPr>
            <w:r w:rsidRPr="0063248C">
              <w:rPr>
                <w:rFonts w:cs="宋体"/>
                <w:sz w:val="18"/>
                <w:szCs w:val="18"/>
              </w:rPr>
              <w:t>四川亿通达贸易有限公司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123FB45"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0D31BDD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75AA8E1" w14:textId="77777777" w:rsidR="007B3DB2" w:rsidRPr="0063248C" w:rsidRDefault="00000000">
            <w:pPr>
              <w:spacing w:line="240" w:lineRule="exact"/>
              <w:rPr>
                <w:rFonts w:cs="宋体"/>
                <w:sz w:val="18"/>
                <w:szCs w:val="18"/>
              </w:rPr>
            </w:pPr>
            <w:r w:rsidRPr="0063248C">
              <w:rPr>
                <w:rFonts w:cs="宋体"/>
                <w:sz w:val="18"/>
                <w:szCs w:val="18"/>
              </w:rPr>
              <w:t>四川鸿源星房地产开发有限公司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C0D8199"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53AC067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84C0911" w14:textId="77777777" w:rsidR="007B3DB2" w:rsidRPr="0063248C" w:rsidRDefault="00000000">
            <w:pPr>
              <w:spacing w:line="240" w:lineRule="exact"/>
              <w:rPr>
                <w:rFonts w:cs="宋体"/>
                <w:sz w:val="18"/>
                <w:szCs w:val="18"/>
              </w:rPr>
            </w:pPr>
            <w:r w:rsidRPr="0063248C">
              <w:rPr>
                <w:rFonts w:cs="宋体"/>
                <w:sz w:val="18"/>
                <w:szCs w:val="18"/>
              </w:rPr>
              <w:t>北京蓝润华盛置业有限公司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8049A9B"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43DA4B2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98030F6" w14:textId="77777777" w:rsidR="007B3DB2" w:rsidRPr="0063248C" w:rsidRDefault="00000000">
            <w:pPr>
              <w:spacing w:line="240" w:lineRule="exact"/>
              <w:rPr>
                <w:rFonts w:cs="宋体"/>
                <w:sz w:val="18"/>
                <w:szCs w:val="18"/>
              </w:rPr>
            </w:pPr>
            <w:r w:rsidRPr="0063248C">
              <w:rPr>
                <w:rFonts w:cs="宋体"/>
                <w:sz w:val="18"/>
                <w:szCs w:val="18"/>
              </w:rPr>
              <w:t>成都盛和</w:t>
            </w:r>
            <w:proofErr w:type="gramStart"/>
            <w:r w:rsidRPr="0063248C">
              <w:rPr>
                <w:rFonts w:cs="宋体"/>
                <w:sz w:val="18"/>
                <w:szCs w:val="18"/>
              </w:rPr>
              <w:t>瑞兴</w:t>
            </w:r>
            <w:proofErr w:type="gramEnd"/>
            <w:r w:rsidRPr="0063248C">
              <w:rPr>
                <w:rFonts w:cs="宋体"/>
                <w:sz w:val="18"/>
                <w:szCs w:val="18"/>
              </w:rPr>
              <w:t>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5E31646"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02AF829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881FB33" w14:textId="77777777" w:rsidR="007B3DB2" w:rsidRPr="0063248C" w:rsidRDefault="00000000">
            <w:pPr>
              <w:spacing w:line="240" w:lineRule="exact"/>
              <w:rPr>
                <w:rFonts w:cs="宋体"/>
                <w:sz w:val="18"/>
                <w:szCs w:val="18"/>
              </w:rPr>
            </w:pPr>
            <w:r w:rsidRPr="0063248C">
              <w:rPr>
                <w:rFonts w:cs="宋体"/>
                <w:sz w:val="18"/>
                <w:szCs w:val="18"/>
              </w:rPr>
              <w:t>上海运川实业有限公司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D8E99D0"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2552E2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2311C38" w14:textId="77777777" w:rsidR="007B3DB2" w:rsidRPr="0063248C" w:rsidRDefault="00000000">
            <w:pPr>
              <w:spacing w:line="240" w:lineRule="exact"/>
              <w:rPr>
                <w:rFonts w:cs="宋体"/>
                <w:sz w:val="18"/>
                <w:szCs w:val="18"/>
              </w:rPr>
            </w:pPr>
            <w:r w:rsidRPr="0063248C">
              <w:rPr>
                <w:rFonts w:cs="宋体"/>
                <w:sz w:val="18"/>
                <w:szCs w:val="18"/>
              </w:rPr>
              <w:t>成都</w:t>
            </w:r>
            <w:proofErr w:type="gramStart"/>
            <w:r w:rsidRPr="0063248C">
              <w:rPr>
                <w:rFonts w:cs="宋体"/>
                <w:sz w:val="18"/>
                <w:szCs w:val="18"/>
              </w:rPr>
              <w:t>蓝润耀恒置业</w:t>
            </w:r>
            <w:proofErr w:type="gramEnd"/>
            <w:r w:rsidRPr="0063248C">
              <w:rPr>
                <w:rFonts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1144984"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78AD496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8D7BEBE" w14:textId="77777777" w:rsidR="007B3DB2" w:rsidRPr="0063248C" w:rsidRDefault="00000000">
            <w:pPr>
              <w:spacing w:line="240" w:lineRule="exact"/>
              <w:rPr>
                <w:rFonts w:cs="宋体"/>
                <w:sz w:val="18"/>
                <w:szCs w:val="18"/>
              </w:rPr>
            </w:pPr>
            <w:r w:rsidRPr="0063248C">
              <w:rPr>
                <w:rFonts w:cs="宋体"/>
                <w:sz w:val="18"/>
                <w:szCs w:val="18"/>
              </w:rPr>
              <w:t>上海安蓝置业有限公司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7BD6A8C"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F14311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AE71997" w14:textId="77777777" w:rsidR="007B3DB2" w:rsidRPr="0063248C" w:rsidRDefault="00000000">
            <w:pPr>
              <w:spacing w:line="240" w:lineRule="exact"/>
              <w:rPr>
                <w:rFonts w:cs="宋体"/>
                <w:sz w:val="18"/>
                <w:szCs w:val="18"/>
              </w:rPr>
            </w:pPr>
            <w:r w:rsidRPr="0063248C">
              <w:rPr>
                <w:rFonts w:cs="宋体"/>
                <w:sz w:val="18"/>
                <w:szCs w:val="18"/>
              </w:rPr>
              <w:t>蓝润生活服务集团有限公司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ECD8FD7"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6778EBC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4AB9D6A" w14:textId="77777777" w:rsidR="007B3DB2" w:rsidRPr="0063248C" w:rsidRDefault="00000000">
            <w:pPr>
              <w:spacing w:line="240" w:lineRule="exact"/>
              <w:rPr>
                <w:rFonts w:cs="宋体"/>
                <w:sz w:val="18"/>
                <w:szCs w:val="18"/>
              </w:rPr>
            </w:pPr>
            <w:proofErr w:type="gramStart"/>
            <w:r w:rsidRPr="0063248C">
              <w:rPr>
                <w:rFonts w:cs="宋体"/>
                <w:sz w:val="18"/>
                <w:szCs w:val="18"/>
              </w:rPr>
              <w:t>君杰资本</w:t>
            </w:r>
            <w:proofErr w:type="gramEnd"/>
            <w:r w:rsidRPr="0063248C">
              <w:rPr>
                <w:rFonts w:cs="宋体"/>
                <w:sz w:val="18"/>
                <w:szCs w:val="18"/>
              </w:rPr>
              <w:t>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6C2BA7C"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1443ED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4F93A9C" w14:textId="77777777" w:rsidR="007B3DB2" w:rsidRPr="0063248C" w:rsidRDefault="00000000">
            <w:pPr>
              <w:spacing w:line="240" w:lineRule="exact"/>
              <w:rPr>
                <w:rFonts w:cs="宋体"/>
                <w:sz w:val="18"/>
                <w:szCs w:val="18"/>
              </w:rPr>
            </w:pPr>
            <w:r w:rsidRPr="0063248C">
              <w:rPr>
                <w:rFonts w:cs="宋体"/>
                <w:sz w:val="18"/>
                <w:szCs w:val="18"/>
              </w:rPr>
              <w:t>深圳蓝润物流仓储有限公司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84A30F1"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5C6FE2D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22C1EF7" w14:textId="77777777" w:rsidR="007B3DB2" w:rsidRPr="0063248C" w:rsidRDefault="00000000">
            <w:pPr>
              <w:spacing w:line="240" w:lineRule="exact"/>
              <w:rPr>
                <w:rFonts w:cs="宋体"/>
                <w:sz w:val="18"/>
                <w:szCs w:val="18"/>
              </w:rPr>
            </w:pPr>
            <w:r w:rsidRPr="0063248C">
              <w:rPr>
                <w:rFonts w:cs="宋体"/>
                <w:sz w:val="18"/>
                <w:szCs w:val="18"/>
              </w:rPr>
              <w:t>成都新远程实业有限公司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1ACC78B"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4F0EC5B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B5ED0B7" w14:textId="77777777" w:rsidR="007B3DB2" w:rsidRPr="0063248C" w:rsidRDefault="00000000">
            <w:pPr>
              <w:spacing w:line="240" w:lineRule="exact"/>
              <w:rPr>
                <w:rFonts w:cs="宋体"/>
                <w:sz w:val="18"/>
                <w:szCs w:val="18"/>
              </w:rPr>
            </w:pPr>
            <w:proofErr w:type="gramStart"/>
            <w:r w:rsidRPr="0063248C">
              <w:rPr>
                <w:rFonts w:cs="宋体"/>
                <w:sz w:val="18"/>
                <w:szCs w:val="18"/>
              </w:rPr>
              <w:t>怡</w:t>
            </w:r>
            <w:proofErr w:type="gramEnd"/>
            <w:r w:rsidRPr="0063248C">
              <w:rPr>
                <w:rFonts w:cs="宋体"/>
                <w:sz w:val="18"/>
                <w:szCs w:val="18"/>
              </w:rPr>
              <w:t>君智慧商业管理有限公司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F79CF34"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7597599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4C511A6" w14:textId="77777777" w:rsidR="007B3DB2" w:rsidRPr="0063248C" w:rsidRDefault="00000000">
            <w:pPr>
              <w:spacing w:line="240" w:lineRule="exact"/>
              <w:rPr>
                <w:rFonts w:cs="宋体"/>
                <w:sz w:val="18"/>
                <w:szCs w:val="18"/>
              </w:rPr>
            </w:pPr>
            <w:r w:rsidRPr="0063248C">
              <w:rPr>
                <w:rFonts w:cs="宋体"/>
                <w:sz w:val="18"/>
                <w:szCs w:val="18"/>
              </w:rPr>
              <w:t>成都蓝润润达商业管理有限公司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742B7F1"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843C44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A54C2CE" w14:textId="77777777" w:rsidR="007B3DB2" w:rsidRPr="0063248C" w:rsidRDefault="00000000">
            <w:pPr>
              <w:spacing w:line="240" w:lineRule="exact"/>
              <w:rPr>
                <w:rFonts w:cs="宋体"/>
                <w:sz w:val="18"/>
                <w:szCs w:val="18"/>
              </w:rPr>
            </w:pPr>
            <w:r w:rsidRPr="0063248C">
              <w:rPr>
                <w:rFonts w:cs="宋体"/>
                <w:sz w:val="18"/>
                <w:szCs w:val="18"/>
              </w:rPr>
              <w:t>成都润家商业管理有限公司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0C247A8"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354ED84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ACEE117" w14:textId="77777777" w:rsidR="007B3DB2" w:rsidRPr="0063248C" w:rsidRDefault="00000000">
            <w:pPr>
              <w:spacing w:line="240" w:lineRule="exact"/>
              <w:rPr>
                <w:rFonts w:cs="宋体"/>
                <w:sz w:val="18"/>
                <w:szCs w:val="18"/>
              </w:rPr>
            </w:pPr>
            <w:proofErr w:type="gramStart"/>
            <w:r w:rsidRPr="0063248C">
              <w:rPr>
                <w:rFonts w:cs="宋体"/>
                <w:sz w:val="18"/>
                <w:szCs w:val="18"/>
              </w:rPr>
              <w:t>渠县润家商业</w:t>
            </w:r>
            <w:proofErr w:type="gramEnd"/>
            <w:r w:rsidRPr="0063248C">
              <w:rPr>
                <w:rFonts w:cs="宋体"/>
                <w:sz w:val="18"/>
                <w:szCs w:val="18"/>
              </w:rPr>
              <w:t>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D9E19C0"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5A6D44F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CCB190B" w14:textId="77777777" w:rsidR="007B3DB2" w:rsidRPr="0063248C" w:rsidRDefault="00000000">
            <w:pPr>
              <w:spacing w:line="240" w:lineRule="exact"/>
              <w:rPr>
                <w:rFonts w:cs="宋体"/>
                <w:sz w:val="18"/>
                <w:szCs w:val="18"/>
              </w:rPr>
            </w:pPr>
            <w:proofErr w:type="gramStart"/>
            <w:r w:rsidRPr="0063248C">
              <w:rPr>
                <w:rFonts w:cs="宋体"/>
                <w:sz w:val="18"/>
                <w:szCs w:val="18"/>
              </w:rPr>
              <w:t>达州润家锦瑞商业</w:t>
            </w:r>
            <w:proofErr w:type="gramEnd"/>
            <w:r w:rsidRPr="0063248C">
              <w:rPr>
                <w:rFonts w:cs="宋体"/>
                <w:sz w:val="18"/>
                <w:szCs w:val="18"/>
              </w:rPr>
              <w:t>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68C9643"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CABE76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CFB42D2" w14:textId="77777777" w:rsidR="007B3DB2" w:rsidRPr="0063248C" w:rsidRDefault="00000000">
            <w:pPr>
              <w:spacing w:line="240" w:lineRule="exact"/>
              <w:rPr>
                <w:rFonts w:cs="宋体"/>
                <w:sz w:val="18"/>
                <w:szCs w:val="18"/>
              </w:rPr>
            </w:pPr>
            <w:r w:rsidRPr="0063248C">
              <w:rPr>
                <w:rFonts w:cs="宋体"/>
                <w:sz w:val="18"/>
                <w:szCs w:val="18"/>
              </w:rPr>
              <w:t>成都佳茂乐旺实业有限公司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E3F47A2"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0890428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9D9DE59" w14:textId="77777777" w:rsidR="007B3DB2" w:rsidRPr="0063248C" w:rsidRDefault="00000000">
            <w:pPr>
              <w:spacing w:line="240" w:lineRule="exact"/>
              <w:rPr>
                <w:rFonts w:cs="宋体"/>
                <w:sz w:val="18"/>
                <w:szCs w:val="18"/>
              </w:rPr>
            </w:pPr>
            <w:r w:rsidRPr="0063248C">
              <w:rPr>
                <w:rFonts w:cs="宋体"/>
                <w:sz w:val="18"/>
                <w:szCs w:val="18"/>
              </w:rPr>
              <w:t>四川柳牌酒业股份有限公司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633B415"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3F7313B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153FD2C" w14:textId="77777777" w:rsidR="007B3DB2" w:rsidRPr="0063248C" w:rsidRDefault="00000000">
            <w:pPr>
              <w:spacing w:line="240" w:lineRule="exact"/>
              <w:rPr>
                <w:rFonts w:cs="宋体"/>
                <w:sz w:val="18"/>
                <w:szCs w:val="18"/>
              </w:rPr>
            </w:pPr>
            <w:r w:rsidRPr="0063248C">
              <w:rPr>
                <w:rFonts w:cs="宋体"/>
                <w:sz w:val="18"/>
                <w:szCs w:val="18"/>
              </w:rPr>
              <w:t>四川蓝润实业集团有限公司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E243E34"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46BFB0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CC8A14F" w14:textId="77777777" w:rsidR="007B3DB2" w:rsidRPr="0063248C" w:rsidRDefault="00000000">
            <w:pPr>
              <w:spacing w:line="240" w:lineRule="exact"/>
              <w:rPr>
                <w:rFonts w:cs="宋体"/>
                <w:sz w:val="18"/>
                <w:szCs w:val="18"/>
              </w:rPr>
            </w:pPr>
            <w:r w:rsidRPr="0063248C">
              <w:rPr>
                <w:rFonts w:cs="宋体"/>
                <w:sz w:val="18"/>
                <w:szCs w:val="18"/>
              </w:rPr>
              <w:t>北京盛宏恒兴实业有限公司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7E12C43"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7C551EF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D89282A" w14:textId="77777777" w:rsidR="007B3DB2" w:rsidRPr="0063248C" w:rsidRDefault="00000000">
            <w:pPr>
              <w:spacing w:line="240" w:lineRule="exact"/>
              <w:rPr>
                <w:rFonts w:cs="宋体"/>
                <w:sz w:val="18"/>
                <w:szCs w:val="18"/>
              </w:rPr>
            </w:pPr>
            <w:r w:rsidRPr="0063248C">
              <w:rPr>
                <w:rFonts w:cs="宋体"/>
                <w:sz w:val="18"/>
                <w:szCs w:val="18"/>
              </w:rPr>
              <w:t>达州昊华实业有限公司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1D67BB8"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57D806A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892548E" w14:textId="77777777" w:rsidR="007B3DB2" w:rsidRPr="0063248C" w:rsidRDefault="00000000">
            <w:pPr>
              <w:spacing w:line="240" w:lineRule="exact"/>
              <w:rPr>
                <w:rFonts w:cs="宋体"/>
                <w:sz w:val="18"/>
                <w:szCs w:val="18"/>
              </w:rPr>
            </w:pPr>
            <w:r w:rsidRPr="0063248C">
              <w:rPr>
                <w:rFonts w:cs="宋体"/>
                <w:sz w:val="18"/>
                <w:szCs w:val="18"/>
              </w:rPr>
              <w:t>成都</w:t>
            </w:r>
            <w:proofErr w:type="gramStart"/>
            <w:r w:rsidRPr="0063248C">
              <w:rPr>
                <w:rFonts w:cs="宋体"/>
                <w:sz w:val="18"/>
                <w:szCs w:val="18"/>
              </w:rPr>
              <w:t>昊华君翔置业</w:t>
            </w:r>
            <w:proofErr w:type="gramEnd"/>
            <w:r w:rsidRPr="0063248C">
              <w:rPr>
                <w:rFonts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0C2AF9D"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015EA1E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5852997" w14:textId="77777777" w:rsidR="007B3DB2" w:rsidRPr="0063248C" w:rsidRDefault="00000000">
            <w:pPr>
              <w:spacing w:line="240" w:lineRule="exact"/>
              <w:rPr>
                <w:rFonts w:cs="宋体"/>
                <w:sz w:val="18"/>
                <w:szCs w:val="18"/>
              </w:rPr>
            </w:pPr>
            <w:r w:rsidRPr="0063248C">
              <w:rPr>
                <w:rFonts w:cs="宋体"/>
                <w:sz w:val="18"/>
                <w:szCs w:val="18"/>
              </w:rPr>
              <w:t>四川蓝润锦</w:t>
            </w:r>
            <w:proofErr w:type="gramStart"/>
            <w:r w:rsidRPr="0063248C">
              <w:rPr>
                <w:rFonts w:cs="宋体"/>
                <w:sz w:val="18"/>
                <w:szCs w:val="18"/>
              </w:rPr>
              <w:t>怡</w:t>
            </w:r>
            <w:proofErr w:type="gramEnd"/>
            <w:r w:rsidRPr="0063248C">
              <w:rPr>
                <w:rFonts w:cs="宋体"/>
                <w:sz w:val="18"/>
                <w:szCs w:val="18"/>
              </w:rPr>
              <w:t>健康管理有限公司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0993A4E"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6C84B6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674B231" w14:textId="77777777" w:rsidR="007B3DB2" w:rsidRPr="0063248C" w:rsidRDefault="00000000">
            <w:pPr>
              <w:spacing w:line="240" w:lineRule="exact"/>
              <w:rPr>
                <w:rFonts w:cs="宋体"/>
                <w:sz w:val="18"/>
                <w:szCs w:val="18"/>
              </w:rPr>
            </w:pPr>
            <w:r w:rsidRPr="0063248C">
              <w:rPr>
                <w:rFonts w:cs="宋体"/>
                <w:sz w:val="18"/>
                <w:szCs w:val="18"/>
              </w:rPr>
              <w:t>大竹</w:t>
            </w:r>
            <w:proofErr w:type="gramStart"/>
            <w:r w:rsidRPr="0063248C">
              <w:rPr>
                <w:rFonts w:cs="宋体"/>
                <w:sz w:val="18"/>
                <w:szCs w:val="18"/>
              </w:rPr>
              <w:t>县远鸿商混</w:t>
            </w:r>
            <w:proofErr w:type="gramEnd"/>
            <w:r w:rsidRPr="0063248C">
              <w:rPr>
                <w:rFonts w:cs="宋体"/>
                <w:sz w:val="18"/>
                <w:szCs w:val="18"/>
              </w:rPr>
              <w:t>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5E4D4E5"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399DC68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D011698" w14:textId="77777777" w:rsidR="007B3DB2" w:rsidRPr="0063248C" w:rsidRDefault="00000000">
            <w:pPr>
              <w:spacing w:line="240" w:lineRule="exact"/>
              <w:rPr>
                <w:rFonts w:cs="宋体"/>
                <w:sz w:val="18"/>
                <w:szCs w:val="18"/>
              </w:rPr>
            </w:pPr>
            <w:r w:rsidRPr="0063248C">
              <w:rPr>
                <w:rFonts w:cs="宋体"/>
                <w:sz w:val="18"/>
                <w:szCs w:val="18"/>
              </w:rPr>
              <w:t>成都蓝润智邦置业有限公司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DCC81D6"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30B9193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4D7314A" w14:textId="77777777" w:rsidR="007B3DB2" w:rsidRPr="0063248C" w:rsidRDefault="00000000">
            <w:pPr>
              <w:spacing w:line="240" w:lineRule="exact"/>
              <w:rPr>
                <w:rFonts w:cs="宋体"/>
                <w:sz w:val="18"/>
                <w:szCs w:val="18"/>
              </w:rPr>
            </w:pPr>
            <w:r w:rsidRPr="0063248C">
              <w:rPr>
                <w:rFonts w:cs="宋体"/>
                <w:sz w:val="18"/>
                <w:szCs w:val="18"/>
              </w:rPr>
              <w:t>成都蓝润创汇置业有限公司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E8ADFD0"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6A4C74E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8080C32" w14:textId="77777777" w:rsidR="007B3DB2" w:rsidRPr="0063248C" w:rsidRDefault="00000000">
            <w:pPr>
              <w:spacing w:line="240" w:lineRule="exact"/>
              <w:rPr>
                <w:rFonts w:cs="宋体"/>
                <w:sz w:val="18"/>
                <w:szCs w:val="18"/>
              </w:rPr>
            </w:pPr>
            <w:proofErr w:type="gramStart"/>
            <w:r w:rsidRPr="0063248C">
              <w:rPr>
                <w:rFonts w:cs="宋体"/>
                <w:sz w:val="18"/>
                <w:szCs w:val="18"/>
              </w:rPr>
              <w:t>开江嘉胜和</w:t>
            </w:r>
            <w:proofErr w:type="gramEnd"/>
            <w:r w:rsidRPr="0063248C">
              <w:rPr>
                <w:rFonts w:cs="宋体"/>
                <w:sz w:val="18"/>
                <w:szCs w:val="18"/>
              </w:rPr>
              <w:t>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7C8B81F"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F1059B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22E5EB9" w14:textId="77777777" w:rsidR="007B3DB2" w:rsidRPr="0063248C" w:rsidRDefault="00000000">
            <w:pPr>
              <w:spacing w:line="240" w:lineRule="exact"/>
              <w:rPr>
                <w:rFonts w:cs="宋体"/>
                <w:sz w:val="18"/>
                <w:szCs w:val="18"/>
              </w:rPr>
            </w:pPr>
            <w:r w:rsidRPr="0063248C">
              <w:rPr>
                <w:rFonts w:cs="宋体"/>
                <w:sz w:val="18"/>
                <w:szCs w:val="18"/>
              </w:rPr>
              <w:t>成都</w:t>
            </w:r>
            <w:proofErr w:type="gramStart"/>
            <w:r w:rsidRPr="0063248C">
              <w:rPr>
                <w:rFonts w:cs="宋体"/>
                <w:sz w:val="18"/>
                <w:szCs w:val="18"/>
              </w:rPr>
              <w:t>蓝润航瑞置业</w:t>
            </w:r>
            <w:proofErr w:type="gramEnd"/>
            <w:r w:rsidRPr="0063248C">
              <w:rPr>
                <w:rFonts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7F4A2A5"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F37AA2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14E05FD" w14:textId="77777777" w:rsidR="007B3DB2" w:rsidRPr="0063248C" w:rsidRDefault="00000000">
            <w:pPr>
              <w:spacing w:line="240" w:lineRule="exact"/>
              <w:rPr>
                <w:rFonts w:cs="宋体"/>
                <w:sz w:val="18"/>
                <w:szCs w:val="18"/>
              </w:rPr>
            </w:pPr>
            <w:r w:rsidRPr="0063248C">
              <w:rPr>
                <w:rFonts w:cs="宋体"/>
                <w:sz w:val="18"/>
                <w:szCs w:val="18"/>
              </w:rPr>
              <w:t>渠县诚德华泰实业有限公司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9488C35"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CCF176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587F018" w14:textId="77777777" w:rsidR="007B3DB2" w:rsidRPr="0063248C" w:rsidRDefault="00000000">
            <w:pPr>
              <w:spacing w:line="240" w:lineRule="exact"/>
              <w:rPr>
                <w:rFonts w:cs="宋体"/>
                <w:sz w:val="18"/>
                <w:szCs w:val="18"/>
              </w:rPr>
            </w:pPr>
            <w:r w:rsidRPr="0063248C">
              <w:rPr>
                <w:rFonts w:cs="宋体"/>
                <w:sz w:val="18"/>
                <w:szCs w:val="18"/>
              </w:rPr>
              <w:t>成都蓝润华仁置业有限公司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B126C3C"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5D09FE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FC0DF6B" w14:textId="77777777" w:rsidR="007B3DB2" w:rsidRPr="0063248C" w:rsidRDefault="00000000">
            <w:pPr>
              <w:spacing w:line="240" w:lineRule="exact"/>
              <w:rPr>
                <w:rFonts w:cs="宋体"/>
                <w:sz w:val="18"/>
                <w:szCs w:val="18"/>
              </w:rPr>
            </w:pPr>
            <w:r w:rsidRPr="0063248C">
              <w:rPr>
                <w:rFonts w:cs="宋体"/>
                <w:sz w:val="18"/>
                <w:szCs w:val="18"/>
              </w:rPr>
              <w:t>重庆翔胜汇实业有限公司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547FD63"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5DBCEAE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F93FC39" w14:textId="77777777" w:rsidR="007B3DB2" w:rsidRPr="0063248C" w:rsidRDefault="00000000">
            <w:pPr>
              <w:spacing w:line="240" w:lineRule="exact"/>
              <w:rPr>
                <w:rFonts w:cs="宋体"/>
                <w:sz w:val="18"/>
                <w:szCs w:val="18"/>
              </w:rPr>
            </w:pPr>
            <w:r w:rsidRPr="0063248C">
              <w:rPr>
                <w:rFonts w:cs="宋体"/>
                <w:sz w:val="18"/>
                <w:szCs w:val="18"/>
              </w:rPr>
              <w:t>成都</w:t>
            </w:r>
            <w:proofErr w:type="gramStart"/>
            <w:r w:rsidRPr="0063248C">
              <w:rPr>
                <w:rFonts w:cs="宋体"/>
                <w:sz w:val="18"/>
                <w:szCs w:val="18"/>
              </w:rPr>
              <w:t>昊</w:t>
            </w:r>
            <w:proofErr w:type="gramEnd"/>
            <w:r w:rsidRPr="0063248C">
              <w:rPr>
                <w:rFonts w:cs="宋体"/>
                <w:sz w:val="18"/>
                <w:szCs w:val="18"/>
              </w:rPr>
              <w:t>华君宇置业有限公司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B3FE83A"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7F590CE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38BDD02" w14:textId="77777777" w:rsidR="007B3DB2" w:rsidRPr="0063248C" w:rsidRDefault="00000000">
            <w:pPr>
              <w:spacing w:line="240" w:lineRule="exact"/>
              <w:rPr>
                <w:rFonts w:cs="宋体"/>
                <w:sz w:val="18"/>
                <w:szCs w:val="18"/>
              </w:rPr>
            </w:pPr>
            <w:r w:rsidRPr="0063248C">
              <w:rPr>
                <w:rFonts w:cs="宋体"/>
                <w:sz w:val="18"/>
                <w:szCs w:val="18"/>
              </w:rPr>
              <w:t>四川君昌达实业有限公司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7AA67B3"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004655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651C434" w14:textId="77777777" w:rsidR="007B3DB2" w:rsidRPr="0063248C" w:rsidRDefault="00000000">
            <w:pPr>
              <w:spacing w:line="240" w:lineRule="exact"/>
              <w:rPr>
                <w:rFonts w:cs="宋体"/>
                <w:sz w:val="18"/>
                <w:szCs w:val="18"/>
              </w:rPr>
            </w:pPr>
            <w:r w:rsidRPr="0063248C">
              <w:rPr>
                <w:rFonts w:cs="宋体"/>
                <w:sz w:val="18"/>
                <w:szCs w:val="18"/>
              </w:rPr>
              <w:t>成都君和</w:t>
            </w:r>
            <w:proofErr w:type="gramStart"/>
            <w:r w:rsidRPr="0063248C">
              <w:rPr>
                <w:rFonts w:cs="宋体"/>
                <w:sz w:val="18"/>
                <w:szCs w:val="18"/>
              </w:rPr>
              <w:t>君祥</w:t>
            </w:r>
            <w:proofErr w:type="gramEnd"/>
            <w:r w:rsidRPr="0063248C">
              <w:rPr>
                <w:rFonts w:cs="宋体"/>
                <w:sz w:val="18"/>
                <w:szCs w:val="18"/>
              </w:rPr>
              <w:t>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9E0CC24"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B6B266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3B04911" w14:textId="77777777" w:rsidR="007B3DB2" w:rsidRPr="0063248C" w:rsidRDefault="00000000">
            <w:pPr>
              <w:spacing w:line="240" w:lineRule="exact"/>
              <w:rPr>
                <w:rFonts w:cs="宋体"/>
                <w:sz w:val="18"/>
                <w:szCs w:val="18"/>
              </w:rPr>
            </w:pPr>
            <w:r w:rsidRPr="0063248C">
              <w:rPr>
                <w:rFonts w:cs="宋体"/>
                <w:sz w:val="18"/>
                <w:szCs w:val="18"/>
              </w:rPr>
              <w:t>大竹华亿金瑞贸易有限公司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CEFED2F"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8C098B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8AC05EA" w14:textId="77777777" w:rsidR="007B3DB2" w:rsidRPr="0063248C" w:rsidRDefault="00000000">
            <w:pPr>
              <w:spacing w:line="240" w:lineRule="exact"/>
              <w:rPr>
                <w:rFonts w:cs="宋体"/>
                <w:sz w:val="18"/>
                <w:szCs w:val="18"/>
              </w:rPr>
            </w:pPr>
            <w:r w:rsidRPr="0063248C">
              <w:rPr>
                <w:rFonts w:cs="宋体"/>
                <w:sz w:val="18"/>
                <w:szCs w:val="18"/>
              </w:rPr>
              <w:t>成都蓝润华锦置业有限公司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A6BE86D"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073094B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FAF1C04" w14:textId="77777777" w:rsidR="007B3DB2" w:rsidRPr="0063248C" w:rsidRDefault="00000000">
            <w:pPr>
              <w:spacing w:line="240" w:lineRule="exact"/>
              <w:rPr>
                <w:rFonts w:cs="宋体"/>
                <w:sz w:val="18"/>
                <w:szCs w:val="18"/>
              </w:rPr>
            </w:pPr>
            <w:r w:rsidRPr="0063248C">
              <w:rPr>
                <w:rFonts w:cs="宋体"/>
                <w:sz w:val="18"/>
                <w:szCs w:val="18"/>
              </w:rPr>
              <w:t>成都蓝润兴茂置业有限公司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BD28B22"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7383A38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DC5B93F" w14:textId="77777777" w:rsidR="007B3DB2" w:rsidRPr="0063248C" w:rsidRDefault="00000000">
            <w:pPr>
              <w:spacing w:line="240" w:lineRule="exact"/>
              <w:rPr>
                <w:rFonts w:cs="宋体"/>
                <w:sz w:val="18"/>
                <w:szCs w:val="18"/>
              </w:rPr>
            </w:pPr>
            <w:proofErr w:type="gramStart"/>
            <w:r w:rsidRPr="0063248C">
              <w:rPr>
                <w:rFonts w:cs="宋体"/>
                <w:sz w:val="18"/>
                <w:szCs w:val="18"/>
              </w:rPr>
              <w:t>达州市弘润</w:t>
            </w:r>
            <w:proofErr w:type="gramEnd"/>
            <w:r w:rsidRPr="0063248C">
              <w:rPr>
                <w:rFonts w:cs="宋体"/>
                <w:sz w:val="18"/>
                <w:szCs w:val="18"/>
              </w:rPr>
              <w:t>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5608964"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42D2B1E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C2683D0" w14:textId="77777777" w:rsidR="007B3DB2" w:rsidRPr="0063248C" w:rsidRDefault="00000000">
            <w:pPr>
              <w:spacing w:line="240" w:lineRule="exact"/>
              <w:rPr>
                <w:rFonts w:cs="宋体"/>
                <w:sz w:val="18"/>
                <w:szCs w:val="18"/>
              </w:rPr>
            </w:pPr>
            <w:proofErr w:type="gramStart"/>
            <w:r w:rsidRPr="0063248C">
              <w:rPr>
                <w:rFonts w:cs="宋体"/>
                <w:sz w:val="18"/>
                <w:szCs w:val="18"/>
              </w:rPr>
              <w:t>成都启阳恒</w:t>
            </w:r>
            <w:proofErr w:type="gramEnd"/>
            <w:r w:rsidRPr="0063248C">
              <w:rPr>
                <w:rFonts w:cs="宋体"/>
                <w:sz w:val="18"/>
                <w:szCs w:val="18"/>
              </w:rPr>
              <w:t>隆置业有限公司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C9B748B"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96CDF7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7FF56EA" w14:textId="77777777" w:rsidR="007B3DB2" w:rsidRPr="0063248C" w:rsidRDefault="00000000">
            <w:pPr>
              <w:spacing w:line="240" w:lineRule="exact"/>
              <w:rPr>
                <w:rFonts w:cs="宋体"/>
                <w:sz w:val="18"/>
                <w:szCs w:val="18"/>
              </w:rPr>
            </w:pPr>
            <w:r w:rsidRPr="0063248C">
              <w:rPr>
                <w:rFonts w:cs="宋体"/>
                <w:sz w:val="18"/>
                <w:szCs w:val="18"/>
              </w:rPr>
              <w:t>开江佳华实业有限公司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9B615BE"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DE46FC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0C65A22" w14:textId="77777777" w:rsidR="007B3DB2" w:rsidRPr="0063248C" w:rsidRDefault="00000000">
            <w:pPr>
              <w:spacing w:line="240" w:lineRule="exact"/>
              <w:rPr>
                <w:rFonts w:cs="宋体"/>
                <w:sz w:val="18"/>
                <w:szCs w:val="18"/>
              </w:rPr>
            </w:pPr>
            <w:r w:rsidRPr="0063248C">
              <w:rPr>
                <w:rFonts w:cs="宋体"/>
                <w:sz w:val="18"/>
                <w:szCs w:val="18"/>
              </w:rPr>
              <w:t>成都</w:t>
            </w:r>
            <w:proofErr w:type="gramStart"/>
            <w:r w:rsidRPr="0063248C">
              <w:rPr>
                <w:rFonts w:cs="宋体"/>
                <w:sz w:val="18"/>
                <w:szCs w:val="18"/>
              </w:rPr>
              <w:t>鸿源星置地</w:t>
            </w:r>
            <w:proofErr w:type="gramEnd"/>
            <w:r w:rsidRPr="0063248C">
              <w:rPr>
                <w:rFonts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47CAC22"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455F3ED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FA07CC1" w14:textId="77777777" w:rsidR="007B3DB2" w:rsidRPr="0063248C" w:rsidRDefault="00000000">
            <w:pPr>
              <w:spacing w:line="240" w:lineRule="exact"/>
              <w:rPr>
                <w:rFonts w:cs="宋体"/>
                <w:sz w:val="18"/>
                <w:szCs w:val="18"/>
              </w:rPr>
            </w:pPr>
            <w:proofErr w:type="gramStart"/>
            <w:r w:rsidRPr="0063248C">
              <w:rPr>
                <w:rFonts w:cs="宋体"/>
                <w:sz w:val="18"/>
                <w:szCs w:val="18"/>
              </w:rPr>
              <w:t>达州市润耀</w:t>
            </w:r>
            <w:proofErr w:type="gramEnd"/>
            <w:r w:rsidRPr="0063248C">
              <w:rPr>
                <w:rFonts w:cs="宋体"/>
                <w:sz w:val="18"/>
                <w:szCs w:val="18"/>
              </w:rPr>
              <w:t>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ADEEE0D"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4D25E5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1F9A673" w14:textId="77777777" w:rsidR="007B3DB2" w:rsidRPr="0063248C" w:rsidRDefault="00000000">
            <w:pPr>
              <w:spacing w:line="240" w:lineRule="exact"/>
              <w:rPr>
                <w:rFonts w:cs="宋体"/>
                <w:sz w:val="18"/>
                <w:szCs w:val="18"/>
              </w:rPr>
            </w:pPr>
            <w:proofErr w:type="gramStart"/>
            <w:r w:rsidRPr="0063248C">
              <w:rPr>
                <w:rFonts w:cs="宋体"/>
                <w:sz w:val="18"/>
                <w:szCs w:val="18"/>
              </w:rPr>
              <w:t>达州市</w:t>
            </w:r>
            <w:proofErr w:type="gramEnd"/>
            <w:r w:rsidRPr="0063248C">
              <w:rPr>
                <w:rFonts w:cs="宋体"/>
                <w:sz w:val="18"/>
                <w:szCs w:val="18"/>
              </w:rPr>
              <w:t>富</w:t>
            </w:r>
            <w:proofErr w:type="gramStart"/>
            <w:r w:rsidRPr="0063248C">
              <w:rPr>
                <w:rFonts w:cs="宋体"/>
                <w:sz w:val="18"/>
                <w:szCs w:val="18"/>
              </w:rPr>
              <w:t>润锐达</w:t>
            </w:r>
            <w:proofErr w:type="gramEnd"/>
            <w:r w:rsidRPr="0063248C">
              <w:rPr>
                <w:rFonts w:cs="宋体"/>
                <w:sz w:val="18"/>
                <w:szCs w:val="18"/>
              </w:rPr>
              <w:t>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1737168"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64450C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57A65AE" w14:textId="77777777" w:rsidR="007B3DB2" w:rsidRPr="0063248C" w:rsidRDefault="00000000">
            <w:pPr>
              <w:spacing w:line="240" w:lineRule="exact"/>
              <w:rPr>
                <w:rFonts w:cs="宋体"/>
                <w:sz w:val="18"/>
                <w:szCs w:val="18"/>
              </w:rPr>
            </w:pPr>
            <w:proofErr w:type="gramStart"/>
            <w:r w:rsidRPr="0063248C">
              <w:rPr>
                <w:rFonts w:cs="宋体"/>
                <w:sz w:val="18"/>
                <w:szCs w:val="18"/>
              </w:rPr>
              <w:t>浦领基金</w:t>
            </w:r>
            <w:proofErr w:type="gramEnd"/>
            <w:r w:rsidRPr="0063248C">
              <w:rPr>
                <w:rFonts w:cs="宋体"/>
                <w:sz w:val="18"/>
                <w:szCs w:val="18"/>
              </w:rPr>
              <w:t>销售有限公司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39BACE3"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6F7E255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5DC246F" w14:textId="77777777" w:rsidR="007B3DB2" w:rsidRPr="0063248C" w:rsidRDefault="00000000">
            <w:pPr>
              <w:spacing w:line="240" w:lineRule="exact"/>
              <w:rPr>
                <w:rFonts w:cs="宋体"/>
                <w:sz w:val="18"/>
                <w:szCs w:val="18"/>
              </w:rPr>
            </w:pPr>
            <w:r w:rsidRPr="0063248C">
              <w:rPr>
                <w:rFonts w:cs="宋体"/>
                <w:sz w:val="18"/>
                <w:szCs w:val="18"/>
              </w:rPr>
              <w:t>成都蓝润锦尚实业有限公司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96E8201"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7519E63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56C9284" w14:textId="77777777" w:rsidR="007B3DB2" w:rsidRPr="0063248C" w:rsidRDefault="00000000">
            <w:pPr>
              <w:spacing w:line="240" w:lineRule="exact"/>
              <w:rPr>
                <w:rFonts w:cs="宋体"/>
                <w:sz w:val="18"/>
                <w:szCs w:val="18"/>
              </w:rPr>
            </w:pPr>
            <w:r w:rsidRPr="0063248C">
              <w:rPr>
                <w:rFonts w:cs="宋体"/>
                <w:sz w:val="18"/>
                <w:szCs w:val="18"/>
              </w:rPr>
              <w:t>四川蓝润能源股份有限公司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13DA619"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2EF2C5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DA2DE91" w14:textId="77777777" w:rsidR="007B3DB2" w:rsidRPr="0063248C" w:rsidRDefault="00000000">
            <w:pPr>
              <w:spacing w:line="240" w:lineRule="exact"/>
              <w:rPr>
                <w:rFonts w:cs="宋体"/>
                <w:sz w:val="18"/>
                <w:szCs w:val="18"/>
              </w:rPr>
            </w:pPr>
            <w:proofErr w:type="gramStart"/>
            <w:r w:rsidRPr="0063248C">
              <w:rPr>
                <w:rFonts w:cs="宋体"/>
                <w:sz w:val="18"/>
                <w:szCs w:val="18"/>
              </w:rPr>
              <w:t>五仓农牧</w:t>
            </w:r>
            <w:proofErr w:type="gramEnd"/>
            <w:r w:rsidRPr="0063248C">
              <w:rPr>
                <w:rFonts w:cs="宋体"/>
                <w:sz w:val="18"/>
                <w:szCs w:val="18"/>
              </w:rPr>
              <w:t>集团有限公司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C415F3A"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540F255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C8480E2" w14:textId="77777777" w:rsidR="007B3DB2" w:rsidRPr="0063248C" w:rsidRDefault="00000000">
            <w:pPr>
              <w:spacing w:line="240" w:lineRule="exact"/>
              <w:rPr>
                <w:rFonts w:cs="宋体"/>
                <w:sz w:val="18"/>
                <w:szCs w:val="18"/>
              </w:rPr>
            </w:pPr>
            <w:proofErr w:type="gramStart"/>
            <w:r w:rsidRPr="0063248C">
              <w:rPr>
                <w:rFonts w:cs="宋体"/>
                <w:sz w:val="18"/>
                <w:szCs w:val="18"/>
              </w:rPr>
              <w:t>达州宝廪</w:t>
            </w:r>
            <w:proofErr w:type="gramEnd"/>
            <w:r w:rsidRPr="0063248C">
              <w:rPr>
                <w:rFonts w:cs="宋体"/>
                <w:sz w:val="18"/>
                <w:szCs w:val="18"/>
              </w:rPr>
              <w:t>农牧技术有限公司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2514D4C"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31D4B59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41948EF" w14:textId="77777777" w:rsidR="007B3DB2" w:rsidRPr="0063248C" w:rsidRDefault="00000000">
            <w:pPr>
              <w:spacing w:line="240" w:lineRule="exact"/>
              <w:rPr>
                <w:rFonts w:cs="宋体"/>
                <w:sz w:val="18"/>
                <w:szCs w:val="18"/>
              </w:rPr>
            </w:pPr>
            <w:r w:rsidRPr="0063248C">
              <w:rPr>
                <w:rFonts w:cs="宋体"/>
                <w:sz w:val="18"/>
                <w:szCs w:val="18"/>
              </w:rPr>
              <w:t>巴中</w:t>
            </w:r>
            <w:proofErr w:type="gramStart"/>
            <w:r w:rsidRPr="0063248C">
              <w:rPr>
                <w:rFonts w:cs="宋体"/>
                <w:sz w:val="18"/>
                <w:szCs w:val="18"/>
              </w:rPr>
              <w:t>五仓宝联</w:t>
            </w:r>
            <w:proofErr w:type="gramEnd"/>
            <w:r w:rsidRPr="0063248C">
              <w:rPr>
                <w:rFonts w:cs="宋体"/>
                <w:sz w:val="18"/>
                <w:szCs w:val="18"/>
              </w:rPr>
              <w:t>农牧技术有限公司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90FE519"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0CD0A64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8483774" w14:textId="77777777" w:rsidR="007B3DB2" w:rsidRPr="0063248C" w:rsidRDefault="00000000">
            <w:pPr>
              <w:spacing w:line="240" w:lineRule="exact"/>
              <w:rPr>
                <w:rFonts w:cs="宋体"/>
                <w:sz w:val="18"/>
                <w:szCs w:val="18"/>
              </w:rPr>
            </w:pPr>
            <w:r w:rsidRPr="0063248C">
              <w:rPr>
                <w:rFonts w:cs="宋体"/>
                <w:sz w:val="18"/>
                <w:szCs w:val="18"/>
              </w:rPr>
              <w:t>西充</w:t>
            </w:r>
            <w:proofErr w:type="gramStart"/>
            <w:r w:rsidRPr="0063248C">
              <w:rPr>
                <w:rFonts w:cs="宋体"/>
                <w:sz w:val="18"/>
                <w:szCs w:val="18"/>
              </w:rPr>
              <w:t>五仓宝廪</w:t>
            </w:r>
            <w:proofErr w:type="gramEnd"/>
            <w:r w:rsidRPr="0063248C">
              <w:rPr>
                <w:rFonts w:cs="宋体"/>
                <w:sz w:val="18"/>
                <w:szCs w:val="18"/>
              </w:rPr>
              <w:t>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5843ACE"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A4F167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B871F5F" w14:textId="77777777" w:rsidR="007B3DB2" w:rsidRPr="0063248C" w:rsidRDefault="00000000">
            <w:pPr>
              <w:spacing w:line="240" w:lineRule="exact"/>
              <w:rPr>
                <w:rFonts w:cs="宋体"/>
                <w:sz w:val="18"/>
                <w:szCs w:val="18"/>
              </w:rPr>
            </w:pPr>
            <w:r w:rsidRPr="0063248C">
              <w:rPr>
                <w:rFonts w:cs="宋体"/>
                <w:sz w:val="18"/>
                <w:szCs w:val="18"/>
              </w:rPr>
              <w:t>南部县</w:t>
            </w:r>
            <w:proofErr w:type="gramStart"/>
            <w:r w:rsidRPr="0063248C">
              <w:rPr>
                <w:rFonts w:cs="宋体"/>
                <w:sz w:val="18"/>
                <w:szCs w:val="18"/>
              </w:rPr>
              <w:t>五仓宝廪</w:t>
            </w:r>
            <w:proofErr w:type="gramEnd"/>
            <w:r w:rsidRPr="0063248C">
              <w:rPr>
                <w:rFonts w:cs="宋体"/>
                <w:sz w:val="18"/>
                <w:szCs w:val="18"/>
              </w:rPr>
              <w:t>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9CB60D8"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0F5F981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71C839A" w14:textId="77777777" w:rsidR="007B3DB2" w:rsidRPr="0063248C" w:rsidRDefault="00000000">
            <w:pPr>
              <w:spacing w:line="240" w:lineRule="exact"/>
              <w:rPr>
                <w:rFonts w:cs="宋体"/>
                <w:sz w:val="18"/>
                <w:szCs w:val="18"/>
              </w:rPr>
            </w:pPr>
            <w:r w:rsidRPr="0063248C">
              <w:rPr>
                <w:rFonts w:cs="宋体"/>
                <w:sz w:val="18"/>
                <w:szCs w:val="18"/>
              </w:rPr>
              <w:t>巴中</w:t>
            </w:r>
            <w:proofErr w:type="gramStart"/>
            <w:r w:rsidRPr="0063248C">
              <w:rPr>
                <w:rFonts w:cs="宋体"/>
                <w:sz w:val="18"/>
                <w:szCs w:val="18"/>
              </w:rPr>
              <w:t>五仓宝</w:t>
            </w:r>
            <w:proofErr w:type="gramEnd"/>
            <w:r w:rsidRPr="0063248C">
              <w:rPr>
                <w:rFonts w:cs="宋体"/>
                <w:sz w:val="18"/>
                <w:szCs w:val="18"/>
              </w:rPr>
              <w:t>嘉农牧有限公司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BF19EA2"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150D41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159E7F8" w14:textId="77777777" w:rsidR="007B3DB2" w:rsidRPr="0063248C" w:rsidRDefault="00000000">
            <w:pPr>
              <w:spacing w:line="240" w:lineRule="exact"/>
              <w:rPr>
                <w:rFonts w:cs="宋体"/>
                <w:sz w:val="18"/>
                <w:szCs w:val="18"/>
              </w:rPr>
            </w:pPr>
            <w:r w:rsidRPr="0063248C">
              <w:rPr>
                <w:rFonts w:cs="宋体"/>
                <w:sz w:val="18"/>
                <w:szCs w:val="18"/>
              </w:rPr>
              <w:t>巴中</w:t>
            </w:r>
            <w:proofErr w:type="gramStart"/>
            <w:r w:rsidRPr="0063248C">
              <w:rPr>
                <w:rFonts w:cs="宋体"/>
                <w:sz w:val="18"/>
                <w:szCs w:val="18"/>
              </w:rPr>
              <w:t>五仓宝</w:t>
            </w:r>
            <w:proofErr w:type="gramEnd"/>
            <w:r w:rsidRPr="0063248C">
              <w:rPr>
                <w:rFonts w:cs="宋体"/>
                <w:sz w:val="18"/>
                <w:szCs w:val="18"/>
              </w:rPr>
              <w:t>成农牧有限公司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124F17B"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5A5A235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4E5A9CF" w14:textId="77777777" w:rsidR="007B3DB2" w:rsidRPr="0063248C" w:rsidRDefault="00000000">
            <w:pPr>
              <w:spacing w:line="240" w:lineRule="exact"/>
              <w:rPr>
                <w:rFonts w:cs="宋体"/>
                <w:sz w:val="18"/>
                <w:szCs w:val="18"/>
              </w:rPr>
            </w:pPr>
            <w:r w:rsidRPr="0063248C">
              <w:rPr>
                <w:rFonts w:cs="宋体"/>
                <w:sz w:val="18"/>
                <w:szCs w:val="18"/>
              </w:rPr>
              <w:t>巴中</w:t>
            </w:r>
            <w:proofErr w:type="gramStart"/>
            <w:r w:rsidRPr="0063248C">
              <w:rPr>
                <w:rFonts w:cs="宋体"/>
                <w:sz w:val="18"/>
                <w:szCs w:val="18"/>
              </w:rPr>
              <w:t>五仓宝盈</w:t>
            </w:r>
            <w:proofErr w:type="gramEnd"/>
            <w:r w:rsidRPr="0063248C">
              <w:rPr>
                <w:rFonts w:cs="宋体"/>
                <w:sz w:val="18"/>
                <w:szCs w:val="18"/>
              </w:rPr>
              <w:t>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9B04529"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E487F6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F0B8F16" w14:textId="77777777" w:rsidR="007B3DB2" w:rsidRPr="0063248C" w:rsidRDefault="00000000">
            <w:pPr>
              <w:spacing w:line="240" w:lineRule="exact"/>
              <w:rPr>
                <w:rFonts w:cs="宋体"/>
                <w:sz w:val="18"/>
                <w:szCs w:val="18"/>
              </w:rPr>
            </w:pPr>
            <w:r w:rsidRPr="0063248C">
              <w:rPr>
                <w:rFonts w:cs="宋体"/>
                <w:sz w:val="18"/>
                <w:szCs w:val="18"/>
              </w:rPr>
              <w:t>巴中</w:t>
            </w:r>
            <w:proofErr w:type="gramStart"/>
            <w:r w:rsidRPr="0063248C">
              <w:rPr>
                <w:rFonts w:cs="宋体"/>
                <w:sz w:val="18"/>
                <w:szCs w:val="18"/>
              </w:rPr>
              <w:t>五仓宝</w:t>
            </w:r>
            <w:proofErr w:type="gramEnd"/>
            <w:r w:rsidRPr="0063248C">
              <w:rPr>
                <w:rFonts w:cs="宋体"/>
                <w:sz w:val="18"/>
                <w:szCs w:val="18"/>
              </w:rPr>
              <w:t>裕农牧有限公司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97D12D7"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F4FFA1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E4C35DC" w14:textId="77777777" w:rsidR="007B3DB2" w:rsidRPr="0063248C" w:rsidRDefault="00000000">
            <w:pPr>
              <w:spacing w:line="240" w:lineRule="exact"/>
              <w:rPr>
                <w:rFonts w:cs="宋体"/>
                <w:sz w:val="18"/>
                <w:szCs w:val="18"/>
              </w:rPr>
            </w:pPr>
            <w:r w:rsidRPr="0063248C">
              <w:rPr>
                <w:rFonts w:cs="宋体"/>
                <w:sz w:val="18"/>
                <w:szCs w:val="18"/>
              </w:rPr>
              <w:lastRenderedPageBreak/>
              <w:t>西充</w:t>
            </w:r>
            <w:proofErr w:type="gramStart"/>
            <w:r w:rsidRPr="0063248C">
              <w:rPr>
                <w:rFonts w:cs="宋体"/>
                <w:sz w:val="18"/>
                <w:szCs w:val="18"/>
              </w:rPr>
              <w:t>五仓宝</w:t>
            </w:r>
            <w:proofErr w:type="gramEnd"/>
            <w:r w:rsidRPr="0063248C">
              <w:rPr>
                <w:rFonts w:cs="宋体"/>
                <w:sz w:val="18"/>
                <w:szCs w:val="18"/>
              </w:rPr>
              <w:t>玥农牧有限公司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CBB0F8A"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4E76E80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A3975AE" w14:textId="77777777" w:rsidR="007B3DB2" w:rsidRPr="0063248C" w:rsidRDefault="00000000">
            <w:pPr>
              <w:spacing w:line="240" w:lineRule="exact"/>
              <w:rPr>
                <w:rFonts w:cs="宋体"/>
                <w:sz w:val="18"/>
                <w:szCs w:val="18"/>
              </w:rPr>
            </w:pPr>
            <w:r w:rsidRPr="0063248C">
              <w:rPr>
                <w:rFonts w:cs="宋体"/>
                <w:sz w:val="18"/>
                <w:szCs w:val="18"/>
              </w:rPr>
              <w:t>西充</w:t>
            </w:r>
            <w:proofErr w:type="gramStart"/>
            <w:r w:rsidRPr="0063248C">
              <w:rPr>
                <w:rFonts w:cs="宋体"/>
                <w:sz w:val="18"/>
                <w:szCs w:val="18"/>
              </w:rPr>
              <w:t>五仓宝</w:t>
            </w:r>
            <w:proofErr w:type="gramEnd"/>
            <w:r w:rsidRPr="0063248C">
              <w:rPr>
                <w:rFonts w:cs="宋体"/>
                <w:sz w:val="18"/>
                <w:szCs w:val="18"/>
              </w:rPr>
              <w:t>辰农牧有限公司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96478B0"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40F0D8B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2B04A8E" w14:textId="77777777" w:rsidR="007B3DB2" w:rsidRPr="0063248C" w:rsidRDefault="00000000">
            <w:pPr>
              <w:spacing w:line="240" w:lineRule="exact"/>
              <w:rPr>
                <w:rFonts w:cs="宋体"/>
                <w:sz w:val="18"/>
                <w:szCs w:val="18"/>
              </w:rPr>
            </w:pPr>
            <w:r w:rsidRPr="0063248C">
              <w:rPr>
                <w:rFonts w:cs="宋体"/>
                <w:sz w:val="18"/>
                <w:szCs w:val="18"/>
              </w:rPr>
              <w:t>巴中</w:t>
            </w:r>
            <w:proofErr w:type="gramStart"/>
            <w:r w:rsidRPr="0063248C">
              <w:rPr>
                <w:rFonts w:cs="宋体"/>
                <w:sz w:val="18"/>
                <w:szCs w:val="18"/>
              </w:rPr>
              <w:t>五仓宝双</w:t>
            </w:r>
            <w:proofErr w:type="gramEnd"/>
            <w:r w:rsidRPr="0063248C">
              <w:rPr>
                <w:rFonts w:cs="宋体"/>
                <w:sz w:val="18"/>
                <w:szCs w:val="18"/>
              </w:rPr>
              <w:t>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02906A7"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3D7D09C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2B67FC1" w14:textId="77777777" w:rsidR="007B3DB2" w:rsidRPr="0063248C" w:rsidRDefault="00000000">
            <w:pPr>
              <w:spacing w:line="240" w:lineRule="exact"/>
              <w:rPr>
                <w:rFonts w:cs="宋体"/>
                <w:sz w:val="18"/>
                <w:szCs w:val="18"/>
              </w:rPr>
            </w:pPr>
            <w:r w:rsidRPr="0063248C">
              <w:rPr>
                <w:rFonts w:cs="宋体"/>
                <w:sz w:val="18"/>
                <w:szCs w:val="18"/>
              </w:rPr>
              <w:t>巴中</w:t>
            </w:r>
            <w:proofErr w:type="gramStart"/>
            <w:r w:rsidRPr="0063248C">
              <w:rPr>
                <w:rFonts w:cs="宋体"/>
                <w:sz w:val="18"/>
                <w:szCs w:val="18"/>
              </w:rPr>
              <w:t>五仓宝</w:t>
            </w:r>
            <w:proofErr w:type="gramEnd"/>
            <w:r w:rsidRPr="0063248C">
              <w:rPr>
                <w:rFonts w:cs="宋体"/>
                <w:sz w:val="18"/>
                <w:szCs w:val="18"/>
              </w:rPr>
              <w:t>坪农牧有限公司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E4FFBD5"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486BFB1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0EDB4C6" w14:textId="77777777" w:rsidR="007B3DB2" w:rsidRPr="0063248C" w:rsidRDefault="00000000">
            <w:pPr>
              <w:spacing w:line="240" w:lineRule="exact"/>
              <w:rPr>
                <w:rFonts w:cs="宋体"/>
                <w:sz w:val="18"/>
                <w:szCs w:val="18"/>
              </w:rPr>
            </w:pPr>
            <w:r w:rsidRPr="0063248C">
              <w:rPr>
                <w:rFonts w:cs="宋体"/>
                <w:sz w:val="18"/>
                <w:szCs w:val="18"/>
              </w:rPr>
              <w:t>天津丰润恒道有限公司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A3CC55B"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3F9D78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18C8E26" w14:textId="77777777" w:rsidR="007B3DB2" w:rsidRPr="0063248C" w:rsidRDefault="00000000">
            <w:pPr>
              <w:spacing w:line="240" w:lineRule="exact"/>
              <w:rPr>
                <w:rFonts w:cs="宋体"/>
                <w:sz w:val="18"/>
                <w:szCs w:val="18"/>
              </w:rPr>
            </w:pPr>
            <w:r w:rsidRPr="0063248C">
              <w:rPr>
                <w:rFonts w:cs="宋体"/>
                <w:sz w:val="18"/>
                <w:szCs w:val="18"/>
              </w:rPr>
              <w:t>天津华瑞富达贸易有限公司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8363E1E"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253B29E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2CED6BF" w14:textId="77777777" w:rsidR="007B3DB2" w:rsidRPr="0063248C" w:rsidRDefault="00000000">
            <w:pPr>
              <w:spacing w:line="240" w:lineRule="exact"/>
              <w:rPr>
                <w:rFonts w:cs="宋体"/>
                <w:sz w:val="18"/>
                <w:szCs w:val="18"/>
              </w:rPr>
            </w:pPr>
            <w:r w:rsidRPr="0063248C">
              <w:rPr>
                <w:rFonts w:cs="宋体"/>
                <w:sz w:val="18"/>
                <w:szCs w:val="18"/>
              </w:rPr>
              <w:t>北京正佳华瀚实业有限公司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41142C5"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53E89A1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9C34E72" w14:textId="77777777" w:rsidR="007B3DB2" w:rsidRPr="0063248C" w:rsidRDefault="00000000">
            <w:pPr>
              <w:spacing w:line="240" w:lineRule="exact"/>
              <w:rPr>
                <w:rFonts w:cs="宋体"/>
                <w:sz w:val="18"/>
                <w:szCs w:val="18"/>
              </w:rPr>
            </w:pPr>
            <w:r w:rsidRPr="0063248C">
              <w:rPr>
                <w:rFonts w:cs="宋体"/>
                <w:sz w:val="18"/>
                <w:szCs w:val="18"/>
              </w:rPr>
              <w:t>成都璞门雅居酒店管理有限公司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4A548DB"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08E7617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D6BC4AA" w14:textId="77777777" w:rsidR="007B3DB2" w:rsidRPr="0063248C" w:rsidRDefault="00000000">
            <w:pPr>
              <w:spacing w:line="240" w:lineRule="exact"/>
              <w:rPr>
                <w:rFonts w:cs="宋体"/>
                <w:sz w:val="18"/>
                <w:szCs w:val="18"/>
              </w:rPr>
            </w:pPr>
            <w:r w:rsidRPr="0063248C">
              <w:rPr>
                <w:rFonts w:cs="宋体"/>
                <w:sz w:val="18"/>
                <w:szCs w:val="18"/>
              </w:rPr>
              <w:t>上海东谦佳实业有限公司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A64679A"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584E570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F9359B1" w14:textId="77777777" w:rsidR="007B3DB2" w:rsidRPr="0063248C" w:rsidRDefault="00000000">
            <w:pPr>
              <w:spacing w:line="240" w:lineRule="exact"/>
              <w:rPr>
                <w:rFonts w:cs="宋体"/>
                <w:sz w:val="18"/>
                <w:szCs w:val="18"/>
              </w:rPr>
            </w:pPr>
            <w:r w:rsidRPr="0063248C">
              <w:rPr>
                <w:rFonts w:cs="宋体"/>
                <w:sz w:val="18"/>
                <w:szCs w:val="18"/>
              </w:rPr>
              <w:t>四川轩泰贸易有限公司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2E4A302"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146215C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06E4099" w14:textId="77777777" w:rsidR="007B3DB2" w:rsidRPr="0063248C" w:rsidRDefault="00000000">
            <w:pPr>
              <w:spacing w:line="240" w:lineRule="exact"/>
              <w:rPr>
                <w:rFonts w:cs="宋体"/>
                <w:sz w:val="18"/>
                <w:szCs w:val="18"/>
              </w:rPr>
            </w:pPr>
            <w:r w:rsidRPr="0063248C">
              <w:rPr>
                <w:rFonts w:cs="宋体"/>
                <w:sz w:val="18"/>
                <w:szCs w:val="18"/>
              </w:rPr>
              <w:t>四川亿华贸易有限公司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0B1143C"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4BC7ADF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1EAD7FA" w14:textId="77777777" w:rsidR="007B3DB2" w:rsidRPr="0063248C" w:rsidRDefault="00000000">
            <w:pPr>
              <w:spacing w:line="240" w:lineRule="exact"/>
              <w:rPr>
                <w:rFonts w:cs="宋体"/>
                <w:sz w:val="18"/>
                <w:szCs w:val="18"/>
              </w:rPr>
            </w:pPr>
            <w:r w:rsidRPr="0063248C">
              <w:rPr>
                <w:rFonts w:cs="宋体"/>
                <w:sz w:val="18"/>
                <w:szCs w:val="18"/>
              </w:rPr>
              <w:t>四川鼎嘉泰贸易有限公司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96C5361"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7BC572E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669D524" w14:textId="77777777" w:rsidR="007B3DB2" w:rsidRPr="0063248C" w:rsidRDefault="00000000">
            <w:pPr>
              <w:spacing w:line="240" w:lineRule="exact"/>
              <w:rPr>
                <w:rFonts w:cs="宋体"/>
                <w:sz w:val="18"/>
                <w:szCs w:val="18"/>
              </w:rPr>
            </w:pPr>
            <w:r w:rsidRPr="0063248C">
              <w:rPr>
                <w:rFonts w:cs="宋体"/>
                <w:sz w:val="18"/>
                <w:szCs w:val="18"/>
              </w:rPr>
              <w:t>成都捷阔灏达实业有限公司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5229BF2"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3B83D3F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0D5AF2E" w14:textId="77777777" w:rsidR="007B3DB2" w:rsidRPr="0063248C" w:rsidRDefault="00000000">
            <w:pPr>
              <w:spacing w:line="240" w:lineRule="exact"/>
              <w:rPr>
                <w:rFonts w:cs="宋体"/>
                <w:sz w:val="18"/>
                <w:szCs w:val="18"/>
              </w:rPr>
            </w:pPr>
            <w:r w:rsidRPr="0063248C">
              <w:rPr>
                <w:rFonts w:cs="宋体"/>
                <w:sz w:val="18"/>
                <w:szCs w:val="18"/>
              </w:rPr>
              <w:t>达州银行股份有限公司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0AE5873" w14:textId="77777777" w:rsidR="007B3DB2" w:rsidRPr="0063248C" w:rsidRDefault="00000000" w:rsidP="00606634">
            <w:pPr>
              <w:spacing w:line="240" w:lineRule="exact"/>
              <w:jc w:val="center"/>
              <w:rPr>
                <w:rFonts w:cs="宋体"/>
                <w:sz w:val="18"/>
                <w:szCs w:val="18"/>
              </w:rPr>
            </w:pPr>
            <w:r w:rsidRPr="0063248C">
              <w:rPr>
                <w:rFonts w:cs="宋体"/>
                <w:sz w:val="18"/>
                <w:szCs w:val="18"/>
              </w:rPr>
              <w:t>实际控制人戴学斌先生担任达州银行董事职务</w:t>
            </w:r>
          </w:p>
        </w:tc>
      </w:tr>
      <w:tr w:rsidR="007B3DB2" w:rsidRPr="0063248C" w14:paraId="6519CFF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B68BB86"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BEED97A" w14:textId="77777777" w:rsidR="007B3DB2" w:rsidRPr="0063248C" w:rsidRDefault="00000000" w:rsidP="00606634">
            <w:pPr>
              <w:spacing w:line="240" w:lineRule="exact"/>
              <w:jc w:val="center"/>
              <w:rPr>
                <w:rFonts w:cs="宋体"/>
                <w:sz w:val="18"/>
                <w:szCs w:val="18"/>
              </w:rPr>
            </w:pPr>
            <w:r w:rsidRPr="0063248C">
              <w:rPr>
                <w:rFonts w:cs="宋体"/>
                <w:sz w:val="18"/>
                <w:szCs w:val="18"/>
              </w:rPr>
              <w:t>母公司</w:t>
            </w:r>
          </w:p>
        </w:tc>
      </w:tr>
      <w:tr w:rsidR="007B3DB2" w:rsidRPr="0063248C" w14:paraId="7EAA3D5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A4C5535" w14:textId="77777777" w:rsidR="007B3DB2" w:rsidRPr="0063248C" w:rsidRDefault="00000000">
            <w:pPr>
              <w:spacing w:line="240" w:lineRule="exact"/>
              <w:rPr>
                <w:rFonts w:cs="宋体"/>
                <w:sz w:val="18"/>
                <w:szCs w:val="18"/>
              </w:rPr>
            </w:pPr>
            <w:r w:rsidRPr="0063248C">
              <w:rPr>
                <w:rFonts w:cs="宋体"/>
                <w:sz w:val="18"/>
                <w:szCs w:val="18"/>
              </w:rPr>
              <w:t>绵阳市</w:t>
            </w:r>
            <w:proofErr w:type="gramStart"/>
            <w:r w:rsidRPr="0063248C">
              <w:rPr>
                <w:rFonts w:cs="宋体"/>
                <w:sz w:val="18"/>
                <w:szCs w:val="18"/>
              </w:rPr>
              <w:t>五仓宝</w:t>
            </w:r>
            <w:proofErr w:type="gramEnd"/>
            <w:r w:rsidRPr="0063248C">
              <w:rPr>
                <w:rFonts w:cs="宋体"/>
                <w:sz w:val="18"/>
                <w:szCs w:val="18"/>
              </w:rPr>
              <w:t>超农牧科技有限公司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D6D8C3F" w14:textId="77777777" w:rsidR="007B3DB2" w:rsidRPr="0063248C" w:rsidRDefault="00000000" w:rsidP="00606634">
            <w:pPr>
              <w:spacing w:line="240" w:lineRule="exact"/>
              <w:jc w:val="center"/>
              <w:rPr>
                <w:rFonts w:cs="宋体"/>
                <w:sz w:val="18"/>
                <w:szCs w:val="18"/>
              </w:rPr>
            </w:pPr>
            <w:r w:rsidRPr="0063248C">
              <w:rPr>
                <w:rFonts w:cs="宋体"/>
                <w:sz w:val="18"/>
                <w:szCs w:val="18"/>
              </w:rPr>
              <w:t>受同一方控制</w:t>
            </w:r>
          </w:p>
        </w:tc>
      </w:tr>
      <w:tr w:rsidR="007B3DB2" w:rsidRPr="0063248C" w14:paraId="4515EA7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400982F" w14:textId="77777777" w:rsidR="007B3DB2" w:rsidRPr="0063248C" w:rsidRDefault="00000000">
            <w:pPr>
              <w:spacing w:line="240" w:lineRule="exact"/>
              <w:rPr>
                <w:rFonts w:cs="宋体"/>
                <w:sz w:val="18"/>
                <w:szCs w:val="18"/>
              </w:rPr>
            </w:pPr>
            <w:proofErr w:type="gramStart"/>
            <w:r w:rsidRPr="0063248C">
              <w:rPr>
                <w:rFonts w:cs="宋体"/>
                <w:sz w:val="18"/>
                <w:szCs w:val="18"/>
              </w:rPr>
              <w:t>牧原食品</w:t>
            </w:r>
            <w:proofErr w:type="gramEnd"/>
            <w:r w:rsidRPr="0063248C">
              <w:rPr>
                <w:rFonts w:cs="宋体"/>
                <w:sz w:val="18"/>
                <w:szCs w:val="18"/>
              </w:rPr>
              <w:t>股份有限公司（集团）</w:t>
            </w:r>
          </w:p>
        </w:tc>
        <w:tc>
          <w:tcPr>
            <w:tcW w:w="4820" w:type="dxa"/>
            <w:tcBorders>
              <w:top w:val="single" w:sz="2" w:space="0" w:color="auto"/>
              <w:left w:val="single" w:sz="2" w:space="0" w:color="auto"/>
              <w:bottom w:val="single" w:sz="2" w:space="0" w:color="auto"/>
              <w:right w:val="single" w:sz="2" w:space="0" w:color="auto"/>
            </w:tcBorders>
            <w:vAlign w:val="center"/>
          </w:tcPr>
          <w:p w14:paraId="05DB31E6" w14:textId="77777777" w:rsidR="007B3DB2" w:rsidRPr="0063248C" w:rsidRDefault="00000000" w:rsidP="00606634">
            <w:pPr>
              <w:spacing w:line="240" w:lineRule="exact"/>
              <w:jc w:val="center"/>
              <w:rPr>
                <w:rFonts w:cs="宋体"/>
                <w:sz w:val="18"/>
                <w:szCs w:val="18"/>
              </w:rPr>
            </w:pPr>
            <w:r w:rsidRPr="0063248C">
              <w:rPr>
                <w:rFonts w:cs="宋体"/>
                <w:sz w:val="18"/>
                <w:szCs w:val="18"/>
              </w:rPr>
              <w:t>公司重要子公司的少数股东</w:t>
            </w:r>
          </w:p>
        </w:tc>
      </w:tr>
      <w:tr w:rsidR="007B3DB2" w:rsidRPr="0063248C" w14:paraId="53049F0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4D0D3FC" w14:textId="77777777" w:rsidR="007B3DB2" w:rsidRPr="0063248C" w:rsidRDefault="00000000">
            <w:pPr>
              <w:spacing w:line="240" w:lineRule="exact"/>
              <w:rPr>
                <w:rFonts w:cs="宋体"/>
                <w:sz w:val="18"/>
                <w:szCs w:val="18"/>
              </w:rPr>
            </w:pPr>
            <w:r w:rsidRPr="0063248C">
              <w:rPr>
                <w:rFonts w:cs="宋体"/>
                <w:sz w:val="18"/>
                <w:szCs w:val="18"/>
              </w:rPr>
              <w:t>青岛联合友和食品有限公司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A6154F3" w14:textId="77777777" w:rsidR="007B3DB2" w:rsidRPr="0063248C" w:rsidRDefault="00000000" w:rsidP="00606634">
            <w:pPr>
              <w:spacing w:line="240" w:lineRule="exact"/>
              <w:jc w:val="center"/>
              <w:rPr>
                <w:rFonts w:cs="宋体"/>
                <w:sz w:val="18"/>
                <w:szCs w:val="18"/>
              </w:rPr>
            </w:pPr>
            <w:r w:rsidRPr="0063248C">
              <w:rPr>
                <w:rFonts w:cs="宋体"/>
                <w:sz w:val="18"/>
                <w:szCs w:val="18"/>
              </w:rPr>
              <w:t>公司重要子公司的少数股东</w:t>
            </w:r>
          </w:p>
        </w:tc>
      </w:tr>
      <w:tr w:rsidR="007B3DB2" w:rsidRPr="0063248C" w14:paraId="7AFAE52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356BF70" w14:textId="77777777" w:rsidR="007B3DB2" w:rsidRPr="0063248C" w:rsidRDefault="00000000">
            <w:pPr>
              <w:spacing w:line="240" w:lineRule="exact"/>
              <w:rPr>
                <w:rFonts w:cs="宋体"/>
                <w:sz w:val="18"/>
                <w:szCs w:val="18"/>
              </w:rPr>
            </w:pPr>
            <w:r w:rsidRPr="0063248C">
              <w:rPr>
                <w:rFonts w:cs="宋体"/>
                <w:sz w:val="18"/>
                <w:szCs w:val="18"/>
              </w:rPr>
              <w:t>青岛东方睿智商贸有限公司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1FB2658" w14:textId="77777777" w:rsidR="007B3DB2" w:rsidRPr="0063248C" w:rsidRDefault="00000000" w:rsidP="00606634">
            <w:pPr>
              <w:spacing w:line="240" w:lineRule="exact"/>
              <w:jc w:val="center"/>
              <w:rPr>
                <w:rFonts w:cs="宋体"/>
                <w:sz w:val="18"/>
                <w:szCs w:val="18"/>
              </w:rPr>
            </w:pPr>
            <w:r w:rsidRPr="0063248C">
              <w:rPr>
                <w:rFonts w:cs="宋体"/>
                <w:sz w:val="18"/>
                <w:szCs w:val="18"/>
              </w:rPr>
              <w:t>公司重要子公司的少数股东的实际控制人控制的其他公司</w:t>
            </w:r>
          </w:p>
        </w:tc>
      </w:tr>
      <w:tr w:rsidR="007B3DB2" w:rsidRPr="0063248C" w14:paraId="1459EEB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6359ADB" w14:textId="77777777" w:rsidR="007B3DB2" w:rsidRPr="0063248C" w:rsidRDefault="00000000">
            <w:pPr>
              <w:spacing w:line="240" w:lineRule="exact"/>
              <w:rPr>
                <w:rFonts w:cs="宋体"/>
                <w:sz w:val="18"/>
                <w:szCs w:val="18"/>
              </w:rPr>
            </w:pPr>
            <w:r w:rsidRPr="0063248C">
              <w:rPr>
                <w:rFonts w:cs="宋体"/>
                <w:sz w:val="18"/>
                <w:szCs w:val="18"/>
              </w:rPr>
              <w:t>青岛飞熊领鲜科技有限公司（集团）</w:t>
            </w:r>
          </w:p>
        </w:tc>
        <w:tc>
          <w:tcPr>
            <w:tcW w:w="4820" w:type="dxa"/>
            <w:tcBorders>
              <w:top w:val="single" w:sz="2" w:space="0" w:color="auto"/>
              <w:left w:val="single" w:sz="2" w:space="0" w:color="auto"/>
              <w:bottom w:val="single" w:sz="2" w:space="0" w:color="auto"/>
              <w:right w:val="single" w:sz="2" w:space="0" w:color="auto"/>
            </w:tcBorders>
            <w:vAlign w:val="center"/>
          </w:tcPr>
          <w:p w14:paraId="518271F0" w14:textId="77777777" w:rsidR="007B3DB2" w:rsidRPr="0063248C" w:rsidRDefault="00000000" w:rsidP="00606634">
            <w:pPr>
              <w:spacing w:line="240" w:lineRule="exact"/>
              <w:jc w:val="center"/>
              <w:rPr>
                <w:rFonts w:cs="宋体"/>
                <w:sz w:val="18"/>
                <w:szCs w:val="18"/>
              </w:rPr>
            </w:pPr>
            <w:r w:rsidRPr="0063248C">
              <w:rPr>
                <w:rFonts w:cs="宋体"/>
                <w:sz w:val="18"/>
                <w:szCs w:val="18"/>
              </w:rPr>
              <w:t>公司重要子公司的少数股东的实际控制人控制的其他公司</w:t>
            </w:r>
          </w:p>
        </w:tc>
      </w:tr>
      <w:tr w:rsidR="007B3DB2" w:rsidRPr="0063248C" w14:paraId="24A2E6F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9288760" w14:textId="77777777" w:rsidR="007B3DB2" w:rsidRPr="0063248C" w:rsidRDefault="00000000">
            <w:pPr>
              <w:spacing w:line="240" w:lineRule="exact"/>
              <w:rPr>
                <w:rFonts w:cs="宋体"/>
                <w:sz w:val="18"/>
                <w:szCs w:val="18"/>
              </w:rPr>
            </w:pPr>
            <w:r w:rsidRPr="0063248C">
              <w:rPr>
                <w:rFonts w:cs="宋体"/>
                <w:sz w:val="18"/>
                <w:szCs w:val="18"/>
              </w:rPr>
              <w:t>青岛优尼特</w:t>
            </w:r>
            <w:proofErr w:type="gramStart"/>
            <w:r w:rsidRPr="0063248C">
              <w:rPr>
                <w:rFonts w:cs="宋体"/>
                <w:sz w:val="18"/>
                <w:szCs w:val="18"/>
              </w:rPr>
              <w:t>尚品食品</w:t>
            </w:r>
            <w:proofErr w:type="gramEnd"/>
            <w:r w:rsidRPr="0063248C">
              <w:rPr>
                <w:rFonts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2DE48FE" w14:textId="77777777" w:rsidR="007B3DB2" w:rsidRPr="0063248C" w:rsidRDefault="00000000" w:rsidP="00606634">
            <w:pPr>
              <w:spacing w:line="240" w:lineRule="exact"/>
              <w:jc w:val="center"/>
              <w:rPr>
                <w:rFonts w:cs="宋体"/>
                <w:sz w:val="18"/>
                <w:szCs w:val="18"/>
              </w:rPr>
            </w:pPr>
            <w:r w:rsidRPr="0063248C">
              <w:rPr>
                <w:rFonts w:cs="宋体"/>
                <w:sz w:val="18"/>
                <w:szCs w:val="18"/>
              </w:rPr>
              <w:t>公司重要子公司的少数股东的实际控制人控制的其他公司</w:t>
            </w:r>
          </w:p>
        </w:tc>
      </w:tr>
      <w:tr w:rsidR="007B3DB2" w:rsidRPr="0063248C" w14:paraId="552841A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882FEB4" w14:textId="77777777" w:rsidR="007B3DB2" w:rsidRPr="0063248C" w:rsidRDefault="00000000">
            <w:pPr>
              <w:spacing w:line="240" w:lineRule="exact"/>
              <w:rPr>
                <w:rFonts w:cs="宋体"/>
                <w:sz w:val="18"/>
                <w:szCs w:val="18"/>
              </w:rPr>
            </w:pPr>
            <w:r w:rsidRPr="0063248C">
              <w:rPr>
                <w:rFonts w:cs="宋体"/>
                <w:sz w:val="18"/>
                <w:szCs w:val="18"/>
              </w:rPr>
              <w:t>青岛全</w:t>
            </w:r>
            <w:proofErr w:type="gramStart"/>
            <w:r w:rsidRPr="0063248C">
              <w:rPr>
                <w:rFonts w:cs="宋体"/>
                <w:sz w:val="18"/>
                <w:szCs w:val="18"/>
              </w:rPr>
              <w:t>澳供应链科技</w:t>
            </w:r>
            <w:proofErr w:type="gramEnd"/>
            <w:r w:rsidRPr="0063248C">
              <w:rPr>
                <w:rFonts w:cs="宋体"/>
                <w:sz w:val="18"/>
                <w:szCs w:val="18"/>
              </w:rPr>
              <w:t>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472049F" w14:textId="77777777" w:rsidR="007B3DB2" w:rsidRPr="0063248C" w:rsidRDefault="00000000" w:rsidP="00606634">
            <w:pPr>
              <w:spacing w:line="240" w:lineRule="exact"/>
              <w:jc w:val="center"/>
              <w:rPr>
                <w:rFonts w:cs="宋体"/>
                <w:sz w:val="18"/>
                <w:szCs w:val="18"/>
              </w:rPr>
            </w:pPr>
            <w:r w:rsidRPr="0063248C">
              <w:rPr>
                <w:rFonts w:cs="宋体"/>
                <w:sz w:val="18"/>
                <w:szCs w:val="18"/>
              </w:rPr>
              <w:t>公司重要子公司的少数股东的参股公司</w:t>
            </w:r>
          </w:p>
        </w:tc>
      </w:tr>
      <w:tr w:rsidR="007B3DB2" w:rsidRPr="0063248C" w14:paraId="3600B44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46C2B58" w14:textId="77777777" w:rsidR="007B3DB2" w:rsidRPr="0063248C" w:rsidRDefault="00000000">
            <w:pPr>
              <w:spacing w:line="240" w:lineRule="exact"/>
              <w:rPr>
                <w:rFonts w:cs="宋体"/>
                <w:sz w:val="18"/>
                <w:szCs w:val="18"/>
              </w:rPr>
            </w:pPr>
            <w:r w:rsidRPr="0063248C">
              <w:rPr>
                <w:rFonts w:cs="宋体"/>
                <w:sz w:val="18"/>
                <w:szCs w:val="18"/>
              </w:rPr>
              <w:t>沃德佳（青岛）供应链管理有限公司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4C789DD" w14:textId="77777777" w:rsidR="007B3DB2" w:rsidRPr="0063248C" w:rsidRDefault="00000000" w:rsidP="00606634">
            <w:pPr>
              <w:spacing w:line="240" w:lineRule="exact"/>
              <w:jc w:val="center"/>
              <w:rPr>
                <w:rFonts w:cs="宋体"/>
                <w:sz w:val="18"/>
                <w:szCs w:val="18"/>
              </w:rPr>
            </w:pPr>
            <w:r w:rsidRPr="0063248C">
              <w:rPr>
                <w:rFonts w:cs="宋体"/>
                <w:sz w:val="18"/>
                <w:szCs w:val="18"/>
              </w:rPr>
              <w:t>公司重要子公司的少数股东的参股公司</w:t>
            </w:r>
          </w:p>
        </w:tc>
      </w:tr>
      <w:tr w:rsidR="007B3DB2" w:rsidRPr="0063248C" w14:paraId="5424F54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411158E" w14:textId="77777777" w:rsidR="007B3DB2" w:rsidRPr="0063248C" w:rsidRDefault="00000000">
            <w:pPr>
              <w:spacing w:line="240" w:lineRule="exact"/>
              <w:rPr>
                <w:rFonts w:cs="宋体"/>
                <w:sz w:val="18"/>
                <w:szCs w:val="18"/>
              </w:rPr>
            </w:pPr>
            <w:r w:rsidRPr="0063248C">
              <w:rPr>
                <w:rFonts w:cs="宋体"/>
                <w:sz w:val="18"/>
                <w:szCs w:val="18"/>
              </w:rPr>
              <w:t>成都佳享食品有限公司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2E74DBE7" w14:textId="77777777" w:rsidR="007B3DB2" w:rsidRPr="0063248C" w:rsidRDefault="00000000" w:rsidP="00606634">
            <w:pPr>
              <w:spacing w:line="240" w:lineRule="exact"/>
              <w:jc w:val="center"/>
              <w:rPr>
                <w:rFonts w:cs="宋体"/>
                <w:sz w:val="18"/>
                <w:szCs w:val="18"/>
              </w:rPr>
            </w:pPr>
            <w:r w:rsidRPr="0063248C">
              <w:rPr>
                <w:rFonts w:cs="宋体"/>
                <w:sz w:val="18"/>
                <w:szCs w:val="18"/>
              </w:rPr>
              <w:t>公司子公司的少数股东</w:t>
            </w:r>
          </w:p>
        </w:tc>
      </w:tr>
      <w:tr w:rsidR="007B3DB2" w:rsidRPr="0063248C" w14:paraId="119EEE26"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8E35048" w14:textId="77777777" w:rsidR="007B3DB2" w:rsidRPr="0063248C" w:rsidRDefault="00000000">
            <w:pPr>
              <w:spacing w:line="240" w:lineRule="exact"/>
              <w:rPr>
                <w:rFonts w:cs="宋体"/>
                <w:sz w:val="18"/>
                <w:szCs w:val="18"/>
              </w:rPr>
            </w:pPr>
            <w:r w:rsidRPr="0063248C">
              <w:rPr>
                <w:rFonts w:cs="宋体"/>
                <w:sz w:val="18"/>
                <w:szCs w:val="18"/>
              </w:rPr>
              <w:t>宣威市鼎宏食品有限公司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338BB4AC" w14:textId="77777777" w:rsidR="007B3DB2" w:rsidRPr="0063248C" w:rsidRDefault="00000000" w:rsidP="00606634">
            <w:pPr>
              <w:spacing w:line="240" w:lineRule="exact"/>
              <w:jc w:val="center"/>
              <w:rPr>
                <w:rFonts w:cs="宋体"/>
                <w:sz w:val="18"/>
                <w:szCs w:val="18"/>
              </w:rPr>
            </w:pPr>
            <w:r w:rsidRPr="0063248C">
              <w:rPr>
                <w:rFonts w:cs="宋体"/>
                <w:sz w:val="18"/>
                <w:szCs w:val="18"/>
              </w:rPr>
              <w:t>公司子公司的少数股东</w:t>
            </w:r>
          </w:p>
        </w:tc>
      </w:tr>
      <w:tr w:rsidR="007B3DB2" w:rsidRPr="0063248C" w14:paraId="0DD56D3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922DC1B" w14:textId="77777777" w:rsidR="007B3DB2" w:rsidRPr="0063248C" w:rsidRDefault="00000000">
            <w:pPr>
              <w:spacing w:line="240" w:lineRule="exact"/>
              <w:rPr>
                <w:rFonts w:cs="宋体"/>
                <w:sz w:val="18"/>
                <w:szCs w:val="18"/>
              </w:rPr>
            </w:pPr>
            <w:r w:rsidRPr="0063248C">
              <w:rPr>
                <w:rFonts w:cs="宋体"/>
                <w:sz w:val="18"/>
                <w:szCs w:val="18"/>
              </w:rPr>
              <w:t>蓬莱富华冷藏有限公司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962C967" w14:textId="77777777" w:rsidR="007B3DB2" w:rsidRPr="0063248C" w:rsidRDefault="00000000" w:rsidP="00606634">
            <w:pPr>
              <w:spacing w:line="240" w:lineRule="exact"/>
              <w:jc w:val="center"/>
              <w:rPr>
                <w:rFonts w:cs="宋体"/>
                <w:sz w:val="18"/>
                <w:szCs w:val="18"/>
              </w:rPr>
            </w:pPr>
            <w:r w:rsidRPr="0063248C">
              <w:rPr>
                <w:rFonts w:cs="宋体"/>
                <w:sz w:val="18"/>
                <w:szCs w:val="18"/>
              </w:rPr>
              <w:t>公司子公司的少数股东</w:t>
            </w:r>
          </w:p>
        </w:tc>
      </w:tr>
      <w:tr w:rsidR="007B3DB2" w:rsidRPr="0063248C" w14:paraId="2AFEB6A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FCB363C" w14:textId="77777777" w:rsidR="007B3DB2" w:rsidRPr="0063248C" w:rsidRDefault="00000000">
            <w:pPr>
              <w:spacing w:line="240" w:lineRule="exact"/>
              <w:rPr>
                <w:rFonts w:cs="宋体"/>
                <w:sz w:val="18"/>
                <w:szCs w:val="18"/>
              </w:rPr>
            </w:pPr>
            <w:r w:rsidRPr="0063248C">
              <w:rPr>
                <w:rFonts w:cs="宋体"/>
                <w:sz w:val="18"/>
                <w:szCs w:val="18"/>
              </w:rPr>
              <w:t>上海新农科技股份有限公司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41EC8D8A" w14:textId="77777777" w:rsidR="007B3DB2" w:rsidRPr="0063248C" w:rsidRDefault="00000000" w:rsidP="00606634">
            <w:pPr>
              <w:spacing w:line="240" w:lineRule="exact"/>
              <w:jc w:val="center"/>
              <w:rPr>
                <w:rFonts w:cs="宋体"/>
                <w:sz w:val="18"/>
                <w:szCs w:val="18"/>
              </w:rPr>
            </w:pPr>
            <w:r w:rsidRPr="0063248C">
              <w:rPr>
                <w:rFonts w:cs="宋体"/>
                <w:sz w:val="18"/>
                <w:szCs w:val="18"/>
              </w:rPr>
              <w:t>公司子公司的少数股东</w:t>
            </w:r>
          </w:p>
        </w:tc>
      </w:tr>
      <w:tr w:rsidR="007B3DB2" w:rsidRPr="0063248C" w14:paraId="26014C7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8B133FB" w14:textId="77777777" w:rsidR="007B3DB2" w:rsidRPr="0063248C" w:rsidRDefault="00000000">
            <w:pPr>
              <w:spacing w:line="240" w:lineRule="exact"/>
              <w:rPr>
                <w:rFonts w:cs="宋体"/>
                <w:sz w:val="18"/>
                <w:szCs w:val="18"/>
              </w:rPr>
            </w:pPr>
            <w:r w:rsidRPr="0063248C">
              <w:rPr>
                <w:rFonts w:cs="宋体"/>
                <w:sz w:val="18"/>
                <w:szCs w:val="18"/>
              </w:rPr>
              <w:t>李凯</w:t>
            </w:r>
          </w:p>
        </w:tc>
        <w:tc>
          <w:tcPr>
            <w:tcW w:w="4820" w:type="dxa"/>
            <w:tcBorders>
              <w:top w:val="single" w:sz="2" w:space="0" w:color="auto"/>
              <w:left w:val="single" w:sz="2" w:space="0" w:color="auto"/>
              <w:bottom w:val="single" w:sz="2" w:space="0" w:color="auto"/>
              <w:right w:val="single" w:sz="2" w:space="0" w:color="auto"/>
            </w:tcBorders>
            <w:vAlign w:val="center"/>
          </w:tcPr>
          <w:p w14:paraId="1123D078" w14:textId="77777777" w:rsidR="007B3DB2" w:rsidRPr="0063248C" w:rsidRDefault="00000000" w:rsidP="00606634">
            <w:pPr>
              <w:spacing w:line="240" w:lineRule="exact"/>
              <w:jc w:val="center"/>
              <w:rPr>
                <w:rFonts w:cs="宋体"/>
                <w:sz w:val="18"/>
                <w:szCs w:val="18"/>
              </w:rPr>
            </w:pPr>
            <w:r w:rsidRPr="0063248C">
              <w:rPr>
                <w:rFonts w:cs="宋体"/>
                <w:sz w:val="18"/>
                <w:szCs w:val="18"/>
              </w:rPr>
              <w:t>公司子公司的少数股东</w:t>
            </w:r>
          </w:p>
        </w:tc>
      </w:tr>
      <w:tr w:rsidR="007B3DB2" w:rsidRPr="0063248C" w14:paraId="2FAB9B40"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ADFF010" w14:textId="77777777" w:rsidR="007B3DB2" w:rsidRPr="0063248C" w:rsidRDefault="00000000">
            <w:pPr>
              <w:spacing w:line="240" w:lineRule="exact"/>
              <w:rPr>
                <w:rFonts w:cs="宋体"/>
                <w:sz w:val="18"/>
                <w:szCs w:val="18"/>
              </w:rPr>
            </w:pPr>
            <w:r w:rsidRPr="0063248C">
              <w:rPr>
                <w:rFonts w:cs="宋体"/>
                <w:sz w:val="18"/>
                <w:szCs w:val="18"/>
              </w:rPr>
              <w:t>青岛飞熊锦鑫科技有限公司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1C096670" w14:textId="77777777" w:rsidR="007B3DB2" w:rsidRPr="0063248C" w:rsidRDefault="00000000" w:rsidP="00606634">
            <w:pPr>
              <w:spacing w:line="240" w:lineRule="exact"/>
              <w:jc w:val="center"/>
              <w:rPr>
                <w:rFonts w:cs="宋体"/>
                <w:sz w:val="18"/>
                <w:szCs w:val="18"/>
              </w:rPr>
            </w:pPr>
            <w:r w:rsidRPr="0063248C">
              <w:rPr>
                <w:rFonts w:cs="宋体"/>
                <w:sz w:val="18"/>
                <w:szCs w:val="18"/>
              </w:rPr>
              <w:t>公司重要子公司的少数股东的实际控制人控制的其他公司</w:t>
            </w:r>
          </w:p>
        </w:tc>
      </w:tr>
      <w:tr w:rsidR="007B3DB2" w:rsidRPr="0063248C" w14:paraId="110D2CA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56FA171" w14:textId="77777777" w:rsidR="007B3DB2" w:rsidRPr="0063248C" w:rsidRDefault="00000000">
            <w:pPr>
              <w:spacing w:line="240" w:lineRule="exact"/>
              <w:rPr>
                <w:rFonts w:cs="宋体"/>
                <w:sz w:val="18"/>
                <w:szCs w:val="18"/>
              </w:rPr>
            </w:pPr>
            <w:r w:rsidRPr="0063248C">
              <w:rPr>
                <w:rFonts w:cs="宋体"/>
                <w:sz w:val="18"/>
                <w:szCs w:val="18"/>
              </w:rPr>
              <w:t>力诚国际贸易股份有限公司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69158ED" w14:textId="77777777" w:rsidR="007B3DB2" w:rsidRPr="0063248C" w:rsidRDefault="00000000" w:rsidP="00606634">
            <w:pPr>
              <w:spacing w:line="240" w:lineRule="exact"/>
              <w:jc w:val="center"/>
              <w:rPr>
                <w:rFonts w:cs="宋体"/>
                <w:sz w:val="18"/>
                <w:szCs w:val="18"/>
              </w:rPr>
            </w:pPr>
            <w:r w:rsidRPr="0063248C">
              <w:rPr>
                <w:rFonts w:cs="宋体"/>
                <w:sz w:val="18"/>
                <w:szCs w:val="18"/>
              </w:rPr>
              <w:t>公司高管担任监事的公司</w:t>
            </w:r>
          </w:p>
        </w:tc>
      </w:tr>
      <w:tr w:rsidR="007B3DB2" w:rsidRPr="0063248C" w14:paraId="1222C99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176D11E" w14:textId="77777777" w:rsidR="007B3DB2" w:rsidRPr="0063248C" w:rsidRDefault="00000000">
            <w:pPr>
              <w:spacing w:line="240" w:lineRule="exact"/>
              <w:rPr>
                <w:rFonts w:cs="宋体"/>
                <w:sz w:val="18"/>
                <w:szCs w:val="18"/>
              </w:rPr>
            </w:pPr>
            <w:r w:rsidRPr="0063248C">
              <w:rPr>
                <w:rFonts w:cs="宋体"/>
                <w:sz w:val="18"/>
                <w:szCs w:val="18"/>
              </w:rPr>
              <w:t>西安航天高技术产业发展集团有限公司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06414C8F" w14:textId="77777777" w:rsidR="007B3DB2" w:rsidRPr="0063248C" w:rsidRDefault="00000000" w:rsidP="00606634">
            <w:pPr>
              <w:spacing w:line="240" w:lineRule="exact"/>
              <w:jc w:val="center"/>
              <w:rPr>
                <w:rFonts w:cs="宋体"/>
                <w:sz w:val="18"/>
                <w:szCs w:val="18"/>
              </w:rPr>
            </w:pPr>
            <w:r w:rsidRPr="0063248C">
              <w:rPr>
                <w:rFonts w:cs="宋体"/>
                <w:sz w:val="18"/>
                <w:szCs w:val="18"/>
              </w:rPr>
              <w:t>公司高管担任监事的公司</w:t>
            </w:r>
          </w:p>
        </w:tc>
      </w:tr>
      <w:tr w:rsidR="007B3DB2" w:rsidRPr="0063248C" w14:paraId="27F9D79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B9B7B51" w14:textId="77777777" w:rsidR="007B3DB2" w:rsidRPr="0063248C" w:rsidRDefault="00000000">
            <w:pPr>
              <w:spacing w:line="240" w:lineRule="exact"/>
              <w:rPr>
                <w:rFonts w:cs="宋体"/>
                <w:sz w:val="18"/>
                <w:szCs w:val="18"/>
              </w:rPr>
            </w:pPr>
            <w:r w:rsidRPr="0063248C">
              <w:rPr>
                <w:rFonts w:cs="宋体"/>
                <w:sz w:val="18"/>
                <w:szCs w:val="18"/>
              </w:rPr>
              <w:t>莱阳银龙投资有限公司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76D6C2BE" w14:textId="77777777" w:rsidR="007B3DB2" w:rsidRPr="0063248C" w:rsidRDefault="00000000" w:rsidP="00606634">
            <w:pPr>
              <w:spacing w:line="240" w:lineRule="exact"/>
              <w:jc w:val="center"/>
              <w:rPr>
                <w:rFonts w:cs="宋体"/>
                <w:sz w:val="18"/>
                <w:szCs w:val="18"/>
              </w:rPr>
            </w:pPr>
            <w:r w:rsidRPr="0063248C">
              <w:rPr>
                <w:rFonts w:cs="宋体"/>
                <w:sz w:val="18"/>
                <w:szCs w:val="18"/>
              </w:rPr>
              <w:t>公司持股</w:t>
            </w:r>
            <w:r w:rsidRPr="0063248C">
              <w:rPr>
                <w:rFonts w:cs="宋体"/>
                <w:sz w:val="18"/>
                <w:szCs w:val="18"/>
              </w:rPr>
              <w:t>5%</w:t>
            </w:r>
            <w:r w:rsidRPr="0063248C">
              <w:rPr>
                <w:rFonts w:cs="宋体"/>
                <w:sz w:val="18"/>
                <w:szCs w:val="18"/>
              </w:rPr>
              <w:t>以上股东</w:t>
            </w:r>
          </w:p>
        </w:tc>
      </w:tr>
      <w:tr w:rsidR="007B3DB2" w:rsidRPr="0063248C" w14:paraId="306F84B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6D0199D" w14:textId="77777777" w:rsidR="007B3DB2" w:rsidRPr="0063248C" w:rsidRDefault="00000000">
            <w:pPr>
              <w:spacing w:line="240" w:lineRule="exact"/>
              <w:rPr>
                <w:rFonts w:cs="宋体"/>
                <w:sz w:val="18"/>
                <w:szCs w:val="18"/>
              </w:rPr>
            </w:pPr>
            <w:r w:rsidRPr="0063248C">
              <w:rPr>
                <w:rFonts w:cs="宋体"/>
                <w:sz w:val="18"/>
                <w:szCs w:val="18"/>
              </w:rPr>
              <w:t>青岛</w:t>
            </w:r>
            <w:proofErr w:type="gramStart"/>
            <w:r w:rsidRPr="0063248C">
              <w:rPr>
                <w:rFonts w:cs="宋体"/>
                <w:sz w:val="18"/>
                <w:szCs w:val="18"/>
              </w:rPr>
              <w:t>洪亨亚</w:t>
            </w:r>
            <w:proofErr w:type="gramEnd"/>
            <w:r w:rsidRPr="0063248C">
              <w:rPr>
                <w:rFonts w:cs="宋体"/>
                <w:sz w:val="18"/>
                <w:szCs w:val="18"/>
              </w:rPr>
              <w:t>和实业有限公司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873757F" w14:textId="77777777" w:rsidR="007B3DB2" w:rsidRPr="0063248C" w:rsidRDefault="00000000" w:rsidP="00606634">
            <w:pPr>
              <w:spacing w:line="240" w:lineRule="exact"/>
              <w:jc w:val="center"/>
              <w:rPr>
                <w:rFonts w:cs="宋体"/>
                <w:sz w:val="18"/>
                <w:szCs w:val="18"/>
              </w:rPr>
            </w:pPr>
            <w:r w:rsidRPr="0063248C">
              <w:rPr>
                <w:rFonts w:cs="宋体"/>
                <w:sz w:val="18"/>
                <w:szCs w:val="18"/>
              </w:rPr>
              <w:t>公司持股</w:t>
            </w:r>
            <w:r w:rsidRPr="0063248C">
              <w:rPr>
                <w:rFonts w:cs="宋体"/>
                <w:sz w:val="18"/>
                <w:szCs w:val="18"/>
              </w:rPr>
              <w:t>5%</w:t>
            </w:r>
            <w:r w:rsidRPr="0063248C">
              <w:rPr>
                <w:rFonts w:cs="宋体"/>
                <w:sz w:val="18"/>
                <w:szCs w:val="18"/>
              </w:rPr>
              <w:t>以上股东</w:t>
            </w:r>
          </w:p>
        </w:tc>
      </w:tr>
    </w:tbl>
    <w:p w14:paraId="4142684C" w14:textId="77777777" w:rsidR="007B3DB2" w:rsidRPr="0063248C" w:rsidRDefault="00000000">
      <w:pPr>
        <w:spacing w:before="100" w:after="100" w:line="240" w:lineRule="exact"/>
        <w:rPr>
          <w:rFonts w:cs="宋体"/>
          <w:sz w:val="18"/>
          <w:szCs w:val="18"/>
        </w:rPr>
      </w:pPr>
      <w:r w:rsidRPr="0063248C">
        <w:rPr>
          <w:rFonts w:cs="宋体"/>
          <w:sz w:val="18"/>
          <w:szCs w:val="18"/>
        </w:rPr>
        <w:t>其他说明</w:t>
      </w:r>
    </w:p>
    <w:p w14:paraId="2BA7F7F6" w14:textId="77777777" w:rsidR="00517D34" w:rsidRPr="0063248C" w:rsidRDefault="00000000">
      <w:pPr>
        <w:pStyle w:val="a3"/>
        <w:divId w:val="566185473"/>
        <w:rPr>
          <w:rFonts w:ascii="Times New Roman" w:hAnsi="Times New Roman"/>
          <w:sz w:val="18"/>
          <w:szCs w:val="18"/>
        </w:rPr>
      </w:pPr>
      <w:r w:rsidRPr="0063248C">
        <w:rPr>
          <w:rFonts w:ascii="Times New Roman" w:hAnsi="Times New Roman" w:hint="eastAsia"/>
          <w:sz w:val="18"/>
          <w:szCs w:val="18"/>
        </w:rPr>
        <w:t>无</w:t>
      </w:r>
    </w:p>
    <w:p w14:paraId="65E075BA" w14:textId="77777777" w:rsidR="007B3DB2" w:rsidRPr="0063248C" w:rsidRDefault="00000000">
      <w:pPr>
        <w:pStyle w:val="3"/>
        <w:spacing w:line="280" w:lineRule="exact"/>
        <w:jc w:val="left"/>
        <w:rPr>
          <w:rFonts w:cs="宋体"/>
          <w:b/>
          <w:bCs/>
        </w:rPr>
      </w:pPr>
      <w:bookmarkStart w:id="471" w:name="_Toc989365"/>
      <w:r w:rsidRPr="0063248C">
        <w:rPr>
          <w:rFonts w:cs="宋体"/>
          <w:b/>
          <w:bCs/>
        </w:rPr>
        <w:t>5</w:t>
      </w:r>
      <w:r w:rsidRPr="0063248C">
        <w:rPr>
          <w:rFonts w:cs="宋体"/>
          <w:b/>
          <w:bCs/>
        </w:rPr>
        <w:t>、关联交易情况</w:t>
      </w:r>
      <w:bookmarkEnd w:id="471"/>
    </w:p>
    <w:p w14:paraId="6F1146D8" w14:textId="77777777" w:rsidR="007B3DB2" w:rsidRPr="0063248C" w:rsidRDefault="00000000">
      <w:pPr>
        <w:keepNext/>
        <w:keepLines/>
        <w:spacing w:before="300" w:after="300" w:line="280" w:lineRule="exact"/>
        <w:outlineLvl w:val="3"/>
        <w:rPr>
          <w:rFonts w:cs="宋体"/>
          <w:b/>
          <w:bCs/>
          <w:szCs w:val="21"/>
        </w:rPr>
      </w:pPr>
      <w:bookmarkStart w:id="472" w:name="_Toc989366"/>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购销商品、提供和接受劳务的关联交易</w:t>
      </w:r>
      <w:bookmarkEnd w:id="472"/>
    </w:p>
    <w:p w14:paraId="04D7CA5A" w14:textId="77777777" w:rsidR="007B3DB2" w:rsidRPr="0063248C" w:rsidRDefault="00000000">
      <w:pPr>
        <w:spacing w:before="40" w:after="40" w:line="240" w:lineRule="exact"/>
        <w:rPr>
          <w:rFonts w:cs="宋体"/>
          <w:sz w:val="18"/>
          <w:szCs w:val="18"/>
        </w:rPr>
      </w:pPr>
      <w:r w:rsidRPr="0063248C">
        <w:rPr>
          <w:rFonts w:cs="宋体"/>
          <w:sz w:val="18"/>
          <w:szCs w:val="18"/>
        </w:rPr>
        <w:t>采购商品</w:t>
      </w:r>
      <w:r w:rsidRPr="0063248C">
        <w:rPr>
          <w:rFonts w:cs="宋体"/>
          <w:sz w:val="18"/>
          <w:szCs w:val="18"/>
        </w:rPr>
        <w:t>/</w:t>
      </w:r>
      <w:r w:rsidRPr="0063248C">
        <w:rPr>
          <w:rFonts w:cs="宋体"/>
          <w:sz w:val="18"/>
          <w:szCs w:val="18"/>
        </w:rPr>
        <w:t>接受劳务情况表</w:t>
      </w:r>
    </w:p>
    <w:p w14:paraId="657A982A"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B3DB2" w:rsidRPr="0063248C" w14:paraId="16FFC8F1"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B2C6950" w14:textId="77777777" w:rsidR="007B3DB2" w:rsidRPr="0063248C" w:rsidRDefault="00000000">
            <w:pPr>
              <w:spacing w:before="40" w:after="40" w:line="240" w:lineRule="exact"/>
              <w:jc w:val="center"/>
              <w:rPr>
                <w:rFonts w:cs="宋体"/>
                <w:sz w:val="18"/>
                <w:szCs w:val="18"/>
              </w:rPr>
            </w:pPr>
            <w:r w:rsidRPr="0063248C">
              <w:rPr>
                <w:rFonts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1D0E4AC" w14:textId="77777777" w:rsidR="007B3DB2" w:rsidRPr="0063248C" w:rsidRDefault="00000000">
            <w:pPr>
              <w:spacing w:before="40" w:after="40" w:line="240" w:lineRule="exact"/>
              <w:jc w:val="center"/>
              <w:rPr>
                <w:rFonts w:cs="宋体"/>
                <w:sz w:val="18"/>
                <w:szCs w:val="18"/>
              </w:rPr>
            </w:pPr>
            <w:r w:rsidRPr="0063248C">
              <w:rPr>
                <w:rFonts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5E186AF"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7F8A623" w14:textId="77777777" w:rsidR="007B3DB2" w:rsidRPr="0063248C" w:rsidRDefault="00000000">
            <w:pPr>
              <w:spacing w:before="40" w:after="40" w:line="240" w:lineRule="exact"/>
              <w:jc w:val="center"/>
              <w:rPr>
                <w:rFonts w:cs="宋体"/>
                <w:sz w:val="18"/>
                <w:szCs w:val="18"/>
              </w:rPr>
            </w:pPr>
            <w:r w:rsidRPr="0063248C">
              <w:rPr>
                <w:rFonts w:cs="宋体"/>
                <w:sz w:val="18"/>
                <w:szCs w:val="18"/>
              </w:rPr>
              <w:t>获批的交易额度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90A8040" w14:textId="77777777" w:rsidR="007B3DB2" w:rsidRPr="0063248C" w:rsidRDefault="00000000">
            <w:pPr>
              <w:spacing w:before="40" w:after="40" w:line="240" w:lineRule="exact"/>
              <w:jc w:val="center"/>
              <w:rPr>
                <w:rFonts w:cs="宋体"/>
                <w:sz w:val="18"/>
                <w:szCs w:val="18"/>
              </w:rPr>
            </w:pPr>
            <w:r w:rsidRPr="0063248C">
              <w:rPr>
                <w:rFonts w:cs="宋体"/>
                <w:sz w:val="18"/>
                <w:szCs w:val="18"/>
              </w:rPr>
              <w:t>是否超过交易额度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2E71AE7"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42E0335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DCC81CA" w14:textId="77777777" w:rsidR="007B3DB2" w:rsidRPr="0063248C" w:rsidRDefault="00000000">
            <w:pPr>
              <w:spacing w:line="240" w:lineRule="exact"/>
              <w:rPr>
                <w:rFonts w:cs="宋体"/>
                <w:sz w:val="18"/>
                <w:szCs w:val="18"/>
              </w:rPr>
            </w:pPr>
            <w:proofErr w:type="gramStart"/>
            <w:r w:rsidRPr="0063248C">
              <w:rPr>
                <w:rFonts w:cs="宋体"/>
                <w:sz w:val="18"/>
                <w:szCs w:val="18"/>
              </w:rPr>
              <w:t>牧原食品</w:t>
            </w:r>
            <w:proofErr w:type="gramEnd"/>
            <w:r w:rsidRPr="0063248C">
              <w:rPr>
                <w:rFonts w:cs="宋体"/>
                <w:sz w:val="18"/>
                <w:szCs w:val="18"/>
              </w:rPr>
              <w:t>股份有限公司（集团）</w:t>
            </w:r>
          </w:p>
        </w:tc>
        <w:tc>
          <w:tcPr>
            <w:tcW w:w="1606" w:type="dxa"/>
            <w:tcBorders>
              <w:top w:val="single" w:sz="2" w:space="0" w:color="auto"/>
              <w:left w:val="single" w:sz="2" w:space="0" w:color="auto"/>
              <w:bottom w:val="single" w:sz="2" w:space="0" w:color="auto"/>
              <w:right w:val="single" w:sz="2" w:space="0" w:color="auto"/>
            </w:tcBorders>
            <w:vAlign w:val="center"/>
          </w:tcPr>
          <w:p w14:paraId="599C2415" w14:textId="68735554" w:rsidR="007B3DB2" w:rsidRPr="0063248C" w:rsidRDefault="00000000">
            <w:pPr>
              <w:spacing w:line="240" w:lineRule="exact"/>
              <w:rPr>
                <w:rFonts w:cs="宋体"/>
                <w:sz w:val="18"/>
                <w:szCs w:val="18"/>
              </w:rPr>
            </w:pPr>
            <w:r w:rsidRPr="0063248C">
              <w:rPr>
                <w:rFonts w:cs="宋体"/>
                <w:sz w:val="18"/>
                <w:szCs w:val="18"/>
              </w:rPr>
              <w:t>购买商品</w:t>
            </w:r>
            <w:r w:rsidR="00FA083A" w:rsidRPr="0063248C">
              <w:rPr>
                <w:rFonts w:cs="宋体"/>
                <w:sz w:val="18"/>
                <w:szCs w:val="18"/>
              </w:rPr>
              <w:t>（</w:t>
            </w:r>
            <w:r w:rsidRPr="0063248C">
              <w:rPr>
                <w:rFonts w:cs="宋体"/>
                <w:sz w:val="18"/>
                <w:szCs w:val="18"/>
              </w:rPr>
              <w:t>毛猪</w:t>
            </w:r>
            <w:r w:rsidR="00FA083A" w:rsidRPr="0063248C">
              <w:rPr>
                <w:rFonts w:cs="宋体"/>
                <w:sz w:val="18"/>
                <w:szCs w:val="18"/>
              </w:rPr>
              <w:t>）</w:t>
            </w:r>
          </w:p>
        </w:tc>
        <w:tc>
          <w:tcPr>
            <w:tcW w:w="1606" w:type="dxa"/>
            <w:tcBorders>
              <w:top w:val="single" w:sz="2" w:space="0" w:color="auto"/>
              <w:left w:val="single" w:sz="2" w:space="0" w:color="auto"/>
              <w:bottom w:val="single" w:sz="2" w:space="0" w:color="auto"/>
              <w:right w:val="single" w:sz="2" w:space="0" w:color="auto"/>
            </w:tcBorders>
            <w:vAlign w:val="center"/>
          </w:tcPr>
          <w:p w14:paraId="562123A7" w14:textId="77777777" w:rsidR="007B3DB2" w:rsidRPr="0063248C" w:rsidRDefault="00000000">
            <w:pPr>
              <w:spacing w:line="240" w:lineRule="exact"/>
              <w:jc w:val="right"/>
              <w:rPr>
                <w:rFonts w:cs="宋体"/>
                <w:sz w:val="18"/>
                <w:szCs w:val="18"/>
              </w:rPr>
            </w:pPr>
            <w:r w:rsidRPr="0063248C">
              <w:rPr>
                <w:rFonts w:cs="宋体"/>
                <w:sz w:val="18"/>
                <w:szCs w:val="18"/>
              </w:rPr>
              <w:t>809,780,187.23</w:t>
            </w:r>
          </w:p>
        </w:tc>
        <w:tc>
          <w:tcPr>
            <w:tcW w:w="1606" w:type="dxa"/>
            <w:tcBorders>
              <w:top w:val="single" w:sz="2" w:space="0" w:color="auto"/>
              <w:left w:val="single" w:sz="2" w:space="0" w:color="auto"/>
              <w:bottom w:val="single" w:sz="2" w:space="0" w:color="auto"/>
              <w:right w:val="single" w:sz="2" w:space="0" w:color="auto"/>
            </w:tcBorders>
            <w:vAlign w:val="center"/>
          </w:tcPr>
          <w:p w14:paraId="50619855"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B1DC67A"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505408BE" w14:textId="77777777" w:rsidR="007B3DB2" w:rsidRPr="0063248C" w:rsidRDefault="00000000">
            <w:pPr>
              <w:spacing w:line="240" w:lineRule="exact"/>
              <w:jc w:val="right"/>
              <w:rPr>
                <w:rFonts w:cs="宋体"/>
                <w:sz w:val="18"/>
                <w:szCs w:val="18"/>
              </w:rPr>
            </w:pPr>
            <w:r w:rsidRPr="0063248C">
              <w:rPr>
                <w:rFonts w:cs="宋体"/>
                <w:sz w:val="18"/>
                <w:szCs w:val="18"/>
              </w:rPr>
              <w:t>914,842,103.51</w:t>
            </w:r>
          </w:p>
        </w:tc>
      </w:tr>
      <w:tr w:rsidR="007B3DB2" w:rsidRPr="0063248C" w14:paraId="09DFA83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E1F8EE4" w14:textId="77777777" w:rsidR="007B3DB2" w:rsidRPr="0063248C" w:rsidRDefault="00000000">
            <w:pPr>
              <w:spacing w:line="240" w:lineRule="exact"/>
              <w:rPr>
                <w:rFonts w:cs="宋体"/>
                <w:sz w:val="18"/>
                <w:szCs w:val="18"/>
              </w:rPr>
            </w:pPr>
            <w:proofErr w:type="gramStart"/>
            <w:r w:rsidRPr="0063248C">
              <w:rPr>
                <w:rFonts w:cs="宋体"/>
                <w:sz w:val="18"/>
                <w:szCs w:val="18"/>
              </w:rPr>
              <w:t>牧原食品</w:t>
            </w:r>
            <w:proofErr w:type="gramEnd"/>
            <w:r w:rsidRPr="0063248C">
              <w:rPr>
                <w:rFonts w:cs="宋体"/>
                <w:sz w:val="18"/>
                <w:szCs w:val="18"/>
              </w:rPr>
              <w:t>股份有限公司（集团）</w:t>
            </w:r>
          </w:p>
        </w:tc>
        <w:tc>
          <w:tcPr>
            <w:tcW w:w="1606" w:type="dxa"/>
            <w:tcBorders>
              <w:top w:val="single" w:sz="2" w:space="0" w:color="auto"/>
              <w:left w:val="single" w:sz="2" w:space="0" w:color="auto"/>
              <w:bottom w:val="single" w:sz="2" w:space="0" w:color="auto"/>
              <w:right w:val="single" w:sz="2" w:space="0" w:color="auto"/>
            </w:tcBorders>
            <w:vAlign w:val="center"/>
          </w:tcPr>
          <w:p w14:paraId="0BB99055" w14:textId="5123B53E" w:rsidR="007B3DB2" w:rsidRPr="0063248C" w:rsidRDefault="00000000">
            <w:pPr>
              <w:spacing w:line="240" w:lineRule="exact"/>
              <w:rPr>
                <w:rFonts w:cs="宋体"/>
                <w:sz w:val="18"/>
                <w:szCs w:val="18"/>
              </w:rPr>
            </w:pPr>
            <w:r w:rsidRPr="0063248C">
              <w:rPr>
                <w:rFonts w:cs="宋体"/>
                <w:sz w:val="18"/>
                <w:szCs w:val="18"/>
              </w:rPr>
              <w:t>购买商品</w:t>
            </w:r>
            <w:r w:rsidR="00FA083A" w:rsidRPr="0063248C">
              <w:rPr>
                <w:rFonts w:cs="宋体"/>
                <w:sz w:val="18"/>
                <w:szCs w:val="18"/>
              </w:rPr>
              <w:t>（</w:t>
            </w:r>
            <w:r w:rsidRPr="0063248C">
              <w:rPr>
                <w:rFonts w:cs="宋体"/>
                <w:sz w:val="18"/>
                <w:szCs w:val="18"/>
              </w:rPr>
              <w:t>猪产品</w:t>
            </w:r>
            <w:r w:rsidR="00FA083A" w:rsidRPr="0063248C">
              <w:rPr>
                <w:rFonts w:cs="宋体"/>
                <w:sz w:val="18"/>
                <w:szCs w:val="18"/>
              </w:rPr>
              <w:t>）</w:t>
            </w:r>
          </w:p>
        </w:tc>
        <w:tc>
          <w:tcPr>
            <w:tcW w:w="1606" w:type="dxa"/>
            <w:tcBorders>
              <w:top w:val="single" w:sz="2" w:space="0" w:color="auto"/>
              <w:left w:val="single" w:sz="2" w:space="0" w:color="auto"/>
              <w:bottom w:val="single" w:sz="2" w:space="0" w:color="auto"/>
              <w:right w:val="single" w:sz="2" w:space="0" w:color="auto"/>
            </w:tcBorders>
            <w:vAlign w:val="center"/>
          </w:tcPr>
          <w:p w14:paraId="68E2B5A3" w14:textId="77777777" w:rsidR="007B3DB2" w:rsidRPr="0063248C" w:rsidRDefault="00000000">
            <w:pPr>
              <w:spacing w:line="240" w:lineRule="exact"/>
              <w:jc w:val="right"/>
              <w:rPr>
                <w:rFonts w:cs="宋体"/>
                <w:sz w:val="18"/>
                <w:szCs w:val="18"/>
              </w:rPr>
            </w:pPr>
            <w:r w:rsidRPr="0063248C">
              <w:rPr>
                <w:rFonts w:cs="宋体"/>
                <w:sz w:val="18"/>
                <w:szCs w:val="18"/>
              </w:rPr>
              <w:t>4,176,942.29</w:t>
            </w:r>
          </w:p>
        </w:tc>
        <w:tc>
          <w:tcPr>
            <w:tcW w:w="1606" w:type="dxa"/>
            <w:tcBorders>
              <w:top w:val="single" w:sz="2" w:space="0" w:color="auto"/>
              <w:left w:val="single" w:sz="2" w:space="0" w:color="auto"/>
              <w:bottom w:val="single" w:sz="2" w:space="0" w:color="auto"/>
              <w:right w:val="single" w:sz="2" w:space="0" w:color="auto"/>
            </w:tcBorders>
            <w:vAlign w:val="center"/>
          </w:tcPr>
          <w:p w14:paraId="5C5F2739"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9709CF5"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00424863" w14:textId="77777777" w:rsidR="007B3DB2" w:rsidRPr="0063248C" w:rsidRDefault="00000000">
            <w:pPr>
              <w:spacing w:line="240" w:lineRule="exact"/>
              <w:jc w:val="right"/>
              <w:rPr>
                <w:rFonts w:cs="宋体"/>
                <w:sz w:val="18"/>
                <w:szCs w:val="18"/>
              </w:rPr>
            </w:pPr>
            <w:r w:rsidRPr="0063248C">
              <w:rPr>
                <w:rFonts w:cs="宋体"/>
                <w:sz w:val="18"/>
                <w:szCs w:val="18"/>
              </w:rPr>
              <w:t>231,880.74</w:t>
            </w:r>
          </w:p>
        </w:tc>
      </w:tr>
      <w:tr w:rsidR="007B3DB2" w:rsidRPr="0063248C" w14:paraId="732C9A0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4457DA1" w14:textId="77777777" w:rsidR="007B3DB2" w:rsidRPr="0063248C" w:rsidRDefault="00000000">
            <w:pPr>
              <w:spacing w:line="240" w:lineRule="exact"/>
              <w:rPr>
                <w:rFonts w:cs="宋体"/>
                <w:sz w:val="18"/>
                <w:szCs w:val="18"/>
              </w:rPr>
            </w:pPr>
            <w:proofErr w:type="gramStart"/>
            <w:r w:rsidRPr="0063248C">
              <w:rPr>
                <w:rFonts w:cs="宋体"/>
                <w:sz w:val="18"/>
                <w:szCs w:val="18"/>
              </w:rPr>
              <w:t>牧原食品</w:t>
            </w:r>
            <w:proofErr w:type="gramEnd"/>
            <w:r w:rsidRPr="0063248C">
              <w:rPr>
                <w:rFonts w:cs="宋体"/>
                <w:sz w:val="18"/>
                <w:szCs w:val="18"/>
              </w:rPr>
              <w:t>股份有限公司（集团）</w:t>
            </w:r>
          </w:p>
        </w:tc>
        <w:tc>
          <w:tcPr>
            <w:tcW w:w="1606" w:type="dxa"/>
            <w:tcBorders>
              <w:top w:val="single" w:sz="2" w:space="0" w:color="auto"/>
              <w:left w:val="single" w:sz="2" w:space="0" w:color="auto"/>
              <w:bottom w:val="single" w:sz="2" w:space="0" w:color="auto"/>
              <w:right w:val="single" w:sz="2" w:space="0" w:color="auto"/>
            </w:tcBorders>
            <w:vAlign w:val="center"/>
          </w:tcPr>
          <w:p w14:paraId="58F1796C" w14:textId="585BB021" w:rsidR="007B3DB2" w:rsidRPr="0063248C" w:rsidRDefault="00000000">
            <w:pPr>
              <w:spacing w:line="240" w:lineRule="exact"/>
              <w:rPr>
                <w:rFonts w:cs="宋体"/>
                <w:sz w:val="18"/>
                <w:szCs w:val="18"/>
              </w:rPr>
            </w:pPr>
            <w:r w:rsidRPr="0063248C">
              <w:rPr>
                <w:rFonts w:cs="宋体"/>
                <w:sz w:val="18"/>
                <w:szCs w:val="18"/>
              </w:rPr>
              <w:t>购买商品</w:t>
            </w:r>
            <w:r w:rsidR="00FA083A" w:rsidRPr="0063248C">
              <w:rPr>
                <w:rFonts w:cs="宋体"/>
                <w:sz w:val="18"/>
                <w:szCs w:val="18"/>
              </w:rPr>
              <w:t>（</w:t>
            </w:r>
            <w:r w:rsidRPr="0063248C">
              <w:rPr>
                <w:rFonts w:cs="宋体"/>
                <w:sz w:val="18"/>
                <w:szCs w:val="18"/>
              </w:rPr>
              <w:t>猪仔</w:t>
            </w:r>
            <w:r w:rsidR="00FA083A" w:rsidRPr="0063248C">
              <w:rPr>
                <w:rFonts w:cs="宋体"/>
                <w:sz w:val="18"/>
                <w:szCs w:val="18"/>
              </w:rPr>
              <w:t>）</w:t>
            </w:r>
          </w:p>
        </w:tc>
        <w:tc>
          <w:tcPr>
            <w:tcW w:w="1606" w:type="dxa"/>
            <w:tcBorders>
              <w:top w:val="single" w:sz="2" w:space="0" w:color="auto"/>
              <w:left w:val="single" w:sz="2" w:space="0" w:color="auto"/>
              <w:bottom w:val="single" w:sz="2" w:space="0" w:color="auto"/>
              <w:right w:val="single" w:sz="2" w:space="0" w:color="auto"/>
            </w:tcBorders>
            <w:vAlign w:val="center"/>
          </w:tcPr>
          <w:p w14:paraId="42CBFD06" w14:textId="77777777" w:rsidR="007B3DB2" w:rsidRPr="0063248C" w:rsidRDefault="00000000">
            <w:pPr>
              <w:spacing w:line="240" w:lineRule="exact"/>
              <w:jc w:val="right"/>
              <w:rPr>
                <w:rFonts w:cs="宋体"/>
                <w:sz w:val="18"/>
                <w:szCs w:val="18"/>
              </w:rPr>
            </w:pPr>
            <w:r w:rsidRPr="0063248C">
              <w:rPr>
                <w:rFonts w:cs="宋体"/>
                <w:sz w:val="18"/>
                <w:szCs w:val="18"/>
              </w:rPr>
              <w:t>14,580,690.00</w:t>
            </w:r>
          </w:p>
        </w:tc>
        <w:tc>
          <w:tcPr>
            <w:tcW w:w="1606" w:type="dxa"/>
            <w:tcBorders>
              <w:top w:val="single" w:sz="2" w:space="0" w:color="auto"/>
              <w:left w:val="single" w:sz="2" w:space="0" w:color="auto"/>
              <w:bottom w:val="single" w:sz="2" w:space="0" w:color="auto"/>
              <w:right w:val="single" w:sz="2" w:space="0" w:color="auto"/>
            </w:tcBorders>
            <w:vAlign w:val="center"/>
          </w:tcPr>
          <w:p w14:paraId="26B6B263"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9E64652"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2224A722" w14:textId="77777777" w:rsidR="007B3DB2" w:rsidRPr="0063248C" w:rsidRDefault="007B3DB2">
            <w:pPr>
              <w:spacing w:line="240" w:lineRule="exact"/>
              <w:jc w:val="right"/>
              <w:rPr>
                <w:rFonts w:cs="宋体"/>
                <w:sz w:val="18"/>
                <w:szCs w:val="18"/>
              </w:rPr>
            </w:pPr>
          </w:p>
        </w:tc>
      </w:tr>
      <w:tr w:rsidR="007B3DB2" w:rsidRPr="0063248C" w14:paraId="3208D2A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11E77E8" w14:textId="77777777" w:rsidR="007B3DB2" w:rsidRPr="0063248C" w:rsidRDefault="00000000">
            <w:pPr>
              <w:spacing w:line="240" w:lineRule="exact"/>
              <w:rPr>
                <w:rFonts w:cs="宋体"/>
                <w:sz w:val="18"/>
                <w:szCs w:val="18"/>
              </w:rPr>
            </w:pPr>
            <w:proofErr w:type="gramStart"/>
            <w:r w:rsidRPr="0063248C">
              <w:rPr>
                <w:rFonts w:cs="宋体"/>
                <w:sz w:val="18"/>
                <w:szCs w:val="18"/>
              </w:rPr>
              <w:t>牧原食品</w:t>
            </w:r>
            <w:proofErr w:type="gramEnd"/>
            <w:r w:rsidRPr="0063248C">
              <w:rPr>
                <w:rFonts w:cs="宋体"/>
                <w:sz w:val="18"/>
                <w:szCs w:val="18"/>
              </w:rPr>
              <w:t>股份有限公司（集团）</w:t>
            </w:r>
          </w:p>
        </w:tc>
        <w:tc>
          <w:tcPr>
            <w:tcW w:w="1606" w:type="dxa"/>
            <w:tcBorders>
              <w:top w:val="single" w:sz="2" w:space="0" w:color="auto"/>
              <w:left w:val="single" w:sz="2" w:space="0" w:color="auto"/>
              <w:bottom w:val="single" w:sz="2" w:space="0" w:color="auto"/>
              <w:right w:val="single" w:sz="2" w:space="0" w:color="auto"/>
            </w:tcBorders>
            <w:vAlign w:val="center"/>
          </w:tcPr>
          <w:p w14:paraId="58EAC5F0" w14:textId="76030210" w:rsidR="007B3DB2" w:rsidRPr="0063248C" w:rsidRDefault="00000000">
            <w:pPr>
              <w:spacing w:line="240" w:lineRule="exact"/>
              <w:rPr>
                <w:rFonts w:cs="宋体"/>
                <w:sz w:val="18"/>
                <w:szCs w:val="18"/>
              </w:rPr>
            </w:pPr>
            <w:r w:rsidRPr="0063248C">
              <w:rPr>
                <w:rFonts w:cs="宋体"/>
                <w:sz w:val="18"/>
                <w:szCs w:val="18"/>
              </w:rPr>
              <w:t>购买商品</w:t>
            </w:r>
            <w:r w:rsidR="00FA083A" w:rsidRPr="0063248C">
              <w:rPr>
                <w:rFonts w:cs="宋体"/>
                <w:sz w:val="18"/>
                <w:szCs w:val="18"/>
              </w:rPr>
              <w:t>（</w:t>
            </w:r>
            <w:r w:rsidRPr="0063248C">
              <w:rPr>
                <w:rFonts w:cs="宋体"/>
                <w:sz w:val="18"/>
                <w:szCs w:val="18"/>
              </w:rPr>
              <w:t>母猪</w:t>
            </w:r>
            <w:r w:rsidR="00FA083A" w:rsidRPr="0063248C">
              <w:rPr>
                <w:rFonts w:cs="宋体"/>
                <w:sz w:val="18"/>
                <w:szCs w:val="18"/>
              </w:rPr>
              <w:t>）</w:t>
            </w:r>
          </w:p>
        </w:tc>
        <w:tc>
          <w:tcPr>
            <w:tcW w:w="1606" w:type="dxa"/>
            <w:tcBorders>
              <w:top w:val="single" w:sz="2" w:space="0" w:color="auto"/>
              <w:left w:val="single" w:sz="2" w:space="0" w:color="auto"/>
              <w:bottom w:val="single" w:sz="2" w:space="0" w:color="auto"/>
              <w:right w:val="single" w:sz="2" w:space="0" w:color="auto"/>
            </w:tcBorders>
            <w:vAlign w:val="center"/>
          </w:tcPr>
          <w:p w14:paraId="41B86D0B" w14:textId="77777777" w:rsidR="007B3DB2" w:rsidRPr="0063248C" w:rsidRDefault="00000000">
            <w:pPr>
              <w:spacing w:line="240" w:lineRule="exact"/>
              <w:jc w:val="right"/>
              <w:rPr>
                <w:rFonts w:cs="宋体"/>
                <w:sz w:val="18"/>
                <w:szCs w:val="18"/>
              </w:rPr>
            </w:pPr>
            <w:r w:rsidRPr="0063248C">
              <w:rPr>
                <w:rFonts w:cs="宋体"/>
                <w:sz w:val="18"/>
                <w:szCs w:val="18"/>
              </w:rPr>
              <w:t>4,728,700.00</w:t>
            </w:r>
          </w:p>
        </w:tc>
        <w:tc>
          <w:tcPr>
            <w:tcW w:w="1606" w:type="dxa"/>
            <w:tcBorders>
              <w:top w:val="single" w:sz="2" w:space="0" w:color="auto"/>
              <w:left w:val="single" w:sz="2" w:space="0" w:color="auto"/>
              <w:bottom w:val="single" w:sz="2" w:space="0" w:color="auto"/>
              <w:right w:val="single" w:sz="2" w:space="0" w:color="auto"/>
            </w:tcBorders>
            <w:vAlign w:val="center"/>
          </w:tcPr>
          <w:p w14:paraId="5B3C0534"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8A07D4D"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2FF3AB8B" w14:textId="77777777" w:rsidR="007B3DB2" w:rsidRPr="0063248C" w:rsidRDefault="007B3DB2">
            <w:pPr>
              <w:spacing w:line="240" w:lineRule="exact"/>
              <w:jc w:val="right"/>
              <w:rPr>
                <w:rFonts w:cs="宋体"/>
                <w:sz w:val="18"/>
                <w:szCs w:val="18"/>
              </w:rPr>
            </w:pPr>
          </w:p>
        </w:tc>
      </w:tr>
      <w:tr w:rsidR="007B3DB2" w:rsidRPr="0063248C" w14:paraId="6E5F850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78644BC" w14:textId="77777777" w:rsidR="007B3DB2" w:rsidRPr="0063248C" w:rsidRDefault="00000000">
            <w:pPr>
              <w:spacing w:line="240" w:lineRule="exact"/>
              <w:rPr>
                <w:rFonts w:cs="宋体"/>
                <w:sz w:val="18"/>
                <w:szCs w:val="18"/>
              </w:rPr>
            </w:pPr>
            <w:r w:rsidRPr="0063248C">
              <w:rPr>
                <w:rFonts w:cs="宋体"/>
                <w:sz w:val="18"/>
                <w:szCs w:val="18"/>
              </w:rPr>
              <w:t>青岛联合友和食</w:t>
            </w:r>
            <w:r w:rsidRPr="0063248C">
              <w:rPr>
                <w:rFonts w:cs="宋体"/>
                <w:sz w:val="18"/>
                <w:szCs w:val="18"/>
              </w:rPr>
              <w:lastRenderedPageBreak/>
              <w:t>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507A1A3" w14:textId="77777777" w:rsidR="007B3DB2" w:rsidRPr="0063248C" w:rsidRDefault="00000000">
            <w:pPr>
              <w:spacing w:line="240" w:lineRule="exact"/>
              <w:rPr>
                <w:rFonts w:cs="宋体"/>
                <w:sz w:val="18"/>
                <w:szCs w:val="18"/>
              </w:rPr>
            </w:pPr>
            <w:r w:rsidRPr="0063248C">
              <w:rPr>
                <w:rFonts w:cs="宋体"/>
                <w:sz w:val="18"/>
                <w:szCs w:val="18"/>
              </w:rPr>
              <w:lastRenderedPageBreak/>
              <w:t>代理费</w:t>
            </w:r>
          </w:p>
        </w:tc>
        <w:tc>
          <w:tcPr>
            <w:tcW w:w="1606" w:type="dxa"/>
            <w:tcBorders>
              <w:top w:val="single" w:sz="2" w:space="0" w:color="auto"/>
              <w:left w:val="single" w:sz="2" w:space="0" w:color="auto"/>
              <w:bottom w:val="single" w:sz="2" w:space="0" w:color="auto"/>
              <w:right w:val="single" w:sz="2" w:space="0" w:color="auto"/>
            </w:tcBorders>
            <w:vAlign w:val="center"/>
          </w:tcPr>
          <w:p w14:paraId="60D0ACAD"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07D471C"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11DC3FB"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0DF4409D" w14:textId="77777777" w:rsidR="007B3DB2" w:rsidRPr="0063248C" w:rsidRDefault="00000000">
            <w:pPr>
              <w:spacing w:line="240" w:lineRule="exact"/>
              <w:jc w:val="right"/>
              <w:rPr>
                <w:rFonts w:cs="宋体"/>
                <w:sz w:val="18"/>
                <w:szCs w:val="18"/>
              </w:rPr>
            </w:pPr>
            <w:r w:rsidRPr="0063248C">
              <w:rPr>
                <w:rFonts w:cs="宋体"/>
                <w:sz w:val="18"/>
                <w:szCs w:val="18"/>
              </w:rPr>
              <w:t>1,294,939.91</w:t>
            </w:r>
          </w:p>
        </w:tc>
      </w:tr>
      <w:tr w:rsidR="007B3DB2" w:rsidRPr="0063248C" w14:paraId="3A2D6A4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17E3328" w14:textId="77777777" w:rsidR="007B3DB2" w:rsidRPr="0063248C" w:rsidRDefault="00000000">
            <w:pPr>
              <w:spacing w:line="240" w:lineRule="exact"/>
              <w:rPr>
                <w:rFonts w:cs="宋体"/>
                <w:sz w:val="18"/>
                <w:szCs w:val="18"/>
              </w:rPr>
            </w:pPr>
            <w:r w:rsidRPr="0063248C">
              <w:rPr>
                <w:rFonts w:cs="宋体"/>
                <w:sz w:val="18"/>
                <w:szCs w:val="18"/>
              </w:rPr>
              <w:t>青岛联合友和食品有限公司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17D5D92" w14:textId="77777777" w:rsidR="007B3DB2" w:rsidRPr="0063248C" w:rsidRDefault="00000000">
            <w:pPr>
              <w:spacing w:line="240" w:lineRule="exact"/>
              <w:rPr>
                <w:rFonts w:cs="宋体"/>
                <w:sz w:val="18"/>
                <w:szCs w:val="18"/>
              </w:rPr>
            </w:pPr>
            <w:r w:rsidRPr="0063248C">
              <w:rPr>
                <w:rFonts w:cs="宋体"/>
                <w:sz w:val="18"/>
                <w:szCs w:val="18"/>
              </w:rPr>
              <w:t>购买商品（猪产品）</w:t>
            </w:r>
          </w:p>
        </w:tc>
        <w:tc>
          <w:tcPr>
            <w:tcW w:w="1606" w:type="dxa"/>
            <w:tcBorders>
              <w:top w:val="single" w:sz="2" w:space="0" w:color="auto"/>
              <w:left w:val="single" w:sz="2" w:space="0" w:color="auto"/>
              <w:bottom w:val="single" w:sz="2" w:space="0" w:color="auto"/>
              <w:right w:val="single" w:sz="2" w:space="0" w:color="auto"/>
            </w:tcBorders>
            <w:vAlign w:val="center"/>
          </w:tcPr>
          <w:p w14:paraId="017B944B"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CF4A416"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047CB97"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6D5A3EF0" w14:textId="77777777" w:rsidR="007B3DB2" w:rsidRPr="0063248C" w:rsidRDefault="00000000">
            <w:pPr>
              <w:spacing w:line="240" w:lineRule="exact"/>
              <w:jc w:val="right"/>
              <w:rPr>
                <w:rFonts w:cs="宋体"/>
                <w:sz w:val="18"/>
                <w:szCs w:val="18"/>
              </w:rPr>
            </w:pPr>
            <w:r w:rsidRPr="0063248C">
              <w:rPr>
                <w:rFonts w:cs="宋体"/>
                <w:sz w:val="18"/>
                <w:szCs w:val="18"/>
              </w:rPr>
              <w:t>27,069,922.43</w:t>
            </w:r>
          </w:p>
        </w:tc>
      </w:tr>
      <w:tr w:rsidR="007B3DB2" w:rsidRPr="0063248C" w14:paraId="2801C1F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B5337FA" w14:textId="77777777" w:rsidR="007B3DB2" w:rsidRPr="0063248C" w:rsidRDefault="00000000">
            <w:pPr>
              <w:spacing w:line="240" w:lineRule="exact"/>
              <w:rPr>
                <w:rFonts w:cs="宋体"/>
                <w:sz w:val="18"/>
                <w:szCs w:val="18"/>
              </w:rPr>
            </w:pPr>
            <w:r w:rsidRPr="0063248C">
              <w:rPr>
                <w:rFonts w:cs="宋体"/>
                <w:sz w:val="18"/>
                <w:szCs w:val="18"/>
              </w:rPr>
              <w:t>青岛联合友和食品有限公司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2975A45" w14:textId="77777777" w:rsidR="007B3DB2" w:rsidRPr="0063248C" w:rsidRDefault="00000000">
            <w:pPr>
              <w:spacing w:line="240" w:lineRule="exact"/>
              <w:rPr>
                <w:rFonts w:cs="宋体"/>
                <w:sz w:val="18"/>
                <w:szCs w:val="18"/>
              </w:rPr>
            </w:pPr>
            <w:r w:rsidRPr="0063248C">
              <w:rPr>
                <w:rFonts w:cs="宋体"/>
                <w:sz w:val="18"/>
                <w:szCs w:val="18"/>
              </w:rPr>
              <w:t>购买商品（鸡产品）</w:t>
            </w:r>
          </w:p>
        </w:tc>
        <w:tc>
          <w:tcPr>
            <w:tcW w:w="1606" w:type="dxa"/>
            <w:tcBorders>
              <w:top w:val="single" w:sz="2" w:space="0" w:color="auto"/>
              <w:left w:val="single" w:sz="2" w:space="0" w:color="auto"/>
              <w:bottom w:val="single" w:sz="2" w:space="0" w:color="auto"/>
              <w:right w:val="single" w:sz="2" w:space="0" w:color="auto"/>
            </w:tcBorders>
            <w:vAlign w:val="center"/>
          </w:tcPr>
          <w:p w14:paraId="436EEAFF"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13A21FD"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E36A938"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1206C009" w14:textId="77777777" w:rsidR="007B3DB2" w:rsidRPr="0063248C" w:rsidRDefault="00000000">
            <w:pPr>
              <w:spacing w:line="240" w:lineRule="exact"/>
              <w:jc w:val="right"/>
              <w:rPr>
                <w:rFonts w:cs="宋体"/>
                <w:sz w:val="18"/>
                <w:szCs w:val="18"/>
              </w:rPr>
            </w:pPr>
            <w:r w:rsidRPr="0063248C">
              <w:rPr>
                <w:rFonts w:cs="宋体"/>
                <w:sz w:val="18"/>
                <w:szCs w:val="18"/>
              </w:rPr>
              <w:t>1,678,574.12</w:t>
            </w:r>
          </w:p>
        </w:tc>
      </w:tr>
      <w:tr w:rsidR="007B3DB2" w:rsidRPr="0063248C" w14:paraId="6DF3A52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67A9FAE" w14:textId="77777777" w:rsidR="007B3DB2" w:rsidRPr="0063248C" w:rsidRDefault="00000000">
            <w:pPr>
              <w:spacing w:line="240" w:lineRule="exact"/>
              <w:rPr>
                <w:rFonts w:cs="宋体"/>
                <w:sz w:val="18"/>
                <w:szCs w:val="18"/>
              </w:rPr>
            </w:pPr>
            <w:r w:rsidRPr="0063248C">
              <w:rPr>
                <w:rFonts w:cs="宋体"/>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094CC196" w14:textId="1F60015F" w:rsidR="007B3DB2" w:rsidRPr="0063248C" w:rsidRDefault="00000000">
            <w:pPr>
              <w:spacing w:line="240" w:lineRule="exact"/>
              <w:rPr>
                <w:rFonts w:cs="宋体"/>
                <w:sz w:val="18"/>
                <w:szCs w:val="18"/>
              </w:rPr>
            </w:pPr>
            <w:r w:rsidRPr="0063248C">
              <w:rPr>
                <w:rFonts w:cs="宋体"/>
                <w:sz w:val="18"/>
                <w:szCs w:val="18"/>
              </w:rPr>
              <w:t>购买商品</w:t>
            </w:r>
            <w:r w:rsidR="00FA083A">
              <w:rPr>
                <w:rFonts w:cs="宋体" w:hint="eastAsia"/>
                <w:sz w:val="18"/>
                <w:szCs w:val="18"/>
              </w:rPr>
              <w:t>（</w:t>
            </w:r>
            <w:r w:rsidRPr="0063248C">
              <w:rPr>
                <w:rFonts w:cs="宋体"/>
                <w:sz w:val="18"/>
                <w:szCs w:val="18"/>
              </w:rPr>
              <w:t>物业服务费</w:t>
            </w:r>
            <w:r w:rsidR="00FA083A" w:rsidRPr="0063248C">
              <w:rPr>
                <w:rFonts w:cs="宋体"/>
                <w:sz w:val="18"/>
                <w:szCs w:val="18"/>
              </w:rPr>
              <w:t>）</w:t>
            </w:r>
          </w:p>
        </w:tc>
        <w:tc>
          <w:tcPr>
            <w:tcW w:w="1606" w:type="dxa"/>
            <w:tcBorders>
              <w:top w:val="single" w:sz="2" w:space="0" w:color="auto"/>
              <w:left w:val="single" w:sz="2" w:space="0" w:color="auto"/>
              <w:bottom w:val="single" w:sz="2" w:space="0" w:color="auto"/>
              <w:right w:val="single" w:sz="2" w:space="0" w:color="auto"/>
            </w:tcBorders>
            <w:vAlign w:val="center"/>
          </w:tcPr>
          <w:p w14:paraId="60AB5621" w14:textId="77777777" w:rsidR="007B3DB2" w:rsidRPr="0063248C" w:rsidRDefault="00000000">
            <w:pPr>
              <w:spacing w:line="240" w:lineRule="exact"/>
              <w:jc w:val="right"/>
              <w:rPr>
                <w:rFonts w:cs="宋体"/>
                <w:sz w:val="18"/>
                <w:szCs w:val="18"/>
              </w:rPr>
            </w:pPr>
            <w:r w:rsidRPr="0063248C">
              <w:rPr>
                <w:rFonts w:cs="宋体"/>
                <w:sz w:val="18"/>
                <w:szCs w:val="18"/>
              </w:rPr>
              <w:t>35,885.50</w:t>
            </w:r>
          </w:p>
        </w:tc>
        <w:tc>
          <w:tcPr>
            <w:tcW w:w="1606" w:type="dxa"/>
            <w:tcBorders>
              <w:top w:val="single" w:sz="2" w:space="0" w:color="auto"/>
              <w:left w:val="single" w:sz="2" w:space="0" w:color="auto"/>
              <w:bottom w:val="single" w:sz="2" w:space="0" w:color="auto"/>
              <w:right w:val="single" w:sz="2" w:space="0" w:color="auto"/>
            </w:tcBorders>
            <w:vAlign w:val="center"/>
          </w:tcPr>
          <w:p w14:paraId="28142A7F"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8AF234E"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61EA20A8" w14:textId="77777777" w:rsidR="007B3DB2" w:rsidRPr="0063248C" w:rsidRDefault="00000000">
            <w:pPr>
              <w:spacing w:line="240" w:lineRule="exact"/>
              <w:jc w:val="right"/>
              <w:rPr>
                <w:rFonts w:cs="宋体"/>
                <w:sz w:val="18"/>
                <w:szCs w:val="18"/>
              </w:rPr>
            </w:pPr>
            <w:r w:rsidRPr="0063248C">
              <w:rPr>
                <w:rFonts w:cs="宋体"/>
                <w:sz w:val="18"/>
                <w:szCs w:val="18"/>
              </w:rPr>
              <w:t>28,926.92</w:t>
            </w:r>
          </w:p>
        </w:tc>
      </w:tr>
      <w:tr w:rsidR="007B3DB2" w:rsidRPr="0063248C" w14:paraId="4687C88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7136DA9" w14:textId="77777777" w:rsidR="007B3DB2" w:rsidRPr="0063248C" w:rsidRDefault="00000000">
            <w:pPr>
              <w:spacing w:line="240" w:lineRule="exact"/>
              <w:rPr>
                <w:rFonts w:cs="宋体"/>
                <w:sz w:val="18"/>
                <w:szCs w:val="18"/>
              </w:rPr>
            </w:pPr>
            <w:r w:rsidRPr="0063248C">
              <w:rPr>
                <w:rFonts w:cs="宋体"/>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F62B18D" w14:textId="77777777" w:rsidR="007B3DB2" w:rsidRPr="0063248C" w:rsidRDefault="00000000">
            <w:pPr>
              <w:spacing w:line="240" w:lineRule="exact"/>
              <w:rPr>
                <w:rFonts w:cs="宋体"/>
                <w:sz w:val="18"/>
                <w:szCs w:val="18"/>
              </w:rPr>
            </w:pPr>
            <w:r w:rsidRPr="0063248C">
              <w:rPr>
                <w:rFonts w:cs="宋体"/>
                <w:sz w:val="18"/>
                <w:szCs w:val="18"/>
              </w:rPr>
              <w:t>购买商品（电费）</w:t>
            </w:r>
          </w:p>
        </w:tc>
        <w:tc>
          <w:tcPr>
            <w:tcW w:w="1606" w:type="dxa"/>
            <w:tcBorders>
              <w:top w:val="single" w:sz="2" w:space="0" w:color="auto"/>
              <w:left w:val="single" w:sz="2" w:space="0" w:color="auto"/>
              <w:bottom w:val="single" w:sz="2" w:space="0" w:color="auto"/>
              <w:right w:val="single" w:sz="2" w:space="0" w:color="auto"/>
            </w:tcBorders>
            <w:vAlign w:val="center"/>
          </w:tcPr>
          <w:p w14:paraId="0842612B" w14:textId="77777777" w:rsidR="007B3DB2" w:rsidRPr="0063248C" w:rsidRDefault="00000000">
            <w:pPr>
              <w:spacing w:line="240" w:lineRule="exact"/>
              <w:jc w:val="right"/>
              <w:rPr>
                <w:rFonts w:cs="宋体"/>
                <w:sz w:val="18"/>
                <w:szCs w:val="18"/>
              </w:rPr>
            </w:pPr>
            <w:r w:rsidRPr="0063248C">
              <w:rPr>
                <w:rFonts w:cs="宋体"/>
                <w:sz w:val="18"/>
                <w:szCs w:val="18"/>
              </w:rPr>
              <w:t>17,699.12</w:t>
            </w:r>
          </w:p>
        </w:tc>
        <w:tc>
          <w:tcPr>
            <w:tcW w:w="1606" w:type="dxa"/>
            <w:tcBorders>
              <w:top w:val="single" w:sz="2" w:space="0" w:color="auto"/>
              <w:left w:val="single" w:sz="2" w:space="0" w:color="auto"/>
              <w:bottom w:val="single" w:sz="2" w:space="0" w:color="auto"/>
              <w:right w:val="single" w:sz="2" w:space="0" w:color="auto"/>
            </w:tcBorders>
            <w:vAlign w:val="center"/>
          </w:tcPr>
          <w:p w14:paraId="7596544F"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32D428D"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1A5EEBC6" w14:textId="77777777" w:rsidR="007B3DB2" w:rsidRPr="0063248C" w:rsidRDefault="00000000">
            <w:pPr>
              <w:spacing w:line="240" w:lineRule="exact"/>
              <w:jc w:val="right"/>
              <w:rPr>
                <w:rFonts w:cs="宋体"/>
                <w:sz w:val="18"/>
                <w:szCs w:val="18"/>
              </w:rPr>
            </w:pPr>
            <w:r w:rsidRPr="0063248C">
              <w:rPr>
                <w:rFonts w:cs="宋体"/>
                <w:sz w:val="18"/>
                <w:szCs w:val="18"/>
              </w:rPr>
              <w:t>30,000.00</w:t>
            </w:r>
          </w:p>
        </w:tc>
      </w:tr>
      <w:tr w:rsidR="007B3DB2" w:rsidRPr="0063248C" w14:paraId="7819148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2247BFE" w14:textId="77777777" w:rsidR="007B3DB2" w:rsidRPr="0063248C" w:rsidRDefault="00000000">
            <w:pPr>
              <w:spacing w:line="240" w:lineRule="exact"/>
              <w:rPr>
                <w:rFonts w:cs="宋体"/>
                <w:sz w:val="18"/>
                <w:szCs w:val="18"/>
              </w:rPr>
            </w:pPr>
            <w:r w:rsidRPr="0063248C">
              <w:rPr>
                <w:rFonts w:cs="宋体"/>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2CB5ABC5" w14:textId="77777777" w:rsidR="007B3DB2" w:rsidRPr="0063248C" w:rsidRDefault="00000000">
            <w:pPr>
              <w:spacing w:line="240" w:lineRule="exact"/>
              <w:rPr>
                <w:rFonts w:cs="宋体"/>
                <w:sz w:val="18"/>
                <w:szCs w:val="18"/>
              </w:rPr>
            </w:pPr>
            <w:r w:rsidRPr="0063248C">
              <w:rPr>
                <w:rFonts w:cs="宋体"/>
                <w:sz w:val="18"/>
                <w:szCs w:val="18"/>
              </w:rPr>
              <w:t>购买商品（水费）</w:t>
            </w:r>
          </w:p>
        </w:tc>
        <w:tc>
          <w:tcPr>
            <w:tcW w:w="1606" w:type="dxa"/>
            <w:tcBorders>
              <w:top w:val="single" w:sz="2" w:space="0" w:color="auto"/>
              <w:left w:val="single" w:sz="2" w:space="0" w:color="auto"/>
              <w:bottom w:val="single" w:sz="2" w:space="0" w:color="auto"/>
              <w:right w:val="single" w:sz="2" w:space="0" w:color="auto"/>
            </w:tcBorders>
            <w:vAlign w:val="center"/>
          </w:tcPr>
          <w:p w14:paraId="508B7F01"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2942C6C"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978E3A7"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0DC27542" w14:textId="77777777" w:rsidR="007B3DB2" w:rsidRPr="0063248C" w:rsidRDefault="00000000">
            <w:pPr>
              <w:spacing w:line="240" w:lineRule="exact"/>
              <w:jc w:val="right"/>
              <w:rPr>
                <w:rFonts w:cs="宋体"/>
                <w:sz w:val="18"/>
                <w:szCs w:val="18"/>
              </w:rPr>
            </w:pPr>
            <w:r w:rsidRPr="0063248C">
              <w:rPr>
                <w:rFonts w:cs="宋体"/>
                <w:sz w:val="18"/>
                <w:szCs w:val="18"/>
              </w:rPr>
              <w:t>226.30</w:t>
            </w:r>
          </w:p>
        </w:tc>
      </w:tr>
      <w:tr w:rsidR="007B3DB2" w:rsidRPr="0063248C" w14:paraId="18CC17F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5367289" w14:textId="77777777" w:rsidR="007B3DB2" w:rsidRPr="0063248C" w:rsidRDefault="00000000">
            <w:pPr>
              <w:spacing w:line="240" w:lineRule="exact"/>
              <w:rPr>
                <w:rFonts w:cs="宋体"/>
                <w:sz w:val="18"/>
                <w:szCs w:val="18"/>
              </w:rPr>
            </w:pPr>
            <w:r w:rsidRPr="0063248C">
              <w:rPr>
                <w:rFonts w:cs="宋体"/>
                <w:sz w:val="18"/>
                <w:szCs w:val="18"/>
              </w:rPr>
              <w:t>青岛东方睿智商贸有限公司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4D4E1CA" w14:textId="77777777" w:rsidR="007B3DB2" w:rsidRPr="0063248C" w:rsidRDefault="00000000">
            <w:pPr>
              <w:spacing w:line="240" w:lineRule="exact"/>
              <w:rPr>
                <w:rFonts w:cs="宋体"/>
                <w:sz w:val="18"/>
                <w:szCs w:val="18"/>
              </w:rPr>
            </w:pPr>
            <w:r w:rsidRPr="0063248C">
              <w:rPr>
                <w:rFonts w:cs="宋体"/>
                <w:sz w:val="18"/>
                <w:szCs w:val="18"/>
              </w:rPr>
              <w:t>购买猪产品</w:t>
            </w:r>
          </w:p>
        </w:tc>
        <w:tc>
          <w:tcPr>
            <w:tcW w:w="1606" w:type="dxa"/>
            <w:tcBorders>
              <w:top w:val="single" w:sz="2" w:space="0" w:color="auto"/>
              <w:left w:val="single" w:sz="2" w:space="0" w:color="auto"/>
              <w:bottom w:val="single" w:sz="2" w:space="0" w:color="auto"/>
              <w:right w:val="single" w:sz="2" w:space="0" w:color="auto"/>
            </w:tcBorders>
            <w:vAlign w:val="center"/>
          </w:tcPr>
          <w:p w14:paraId="35E6CB24"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20BE5DD"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D7E3B8E"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7EBFA28E" w14:textId="77777777" w:rsidR="007B3DB2" w:rsidRPr="0063248C" w:rsidRDefault="00000000">
            <w:pPr>
              <w:spacing w:line="240" w:lineRule="exact"/>
              <w:jc w:val="right"/>
              <w:rPr>
                <w:rFonts w:cs="宋体"/>
                <w:sz w:val="18"/>
                <w:szCs w:val="18"/>
              </w:rPr>
            </w:pPr>
            <w:r w:rsidRPr="0063248C">
              <w:rPr>
                <w:rFonts w:cs="宋体"/>
                <w:sz w:val="18"/>
                <w:szCs w:val="18"/>
              </w:rPr>
              <w:t>19,266.06</w:t>
            </w:r>
          </w:p>
        </w:tc>
      </w:tr>
      <w:tr w:rsidR="007B3DB2" w:rsidRPr="0063248C" w14:paraId="3716CC3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8C084FF" w14:textId="77777777" w:rsidR="007B3DB2" w:rsidRPr="0063248C" w:rsidRDefault="00000000">
            <w:pPr>
              <w:spacing w:line="240" w:lineRule="exact"/>
              <w:rPr>
                <w:rFonts w:cs="宋体"/>
                <w:sz w:val="18"/>
                <w:szCs w:val="18"/>
              </w:rPr>
            </w:pPr>
            <w:r w:rsidRPr="0063248C">
              <w:rPr>
                <w:rFonts w:cs="宋体"/>
                <w:sz w:val="18"/>
                <w:szCs w:val="18"/>
              </w:rPr>
              <w:t>青岛飞熊锦鑫科技有限公司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3CBB06CD" w14:textId="77777777" w:rsidR="007B3DB2" w:rsidRPr="0063248C" w:rsidRDefault="00000000">
            <w:pPr>
              <w:spacing w:line="240" w:lineRule="exact"/>
              <w:rPr>
                <w:rFonts w:cs="宋体"/>
                <w:sz w:val="18"/>
                <w:szCs w:val="18"/>
              </w:rPr>
            </w:pPr>
            <w:r w:rsidRPr="0063248C">
              <w:rPr>
                <w:rFonts w:cs="宋体"/>
                <w:sz w:val="18"/>
                <w:szCs w:val="18"/>
              </w:rPr>
              <w:t>购买猪产品</w:t>
            </w:r>
          </w:p>
        </w:tc>
        <w:tc>
          <w:tcPr>
            <w:tcW w:w="1606" w:type="dxa"/>
            <w:tcBorders>
              <w:top w:val="single" w:sz="2" w:space="0" w:color="auto"/>
              <w:left w:val="single" w:sz="2" w:space="0" w:color="auto"/>
              <w:bottom w:val="single" w:sz="2" w:space="0" w:color="auto"/>
              <w:right w:val="single" w:sz="2" w:space="0" w:color="auto"/>
            </w:tcBorders>
            <w:vAlign w:val="center"/>
          </w:tcPr>
          <w:p w14:paraId="6E00A9FB"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A85F546"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01F5844"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7D8A20BC" w14:textId="77777777" w:rsidR="007B3DB2" w:rsidRPr="0063248C" w:rsidRDefault="00000000">
            <w:pPr>
              <w:spacing w:line="240" w:lineRule="exact"/>
              <w:jc w:val="right"/>
              <w:rPr>
                <w:rFonts w:cs="宋体"/>
                <w:sz w:val="18"/>
                <w:szCs w:val="18"/>
              </w:rPr>
            </w:pPr>
            <w:r w:rsidRPr="0063248C">
              <w:rPr>
                <w:rFonts w:cs="宋体"/>
                <w:sz w:val="18"/>
                <w:szCs w:val="18"/>
              </w:rPr>
              <w:t>23,119.27</w:t>
            </w:r>
          </w:p>
        </w:tc>
      </w:tr>
      <w:tr w:rsidR="007B3DB2" w:rsidRPr="0063248C" w14:paraId="6F5C6F6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0A49CC5" w14:textId="77777777" w:rsidR="007B3DB2" w:rsidRPr="0063248C" w:rsidRDefault="00000000">
            <w:pPr>
              <w:spacing w:line="240" w:lineRule="exact"/>
              <w:rPr>
                <w:rFonts w:cs="宋体"/>
                <w:sz w:val="18"/>
                <w:szCs w:val="18"/>
              </w:rPr>
            </w:pPr>
            <w:r w:rsidRPr="0063248C">
              <w:rPr>
                <w:rFonts w:cs="宋体"/>
                <w:sz w:val="18"/>
                <w:szCs w:val="18"/>
              </w:rPr>
              <w:t>青岛飞熊领鲜科技有限公司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61ED5AF" w14:textId="77777777" w:rsidR="007B3DB2" w:rsidRPr="0063248C" w:rsidRDefault="00000000">
            <w:pPr>
              <w:spacing w:line="240" w:lineRule="exact"/>
              <w:rPr>
                <w:rFonts w:cs="宋体"/>
                <w:sz w:val="18"/>
                <w:szCs w:val="18"/>
              </w:rPr>
            </w:pPr>
            <w:r w:rsidRPr="0063248C">
              <w:rPr>
                <w:rFonts w:cs="宋体"/>
                <w:sz w:val="18"/>
                <w:szCs w:val="18"/>
              </w:rPr>
              <w:t>购买猪产品</w:t>
            </w:r>
          </w:p>
        </w:tc>
        <w:tc>
          <w:tcPr>
            <w:tcW w:w="1606" w:type="dxa"/>
            <w:tcBorders>
              <w:top w:val="single" w:sz="2" w:space="0" w:color="auto"/>
              <w:left w:val="single" w:sz="2" w:space="0" w:color="auto"/>
              <w:bottom w:val="single" w:sz="2" w:space="0" w:color="auto"/>
              <w:right w:val="single" w:sz="2" w:space="0" w:color="auto"/>
            </w:tcBorders>
            <w:vAlign w:val="center"/>
          </w:tcPr>
          <w:p w14:paraId="27F8632F"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F01C163"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164DF77"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15DD8C4F" w14:textId="77777777" w:rsidR="007B3DB2" w:rsidRPr="0063248C" w:rsidRDefault="00000000">
            <w:pPr>
              <w:spacing w:line="240" w:lineRule="exact"/>
              <w:jc w:val="right"/>
              <w:rPr>
                <w:rFonts w:cs="宋体"/>
                <w:sz w:val="18"/>
                <w:szCs w:val="18"/>
              </w:rPr>
            </w:pPr>
            <w:r w:rsidRPr="0063248C">
              <w:rPr>
                <w:rFonts w:cs="宋体"/>
                <w:sz w:val="18"/>
                <w:szCs w:val="18"/>
              </w:rPr>
              <w:t>24,363,499.55</w:t>
            </w:r>
          </w:p>
        </w:tc>
      </w:tr>
      <w:tr w:rsidR="007B3DB2" w:rsidRPr="0063248C" w14:paraId="159F23B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82A399D" w14:textId="77777777" w:rsidR="007B3DB2" w:rsidRPr="0063248C" w:rsidRDefault="00000000">
            <w:pPr>
              <w:spacing w:line="240" w:lineRule="exact"/>
              <w:rPr>
                <w:rFonts w:cs="宋体"/>
                <w:sz w:val="18"/>
                <w:szCs w:val="18"/>
              </w:rPr>
            </w:pPr>
            <w:r w:rsidRPr="0063248C">
              <w:rPr>
                <w:rFonts w:cs="宋体"/>
                <w:sz w:val="18"/>
                <w:szCs w:val="18"/>
              </w:rPr>
              <w:t>青岛飞熊领鲜科技有限公司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6F11C05" w14:textId="77777777" w:rsidR="007B3DB2" w:rsidRPr="0063248C" w:rsidRDefault="00000000">
            <w:pPr>
              <w:spacing w:line="240" w:lineRule="exact"/>
              <w:rPr>
                <w:rFonts w:cs="宋体"/>
                <w:sz w:val="18"/>
                <w:szCs w:val="18"/>
              </w:rPr>
            </w:pPr>
            <w:r w:rsidRPr="0063248C">
              <w:rPr>
                <w:rFonts w:cs="宋体"/>
                <w:sz w:val="18"/>
                <w:szCs w:val="18"/>
              </w:rPr>
              <w:t>购买羊产品</w:t>
            </w:r>
          </w:p>
        </w:tc>
        <w:tc>
          <w:tcPr>
            <w:tcW w:w="1606" w:type="dxa"/>
            <w:tcBorders>
              <w:top w:val="single" w:sz="2" w:space="0" w:color="auto"/>
              <w:left w:val="single" w:sz="2" w:space="0" w:color="auto"/>
              <w:bottom w:val="single" w:sz="2" w:space="0" w:color="auto"/>
              <w:right w:val="single" w:sz="2" w:space="0" w:color="auto"/>
            </w:tcBorders>
            <w:vAlign w:val="center"/>
          </w:tcPr>
          <w:p w14:paraId="3ACCB971"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AF304C8"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80B599A"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267946D5" w14:textId="77777777" w:rsidR="007B3DB2" w:rsidRPr="0063248C" w:rsidRDefault="00000000">
            <w:pPr>
              <w:spacing w:line="240" w:lineRule="exact"/>
              <w:jc w:val="right"/>
              <w:rPr>
                <w:rFonts w:cs="宋体"/>
                <w:sz w:val="18"/>
                <w:szCs w:val="18"/>
              </w:rPr>
            </w:pPr>
            <w:r w:rsidRPr="0063248C">
              <w:rPr>
                <w:rFonts w:cs="宋体"/>
                <w:sz w:val="18"/>
                <w:szCs w:val="18"/>
              </w:rPr>
              <w:t>10,914,156.94</w:t>
            </w:r>
          </w:p>
        </w:tc>
      </w:tr>
      <w:tr w:rsidR="007B3DB2" w:rsidRPr="0063248C" w14:paraId="266D261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529B7CA" w14:textId="77777777" w:rsidR="007B3DB2" w:rsidRPr="0063248C" w:rsidRDefault="00000000">
            <w:pPr>
              <w:spacing w:line="240" w:lineRule="exact"/>
              <w:rPr>
                <w:rFonts w:cs="宋体"/>
                <w:sz w:val="18"/>
                <w:szCs w:val="18"/>
              </w:rPr>
            </w:pPr>
            <w:r w:rsidRPr="0063248C">
              <w:rPr>
                <w:rFonts w:cs="宋体"/>
                <w:sz w:val="18"/>
                <w:szCs w:val="18"/>
              </w:rPr>
              <w:t>青岛飞熊领鲜科技有限公司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C7C7C79" w14:textId="77777777" w:rsidR="007B3DB2" w:rsidRPr="0063248C" w:rsidRDefault="00000000">
            <w:pPr>
              <w:spacing w:line="240" w:lineRule="exact"/>
              <w:rPr>
                <w:rFonts w:cs="宋体"/>
                <w:sz w:val="18"/>
                <w:szCs w:val="18"/>
              </w:rPr>
            </w:pPr>
            <w:r w:rsidRPr="0063248C">
              <w:rPr>
                <w:rFonts w:cs="宋体"/>
                <w:sz w:val="18"/>
                <w:szCs w:val="18"/>
              </w:rPr>
              <w:t>代理费</w:t>
            </w:r>
          </w:p>
        </w:tc>
        <w:tc>
          <w:tcPr>
            <w:tcW w:w="1606" w:type="dxa"/>
            <w:tcBorders>
              <w:top w:val="single" w:sz="2" w:space="0" w:color="auto"/>
              <w:left w:val="single" w:sz="2" w:space="0" w:color="auto"/>
              <w:bottom w:val="single" w:sz="2" w:space="0" w:color="auto"/>
              <w:right w:val="single" w:sz="2" w:space="0" w:color="auto"/>
            </w:tcBorders>
            <w:vAlign w:val="center"/>
          </w:tcPr>
          <w:p w14:paraId="4EC021B8"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BDA821C"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8BE4616"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469392A2" w14:textId="77777777" w:rsidR="007B3DB2" w:rsidRPr="0063248C" w:rsidRDefault="00000000">
            <w:pPr>
              <w:spacing w:line="240" w:lineRule="exact"/>
              <w:jc w:val="right"/>
              <w:rPr>
                <w:rFonts w:cs="宋体"/>
                <w:sz w:val="18"/>
                <w:szCs w:val="18"/>
              </w:rPr>
            </w:pPr>
            <w:r w:rsidRPr="0063248C">
              <w:rPr>
                <w:rFonts w:cs="宋体"/>
                <w:sz w:val="18"/>
                <w:szCs w:val="18"/>
              </w:rPr>
              <w:t>176.54</w:t>
            </w:r>
          </w:p>
        </w:tc>
      </w:tr>
      <w:tr w:rsidR="007B3DB2" w:rsidRPr="0063248C" w14:paraId="7FD5189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45C41DD" w14:textId="77777777" w:rsidR="007B3DB2" w:rsidRPr="0063248C" w:rsidRDefault="00000000">
            <w:pPr>
              <w:spacing w:line="240" w:lineRule="exact"/>
              <w:rPr>
                <w:rFonts w:cs="宋体"/>
                <w:sz w:val="18"/>
                <w:szCs w:val="18"/>
              </w:rPr>
            </w:pPr>
            <w:r w:rsidRPr="0063248C">
              <w:rPr>
                <w:rFonts w:cs="宋体"/>
                <w:sz w:val="18"/>
                <w:szCs w:val="18"/>
              </w:rPr>
              <w:t>青岛飞熊领鲜科技有限公司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22578385" w14:textId="77777777" w:rsidR="007B3DB2" w:rsidRPr="0063248C" w:rsidRDefault="00000000">
            <w:pPr>
              <w:spacing w:line="240" w:lineRule="exact"/>
              <w:rPr>
                <w:rFonts w:cs="宋体"/>
                <w:sz w:val="18"/>
                <w:szCs w:val="18"/>
              </w:rPr>
            </w:pPr>
            <w:r w:rsidRPr="0063248C">
              <w:rPr>
                <w:rFonts w:cs="宋体"/>
                <w:sz w:val="18"/>
                <w:szCs w:val="18"/>
              </w:rPr>
              <w:t>关税</w:t>
            </w:r>
          </w:p>
        </w:tc>
        <w:tc>
          <w:tcPr>
            <w:tcW w:w="1606" w:type="dxa"/>
            <w:tcBorders>
              <w:top w:val="single" w:sz="2" w:space="0" w:color="auto"/>
              <w:left w:val="single" w:sz="2" w:space="0" w:color="auto"/>
              <w:bottom w:val="single" w:sz="2" w:space="0" w:color="auto"/>
              <w:right w:val="single" w:sz="2" w:space="0" w:color="auto"/>
            </w:tcBorders>
            <w:vAlign w:val="center"/>
          </w:tcPr>
          <w:p w14:paraId="125D3CB1"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DEE0EB2"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0B68593"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052F3A1D" w14:textId="77777777" w:rsidR="007B3DB2" w:rsidRPr="0063248C" w:rsidRDefault="00000000">
            <w:pPr>
              <w:spacing w:line="240" w:lineRule="exact"/>
              <w:jc w:val="right"/>
              <w:rPr>
                <w:rFonts w:cs="宋体"/>
                <w:sz w:val="18"/>
                <w:szCs w:val="18"/>
              </w:rPr>
            </w:pPr>
            <w:r w:rsidRPr="0063248C">
              <w:rPr>
                <w:rFonts w:cs="宋体"/>
                <w:sz w:val="18"/>
                <w:szCs w:val="18"/>
              </w:rPr>
              <w:t>2,868,231.66</w:t>
            </w:r>
          </w:p>
        </w:tc>
      </w:tr>
      <w:tr w:rsidR="007B3DB2" w:rsidRPr="0063248C" w14:paraId="122B146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D1E3413" w14:textId="77777777" w:rsidR="007B3DB2" w:rsidRPr="0063248C" w:rsidRDefault="00000000">
            <w:pPr>
              <w:spacing w:line="240" w:lineRule="exact"/>
              <w:rPr>
                <w:rFonts w:cs="宋体"/>
                <w:sz w:val="18"/>
                <w:szCs w:val="18"/>
              </w:rPr>
            </w:pPr>
            <w:r w:rsidRPr="0063248C">
              <w:rPr>
                <w:rFonts w:cs="宋体"/>
                <w:sz w:val="18"/>
                <w:szCs w:val="18"/>
              </w:rPr>
              <w:t>青岛飞熊领鲜科技有限公司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AC08C40" w14:textId="77777777" w:rsidR="007B3DB2" w:rsidRPr="0063248C" w:rsidRDefault="00000000">
            <w:pPr>
              <w:spacing w:line="240" w:lineRule="exact"/>
              <w:rPr>
                <w:rFonts w:cs="宋体"/>
                <w:sz w:val="18"/>
                <w:szCs w:val="18"/>
              </w:rPr>
            </w:pPr>
            <w:r w:rsidRPr="0063248C">
              <w:rPr>
                <w:rFonts w:cs="宋体"/>
                <w:sz w:val="18"/>
                <w:szCs w:val="18"/>
              </w:rPr>
              <w:t>购买牛产品</w:t>
            </w:r>
          </w:p>
        </w:tc>
        <w:tc>
          <w:tcPr>
            <w:tcW w:w="1606" w:type="dxa"/>
            <w:tcBorders>
              <w:top w:val="single" w:sz="2" w:space="0" w:color="auto"/>
              <w:left w:val="single" w:sz="2" w:space="0" w:color="auto"/>
              <w:bottom w:val="single" w:sz="2" w:space="0" w:color="auto"/>
              <w:right w:val="single" w:sz="2" w:space="0" w:color="auto"/>
            </w:tcBorders>
            <w:vAlign w:val="center"/>
          </w:tcPr>
          <w:p w14:paraId="47D15ACD"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5954583"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A9880AB"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178CDDF1" w14:textId="77777777" w:rsidR="007B3DB2" w:rsidRPr="0063248C" w:rsidRDefault="00000000">
            <w:pPr>
              <w:spacing w:line="240" w:lineRule="exact"/>
              <w:jc w:val="right"/>
              <w:rPr>
                <w:rFonts w:cs="宋体"/>
                <w:sz w:val="18"/>
                <w:szCs w:val="18"/>
              </w:rPr>
            </w:pPr>
            <w:r w:rsidRPr="0063248C">
              <w:rPr>
                <w:rFonts w:cs="宋体"/>
                <w:sz w:val="18"/>
                <w:szCs w:val="18"/>
              </w:rPr>
              <w:t>1,510,055.34</w:t>
            </w:r>
          </w:p>
        </w:tc>
      </w:tr>
      <w:tr w:rsidR="007B3DB2" w:rsidRPr="0063248C" w14:paraId="4969CFB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9BAB9EB" w14:textId="77777777" w:rsidR="007B3DB2" w:rsidRPr="0063248C" w:rsidRDefault="00000000">
            <w:pPr>
              <w:spacing w:line="240" w:lineRule="exact"/>
              <w:rPr>
                <w:rFonts w:cs="宋体"/>
                <w:sz w:val="18"/>
                <w:szCs w:val="18"/>
              </w:rPr>
            </w:pPr>
            <w:r w:rsidRPr="0063248C">
              <w:rPr>
                <w:rFonts w:cs="宋体"/>
                <w:sz w:val="18"/>
                <w:szCs w:val="18"/>
              </w:rPr>
              <w:t>巴中</w:t>
            </w:r>
            <w:proofErr w:type="gramStart"/>
            <w:r w:rsidRPr="0063248C">
              <w:rPr>
                <w:rFonts w:cs="宋体"/>
                <w:sz w:val="18"/>
                <w:szCs w:val="18"/>
              </w:rPr>
              <w:t>五仓宝</w:t>
            </w:r>
            <w:proofErr w:type="gramEnd"/>
            <w:r w:rsidRPr="0063248C">
              <w:rPr>
                <w:rFonts w:cs="宋体"/>
                <w:sz w:val="18"/>
                <w:szCs w:val="18"/>
              </w:rPr>
              <w:t>裕农牧有限公司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2B7B2192" w14:textId="77777777" w:rsidR="007B3DB2" w:rsidRPr="0063248C" w:rsidRDefault="00000000">
            <w:pPr>
              <w:spacing w:line="240" w:lineRule="exact"/>
              <w:rPr>
                <w:rFonts w:cs="宋体"/>
                <w:sz w:val="18"/>
                <w:szCs w:val="18"/>
              </w:rPr>
            </w:pPr>
            <w:r w:rsidRPr="0063248C">
              <w:rPr>
                <w:rFonts w:cs="宋体"/>
                <w:sz w:val="18"/>
                <w:szCs w:val="18"/>
              </w:rPr>
              <w:t>购买猪仔</w:t>
            </w:r>
          </w:p>
        </w:tc>
        <w:tc>
          <w:tcPr>
            <w:tcW w:w="1606" w:type="dxa"/>
            <w:tcBorders>
              <w:top w:val="single" w:sz="2" w:space="0" w:color="auto"/>
              <w:left w:val="single" w:sz="2" w:space="0" w:color="auto"/>
              <w:bottom w:val="single" w:sz="2" w:space="0" w:color="auto"/>
              <w:right w:val="single" w:sz="2" w:space="0" w:color="auto"/>
            </w:tcBorders>
            <w:vAlign w:val="center"/>
          </w:tcPr>
          <w:p w14:paraId="2DC3B688"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83E46BD"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82C9781"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01BCF759" w14:textId="77777777" w:rsidR="007B3DB2" w:rsidRPr="0063248C" w:rsidRDefault="00000000">
            <w:pPr>
              <w:spacing w:line="240" w:lineRule="exact"/>
              <w:jc w:val="right"/>
              <w:rPr>
                <w:rFonts w:cs="宋体"/>
                <w:sz w:val="18"/>
                <w:szCs w:val="18"/>
              </w:rPr>
            </w:pPr>
            <w:r w:rsidRPr="0063248C">
              <w:rPr>
                <w:rFonts w:cs="宋体"/>
                <w:sz w:val="18"/>
                <w:szCs w:val="18"/>
              </w:rPr>
              <w:t>1,727,358.60</w:t>
            </w:r>
          </w:p>
        </w:tc>
      </w:tr>
      <w:tr w:rsidR="007B3DB2" w:rsidRPr="0063248C" w14:paraId="40ADBD2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B53B7FD" w14:textId="77777777" w:rsidR="007B3DB2" w:rsidRPr="0063248C" w:rsidRDefault="00000000">
            <w:pPr>
              <w:spacing w:line="240" w:lineRule="exact"/>
              <w:rPr>
                <w:rFonts w:cs="宋体"/>
                <w:sz w:val="18"/>
                <w:szCs w:val="18"/>
              </w:rPr>
            </w:pPr>
            <w:r w:rsidRPr="0063248C">
              <w:rPr>
                <w:rFonts w:cs="宋体"/>
                <w:sz w:val="18"/>
                <w:szCs w:val="18"/>
              </w:rPr>
              <w:t>西充</w:t>
            </w:r>
            <w:proofErr w:type="gramStart"/>
            <w:r w:rsidRPr="0063248C">
              <w:rPr>
                <w:rFonts w:cs="宋体"/>
                <w:sz w:val="18"/>
                <w:szCs w:val="18"/>
              </w:rPr>
              <w:t>五仓宝廪</w:t>
            </w:r>
            <w:proofErr w:type="gramEnd"/>
            <w:r w:rsidRPr="0063248C">
              <w:rPr>
                <w:rFonts w:cs="宋体"/>
                <w:sz w:val="18"/>
                <w:szCs w:val="18"/>
              </w:rPr>
              <w:t>农牧有限公司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55C66171" w14:textId="77777777" w:rsidR="007B3DB2" w:rsidRPr="0063248C" w:rsidRDefault="00000000">
            <w:pPr>
              <w:spacing w:line="240" w:lineRule="exact"/>
              <w:rPr>
                <w:rFonts w:cs="宋体"/>
                <w:sz w:val="18"/>
                <w:szCs w:val="18"/>
              </w:rPr>
            </w:pPr>
            <w:r w:rsidRPr="0063248C">
              <w:rPr>
                <w:rFonts w:cs="宋体"/>
                <w:sz w:val="18"/>
                <w:szCs w:val="18"/>
              </w:rPr>
              <w:t>购买猪仔</w:t>
            </w:r>
          </w:p>
        </w:tc>
        <w:tc>
          <w:tcPr>
            <w:tcW w:w="1606" w:type="dxa"/>
            <w:tcBorders>
              <w:top w:val="single" w:sz="2" w:space="0" w:color="auto"/>
              <w:left w:val="single" w:sz="2" w:space="0" w:color="auto"/>
              <w:bottom w:val="single" w:sz="2" w:space="0" w:color="auto"/>
              <w:right w:val="single" w:sz="2" w:space="0" w:color="auto"/>
            </w:tcBorders>
            <w:vAlign w:val="center"/>
          </w:tcPr>
          <w:p w14:paraId="369501B2"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D6ED4BF"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FE45702"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25EAEDB3" w14:textId="77777777" w:rsidR="007B3DB2" w:rsidRPr="0063248C" w:rsidRDefault="00000000">
            <w:pPr>
              <w:spacing w:line="240" w:lineRule="exact"/>
              <w:jc w:val="right"/>
              <w:rPr>
                <w:rFonts w:cs="宋体"/>
                <w:sz w:val="18"/>
                <w:szCs w:val="18"/>
              </w:rPr>
            </w:pPr>
            <w:r w:rsidRPr="0063248C">
              <w:rPr>
                <w:rFonts w:cs="宋体"/>
                <w:sz w:val="18"/>
                <w:szCs w:val="18"/>
              </w:rPr>
              <w:t>531,232.00</w:t>
            </w:r>
          </w:p>
        </w:tc>
      </w:tr>
      <w:tr w:rsidR="007B3DB2" w:rsidRPr="0063248C" w14:paraId="42268F8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43F3652" w14:textId="77777777" w:rsidR="007B3DB2" w:rsidRPr="0063248C" w:rsidRDefault="00000000">
            <w:pPr>
              <w:spacing w:line="240" w:lineRule="exact"/>
              <w:rPr>
                <w:rFonts w:cs="宋体"/>
                <w:sz w:val="18"/>
                <w:szCs w:val="18"/>
              </w:rPr>
            </w:pPr>
            <w:r w:rsidRPr="0063248C">
              <w:rPr>
                <w:rFonts w:cs="宋体"/>
                <w:sz w:val="18"/>
                <w:szCs w:val="18"/>
              </w:rPr>
              <w:t>四川蓝润实业集团有限公司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813D2DC" w14:textId="77777777" w:rsidR="007B3DB2" w:rsidRPr="0063248C" w:rsidRDefault="00000000">
            <w:pPr>
              <w:spacing w:line="240" w:lineRule="exact"/>
              <w:rPr>
                <w:rFonts w:cs="宋体"/>
                <w:sz w:val="18"/>
                <w:szCs w:val="18"/>
              </w:rPr>
            </w:pPr>
            <w:r w:rsidRPr="0063248C">
              <w:rPr>
                <w:rFonts w:cs="宋体"/>
                <w:sz w:val="18"/>
                <w:szCs w:val="18"/>
              </w:rPr>
              <w:t>汽车租赁费</w:t>
            </w:r>
          </w:p>
        </w:tc>
        <w:tc>
          <w:tcPr>
            <w:tcW w:w="1606" w:type="dxa"/>
            <w:tcBorders>
              <w:top w:val="single" w:sz="2" w:space="0" w:color="auto"/>
              <w:left w:val="single" w:sz="2" w:space="0" w:color="auto"/>
              <w:bottom w:val="single" w:sz="2" w:space="0" w:color="auto"/>
              <w:right w:val="single" w:sz="2" w:space="0" w:color="auto"/>
            </w:tcBorders>
            <w:vAlign w:val="center"/>
          </w:tcPr>
          <w:p w14:paraId="5B8D316A"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2AD9423"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818DA61" w14:textId="77777777" w:rsidR="007B3DB2" w:rsidRPr="0063248C" w:rsidRDefault="00000000">
            <w:pPr>
              <w:spacing w:line="240" w:lineRule="exact"/>
              <w:rPr>
                <w:rFonts w:cs="宋体"/>
                <w:sz w:val="18"/>
                <w:szCs w:val="18"/>
              </w:rPr>
            </w:pPr>
            <w:r w:rsidRPr="0063248C">
              <w:rPr>
                <w:rFonts w:cs="宋体"/>
                <w:sz w:val="18"/>
                <w:szCs w:val="18"/>
              </w:rPr>
              <w:t>否</w:t>
            </w:r>
          </w:p>
        </w:tc>
        <w:tc>
          <w:tcPr>
            <w:tcW w:w="1606" w:type="dxa"/>
            <w:tcBorders>
              <w:top w:val="single" w:sz="2" w:space="0" w:color="auto"/>
              <w:left w:val="single" w:sz="2" w:space="0" w:color="auto"/>
              <w:bottom w:val="single" w:sz="2" w:space="0" w:color="auto"/>
              <w:right w:val="single" w:sz="2" w:space="0" w:color="auto"/>
            </w:tcBorders>
            <w:vAlign w:val="center"/>
          </w:tcPr>
          <w:p w14:paraId="1C7EA903" w14:textId="77777777" w:rsidR="007B3DB2" w:rsidRPr="0063248C" w:rsidRDefault="00000000">
            <w:pPr>
              <w:spacing w:line="240" w:lineRule="exact"/>
              <w:jc w:val="right"/>
              <w:rPr>
                <w:rFonts w:cs="宋体"/>
                <w:sz w:val="18"/>
                <w:szCs w:val="18"/>
              </w:rPr>
            </w:pPr>
            <w:r w:rsidRPr="0063248C">
              <w:rPr>
                <w:rFonts w:cs="宋体"/>
                <w:sz w:val="18"/>
                <w:szCs w:val="18"/>
              </w:rPr>
              <w:t>143,362.83</w:t>
            </w:r>
          </w:p>
        </w:tc>
      </w:tr>
      <w:tr w:rsidR="007B3DB2" w:rsidRPr="0063248C" w14:paraId="37EA2C3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C5D647E" w14:textId="77777777" w:rsidR="007B3DB2" w:rsidRPr="0063248C" w:rsidRDefault="00000000">
            <w:pPr>
              <w:spacing w:line="240" w:lineRule="exact"/>
              <w:rPr>
                <w:rFonts w:cs="宋体"/>
                <w:sz w:val="18"/>
                <w:szCs w:val="18"/>
              </w:rPr>
            </w:pPr>
            <w:r w:rsidRPr="0063248C">
              <w:rPr>
                <w:rFonts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05E51AEE" w14:textId="77777777" w:rsidR="007B3DB2" w:rsidRPr="0063248C" w:rsidRDefault="007B3DB2">
            <w:pPr>
              <w:spacing w:line="240" w:lineRule="exac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146D82E" w14:textId="77777777" w:rsidR="007B3DB2" w:rsidRPr="0063248C" w:rsidRDefault="00000000">
            <w:pPr>
              <w:spacing w:line="240" w:lineRule="exact"/>
              <w:jc w:val="right"/>
              <w:rPr>
                <w:rFonts w:cs="宋体"/>
                <w:sz w:val="18"/>
                <w:szCs w:val="18"/>
              </w:rPr>
            </w:pPr>
            <w:r w:rsidRPr="0063248C">
              <w:rPr>
                <w:rFonts w:cs="宋体"/>
                <w:sz w:val="18"/>
                <w:szCs w:val="18"/>
              </w:rPr>
              <w:t>833,320,104.14</w:t>
            </w:r>
          </w:p>
        </w:tc>
        <w:tc>
          <w:tcPr>
            <w:tcW w:w="1606" w:type="dxa"/>
            <w:tcBorders>
              <w:top w:val="single" w:sz="2" w:space="0" w:color="auto"/>
              <w:left w:val="single" w:sz="2" w:space="0" w:color="auto"/>
              <w:bottom w:val="single" w:sz="2" w:space="0" w:color="auto"/>
              <w:right w:val="single" w:sz="2" w:space="0" w:color="auto"/>
            </w:tcBorders>
            <w:vAlign w:val="center"/>
          </w:tcPr>
          <w:p w14:paraId="55E02DA2"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443804A" w14:textId="77777777" w:rsidR="007B3DB2" w:rsidRPr="0063248C" w:rsidRDefault="007B3DB2">
            <w:pPr>
              <w:spacing w:line="240" w:lineRule="exac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C9D4197" w14:textId="77777777" w:rsidR="007B3DB2" w:rsidRPr="0063248C" w:rsidRDefault="00000000">
            <w:pPr>
              <w:spacing w:line="240" w:lineRule="exact"/>
              <w:jc w:val="right"/>
              <w:rPr>
                <w:rFonts w:cs="宋体"/>
                <w:sz w:val="18"/>
                <w:szCs w:val="18"/>
              </w:rPr>
            </w:pPr>
            <w:r w:rsidRPr="0063248C">
              <w:rPr>
                <w:rFonts w:cs="宋体"/>
                <w:sz w:val="18"/>
                <w:szCs w:val="18"/>
              </w:rPr>
              <w:t>987,277,032.72</w:t>
            </w:r>
          </w:p>
        </w:tc>
      </w:tr>
    </w:tbl>
    <w:p w14:paraId="2DAF75FA" w14:textId="77777777" w:rsidR="007B3DB2" w:rsidRPr="0063248C" w:rsidRDefault="00000000">
      <w:pPr>
        <w:spacing w:before="100" w:after="40" w:line="240" w:lineRule="exact"/>
        <w:rPr>
          <w:rFonts w:cs="宋体"/>
          <w:sz w:val="18"/>
          <w:szCs w:val="18"/>
        </w:rPr>
      </w:pPr>
      <w:r w:rsidRPr="0063248C">
        <w:rPr>
          <w:rFonts w:cs="宋体"/>
          <w:sz w:val="18"/>
          <w:szCs w:val="18"/>
        </w:rPr>
        <w:t>出售商品</w:t>
      </w:r>
      <w:r w:rsidRPr="0063248C">
        <w:rPr>
          <w:rFonts w:cs="宋体"/>
          <w:sz w:val="18"/>
          <w:szCs w:val="18"/>
        </w:rPr>
        <w:t>/</w:t>
      </w:r>
      <w:r w:rsidRPr="0063248C">
        <w:rPr>
          <w:rFonts w:cs="宋体"/>
          <w:sz w:val="18"/>
          <w:szCs w:val="18"/>
        </w:rPr>
        <w:t>提供劳务情况表</w:t>
      </w:r>
    </w:p>
    <w:p w14:paraId="3F4DC78B"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3403"/>
        <w:gridCol w:w="1843"/>
        <w:gridCol w:w="1984"/>
      </w:tblGrid>
      <w:tr w:rsidR="007B3DB2" w:rsidRPr="0063248C" w14:paraId="5A4FE217"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25ED0387" w14:textId="77777777" w:rsidR="007B3DB2" w:rsidRPr="0063248C" w:rsidRDefault="00000000">
            <w:pPr>
              <w:spacing w:before="40" w:after="40" w:line="240" w:lineRule="exact"/>
              <w:jc w:val="center"/>
              <w:rPr>
                <w:rFonts w:cs="宋体"/>
                <w:sz w:val="18"/>
                <w:szCs w:val="18"/>
              </w:rPr>
            </w:pPr>
            <w:r w:rsidRPr="0063248C">
              <w:rPr>
                <w:rFonts w:cs="宋体"/>
                <w:sz w:val="18"/>
                <w:szCs w:val="18"/>
              </w:rPr>
              <w:t>关联方</w:t>
            </w:r>
          </w:p>
        </w:tc>
        <w:tc>
          <w:tcPr>
            <w:tcW w:w="3403" w:type="dxa"/>
            <w:tcBorders>
              <w:top w:val="single" w:sz="2" w:space="0" w:color="auto"/>
              <w:left w:val="single" w:sz="2" w:space="0" w:color="auto"/>
              <w:bottom w:val="single" w:sz="2" w:space="0" w:color="auto"/>
              <w:right w:val="single" w:sz="2" w:space="0" w:color="auto"/>
            </w:tcBorders>
            <w:shd w:val="clear" w:color="auto" w:fill="D3D3D3"/>
            <w:vAlign w:val="center"/>
          </w:tcPr>
          <w:p w14:paraId="10AD1854" w14:textId="77777777" w:rsidR="007B3DB2" w:rsidRPr="0063248C" w:rsidRDefault="00000000">
            <w:pPr>
              <w:spacing w:before="40" w:after="40" w:line="240" w:lineRule="exact"/>
              <w:jc w:val="center"/>
              <w:rPr>
                <w:rFonts w:cs="宋体"/>
                <w:sz w:val="18"/>
                <w:szCs w:val="18"/>
              </w:rPr>
            </w:pPr>
            <w:r w:rsidRPr="0063248C">
              <w:rPr>
                <w:rFonts w:cs="宋体"/>
                <w:sz w:val="18"/>
                <w:szCs w:val="18"/>
              </w:rPr>
              <w:t>关联交易内容</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5B8B1087"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0105E5DC"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4971B359"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45A17CE6" w14:textId="77777777" w:rsidR="007B3DB2" w:rsidRPr="0063248C" w:rsidRDefault="00000000">
            <w:pPr>
              <w:spacing w:line="240" w:lineRule="exact"/>
              <w:rPr>
                <w:rFonts w:cs="宋体"/>
                <w:sz w:val="18"/>
                <w:szCs w:val="18"/>
              </w:rPr>
            </w:pPr>
            <w:r w:rsidRPr="0063248C">
              <w:rPr>
                <w:rFonts w:cs="宋体"/>
                <w:sz w:val="18"/>
                <w:szCs w:val="18"/>
              </w:rPr>
              <w:t>成都佳享食品有限公司</w:t>
            </w:r>
          </w:p>
        </w:tc>
        <w:tc>
          <w:tcPr>
            <w:tcW w:w="3403" w:type="dxa"/>
            <w:tcBorders>
              <w:top w:val="single" w:sz="2" w:space="0" w:color="auto"/>
              <w:left w:val="single" w:sz="2" w:space="0" w:color="auto"/>
              <w:bottom w:val="single" w:sz="2" w:space="0" w:color="auto"/>
              <w:right w:val="single" w:sz="2" w:space="0" w:color="auto"/>
            </w:tcBorders>
            <w:vAlign w:val="center"/>
          </w:tcPr>
          <w:p w14:paraId="5F41621D" w14:textId="77777777" w:rsidR="007B3DB2" w:rsidRPr="0063248C" w:rsidRDefault="00000000">
            <w:pPr>
              <w:spacing w:line="240" w:lineRule="exact"/>
              <w:rPr>
                <w:rFonts w:cs="宋体"/>
                <w:sz w:val="18"/>
                <w:szCs w:val="18"/>
              </w:rPr>
            </w:pPr>
            <w:r w:rsidRPr="0063248C">
              <w:rPr>
                <w:rFonts w:cs="宋体"/>
                <w:sz w:val="18"/>
                <w:szCs w:val="18"/>
              </w:rPr>
              <w:t>销售商品（冷鲜肉、冷冻</w:t>
            </w:r>
            <w:r w:rsidRPr="0063248C">
              <w:rPr>
                <w:rFonts w:cs="宋体"/>
                <w:sz w:val="18"/>
                <w:szCs w:val="18"/>
              </w:rPr>
              <w:t> </w:t>
            </w:r>
            <w:r w:rsidRPr="0063248C">
              <w:rPr>
                <w:rFonts w:cs="宋体"/>
                <w:sz w:val="18"/>
                <w:szCs w:val="18"/>
              </w:rPr>
              <w:t>肉、熟食等）</w:t>
            </w:r>
          </w:p>
        </w:tc>
        <w:tc>
          <w:tcPr>
            <w:tcW w:w="1843" w:type="dxa"/>
            <w:tcBorders>
              <w:top w:val="single" w:sz="2" w:space="0" w:color="auto"/>
              <w:left w:val="single" w:sz="2" w:space="0" w:color="auto"/>
              <w:bottom w:val="single" w:sz="2" w:space="0" w:color="auto"/>
              <w:right w:val="single" w:sz="2" w:space="0" w:color="auto"/>
            </w:tcBorders>
            <w:vAlign w:val="center"/>
          </w:tcPr>
          <w:p w14:paraId="6A5DD537" w14:textId="77777777" w:rsidR="007B3DB2" w:rsidRPr="0063248C" w:rsidRDefault="007B3DB2">
            <w:pPr>
              <w:spacing w:line="240" w:lineRule="exact"/>
              <w:jc w:val="right"/>
              <w:rPr>
                <w:rFonts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2CC9814A" w14:textId="77777777" w:rsidR="007B3DB2" w:rsidRPr="0063248C" w:rsidRDefault="00000000">
            <w:pPr>
              <w:spacing w:line="240" w:lineRule="exact"/>
              <w:jc w:val="right"/>
              <w:rPr>
                <w:rFonts w:cs="宋体"/>
                <w:sz w:val="18"/>
                <w:szCs w:val="18"/>
              </w:rPr>
            </w:pPr>
            <w:r w:rsidRPr="0063248C">
              <w:rPr>
                <w:rFonts w:cs="宋体"/>
                <w:sz w:val="18"/>
                <w:szCs w:val="18"/>
              </w:rPr>
              <w:t>-18,573.83</w:t>
            </w:r>
          </w:p>
        </w:tc>
      </w:tr>
      <w:tr w:rsidR="007B3DB2" w:rsidRPr="0063248C" w14:paraId="2EED4635"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29FA3167" w14:textId="77777777" w:rsidR="007B3DB2" w:rsidRPr="0063248C" w:rsidRDefault="00000000">
            <w:pPr>
              <w:spacing w:line="240" w:lineRule="exact"/>
              <w:rPr>
                <w:rFonts w:cs="宋体"/>
                <w:sz w:val="18"/>
                <w:szCs w:val="18"/>
              </w:rPr>
            </w:pPr>
            <w:r w:rsidRPr="0063248C">
              <w:rPr>
                <w:rFonts w:cs="宋体"/>
                <w:sz w:val="18"/>
                <w:szCs w:val="18"/>
              </w:rPr>
              <w:t>达州银行股份有限公司</w:t>
            </w:r>
          </w:p>
        </w:tc>
        <w:tc>
          <w:tcPr>
            <w:tcW w:w="3403" w:type="dxa"/>
            <w:tcBorders>
              <w:top w:val="single" w:sz="2" w:space="0" w:color="auto"/>
              <w:left w:val="single" w:sz="2" w:space="0" w:color="auto"/>
              <w:bottom w:val="single" w:sz="2" w:space="0" w:color="auto"/>
              <w:right w:val="single" w:sz="2" w:space="0" w:color="auto"/>
            </w:tcBorders>
            <w:vAlign w:val="center"/>
          </w:tcPr>
          <w:p w14:paraId="7E460E9C" w14:textId="77777777" w:rsidR="007B3DB2" w:rsidRPr="0063248C" w:rsidRDefault="00000000">
            <w:pPr>
              <w:spacing w:line="240" w:lineRule="exact"/>
              <w:rPr>
                <w:rFonts w:cs="宋体"/>
                <w:sz w:val="18"/>
                <w:szCs w:val="18"/>
              </w:rPr>
            </w:pPr>
            <w:r w:rsidRPr="0063248C">
              <w:rPr>
                <w:rFonts w:cs="宋体"/>
                <w:sz w:val="18"/>
                <w:szCs w:val="18"/>
              </w:rPr>
              <w:t>销售商品（冷鲜肉、冷冻</w:t>
            </w:r>
            <w:r w:rsidRPr="0063248C">
              <w:rPr>
                <w:rFonts w:cs="宋体"/>
                <w:sz w:val="18"/>
                <w:szCs w:val="18"/>
              </w:rPr>
              <w:t> </w:t>
            </w:r>
            <w:r w:rsidRPr="0063248C">
              <w:rPr>
                <w:rFonts w:cs="宋体"/>
                <w:sz w:val="18"/>
                <w:szCs w:val="18"/>
              </w:rPr>
              <w:t>肉、熟食等）</w:t>
            </w:r>
          </w:p>
        </w:tc>
        <w:tc>
          <w:tcPr>
            <w:tcW w:w="1843" w:type="dxa"/>
            <w:tcBorders>
              <w:top w:val="single" w:sz="2" w:space="0" w:color="auto"/>
              <w:left w:val="single" w:sz="2" w:space="0" w:color="auto"/>
              <w:bottom w:val="single" w:sz="2" w:space="0" w:color="auto"/>
              <w:right w:val="single" w:sz="2" w:space="0" w:color="auto"/>
            </w:tcBorders>
            <w:vAlign w:val="center"/>
          </w:tcPr>
          <w:p w14:paraId="60AB80D7" w14:textId="77777777" w:rsidR="007B3DB2" w:rsidRPr="0063248C" w:rsidRDefault="00000000">
            <w:pPr>
              <w:spacing w:line="240" w:lineRule="exact"/>
              <w:jc w:val="right"/>
              <w:rPr>
                <w:rFonts w:cs="宋体"/>
                <w:sz w:val="18"/>
                <w:szCs w:val="18"/>
              </w:rPr>
            </w:pPr>
            <w:r w:rsidRPr="0063248C">
              <w:rPr>
                <w:rFonts w:cs="宋体"/>
                <w:sz w:val="18"/>
                <w:szCs w:val="18"/>
              </w:rPr>
              <w:t>598,761.06</w:t>
            </w:r>
          </w:p>
        </w:tc>
        <w:tc>
          <w:tcPr>
            <w:tcW w:w="1984" w:type="dxa"/>
            <w:tcBorders>
              <w:top w:val="single" w:sz="2" w:space="0" w:color="auto"/>
              <w:left w:val="single" w:sz="2" w:space="0" w:color="auto"/>
              <w:bottom w:val="single" w:sz="2" w:space="0" w:color="auto"/>
              <w:right w:val="single" w:sz="2" w:space="0" w:color="auto"/>
            </w:tcBorders>
            <w:vAlign w:val="center"/>
          </w:tcPr>
          <w:p w14:paraId="2E7A8FD9" w14:textId="77777777" w:rsidR="007B3DB2" w:rsidRPr="0063248C" w:rsidRDefault="00000000">
            <w:pPr>
              <w:spacing w:line="240" w:lineRule="exact"/>
              <w:jc w:val="right"/>
              <w:rPr>
                <w:rFonts w:cs="宋体"/>
                <w:sz w:val="18"/>
                <w:szCs w:val="18"/>
              </w:rPr>
            </w:pPr>
            <w:r w:rsidRPr="0063248C">
              <w:rPr>
                <w:rFonts w:cs="宋体"/>
                <w:sz w:val="18"/>
                <w:szCs w:val="18"/>
              </w:rPr>
              <w:t>484,386.27</w:t>
            </w:r>
          </w:p>
        </w:tc>
      </w:tr>
      <w:tr w:rsidR="007B3DB2" w:rsidRPr="0063248C" w14:paraId="00D4E48F"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5FAB38F1" w14:textId="77777777" w:rsidR="007B3DB2" w:rsidRPr="0063248C" w:rsidRDefault="00000000">
            <w:pPr>
              <w:spacing w:line="240" w:lineRule="exact"/>
              <w:rPr>
                <w:rFonts w:cs="宋体"/>
                <w:sz w:val="18"/>
                <w:szCs w:val="18"/>
              </w:rPr>
            </w:pPr>
            <w:r w:rsidRPr="0063248C">
              <w:rPr>
                <w:rFonts w:cs="宋体"/>
                <w:sz w:val="18"/>
                <w:szCs w:val="18"/>
              </w:rPr>
              <w:t>青岛飞熊领鲜科技有限公司</w:t>
            </w:r>
          </w:p>
        </w:tc>
        <w:tc>
          <w:tcPr>
            <w:tcW w:w="3403" w:type="dxa"/>
            <w:tcBorders>
              <w:top w:val="single" w:sz="2" w:space="0" w:color="auto"/>
              <w:left w:val="single" w:sz="2" w:space="0" w:color="auto"/>
              <w:bottom w:val="single" w:sz="2" w:space="0" w:color="auto"/>
              <w:right w:val="single" w:sz="2" w:space="0" w:color="auto"/>
            </w:tcBorders>
            <w:vAlign w:val="center"/>
          </w:tcPr>
          <w:p w14:paraId="46B45FA6" w14:textId="77777777" w:rsidR="007B3DB2" w:rsidRPr="0063248C" w:rsidRDefault="00000000">
            <w:pPr>
              <w:spacing w:line="240" w:lineRule="exact"/>
              <w:rPr>
                <w:rFonts w:cs="宋体"/>
                <w:sz w:val="18"/>
                <w:szCs w:val="18"/>
              </w:rPr>
            </w:pPr>
            <w:r w:rsidRPr="0063248C">
              <w:rPr>
                <w:rFonts w:cs="宋体"/>
                <w:sz w:val="18"/>
                <w:szCs w:val="18"/>
              </w:rPr>
              <w:t>销售商品（冷鲜肉、冷冻</w:t>
            </w:r>
            <w:r w:rsidRPr="0063248C">
              <w:rPr>
                <w:rFonts w:cs="宋体"/>
                <w:sz w:val="18"/>
                <w:szCs w:val="18"/>
              </w:rPr>
              <w:t> </w:t>
            </w:r>
            <w:r w:rsidRPr="0063248C">
              <w:rPr>
                <w:rFonts w:cs="宋体"/>
                <w:sz w:val="18"/>
                <w:szCs w:val="18"/>
              </w:rPr>
              <w:t>肉、熟食等）</w:t>
            </w:r>
          </w:p>
        </w:tc>
        <w:tc>
          <w:tcPr>
            <w:tcW w:w="1843" w:type="dxa"/>
            <w:tcBorders>
              <w:top w:val="single" w:sz="2" w:space="0" w:color="auto"/>
              <w:left w:val="single" w:sz="2" w:space="0" w:color="auto"/>
              <w:bottom w:val="single" w:sz="2" w:space="0" w:color="auto"/>
              <w:right w:val="single" w:sz="2" w:space="0" w:color="auto"/>
            </w:tcBorders>
            <w:vAlign w:val="center"/>
          </w:tcPr>
          <w:p w14:paraId="10C644F1" w14:textId="77777777" w:rsidR="007B3DB2" w:rsidRPr="0063248C" w:rsidRDefault="007B3DB2">
            <w:pPr>
              <w:spacing w:line="240" w:lineRule="exact"/>
              <w:jc w:val="right"/>
              <w:rPr>
                <w:rFonts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214F78AA" w14:textId="77777777" w:rsidR="007B3DB2" w:rsidRPr="0063248C" w:rsidRDefault="00000000">
            <w:pPr>
              <w:spacing w:line="240" w:lineRule="exact"/>
              <w:jc w:val="right"/>
              <w:rPr>
                <w:rFonts w:cs="宋体"/>
                <w:sz w:val="18"/>
                <w:szCs w:val="18"/>
              </w:rPr>
            </w:pPr>
            <w:r w:rsidRPr="0063248C">
              <w:rPr>
                <w:rFonts w:cs="宋体"/>
                <w:sz w:val="18"/>
                <w:szCs w:val="18"/>
              </w:rPr>
              <w:t>30,136,566.16</w:t>
            </w:r>
          </w:p>
        </w:tc>
      </w:tr>
      <w:tr w:rsidR="007B3DB2" w:rsidRPr="0063248C" w14:paraId="00BA322C"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0250EA6A" w14:textId="77777777" w:rsidR="007B3DB2" w:rsidRPr="0063248C" w:rsidRDefault="00000000">
            <w:pPr>
              <w:spacing w:line="240" w:lineRule="exact"/>
              <w:rPr>
                <w:rFonts w:cs="宋体"/>
                <w:sz w:val="18"/>
                <w:szCs w:val="18"/>
              </w:rPr>
            </w:pPr>
            <w:r w:rsidRPr="0063248C">
              <w:rPr>
                <w:rFonts w:cs="宋体"/>
                <w:sz w:val="18"/>
                <w:szCs w:val="18"/>
              </w:rPr>
              <w:t>青岛优尼特</w:t>
            </w:r>
            <w:proofErr w:type="gramStart"/>
            <w:r w:rsidRPr="0063248C">
              <w:rPr>
                <w:rFonts w:cs="宋体"/>
                <w:sz w:val="18"/>
                <w:szCs w:val="18"/>
              </w:rPr>
              <w:t>尚品食品</w:t>
            </w:r>
            <w:proofErr w:type="gramEnd"/>
            <w:r w:rsidRPr="0063248C">
              <w:rPr>
                <w:rFonts w:cs="宋体"/>
                <w:sz w:val="18"/>
                <w:szCs w:val="18"/>
              </w:rPr>
              <w:t>有限公司</w:t>
            </w:r>
          </w:p>
        </w:tc>
        <w:tc>
          <w:tcPr>
            <w:tcW w:w="3403" w:type="dxa"/>
            <w:tcBorders>
              <w:top w:val="single" w:sz="2" w:space="0" w:color="auto"/>
              <w:left w:val="single" w:sz="2" w:space="0" w:color="auto"/>
              <w:bottom w:val="single" w:sz="2" w:space="0" w:color="auto"/>
              <w:right w:val="single" w:sz="2" w:space="0" w:color="auto"/>
            </w:tcBorders>
            <w:vAlign w:val="center"/>
          </w:tcPr>
          <w:p w14:paraId="753D9B47" w14:textId="77777777" w:rsidR="007B3DB2" w:rsidRPr="0063248C" w:rsidRDefault="00000000">
            <w:pPr>
              <w:spacing w:line="240" w:lineRule="exact"/>
              <w:rPr>
                <w:rFonts w:cs="宋体"/>
                <w:sz w:val="18"/>
                <w:szCs w:val="18"/>
              </w:rPr>
            </w:pPr>
            <w:r w:rsidRPr="0063248C">
              <w:rPr>
                <w:rFonts w:cs="宋体"/>
                <w:sz w:val="18"/>
                <w:szCs w:val="18"/>
              </w:rPr>
              <w:t>销售商品（冷鲜肉、冷冻</w:t>
            </w:r>
            <w:r w:rsidRPr="0063248C">
              <w:rPr>
                <w:rFonts w:cs="宋体"/>
                <w:sz w:val="18"/>
                <w:szCs w:val="18"/>
              </w:rPr>
              <w:t> </w:t>
            </w:r>
            <w:r w:rsidRPr="0063248C">
              <w:rPr>
                <w:rFonts w:cs="宋体"/>
                <w:sz w:val="18"/>
                <w:szCs w:val="18"/>
              </w:rPr>
              <w:t>肉、熟食等）</w:t>
            </w:r>
          </w:p>
        </w:tc>
        <w:tc>
          <w:tcPr>
            <w:tcW w:w="1843" w:type="dxa"/>
            <w:tcBorders>
              <w:top w:val="single" w:sz="2" w:space="0" w:color="auto"/>
              <w:left w:val="single" w:sz="2" w:space="0" w:color="auto"/>
              <w:bottom w:val="single" w:sz="2" w:space="0" w:color="auto"/>
              <w:right w:val="single" w:sz="2" w:space="0" w:color="auto"/>
            </w:tcBorders>
            <w:vAlign w:val="center"/>
          </w:tcPr>
          <w:p w14:paraId="577AF607" w14:textId="77777777" w:rsidR="007B3DB2" w:rsidRPr="0063248C" w:rsidRDefault="007B3DB2">
            <w:pPr>
              <w:spacing w:line="240" w:lineRule="exact"/>
              <w:jc w:val="right"/>
              <w:rPr>
                <w:rFonts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233D462F" w14:textId="77777777" w:rsidR="007B3DB2" w:rsidRPr="0063248C" w:rsidRDefault="00000000">
            <w:pPr>
              <w:spacing w:line="240" w:lineRule="exact"/>
              <w:jc w:val="right"/>
              <w:rPr>
                <w:rFonts w:cs="宋体"/>
                <w:sz w:val="18"/>
                <w:szCs w:val="18"/>
              </w:rPr>
            </w:pPr>
            <w:r w:rsidRPr="0063248C">
              <w:rPr>
                <w:rFonts w:cs="宋体"/>
                <w:sz w:val="18"/>
                <w:szCs w:val="18"/>
              </w:rPr>
              <w:t>1,208,405.87</w:t>
            </w:r>
          </w:p>
        </w:tc>
      </w:tr>
      <w:tr w:rsidR="007B3DB2" w:rsidRPr="0063248C" w14:paraId="29005F72"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02238533" w14:textId="77777777" w:rsidR="007B3DB2" w:rsidRPr="0063248C" w:rsidRDefault="00000000">
            <w:pPr>
              <w:spacing w:line="240" w:lineRule="exact"/>
              <w:rPr>
                <w:rFonts w:cs="宋体"/>
                <w:sz w:val="18"/>
                <w:szCs w:val="18"/>
              </w:rPr>
            </w:pPr>
            <w:r w:rsidRPr="0063248C">
              <w:rPr>
                <w:rFonts w:cs="宋体"/>
                <w:sz w:val="18"/>
                <w:szCs w:val="18"/>
              </w:rPr>
              <w:t>青岛东方睿智商贸有限公司</w:t>
            </w:r>
          </w:p>
        </w:tc>
        <w:tc>
          <w:tcPr>
            <w:tcW w:w="3403" w:type="dxa"/>
            <w:tcBorders>
              <w:top w:val="single" w:sz="2" w:space="0" w:color="auto"/>
              <w:left w:val="single" w:sz="2" w:space="0" w:color="auto"/>
              <w:bottom w:val="single" w:sz="2" w:space="0" w:color="auto"/>
              <w:right w:val="single" w:sz="2" w:space="0" w:color="auto"/>
            </w:tcBorders>
            <w:vAlign w:val="center"/>
          </w:tcPr>
          <w:p w14:paraId="27B9A662" w14:textId="77777777" w:rsidR="007B3DB2" w:rsidRPr="0063248C" w:rsidRDefault="00000000">
            <w:pPr>
              <w:spacing w:line="240" w:lineRule="exact"/>
              <w:rPr>
                <w:rFonts w:cs="宋体"/>
                <w:sz w:val="18"/>
                <w:szCs w:val="18"/>
              </w:rPr>
            </w:pPr>
            <w:r w:rsidRPr="0063248C">
              <w:rPr>
                <w:rFonts w:cs="宋体"/>
                <w:sz w:val="18"/>
                <w:szCs w:val="18"/>
              </w:rPr>
              <w:t>销售商品（冷鲜肉、冷冻</w:t>
            </w:r>
            <w:r w:rsidRPr="0063248C">
              <w:rPr>
                <w:rFonts w:cs="宋体"/>
                <w:sz w:val="18"/>
                <w:szCs w:val="18"/>
              </w:rPr>
              <w:t> </w:t>
            </w:r>
            <w:r w:rsidRPr="0063248C">
              <w:rPr>
                <w:rFonts w:cs="宋体"/>
                <w:sz w:val="18"/>
                <w:szCs w:val="18"/>
              </w:rPr>
              <w:t>肉、熟食等）</w:t>
            </w:r>
          </w:p>
        </w:tc>
        <w:tc>
          <w:tcPr>
            <w:tcW w:w="1843" w:type="dxa"/>
            <w:tcBorders>
              <w:top w:val="single" w:sz="2" w:space="0" w:color="auto"/>
              <w:left w:val="single" w:sz="2" w:space="0" w:color="auto"/>
              <w:bottom w:val="single" w:sz="2" w:space="0" w:color="auto"/>
              <w:right w:val="single" w:sz="2" w:space="0" w:color="auto"/>
            </w:tcBorders>
            <w:vAlign w:val="center"/>
          </w:tcPr>
          <w:p w14:paraId="1830CD10" w14:textId="77777777" w:rsidR="007B3DB2" w:rsidRPr="0063248C" w:rsidRDefault="007B3DB2">
            <w:pPr>
              <w:spacing w:line="240" w:lineRule="exact"/>
              <w:jc w:val="right"/>
              <w:rPr>
                <w:rFonts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2337A6A2" w14:textId="77777777" w:rsidR="007B3DB2" w:rsidRPr="0063248C" w:rsidRDefault="00000000">
            <w:pPr>
              <w:spacing w:line="240" w:lineRule="exact"/>
              <w:jc w:val="right"/>
              <w:rPr>
                <w:rFonts w:cs="宋体"/>
                <w:sz w:val="18"/>
                <w:szCs w:val="18"/>
              </w:rPr>
            </w:pPr>
            <w:r w:rsidRPr="0063248C">
              <w:rPr>
                <w:rFonts w:cs="宋体"/>
                <w:sz w:val="18"/>
                <w:szCs w:val="18"/>
              </w:rPr>
              <w:t>1,999,581.78</w:t>
            </w:r>
          </w:p>
        </w:tc>
      </w:tr>
      <w:tr w:rsidR="007B3DB2" w:rsidRPr="0063248C" w14:paraId="4411AB58"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0E5A584B" w14:textId="77777777" w:rsidR="007B3DB2" w:rsidRPr="0063248C" w:rsidRDefault="00000000">
            <w:pPr>
              <w:spacing w:line="240" w:lineRule="exact"/>
              <w:rPr>
                <w:rFonts w:cs="宋体"/>
                <w:sz w:val="18"/>
                <w:szCs w:val="18"/>
              </w:rPr>
            </w:pPr>
            <w:r w:rsidRPr="0063248C">
              <w:rPr>
                <w:rFonts w:cs="宋体"/>
                <w:sz w:val="18"/>
                <w:szCs w:val="18"/>
              </w:rPr>
              <w:t>沃德佳（青岛）供应链管理有限公司</w:t>
            </w:r>
          </w:p>
        </w:tc>
        <w:tc>
          <w:tcPr>
            <w:tcW w:w="3403" w:type="dxa"/>
            <w:tcBorders>
              <w:top w:val="single" w:sz="2" w:space="0" w:color="auto"/>
              <w:left w:val="single" w:sz="2" w:space="0" w:color="auto"/>
              <w:bottom w:val="single" w:sz="2" w:space="0" w:color="auto"/>
              <w:right w:val="single" w:sz="2" w:space="0" w:color="auto"/>
            </w:tcBorders>
            <w:vAlign w:val="center"/>
          </w:tcPr>
          <w:p w14:paraId="3AF9F619" w14:textId="77777777" w:rsidR="007B3DB2" w:rsidRPr="0063248C" w:rsidRDefault="00000000">
            <w:pPr>
              <w:spacing w:line="240" w:lineRule="exact"/>
              <w:rPr>
                <w:rFonts w:cs="宋体"/>
                <w:sz w:val="18"/>
                <w:szCs w:val="18"/>
              </w:rPr>
            </w:pPr>
            <w:r w:rsidRPr="0063248C">
              <w:rPr>
                <w:rFonts w:cs="宋体"/>
                <w:sz w:val="18"/>
                <w:szCs w:val="18"/>
              </w:rPr>
              <w:t>销售商品（冷鲜肉、冷冻</w:t>
            </w:r>
            <w:r w:rsidRPr="0063248C">
              <w:rPr>
                <w:rFonts w:cs="宋体"/>
                <w:sz w:val="18"/>
                <w:szCs w:val="18"/>
              </w:rPr>
              <w:t> </w:t>
            </w:r>
            <w:r w:rsidRPr="0063248C">
              <w:rPr>
                <w:rFonts w:cs="宋体"/>
                <w:sz w:val="18"/>
                <w:szCs w:val="18"/>
              </w:rPr>
              <w:t>肉、熟食等）</w:t>
            </w:r>
          </w:p>
        </w:tc>
        <w:tc>
          <w:tcPr>
            <w:tcW w:w="1843" w:type="dxa"/>
            <w:tcBorders>
              <w:top w:val="single" w:sz="2" w:space="0" w:color="auto"/>
              <w:left w:val="single" w:sz="2" w:space="0" w:color="auto"/>
              <w:bottom w:val="single" w:sz="2" w:space="0" w:color="auto"/>
              <w:right w:val="single" w:sz="2" w:space="0" w:color="auto"/>
            </w:tcBorders>
            <w:vAlign w:val="center"/>
          </w:tcPr>
          <w:p w14:paraId="2262EBCC" w14:textId="77777777" w:rsidR="007B3DB2" w:rsidRPr="0063248C" w:rsidRDefault="007B3DB2">
            <w:pPr>
              <w:spacing w:line="240" w:lineRule="exact"/>
              <w:jc w:val="right"/>
              <w:rPr>
                <w:rFonts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47FCB0A6" w14:textId="77777777" w:rsidR="007B3DB2" w:rsidRPr="0063248C" w:rsidRDefault="00000000">
            <w:pPr>
              <w:spacing w:line="240" w:lineRule="exact"/>
              <w:jc w:val="right"/>
              <w:rPr>
                <w:rFonts w:cs="宋体"/>
                <w:sz w:val="18"/>
                <w:szCs w:val="18"/>
              </w:rPr>
            </w:pPr>
            <w:r w:rsidRPr="0063248C">
              <w:rPr>
                <w:rFonts w:cs="宋体"/>
                <w:sz w:val="18"/>
                <w:szCs w:val="18"/>
              </w:rPr>
              <w:t>238,117.40</w:t>
            </w:r>
          </w:p>
        </w:tc>
      </w:tr>
      <w:tr w:rsidR="007B3DB2" w:rsidRPr="0063248C" w14:paraId="597A3DA7"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74E71D0B" w14:textId="77777777" w:rsidR="007B3DB2" w:rsidRPr="0063248C" w:rsidRDefault="00000000">
            <w:pPr>
              <w:spacing w:line="240" w:lineRule="exact"/>
              <w:rPr>
                <w:rFonts w:cs="宋体"/>
                <w:sz w:val="18"/>
                <w:szCs w:val="18"/>
              </w:rPr>
            </w:pPr>
            <w:r w:rsidRPr="0063248C">
              <w:rPr>
                <w:rFonts w:cs="宋体"/>
                <w:sz w:val="18"/>
                <w:szCs w:val="18"/>
              </w:rPr>
              <w:t>青岛联合友和食品有限公司</w:t>
            </w:r>
          </w:p>
        </w:tc>
        <w:tc>
          <w:tcPr>
            <w:tcW w:w="3403" w:type="dxa"/>
            <w:tcBorders>
              <w:top w:val="single" w:sz="2" w:space="0" w:color="auto"/>
              <w:left w:val="single" w:sz="2" w:space="0" w:color="auto"/>
              <w:bottom w:val="single" w:sz="2" w:space="0" w:color="auto"/>
              <w:right w:val="single" w:sz="2" w:space="0" w:color="auto"/>
            </w:tcBorders>
            <w:vAlign w:val="center"/>
          </w:tcPr>
          <w:p w14:paraId="6152132C" w14:textId="77777777" w:rsidR="007B3DB2" w:rsidRPr="0063248C" w:rsidRDefault="00000000">
            <w:pPr>
              <w:spacing w:line="240" w:lineRule="exact"/>
              <w:rPr>
                <w:rFonts w:cs="宋体"/>
                <w:sz w:val="18"/>
                <w:szCs w:val="18"/>
              </w:rPr>
            </w:pPr>
            <w:r w:rsidRPr="0063248C">
              <w:rPr>
                <w:rFonts w:cs="宋体"/>
                <w:sz w:val="18"/>
                <w:szCs w:val="18"/>
              </w:rPr>
              <w:t>销售商品（冷鲜肉、冷冻</w:t>
            </w:r>
            <w:r w:rsidRPr="0063248C">
              <w:rPr>
                <w:rFonts w:cs="宋体"/>
                <w:sz w:val="18"/>
                <w:szCs w:val="18"/>
              </w:rPr>
              <w:t> </w:t>
            </w:r>
            <w:r w:rsidRPr="0063248C">
              <w:rPr>
                <w:rFonts w:cs="宋体"/>
                <w:sz w:val="18"/>
                <w:szCs w:val="18"/>
              </w:rPr>
              <w:t>肉、熟食等）</w:t>
            </w:r>
          </w:p>
        </w:tc>
        <w:tc>
          <w:tcPr>
            <w:tcW w:w="1843" w:type="dxa"/>
            <w:tcBorders>
              <w:top w:val="single" w:sz="2" w:space="0" w:color="auto"/>
              <w:left w:val="single" w:sz="2" w:space="0" w:color="auto"/>
              <w:bottom w:val="single" w:sz="2" w:space="0" w:color="auto"/>
              <w:right w:val="single" w:sz="2" w:space="0" w:color="auto"/>
            </w:tcBorders>
            <w:vAlign w:val="center"/>
          </w:tcPr>
          <w:p w14:paraId="24B679A5" w14:textId="77777777" w:rsidR="007B3DB2" w:rsidRPr="0063248C" w:rsidRDefault="007B3DB2">
            <w:pPr>
              <w:spacing w:line="240" w:lineRule="exact"/>
              <w:jc w:val="right"/>
              <w:rPr>
                <w:rFonts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14:paraId="07656FAF" w14:textId="77777777" w:rsidR="007B3DB2" w:rsidRPr="0063248C" w:rsidRDefault="00000000">
            <w:pPr>
              <w:spacing w:line="240" w:lineRule="exact"/>
              <w:jc w:val="right"/>
              <w:rPr>
                <w:rFonts w:cs="宋体"/>
                <w:sz w:val="18"/>
                <w:szCs w:val="18"/>
              </w:rPr>
            </w:pPr>
            <w:r w:rsidRPr="0063248C">
              <w:rPr>
                <w:rFonts w:cs="宋体"/>
                <w:sz w:val="18"/>
                <w:szCs w:val="18"/>
              </w:rPr>
              <w:t>227,958.47</w:t>
            </w:r>
          </w:p>
        </w:tc>
      </w:tr>
      <w:tr w:rsidR="007B3DB2" w:rsidRPr="0063248C" w14:paraId="43A07009"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419C0888" w14:textId="77777777" w:rsidR="007B3DB2" w:rsidRPr="0063248C" w:rsidRDefault="00000000">
            <w:pPr>
              <w:spacing w:line="240" w:lineRule="exact"/>
              <w:rPr>
                <w:rFonts w:cs="宋体"/>
                <w:sz w:val="18"/>
                <w:szCs w:val="18"/>
              </w:rPr>
            </w:pPr>
            <w:r w:rsidRPr="0063248C">
              <w:rPr>
                <w:rFonts w:cs="宋体"/>
                <w:sz w:val="18"/>
                <w:szCs w:val="18"/>
              </w:rPr>
              <w:t>成都</w:t>
            </w:r>
            <w:proofErr w:type="gramStart"/>
            <w:r w:rsidRPr="0063248C">
              <w:rPr>
                <w:rFonts w:cs="宋体"/>
                <w:sz w:val="18"/>
                <w:szCs w:val="18"/>
              </w:rPr>
              <w:t>蓝润耀恒置业</w:t>
            </w:r>
            <w:proofErr w:type="gramEnd"/>
            <w:r w:rsidRPr="0063248C">
              <w:rPr>
                <w:rFonts w:cs="宋体"/>
                <w:sz w:val="18"/>
                <w:szCs w:val="18"/>
              </w:rPr>
              <w:t>有限公司</w:t>
            </w:r>
          </w:p>
        </w:tc>
        <w:tc>
          <w:tcPr>
            <w:tcW w:w="3403" w:type="dxa"/>
            <w:tcBorders>
              <w:top w:val="single" w:sz="2" w:space="0" w:color="auto"/>
              <w:left w:val="single" w:sz="2" w:space="0" w:color="auto"/>
              <w:bottom w:val="single" w:sz="2" w:space="0" w:color="auto"/>
              <w:right w:val="single" w:sz="2" w:space="0" w:color="auto"/>
            </w:tcBorders>
            <w:vAlign w:val="center"/>
          </w:tcPr>
          <w:p w14:paraId="1A003395" w14:textId="77777777" w:rsidR="007B3DB2" w:rsidRPr="0063248C" w:rsidRDefault="00000000">
            <w:pPr>
              <w:spacing w:line="240" w:lineRule="exact"/>
              <w:rPr>
                <w:rFonts w:cs="宋体"/>
                <w:sz w:val="18"/>
                <w:szCs w:val="18"/>
              </w:rPr>
            </w:pPr>
            <w:r w:rsidRPr="0063248C">
              <w:rPr>
                <w:rFonts w:cs="宋体"/>
                <w:sz w:val="18"/>
                <w:szCs w:val="18"/>
              </w:rPr>
              <w:t>销售商品（冷鲜肉、冷冻肉、熟食等）</w:t>
            </w:r>
          </w:p>
        </w:tc>
        <w:tc>
          <w:tcPr>
            <w:tcW w:w="1843" w:type="dxa"/>
            <w:tcBorders>
              <w:top w:val="single" w:sz="2" w:space="0" w:color="auto"/>
              <w:left w:val="single" w:sz="2" w:space="0" w:color="auto"/>
              <w:bottom w:val="single" w:sz="2" w:space="0" w:color="auto"/>
              <w:right w:val="single" w:sz="2" w:space="0" w:color="auto"/>
            </w:tcBorders>
            <w:vAlign w:val="center"/>
          </w:tcPr>
          <w:p w14:paraId="14C79D5E" w14:textId="77777777" w:rsidR="007B3DB2" w:rsidRPr="0063248C" w:rsidRDefault="00000000">
            <w:pPr>
              <w:spacing w:line="240" w:lineRule="exact"/>
              <w:jc w:val="right"/>
              <w:rPr>
                <w:rFonts w:cs="宋体"/>
                <w:sz w:val="18"/>
                <w:szCs w:val="18"/>
              </w:rPr>
            </w:pPr>
            <w:r w:rsidRPr="0063248C">
              <w:rPr>
                <w:rFonts w:cs="宋体"/>
                <w:sz w:val="18"/>
                <w:szCs w:val="18"/>
              </w:rPr>
              <w:t>28,458.76</w:t>
            </w:r>
          </w:p>
        </w:tc>
        <w:tc>
          <w:tcPr>
            <w:tcW w:w="1984" w:type="dxa"/>
            <w:tcBorders>
              <w:top w:val="single" w:sz="2" w:space="0" w:color="auto"/>
              <w:left w:val="single" w:sz="2" w:space="0" w:color="auto"/>
              <w:bottom w:val="single" w:sz="2" w:space="0" w:color="auto"/>
              <w:right w:val="single" w:sz="2" w:space="0" w:color="auto"/>
            </w:tcBorders>
            <w:vAlign w:val="center"/>
          </w:tcPr>
          <w:p w14:paraId="48ECE881" w14:textId="77777777" w:rsidR="007B3DB2" w:rsidRPr="0063248C" w:rsidRDefault="007B3DB2">
            <w:pPr>
              <w:spacing w:line="240" w:lineRule="exact"/>
              <w:jc w:val="right"/>
              <w:rPr>
                <w:rFonts w:cs="宋体"/>
                <w:sz w:val="18"/>
                <w:szCs w:val="18"/>
              </w:rPr>
            </w:pPr>
          </w:p>
        </w:tc>
      </w:tr>
      <w:tr w:rsidR="007B3DB2" w:rsidRPr="0063248C" w14:paraId="06E0C6FA"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7CF6D492" w14:textId="77777777" w:rsidR="007B3DB2" w:rsidRPr="0063248C" w:rsidRDefault="00000000">
            <w:pPr>
              <w:spacing w:line="240" w:lineRule="exact"/>
              <w:rPr>
                <w:rFonts w:cs="宋体"/>
                <w:sz w:val="18"/>
                <w:szCs w:val="18"/>
              </w:rPr>
            </w:pPr>
            <w:r w:rsidRPr="0063248C">
              <w:rPr>
                <w:rFonts w:cs="宋体"/>
                <w:sz w:val="18"/>
                <w:szCs w:val="18"/>
              </w:rPr>
              <w:t>蓬莱富华冷藏有限公司</w:t>
            </w:r>
          </w:p>
        </w:tc>
        <w:tc>
          <w:tcPr>
            <w:tcW w:w="3403" w:type="dxa"/>
            <w:tcBorders>
              <w:top w:val="single" w:sz="2" w:space="0" w:color="auto"/>
              <w:left w:val="single" w:sz="2" w:space="0" w:color="auto"/>
              <w:bottom w:val="single" w:sz="2" w:space="0" w:color="auto"/>
              <w:right w:val="single" w:sz="2" w:space="0" w:color="auto"/>
            </w:tcBorders>
            <w:vAlign w:val="center"/>
          </w:tcPr>
          <w:p w14:paraId="2445D3EF" w14:textId="77777777" w:rsidR="007B3DB2" w:rsidRPr="0063248C" w:rsidRDefault="00000000">
            <w:pPr>
              <w:spacing w:line="240" w:lineRule="exact"/>
              <w:rPr>
                <w:rFonts w:cs="宋体"/>
                <w:sz w:val="18"/>
                <w:szCs w:val="18"/>
              </w:rPr>
            </w:pPr>
            <w:r w:rsidRPr="0063248C">
              <w:rPr>
                <w:rFonts w:cs="宋体"/>
                <w:sz w:val="18"/>
                <w:szCs w:val="18"/>
              </w:rPr>
              <w:t>销售商品（冷鲜肉、冷冻肉、熟食等）</w:t>
            </w:r>
          </w:p>
        </w:tc>
        <w:tc>
          <w:tcPr>
            <w:tcW w:w="1843" w:type="dxa"/>
            <w:tcBorders>
              <w:top w:val="single" w:sz="2" w:space="0" w:color="auto"/>
              <w:left w:val="single" w:sz="2" w:space="0" w:color="auto"/>
              <w:bottom w:val="single" w:sz="2" w:space="0" w:color="auto"/>
              <w:right w:val="single" w:sz="2" w:space="0" w:color="auto"/>
            </w:tcBorders>
            <w:vAlign w:val="center"/>
          </w:tcPr>
          <w:p w14:paraId="25E04B12" w14:textId="77777777" w:rsidR="007B3DB2" w:rsidRPr="0063248C" w:rsidRDefault="00000000">
            <w:pPr>
              <w:spacing w:line="240" w:lineRule="exact"/>
              <w:jc w:val="right"/>
              <w:rPr>
                <w:rFonts w:cs="宋体"/>
                <w:sz w:val="18"/>
                <w:szCs w:val="18"/>
              </w:rPr>
            </w:pPr>
            <w:r w:rsidRPr="0063248C">
              <w:rPr>
                <w:rFonts w:cs="宋体"/>
                <w:sz w:val="18"/>
                <w:szCs w:val="18"/>
              </w:rPr>
              <w:t>1,166,672.41</w:t>
            </w:r>
          </w:p>
        </w:tc>
        <w:tc>
          <w:tcPr>
            <w:tcW w:w="1984" w:type="dxa"/>
            <w:tcBorders>
              <w:top w:val="single" w:sz="2" w:space="0" w:color="auto"/>
              <w:left w:val="single" w:sz="2" w:space="0" w:color="auto"/>
              <w:bottom w:val="single" w:sz="2" w:space="0" w:color="auto"/>
              <w:right w:val="single" w:sz="2" w:space="0" w:color="auto"/>
            </w:tcBorders>
            <w:vAlign w:val="center"/>
          </w:tcPr>
          <w:p w14:paraId="28ACC3D0" w14:textId="77777777" w:rsidR="007B3DB2" w:rsidRPr="0063248C" w:rsidRDefault="007B3DB2">
            <w:pPr>
              <w:spacing w:line="240" w:lineRule="exact"/>
              <w:jc w:val="right"/>
              <w:rPr>
                <w:rFonts w:cs="宋体"/>
                <w:sz w:val="18"/>
                <w:szCs w:val="18"/>
              </w:rPr>
            </w:pPr>
          </w:p>
        </w:tc>
      </w:tr>
      <w:tr w:rsidR="007B3DB2" w:rsidRPr="0063248C" w14:paraId="5E6D5D65"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783E1213" w14:textId="77777777" w:rsidR="007B3DB2" w:rsidRPr="0063248C" w:rsidRDefault="00000000">
            <w:pPr>
              <w:spacing w:line="240" w:lineRule="exact"/>
              <w:rPr>
                <w:rFonts w:cs="宋体"/>
                <w:sz w:val="18"/>
                <w:szCs w:val="18"/>
              </w:rPr>
            </w:pPr>
            <w:r w:rsidRPr="0063248C">
              <w:rPr>
                <w:rFonts w:cs="宋体"/>
                <w:sz w:val="18"/>
                <w:szCs w:val="18"/>
              </w:rPr>
              <w:t>上海新农科技股份有限公司</w:t>
            </w:r>
          </w:p>
        </w:tc>
        <w:tc>
          <w:tcPr>
            <w:tcW w:w="3403" w:type="dxa"/>
            <w:tcBorders>
              <w:top w:val="single" w:sz="2" w:space="0" w:color="auto"/>
              <w:left w:val="single" w:sz="2" w:space="0" w:color="auto"/>
              <w:bottom w:val="single" w:sz="2" w:space="0" w:color="auto"/>
              <w:right w:val="single" w:sz="2" w:space="0" w:color="auto"/>
            </w:tcBorders>
            <w:vAlign w:val="center"/>
          </w:tcPr>
          <w:p w14:paraId="00485805" w14:textId="77777777" w:rsidR="007B3DB2" w:rsidRPr="0063248C" w:rsidRDefault="00000000">
            <w:pPr>
              <w:spacing w:line="240" w:lineRule="exact"/>
              <w:rPr>
                <w:rFonts w:cs="宋体"/>
                <w:sz w:val="18"/>
                <w:szCs w:val="18"/>
              </w:rPr>
            </w:pPr>
            <w:r w:rsidRPr="0063248C">
              <w:rPr>
                <w:rFonts w:cs="宋体"/>
                <w:sz w:val="18"/>
                <w:szCs w:val="18"/>
              </w:rPr>
              <w:t>销售商品（冷鲜肉、冷冻肉、熟食等）</w:t>
            </w:r>
          </w:p>
        </w:tc>
        <w:tc>
          <w:tcPr>
            <w:tcW w:w="1843" w:type="dxa"/>
            <w:tcBorders>
              <w:top w:val="single" w:sz="2" w:space="0" w:color="auto"/>
              <w:left w:val="single" w:sz="2" w:space="0" w:color="auto"/>
              <w:bottom w:val="single" w:sz="2" w:space="0" w:color="auto"/>
              <w:right w:val="single" w:sz="2" w:space="0" w:color="auto"/>
            </w:tcBorders>
            <w:vAlign w:val="center"/>
          </w:tcPr>
          <w:p w14:paraId="726567B1" w14:textId="77777777" w:rsidR="007B3DB2" w:rsidRPr="0063248C" w:rsidRDefault="00000000">
            <w:pPr>
              <w:spacing w:line="240" w:lineRule="exact"/>
              <w:jc w:val="right"/>
              <w:rPr>
                <w:rFonts w:cs="宋体"/>
                <w:sz w:val="18"/>
                <w:szCs w:val="18"/>
              </w:rPr>
            </w:pPr>
            <w:r w:rsidRPr="0063248C">
              <w:rPr>
                <w:rFonts w:cs="宋体"/>
                <w:sz w:val="18"/>
                <w:szCs w:val="18"/>
              </w:rPr>
              <w:t>5,010.62</w:t>
            </w:r>
          </w:p>
        </w:tc>
        <w:tc>
          <w:tcPr>
            <w:tcW w:w="1984" w:type="dxa"/>
            <w:tcBorders>
              <w:top w:val="single" w:sz="2" w:space="0" w:color="auto"/>
              <w:left w:val="single" w:sz="2" w:space="0" w:color="auto"/>
              <w:bottom w:val="single" w:sz="2" w:space="0" w:color="auto"/>
              <w:right w:val="single" w:sz="2" w:space="0" w:color="auto"/>
            </w:tcBorders>
            <w:vAlign w:val="center"/>
          </w:tcPr>
          <w:p w14:paraId="3747F421" w14:textId="77777777" w:rsidR="007B3DB2" w:rsidRPr="0063248C" w:rsidRDefault="007B3DB2">
            <w:pPr>
              <w:spacing w:line="240" w:lineRule="exact"/>
              <w:jc w:val="right"/>
              <w:rPr>
                <w:rFonts w:cs="宋体"/>
                <w:sz w:val="18"/>
                <w:szCs w:val="18"/>
              </w:rPr>
            </w:pPr>
          </w:p>
        </w:tc>
      </w:tr>
      <w:tr w:rsidR="007B3DB2" w:rsidRPr="0063248C" w14:paraId="6A9FE149"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24A4C981" w14:textId="77777777" w:rsidR="007B3DB2" w:rsidRPr="0063248C" w:rsidRDefault="00000000">
            <w:pPr>
              <w:spacing w:line="240" w:lineRule="exact"/>
              <w:rPr>
                <w:rFonts w:cs="宋体"/>
                <w:sz w:val="18"/>
                <w:szCs w:val="18"/>
              </w:rPr>
            </w:pPr>
            <w:proofErr w:type="gramStart"/>
            <w:r w:rsidRPr="0063248C">
              <w:rPr>
                <w:rFonts w:cs="宋体"/>
                <w:sz w:val="18"/>
                <w:szCs w:val="18"/>
              </w:rPr>
              <w:t>五仓农牧</w:t>
            </w:r>
            <w:proofErr w:type="gramEnd"/>
            <w:r w:rsidRPr="0063248C">
              <w:rPr>
                <w:rFonts w:cs="宋体"/>
                <w:sz w:val="18"/>
                <w:szCs w:val="18"/>
              </w:rPr>
              <w:t>集团有限公司</w:t>
            </w:r>
          </w:p>
        </w:tc>
        <w:tc>
          <w:tcPr>
            <w:tcW w:w="3403" w:type="dxa"/>
            <w:tcBorders>
              <w:top w:val="single" w:sz="2" w:space="0" w:color="auto"/>
              <w:left w:val="single" w:sz="2" w:space="0" w:color="auto"/>
              <w:bottom w:val="single" w:sz="2" w:space="0" w:color="auto"/>
              <w:right w:val="single" w:sz="2" w:space="0" w:color="auto"/>
            </w:tcBorders>
            <w:vAlign w:val="center"/>
          </w:tcPr>
          <w:p w14:paraId="60D31D39" w14:textId="77777777" w:rsidR="007B3DB2" w:rsidRPr="0063248C" w:rsidRDefault="00000000">
            <w:pPr>
              <w:spacing w:line="240" w:lineRule="exact"/>
              <w:rPr>
                <w:rFonts w:cs="宋体"/>
                <w:sz w:val="18"/>
                <w:szCs w:val="18"/>
              </w:rPr>
            </w:pPr>
            <w:r w:rsidRPr="0063248C">
              <w:rPr>
                <w:rFonts w:cs="宋体"/>
                <w:sz w:val="18"/>
                <w:szCs w:val="18"/>
              </w:rPr>
              <w:t>销售商品（冷鲜肉、冷冻肉、熟食等）</w:t>
            </w:r>
          </w:p>
        </w:tc>
        <w:tc>
          <w:tcPr>
            <w:tcW w:w="1843" w:type="dxa"/>
            <w:tcBorders>
              <w:top w:val="single" w:sz="2" w:space="0" w:color="auto"/>
              <w:left w:val="single" w:sz="2" w:space="0" w:color="auto"/>
              <w:bottom w:val="single" w:sz="2" w:space="0" w:color="auto"/>
              <w:right w:val="single" w:sz="2" w:space="0" w:color="auto"/>
            </w:tcBorders>
            <w:vAlign w:val="center"/>
          </w:tcPr>
          <w:p w14:paraId="1E14F8DD" w14:textId="77777777" w:rsidR="007B3DB2" w:rsidRPr="0063248C" w:rsidRDefault="00000000">
            <w:pPr>
              <w:spacing w:line="240" w:lineRule="exact"/>
              <w:jc w:val="right"/>
              <w:rPr>
                <w:rFonts w:cs="宋体"/>
                <w:sz w:val="18"/>
                <w:szCs w:val="18"/>
              </w:rPr>
            </w:pPr>
            <w:r w:rsidRPr="0063248C">
              <w:rPr>
                <w:rFonts w:cs="宋体"/>
                <w:sz w:val="18"/>
                <w:szCs w:val="18"/>
              </w:rPr>
              <w:t>5,616.64</w:t>
            </w:r>
          </w:p>
        </w:tc>
        <w:tc>
          <w:tcPr>
            <w:tcW w:w="1984" w:type="dxa"/>
            <w:tcBorders>
              <w:top w:val="single" w:sz="2" w:space="0" w:color="auto"/>
              <w:left w:val="single" w:sz="2" w:space="0" w:color="auto"/>
              <w:bottom w:val="single" w:sz="2" w:space="0" w:color="auto"/>
              <w:right w:val="single" w:sz="2" w:space="0" w:color="auto"/>
            </w:tcBorders>
            <w:vAlign w:val="center"/>
          </w:tcPr>
          <w:p w14:paraId="259BF201" w14:textId="77777777" w:rsidR="007B3DB2" w:rsidRPr="0063248C" w:rsidRDefault="007B3DB2">
            <w:pPr>
              <w:spacing w:line="240" w:lineRule="exact"/>
              <w:jc w:val="right"/>
              <w:rPr>
                <w:rFonts w:cs="宋体"/>
                <w:sz w:val="18"/>
                <w:szCs w:val="18"/>
              </w:rPr>
            </w:pPr>
          </w:p>
        </w:tc>
      </w:tr>
      <w:tr w:rsidR="007B3DB2" w:rsidRPr="0063248C" w14:paraId="658B566F" w14:textId="77777777" w:rsidTr="000F65D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6A19D4F1" w14:textId="77777777" w:rsidR="007B3DB2" w:rsidRPr="0063248C" w:rsidRDefault="00000000">
            <w:pPr>
              <w:spacing w:line="240" w:lineRule="exact"/>
              <w:rPr>
                <w:rFonts w:cs="宋体"/>
                <w:sz w:val="18"/>
                <w:szCs w:val="18"/>
              </w:rPr>
            </w:pPr>
            <w:r w:rsidRPr="0063248C">
              <w:rPr>
                <w:rFonts w:cs="宋体"/>
                <w:sz w:val="18"/>
                <w:szCs w:val="18"/>
              </w:rPr>
              <w:t>合计</w:t>
            </w:r>
          </w:p>
        </w:tc>
        <w:tc>
          <w:tcPr>
            <w:tcW w:w="3403" w:type="dxa"/>
            <w:tcBorders>
              <w:top w:val="single" w:sz="2" w:space="0" w:color="auto"/>
              <w:left w:val="single" w:sz="2" w:space="0" w:color="auto"/>
              <w:bottom w:val="single" w:sz="2" w:space="0" w:color="auto"/>
              <w:right w:val="single" w:sz="2" w:space="0" w:color="auto"/>
            </w:tcBorders>
            <w:vAlign w:val="center"/>
          </w:tcPr>
          <w:p w14:paraId="7C0B0DD2" w14:textId="77777777" w:rsidR="007B3DB2" w:rsidRPr="0063248C" w:rsidRDefault="007B3DB2">
            <w:pPr>
              <w:spacing w:line="240" w:lineRule="exact"/>
              <w:rPr>
                <w:rFonts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14:paraId="4F1E1D2F" w14:textId="10523738" w:rsidR="007B3DB2" w:rsidRPr="0063248C" w:rsidRDefault="00E319D8">
            <w:pPr>
              <w:spacing w:line="240" w:lineRule="exact"/>
              <w:jc w:val="right"/>
              <w:rPr>
                <w:rFonts w:cs="宋体"/>
                <w:sz w:val="18"/>
                <w:szCs w:val="18"/>
              </w:rPr>
            </w:pPr>
            <w:r w:rsidRPr="00E319D8">
              <w:rPr>
                <w:rFonts w:cs="宋体"/>
                <w:sz w:val="18"/>
                <w:szCs w:val="18"/>
              </w:rPr>
              <w:t>1,804,519.49</w:t>
            </w:r>
          </w:p>
        </w:tc>
        <w:tc>
          <w:tcPr>
            <w:tcW w:w="1984" w:type="dxa"/>
            <w:tcBorders>
              <w:top w:val="single" w:sz="2" w:space="0" w:color="auto"/>
              <w:left w:val="single" w:sz="2" w:space="0" w:color="auto"/>
              <w:bottom w:val="single" w:sz="2" w:space="0" w:color="auto"/>
              <w:right w:val="single" w:sz="2" w:space="0" w:color="auto"/>
            </w:tcBorders>
            <w:vAlign w:val="center"/>
          </w:tcPr>
          <w:p w14:paraId="5152837E" w14:textId="77777777" w:rsidR="007B3DB2" w:rsidRPr="0063248C" w:rsidRDefault="00000000">
            <w:pPr>
              <w:spacing w:line="240" w:lineRule="exact"/>
              <w:jc w:val="right"/>
              <w:rPr>
                <w:rFonts w:cs="宋体"/>
                <w:sz w:val="18"/>
                <w:szCs w:val="18"/>
              </w:rPr>
            </w:pPr>
            <w:r w:rsidRPr="0063248C">
              <w:rPr>
                <w:rFonts w:cs="宋体"/>
                <w:sz w:val="18"/>
                <w:szCs w:val="18"/>
              </w:rPr>
              <w:t>34,276,442.12</w:t>
            </w:r>
          </w:p>
        </w:tc>
      </w:tr>
    </w:tbl>
    <w:p w14:paraId="2D7FBC1D" w14:textId="77777777" w:rsidR="007B3DB2" w:rsidRPr="0063248C" w:rsidRDefault="00000000">
      <w:pPr>
        <w:spacing w:before="100" w:after="100" w:line="240" w:lineRule="exact"/>
        <w:rPr>
          <w:rFonts w:cs="宋体"/>
          <w:sz w:val="18"/>
          <w:szCs w:val="18"/>
        </w:rPr>
      </w:pPr>
      <w:r w:rsidRPr="0063248C">
        <w:rPr>
          <w:rFonts w:cs="宋体"/>
          <w:sz w:val="18"/>
          <w:szCs w:val="18"/>
        </w:rPr>
        <w:t>购销商品、提供和接受劳务的关联交易说明</w:t>
      </w:r>
    </w:p>
    <w:p w14:paraId="18606B92" w14:textId="77777777" w:rsidR="00517D34" w:rsidRPr="0063248C" w:rsidRDefault="00000000">
      <w:pPr>
        <w:pStyle w:val="a3"/>
        <w:divId w:val="473716213"/>
        <w:rPr>
          <w:rFonts w:ascii="Times New Roman" w:hAnsi="Times New Roman"/>
          <w:sz w:val="18"/>
          <w:szCs w:val="18"/>
        </w:rPr>
      </w:pPr>
      <w:r w:rsidRPr="0063248C">
        <w:rPr>
          <w:rFonts w:ascii="Times New Roman" w:hAnsi="Times New Roman" w:hint="eastAsia"/>
          <w:sz w:val="18"/>
          <w:szCs w:val="18"/>
        </w:rPr>
        <w:t>无</w:t>
      </w:r>
    </w:p>
    <w:p w14:paraId="460B7B02" w14:textId="77777777" w:rsidR="007B3DB2" w:rsidRPr="0063248C" w:rsidRDefault="00000000">
      <w:pPr>
        <w:keepNext/>
        <w:keepLines/>
        <w:spacing w:before="300" w:after="300" w:line="280" w:lineRule="exact"/>
        <w:outlineLvl w:val="3"/>
        <w:rPr>
          <w:rFonts w:cs="宋体"/>
          <w:b/>
          <w:bCs/>
          <w:szCs w:val="21"/>
        </w:rPr>
      </w:pPr>
      <w:bookmarkStart w:id="473" w:name="_Toc989367"/>
      <w:r w:rsidRPr="0063248C">
        <w:rPr>
          <w:rFonts w:cs="宋体"/>
          <w:b/>
          <w:bCs/>
          <w:szCs w:val="21"/>
        </w:rPr>
        <w:lastRenderedPageBreak/>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关联受托管理</w:t>
      </w:r>
      <w:r w:rsidRPr="0063248C">
        <w:rPr>
          <w:rFonts w:cs="宋体"/>
          <w:b/>
          <w:bCs/>
          <w:szCs w:val="21"/>
        </w:rPr>
        <w:t>/</w:t>
      </w:r>
      <w:r w:rsidRPr="0063248C">
        <w:rPr>
          <w:rFonts w:cs="宋体"/>
          <w:b/>
          <w:bCs/>
          <w:szCs w:val="21"/>
        </w:rPr>
        <w:t>承包及委托管理</w:t>
      </w:r>
      <w:r w:rsidRPr="0063248C">
        <w:rPr>
          <w:rFonts w:cs="宋体"/>
          <w:b/>
          <w:bCs/>
          <w:szCs w:val="21"/>
        </w:rPr>
        <w:t>/</w:t>
      </w:r>
      <w:r w:rsidRPr="0063248C">
        <w:rPr>
          <w:rFonts w:cs="宋体"/>
          <w:b/>
          <w:bCs/>
          <w:szCs w:val="21"/>
        </w:rPr>
        <w:t>出包情况</w:t>
      </w:r>
      <w:bookmarkEnd w:id="473"/>
    </w:p>
    <w:p w14:paraId="417AD3B1" w14:textId="77777777" w:rsidR="007B3DB2" w:rsidRPr="0063248C" w:rsidRDefault="00000000">
      <w:pPr>
        <w:spacing w:before="40" w:after="40" w:line="240" w:lineRule="exact"/>
        <w:rPr>
          <w:rFonts w:cs="宋体"/>
          <w:sz w:val="18"/>
          <w:szCs w:val="18"/>
        </w:rPr>
      </w:pPr>
      <w:r w:rsidRPr="0063248C">
        <w:rPr>
          <w:rFonts w:cs="宋体"/>
          <w:sz w:val="18"/>
          <w:szCs w:val="18"/>
        </w:rPr>
        <w:t>本公司受托管理</w:t>
      </w:r>
      <w:r w:rsidRPr="0063248C">
        <w:rPr>
          <w:rFonts w:cs="宋体"/>
          <w:sz w:val="18"/>
          <w:szCs w:val="18"/>
        </w:rPr>
        <w:t>/</w:t>
      </w:r>
      <w:r w:rsidRPr="0063248C">
        <w:rPr>
          <w:rFonts w:cs="宋体"/>
          <w:sz w:val="18"/>
          <w:szCs w:val="18"/>
        </w:rPr>
        <w:t>承包情况表：</w:t>
      </w:r>
    </w:p>
    <w:p w14:paraId="20181095"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3BB70CC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640F174" w14:textId="77777777" w:rsidR="007B3DB2" w:rsidRPr="0063248C" w:rsidRDefault="00000000">
            <w:pPr>
              <w:spacing w:before="40" w:after="40" w:line="240" w:lineRule="exact"/>
              <w:jc w:val="center"/>
              <w:rPr>
                <w:rFonts w:cs="宋体"/>
                <w:sz w:val="18"/>
                <w:szCs w:val="18"/>
              </w:rPr>
            </w:pPr>
            <w:r w:rsidRPr="0063248C">
              <w:rPr>
                <w:rFonts w:cs="宋体"/>
                <w:sz w:val="18"/>
                <w:szCs w:val="18"/>
              </w:rPr>
              <w:t>委托方</w:t>
            </w:r>
            <w:r w:rsidRPr="0063248C">
              <w:rPr>
                <w:rFonts w:cs="宋体"/>
                <w:sz w:val="18"/>
                <w:szCs w:val="18"/>
              </w:rPr>
              <w:t>/</w:t>
            </w:r>
            <w:r w:rsidRPr="0063248C">
              <w:rPr>
                <w:rFonts w:cs="宋体"/>
                <w:sz w:val="18"/>
                <w:szCs w:val="18"/>
              </w:rPr>
              <w:t>出包方名称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47BDA5E" w14:textId="77777777" w:rsidR="007B3DB2" w:rsidRPr="0063248C" w:rsidRDefault="00000000">
            <w:pPr>
              <w:spacing w:before="40" w:after="40" w:line="240" w:lineRule="exact"/>
              <w:jc w:val="center"/>
              <w:rPr>
                <w:rFonts w:cs="宋体"/>
                <w:sz w:val="18"/>
                <w:szCs w:val="18"/>
              </w:rPr>
            </w:pPr>
            <w:r w:rsidRPr="0063248C">
              <w:rPr>
                <w:rFonts w:cs="宋体"/>
                <w:sz w:val="18"/>
                <w:szCs w:val="18"/>
              </w:rPr>
              <w:t>受托方</w:t>
            </w:r>
            <w:r w:rsidRPr="0063248C">
              <w:rPr>
                <w:rFonts w:cs="宋体"/>
                <w:sz w:val="18"/>
                <w:szCs w:val="18"/>
              </w:rPr>
              <w:t>/</w:t>
            </w:r>
            <w:r w:rsidRPr="0063248C">
              <w:rPr>
                <w:rFonts w:cs="宋体"/>
                <w:sz w:val="18"/>
                <w:szCs w:val="18"/>
              </w:rPr>
              <w:t>承包方名称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E74F8D9" w14:textId="77777777" w:rsidR="007B3DB2" w:rsidRPr="0063248C" w:rsidRDefault="00000000">
            <w:pPr>
              <w:spacing w:before="40" w:after="40" w:line="240" w:lineRule="exact"/>
              <w:jc w:val="center"/>
              <w:rPr>
                <w:rFonts w:cs="宋体"/>
                <w:sz w:val="18"/>
                <w:szCs w:val="18"/>
              </w:rPr>
            </w:pPr>
            <w:r w:rsidRPr="0063248C">
              <w:rPr>
                <w:rFonts w:cs="宋体"/>
                <w:sz w:val="18"/>
                <w:szCs w:val="18"/>
              </w:rPr>
              <w:t>受托</w:t>
            </w:r>
            <w:r w:rsidRPr="0063248C">
              <w:rPr>
                <w:rFonts w:cs="宋体"/>
                <w:sz w:val="18"/>
                <w:szCs w:val="18"/>
              </w:rPr>
              <w:t>/</w:t>
            </w:r>
            <w:r w:rsidRPr="0063248C">
              <w:rPr>
                <w:rFonts w:cs="宋体"/>
                <w:sz w:val="18"/>
                <w:szCs w:val="18"/>
              </w:rPr>
              <w:t>承包资产类型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87B9F96" w14:textId="77777777" w:rsidR="007B3DB2" w:rsidRPr="0063248C" w:rsidRDefault="00000000">
            <w:pPr>
              <w:spacing w:before="40" w:after="40" w:line="240" w:lineRule="exact"/>
              <w:jc w:val="center"/>
              <w:rPr>
                <w:rFonts w:cs="宋体"/>
                <w:sz w:val="18"/>
                <w:szCs w:val="18"/>
              </w:rPr>
            </w:pPr>
            <w:r w:rsidRPr="0063248C">
              <w:rPr>
                <w:rFonts w:cs="宋体"/>
                <w:sz w:val="18"/>
                <w:szCs w:val="18"/>
              </w:rPr>
              <w:t>受托</w:t>
            </w:r>
            <w:r w:rsidRPr="0063248C">
              <w:rPr>
                <w:rFonts w:cs="宋体"/>
                <w:sz w:val="18"/>
                <w:szCs w:val="18"/>
              </w:rPr>
              <w:t>/</w:t>
            </w:r>
            <w:r w:rsidRPr="0063248C">
              <w:rPr>
                <w:rFonts w:cs="宋体"/>
                <w:sz w:val="18"/>
                <w:szCs w:val="18"/>
              </w:rPr>
              <w:t>承包起始日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9A5EF9E" w14:textId="77777777" w:rsidR="007B3DB2" w:rsidRPr="0063248C" w:rsidRDefault="00000000">
            <w:pPr>
              <w:spacing w:before="40" w:after="40" w:line="240" w:lineRule="exact"/>
              <w:jc w:val="center"/>
              <w:rPr>
                <w:rFonts w:cs="宋体"/>
                <w:sz w:val="18"/>
                <w:szCs w:val="18"/>
              </w:rPr>
            </w:pPr>
            <w:r w:rsidRPr="0063248C">
              <w:rPr>
                <w:rFonts w:cs="宋体"/>
                <w:sz w:val="18"/>
                <w:szCs w:val="18"/>
              </w:rPr>
              <w:t>受托</w:t>
            </w:r>
            <w:r w:rsidRPr="0063248C">
              <w:rPr>
                <w:rFonts w:cs="宋体"/>
                <w:sz w:val="18"/>
                <w:szCs w:val="18"/>
              </w:rPr>
              <w:t>/</w:t>
            </w:r>
            <w:r w:rsidRPr="0063248C">
              <w:rPr>
                <w:rFonts w:cs="宋体"/>
                <w:sz w:val="18"/>
                <w:szCs w:val="18"/>
              </w:rPr>
              <w:t>承包终止日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DE66E18" w14:textId="77777777" w:rsidR="007B3DB2" w:rsidRPr="0063248C" w:rsidRDefault="00000000">
            <w:pPr>
              <w:spacing w:before="40" w:after="40" w:line="240" w:lineRule="exact"/>
              <w:jc w:val="center"/>
              <w:rPr>
                <w:rFonts w:cs="宋体"/>
                <w:sz w:val="18"/>
                <w:szCs w:val="18"/>
              </w:rPr>
            </w:pPr>
            <w:r w:rsidRPr="0063248C">
              <w:rPr>
                <w:rFonts w:cs="宋体"/>
                <w:sz w:val="18"/>
                <w:szCs w:val="18"/>
              </w:rPr>
              <w:t>托管收益</w:t>
            </w:r>
            <w:r w:rsidRPr="0063248C">
              <w:rPr>
                <w:rFonts w:cs="宋体"/>
                <w:sz w:val="18"/>
                <w:szCs w:val="18"/>
              </w:rPr>
              <w:t>/</w:t>
            </w:r>
            <w:r w:rsidRPr="0063248C">
              <w:rPr>
                <w:rFonts w:cs="宋体"/>
                <w:sz w:val="18"/>
                <w:szCs w:val="18"/>
              </w:rPr>
              <w:t>承包收益定价依据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C1A6590"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本期确认的托管收益</w:t>
            </w:r>
            <w:r w:rsidRPr="0063248C">
              <w:rPr>
                <w:rFonts w:cs="宋体"/>
                <w:sz w:val="18"/>
                <w:szCs w:val="18"/>
              </w:rPr>
              <w:t>/</w:t>
            </w:r>
            <w:r w:rsidRPr="0063248C">
              <w:rPr>
                <w:rFonts w:cs="宋体"/>
                <w:sz w:val="18"/>
                <w:szCs w:val="18"/>
              </w:rPr>
              <w:t>承包收益</w:t>
            </w:r>
          </w:p>
        </w:tc>
      </w:tr>
      <w:tr w:rsidR="007B3DB2" w:rsidRPr="0063248C" w14:paraId="3B25577C"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872AC86"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62517648" w14:textId="77777777" w:rsidR="007B3DB2" w:rsidRPr="0063248C" w:rsidRDefault="00000000">
            <w:pPr>
              <w:spacing w:line="240" w:lineRule="exact"/>
              <w:rPr>
                <w:rFonts w:cs="宋体"/>
                <w:sz w:val="18"/>
                <w:szCs w:val="18"/>
              </w:rPr>
            </w:pPr>
            <w:r w:rsidRPr="0063248C">
              <w:rPr>
                <w:rFonts w:cs="宋体"/>
                <w:sz w:val="18"/>
                <w:szCs w:val="18"/>
              </w:rPr>
              <w:t>山东龙大美食股份有限公司</w:t>
            </w:r>
          </w:p>
        </w:tc>
        <w:tc>
          <w:tcPr>
            <w:tcW w:w="1377" w:type="dxa"/>
            <w:tcBorders>
              <w:top w:val="single" w:sz="2" w:space="0" w:color="auto"/>
              <w:left w:val="single" w:sz="2" w:space="0" w:color="auto"/>
              <w:bottom w:val="single" w:sz="2" w:space="0" w:color="auto"/>
              <w:right w:val="single" w:sz="2" w:space="0" w:color="auto"/>
            </w:tcBorders>
            <w:vAlign w:val="center"/>
          </w:tcPr>
          <w:p w14:paraId="6A338DAF" w14:textId="77777777" w:rsidR="007B3DB2" w:rsidRPr="0063248C" w:rsidRDefault="00000000">
            <w:pPr>
              <w:spacing w:line="240" w:lineRule="exact"/>
              <w:rPr>
                <w:rFonts w:cs="宋体"/>
                <w:sz w:val="18"/>
                <w:szCs w:val="18"/>
              </w:rPr>
            </w:pPr>
            <w:r w:rsidRPr="0063248C">
              <w:rPr>
                <w:rFonts w:cs="宋体"/>
                <w:sz w:val="18"/>
                <w:szCs w:val="18"/>
              </w:rPr>
              <w:t>股权托管</w:t>
            </w:r>
          </w:p>
        </w:tc>
        <w:tc>
          <w:tcPr>
            <w:tcW w:w="1377" w:type="dxa"/>
            <w:tcBorders>
              <w:top w:val="single" w:sz="2" w:space="0" w:color="auto"/>
              <w:left w:val="single" w:sz="2" w:space="0" w:color="auto"/>
              <w:bottom w:val="single" w:sz="2" w:space="0" w:color="auto"/>
              <w:right w:val="single" w:sz="2" w:space="0" w:color="auto"/>
            </w:tcBorders>
            <w:vAlign w:val="center"/>
          </w:tcPr>
          <w:p w14:paraId="56CF5122" w14:textId="77777777" w:rsidR="007B3DB2" w:rsidRPr="0063248C" w:rsidRDefault="00000000" w:rsidP="00E319D8">
            <w:pPr>
              <w:spacing w:line="240" w:lineRule="exact"/>
              <w:jc w:val="center"/>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19</w:t>
            </w:r>
            <w:r w:rsidRPr="0063248C">
              <w:rPr>
                <w:rFonts w:cs="宋体"/>
                <w:sz w:val="18"/>
                <w:szCs w:val="18"/>
              </w:rPr>
              <w:t>日</w:t>
            </w:r>
          </w:p>
        </w:tc>
        <w:tc>
          <w:tcPr>
            <w:tcW w:w="1377" w:type="dxa"/>
            <w:tcBorders>
              <w:top w:val="single" w:sz="2" w:space="0" w:color="auto"/>
              <w:left w:val="single" w:sz="2" w:space="0" w:color="auto"/>
              <w:bottom w:val="single" w:sz="2" w:space="0" w:color="auto"/>
              <w:right w:val="single" w:sz="2" w:space="0" w:color="auto"/>
            </w:tcBorders>
            <w:vAlign w:val="center"/>
          </w:tcPr>
          <w:p w14:paraId="6A686808" w14:textId="77777777" w:rsidR="007B3DB2" w:rsidRPr="0063248C" w:rsidRDefault="00000000" w:rsidP="00E319D8">
            <w:pPr>
              <w:spacing w:line="240" w:lineRule="exact"/>
              <w:jc w:val="center"/>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31</w:t>
            </w:r>
            <w:r w:rsidRPr="0063248C">
              <w:rPr>
                <w:rFonts w:cs="宋体"/>
                <w:sz w:val="18"/>
                <w:szCs w:val="18"/>
              </w:rPr>
              <w:t>日</w:t>
            </w:r>
          </w:p>
        </w:tc>
        <w:tc>
          <w:tcPr>
            <w:tcW w:w="1377" w:type="dxa"/>
            <w:tcBorders>
              <w:top w:val="single" w:sz="2" w:space="0" w:color="auto"/>
              <w:left w:val="single" w:sz="2" w:space="0" w:color="auto"/>
              <w:bottom w:val="single" w:sz="2" w:space="0" w:color="auto"/>
              <w:right w:val="single" w:sz="2" w:space="0" w:color="auto"/>
            </w:tcBorders>
            <w:vAlign w:val="center"/>
          </w:tcPr>
          <w:p w14:paraId="426BDD36" w14:textId="77777777" w:rsidR="007B3DB2" w:rsidRPr="0063248C" w:rsidRDefault="007B3DB2" w:rsidP="00E319D8">
            <w:pPr>
              <w:spacing w:line="240" w:lineRule="exact"/>
              <w:jc w:val="center"/>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F124672" w14:textId="77777777" w:rsidR="007B3DB2" w:rsidRPr="0063248C" w:rsidRDefault="00000000" w:rsidP="00E319D8">
            <w:pPr>
              <w:spacing w:line="240" w:lineRule="exact"/>
              <w:jc w:val="center"/>
              <w:rPr>
                <w:rFonts w:cs="宋体"/>
                <w:sz w:val="18"/>
                <w:szCs w:val="18"/>
              </w:rPr>
            </w:pPr>
            <w:r w:rsidRPr="0063248C">
              <w:rPr>
                <w:rFonts w:cs="宋体"/>
                <w:sz w:val="18"/>
                <w:szCs w:val="18"/>
              </w:rPr>
              <w:t>3,561.64</w:t>
            </w:r>
          </w:p>
        </w:tc>
      </w:tr>
    </w:tbl>
    <w:p w14:paraId="229A023F" w14:textId="77777777" w:rsidR="007B3DB2" w:rsidRPr="0063248C" w:rsidRDefault="00000000">
      <w:pPr>
        <w:spacing w:before="100" w:after="100" w:line="240" w:lineRule="exact"/>
        <w:rPr>
          <w:rFonts w:cs="宋体"/>
          <w:sz w:val="18"/>
          <w:szCs w:val="18"/>
        </w:rPr>
      </w:pPr>
      <w:r w:rsidRPr="0063248C">
        <w:rPr>
          <w:rFonts w:cs="宋体"/>
          <w:sz w:val="18"/>
          <w:szCs w:val="18"/>
        </w:rPr>
        <w:t>关联托管</w:t>
      </w:r>
      <w:r w:rsidRPr="0063248C">
        <w:rPr>
          <w:rFonts w:cs="宋体"/>
          <w:sz w:val="18"/>
          <w:szCs w:val="18"/>
        </w:rPr>
        <w:t>/</w:t>
      </w:r>
      <w:r w:rsidRPr="0063248C">
        <w:rPr>
          <w:rFonts w:cs="宋体"/>
          <w:sz w:val="18"/>
          <w:szCs w:val="18"/>
        </w:rPr>
        <w:t>承包情况说明</w:t>
      </w:r>
    </w:p>
    <w:p w14:paraId="0954E855" w14:textId="77777777" w:rsidR="00517D34" w:rsidRPr="0063248C" w:rsidRDefault="00000000" w:rsidP="000F65D3">
      <w:pPr>
        <w:pStyle w:val="a3"/>
        <w:spacing w:line="276" w:lineRule="auto"/>
        <w:ind w:firstLineChars="200" w:firstLine="360"/>
        <w:jc w:val="both"/>
        <w:divId w:val="994801546"/>
        <w:rPr>
          <w:rFonts w:ascii="Times New Roman" w:hAnsi="Times New Roman"/>
          <w:sz w:val="18"/>
          <w:szCs w:val="18"/>
        </w:rPr>
      </w:pPr>
      <w:r w:rsidRPr="0063248C">
        <w:rPr>
          <w:rFonts w:ascii="Times New Roman" w:hAnsi="Times New Roman" w:hint="eastAsia"/>
          <w:sz w:val="18"/>
          <w:szCs w:val="18"/>
        </w:rPr>
        <w:t>公司与控股股东蓝润发展下属全资</w:t>
      </w:r>
      <w:proofErr w:type="gramStart"/>
      <w:r w:rsidRPr="0063248C">
        <w:rPr>
          <w:rFonts w:ascii="Times New Roman" w:hAnsi="Times New Roman" w:hint="eastAsia"/>
          <w:sz w:val="18"/>
          <w:szCs w:val="18"/>
        </w:rPr>
        <w:t>子公司五仓农牧</w:t>
      </w:r>
      <w:proofErr w:type="gramEnd"/>
      <w:r w:rsidRPr="0063248C">
        <w:rPr>
          <w:rFonts w:ascii="Times New Roman" w:hAnsi="Times New Roman" w:hint="eastAsia"/>
          <w:sz w:val="18"/>
          <w:szCs w:val="18"/>
        </w:rPr>
        <w:t>集团有限公司因生猪养殖业务存在同业竞争。公司就控股股东及实际控制人避免同业竞争承诺事项于</w:t>
      </w:r>
      <w:r w:rsidRPr="0063248C">
        <w:rPr>
          <w:rFonts w:ascii="Times New Roman" w:hAnsi="Times New Roman" w:hint="eastAsia"/>
          <w:sz w:val="18"/>
          <w:szCs w:val="18"/>
        </w:rPr>
        <w:t>2023</w:t>
      </w:r>
      <w:r w:rsidRPr="0063248C">
        <w:rPr>
          <w:rFonts w:ascii="Times New Roman" w:hAnsi="Times New Roman" w:hint="eastAsia"/>
          <w:sz w:val="18"/>
          <w:szCs w:val="18"/>
        </w:rPr>
        <w:t>年</w:t>
      </w:r>
      <w:r w:rsidRPr="0063248C">
        <w:rPr>
          <w:rFonts w:ascii="Times New Roman" w:hAnsi="Times New Roman" w:hint="eastAsia"/>
          <w:sz w:val="18"/>
          <w:szCs w:val="18"/>
        </w:rPr>
        <w:t>12</w:t>
      </w:r>
      <w:r w:rsidRPr="0063248C">
        <w:rPr>
          <w:rFonts w:ascii="Times New Roman" w:hAnsi="Times New Roman" w:hint="eastAsia"/>
          <w:sz w:val="18"/>
          <w:szCs w:val="18"/>
        </w:rPr>
        <w:t>月</w:t>
      </w:r>
      <w:r w:rsidRPr="0063248C">
        <w:rPr>
          <w:rFonts w:ascii="Times New Roman" w:hAnsi="Times New Roman" w:hint="eastAsia"/>
          <w:sz w:val="18"/>
          <w:szCs w:val="18"/>
        </w:rPr>
        <w:t>1</w:t>
      </w:r>
      <w:r w:rsidRPr="0063248C">
        <w:rPr>
          <w:rFonts w:ascii="Times New Roman" w:hAnsi="Times New Roman" w:hint="eastAsia"/>
          <w:sz w:val="18"/>
          <w:szCs w:val="18"/>
        </w:rPr>
        <w:t>日召开第五届董事会第十九次会议，审议通过了《关于公司控股股东及实际控制人避免同业竞争承诺延期履行的议案》，同意控股股东及实际控制人对避免同业竞争承诺事项进行延期，并在解决同业竞争之前，控股股东将以股权托管的方式</w:t>
      </w:r>
      <w:proofErr w:type="gramStart"/>
      <w:r w:rsidRPr="0063248C">
        <w:rPr>
          <w:rFonts w:ascii="Times New Roman" w:hAnsi="Times New Roman" w:hint="eastAsia"/>
          <w:sz w:val="18"/>
          <w:szCs w:val="18"/>
        </w:rPr>
        <w:t>将五仓农牧</w:t>
      </w:r>
      <w:proofErr w:type="gramEnd"/>
      <w:r w:rsidRPr="0063248C">
        <w:rPr>
          <w:rFonts w:ascii="Times New Roman" w:hAnsi="Times New Roman" w:hint="eastAsia"/>
          <w:sz w:val="18"/>
          <w:szCs w:val="18"/>
        </w:rPr>
        <w:t>股权委托公司代为管理。根据上述延期方案，公司董事会审议通过了《关于签署股权托管协议暨关联交易的议案》，同意控股股东</w:t>
      </w:r>
      <w:proofErr w:type="gramStart"/>
      <w:r w:rsidRPr="0063248C">
        <w:rPr>
          <w:rFonts w:ascii="Times New Roman" w:hAnsi="Times New Roman" w:hint="eastAsia"/>
          <w:sz w:val="18"/>
          <w:szCs w:val="18"/>
        </w:rPr>
        <w:t>将五仓农牧</w:t>
      </w:r>
      <w:proofErr w:type="gramEnd"/>
      <w:r w:rsidRPr="0063248C">
        <w:rPr>
          <w:rFonts w:ascii="Times New Roman" w:hAnsi="Times New Roman" w:hint="eastAsia"/>
          <w:sz w:val="18"/>
          <w:szCs w:val="18"/>
        </w:rPr>
        <w:t>的股权委托给公司代为管理，直至相关资产注入上市公司或转让给无关联第三方，并签署《股权托管协议》。协议约定，托管期间，委托方应就委托管理期间受托方提供的委托管理服务向受托方支付委托管理费，委托管理费的计算方式为：</w:t>
      </w:r>
      <w:r w:rsidRPr="0063248C">
        <w:rPr>
          <w:rFonts w:ascii="Times New Roman" w:hAnsi="Times New Roman" w:hint="eastAsia"/>
          <w:sz w:val="18"/>
          <w:szCs w:val="18"/>
        </w:rPr>
        <w:t>10</w:t>
      </w:r>
      <w:r w:rsidRPr="0063248C">
        <w:rPr>
          <w:rFonts w:ascii="Times New Roman" w:hAnsi="Times New Roman" w:hint="eastAsia"/>
          <w:sz w:val="18"/>
          <w:szCs w:val="18"/>
        </w:rPr>
        <w:t>万元人民币</w:t>
      </w:r>
      <w:r w:rsidRPr="0063248C">
        <w:rPr>
          <w:rFonts w:ascii="Times New Roman" w:hAnsi="Times New Roman" w:hint="eastAsia"/>
          <w:sz w:val="18"/>
          <w:szCs w:val="18"/>
        </w:rPr>
        <w:t>/</w:t>
      </w:r>
      <w:r w:rsidRPr="0063248C">
        <w:rPr>
          <w:rFonts w:ascii="Times New Roman" w:hAnsi="Times New Roman" w:hint="eastAsia"/>
          <w:sz w:val="18"/>
          <w:szCs w:val="18"/>
        </w:rPr>
        <w:t>年。具体内容详见《山东龙大美食股份有限公司关于签署股权托管协议暨关联交易的公告》（公告编号</w:t>
      </w:r>
      <w:r w:rsidRPr="0063248C">
        <w:rPr>
          <w:rFonts w:ascii="Times New Roman" w:hAnsi="Times New Roman" w:hint="eastAsia"/>
          <w:sz w:val="18"/>
          <w:szCs w:val="18"/>
        </w:rPr>
        <w:t xml:space="preserve"> 2023-092</w:t>
      </w:r>
      <w:r w:rsidRPr="0063248C">
        <w:rPr>
          <w:rFonts w:ascii="Times New Roman" w:hAnsi="Times New Roman" w:hint="eastAsia"/>
          <w:sz w:val="18"/>
          <w:szCs w:val="18"/>
        </w:rPr>
        <w:t>）。</w:t>
      </w:r>
    </w:p>
    <w:p w14:paraId="1961B642" w14:textId="77777777" w:rsidR="007B3DB2" w:rsidRPr="0063248C" w:rsidRDefault="00000000">
      <w:pPr>
        <w:spacing w:before="100" w:after="100" w:line="240" w:lineRule="exact"/>
        <w:rPr>
          <w:rFonts w:cs="宋体"/>
          <w:sz w:val="18"/>
          <w:szCs w:val="18"/>
        </w:rPr>
      </w:pPr>
      <w:r w:rsidRPr="0063248C">
        <w:rPr>
          <w:rFonts w:cs="宋体"/>
          <w:sz w:val="18"/>
          <w:szCs w:val="18"/>
        </w:rPr>
        <w:t>本公司委托管理</w:t>
      </w:r>
      <w:r w:rsidRPr="0063248C">
        <w:rPr>
          <w:rFonts w:cs="宋体"/>
          <w:sz w:val="18"/>
          <w:szCs w:val="18"/>
        </w:rPr>
        <w:t>/</w:t>
      </w:r>
      <w:r w:rsidRPr="0063248C">
        <w:rPr>
          <w:rFonts w:cs="宋体"/>
          <w:sz w:val="18"/>
          <w:szCs w:val="18"/>
        </w:rPr>
        <w:t>出</w:t>
      </w:r>
      <w:proofErr w:type="gramStart"/>
      <w:r w:rsidRPr="0063248C">
        <w:rPr>
          <w:rFonts w:cs="宋体"/>
          <w:sz w:val="18"/>
          <w:szCs w:val="18"/>
        </w:rPr>
        <w:t>包情况</w:t>
      </w:r>
      <w:proofErr w:type="gramEnd"/>
      <w:r w:rsidRPr="0063248C">
        <w:rPr>
          <w:rFonts w:cs="宋体"/>
          <w:sz w:val="18"/>
          <w:szCs w:val="18"/>
        </w:rPr>
        <w:t>表：</w:t>
      </w:r>
    </w:p>
    <w:p w14:paraId="5499D05A"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1F6A03CD"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BDAE663" w14:textId="77777777" w:rsidR="007B3DB2" w:rsidRPr="0063248C" w:rsidRDefault="00000000">
            <w:pPr>
              <w:spacing w:before="40" w:after="40" w:line="240" w:lineRule="exact"/>
              <w:jc w:val="center"/>
              <w:rPr>
                <w:rFonts w:cs="宋体"/>
                <w:sz w:val="18"/>
                <w:szCs w:val="18"/>
              </w:rPr>
            </w:pPr>
            <w:r w:rsidRPr="0063248C">
              <w:rPr>
                <w:rFonts w:cs="宋体"/>
                <w:sz w:val="18"/>
                <w:szCs w:val="18"/>
              </w:rPr>
              <w:t>委托方</w:t>
            </w:r>
            <w:r w:rsidRPr="0063248C">
              <w:rPr>
                <w:rFonts w:cs="宋体"/>
                <w:sz w:val="18"/>
                <w:szCs w:val="18"/>
              </w:rPr>
              <w:t>/</w:t>
            </w:r>
            <w:r w:rsidRPr="0063248C">
              <w:rPr>
                <w:rFonts w:cs="宋体"/>
                <w:sz w:val="18"/>
                <w:szCs w:val="18"/>
              </w:rPr>
              <w:t>出包方名称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7C527B4" w14:textId="77777777" w:rsidR="007B3DB2" w:rsidRPr="0063248C" w:rsidRDefault="00000000">
            <w:pPr>
              <w:spacing w:before="40" w:after="40" w:line="240" w:lineRule="exact"/>
              <w:jc w:val="center"/>
              <w:rPr>
                <w:rFonts w:cs="宋体"/>
                <w:sz w:val="18"/>
                <w:szCs w:val="18"/>
              </w:rPr>
            </w:pPr>
            <w:r w:rsidRPr="0063248C">
              <w:rPr>
                <w:rFonts w:cs="宋体"/>
                <w:sz w:val="18"/>
                <w:szCs w:val="18"/>
              </w:rPr>
              <w:t>受托方</w:t>
            </w:r>
            <w:r w:rsidRPr="0063248C">
              <w:rPr>
                <w:rFonts w:cs="宋体"/>
                <w:sz w:val="18"/>
                <w:szCs w:val="18"/>
              </w:rPr>
              <w:t>/</w:t>
            </w:r>
            <w:r w:rsidRPr="0063248C">
              <w:rPr>
                <w:rFonts w:cs="宋体"/>
                <w:sz w:val="18"/>
                <w:szCs w:val="18"/>
              </w:rPr>
              <w:t>承包方名称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190DFA9" w14:textId="77777777" w:rsidR="007B3DB2" w:rsidRPr="0063248C" w:rsidRDefault="00000000">
            <w:pPr>
              <w:spacing w:before="40" w:after="40" w:line="240" w:lineRule="exact"/>
              <w:jc w:val="center"/>
              <w:rPr>
                <w:rFonts w:cs="宋体"/>
                <w:sz w:val="18"/>
                <w:szCs w:val="18"/>
              </w:rPr>
            </w:pPr>
            <w:r w:rsidRPr="0063248C">
              <w:rPr>
                <w:rFonts w:cs="宋体"/>
                <w:sz w:val="18"/>
                <w:szCs w:val="18"/>
              </w:rPr>
              <w:t>委托</w:t>
            </w:r>
            <w:r w:rsidRPr="0063248C">
              <w:rPr>
                <w:rFonts w:cs="宋体"/>
                <w:sz w:val="18"/>
                <w:szCs w:val="18"/>
              </w:rPr>
              <w:t>/</w:t>
            </w:r>
            <w:r w:rsidRPr="0063248C">
              <w:rPr>
                <w:rFonts w:cs="宋体"/>
                <w:sz w:val="18"/>
                <w:szCs w:val="18"/>
              </w:rPr>
              <w:t>出</w:t>
            </w:r>
            <w:proofErr w:type="gramStart"/>
            <w:r w:rsidRPr="0063248C">
              <w:rPr>
                <w:rFonts w:cs="宋体"/>
                <w:sz w:val="18"/>
                <w:szCs w:val="18"/>
              </w:rPr>
              <w:t>包资产</w:t>
            </w:r>
            <w:proofErr w:type="gramEnd"/>
            <w:r w:rsidRPr="0063248C">
              <w:rPr>
                <w:rFonts w:cs="宋体"/>
                <w:sz w:val="18"/>
                <w:szCs w:val="18"/>
              </w:rPr>
              <w:t>类型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DE123DF" w14:textId="77777777" w:rsidR="007B3DB2" w:rsidRPr="0063248C" w:rsidRDefault="00000000">
            <w:pPr>
              <w:spacing w:before="40" w:after="40" w:line="240" w:lineRule="exact"/>
              <w:jc w:val="center"/>
              <w:rPr>
                <w:rFonts w:cs="宋体"/>
                <w:sz w:val="18"/>
                <w:szCs w:val="18"/>
              </w:rPr>
            </w:pPr>
            <w:r w:rsidRPr="0063248C">
              <w:rPr>
                <w:rFonts w:cs="宋体"/>
                <w:sz w:val="18"/>
                <w:szCs w:val="18"/>
              </w:rPr>
              <w:t>委托</w:t>
            </w:r>
            <w:r w:rsidRPr="0063248C">
              <w:rPr>
                <w:rFonts w:cs="宋体"/>
                <w:sz w:val="18"/>
                <w:szCs w:val="18"/>
              </w:rPr>
              <w:t>/</w:t>
            </w:r>
            <w:r w:rsidRPr="0063248C">
              <w:rPr>
                <w:rFonts w:cs="宋体"/>
                <w:sz w:val="18"/>
                <w:szCs w:val="18"/>
              </w:rPr>
              <w:t>出包起始日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129F4CE" w14:textId="77777777" w:rsidR="007B3DB2" w:rsidRPr="0063248C" w:rsidRDefault="00000000">
            <w:pPr>
              <w:spacing w:before="40" w:after="40" w:line="240" w:lineRule="exact"/>
              <w:jc w:val="center"/>
              <w:rPr>
                <w:rFonts w:cs="宋体"/>
                <w:sz w:val="18"/>
                <w:szCs w:val="18"/>
              </w:rPr>
            </w:pPr>
            <w:r w:rsidRPr="0063248C">
              <w:rPr>
                <w:rFonts w:cs="宋体"/>
                <w:sz w:val="18"/>
                <w:szCs w:val="18"/>
              </w:rPr>
              <w:t>委托</w:t>
            </w:r>
            <w:r w:rsidRPr="0063248C">
              <w:rPr>
                <w:rFonts w:cs="宋体"/>
                <w:sz w:val="18"/>
                <w:szCs w:val="18"/>
              </w:rPr>
              <w:t>/</w:t>
            </w:r>
            <w:r w:rsidRPr="0063248C">
              <w:rPr>
                <w:rFonts w:cs="宋体"/>
                <w:sz w:val="18"/>
                <w:szCs w:val="18"/>
              </w:rPr>
              <w:t>出包终止日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1A17807" w14:textId="77777777" w:rsidR="007B3DB2" w:rsidRPr="0063248C" w:rsidRDefault="00000000">
            <w:pPr>
              <w:spacing w:before="40" w:after="40" w:line="240" w:lineRule="exact"/>
              <w:jc w:val="center"/>
              <w:rPr>
                <w:rFonts w:cs="宋体"/>
                <w:sz w:val="18"/>
                <w:szCs w:val="18"/>
              </w:rPr>
            </w:pPr>
            <w:r w:rsidRPr="0063248C">
              <w:rPr>
                <w:rFonts w:cs="宋体"/>
                <w:sz w:val="18"/>
                <w:szCs w:val="18"/>
              </w:rPr>
              <w:t>托管费</w:t>
            </w:r>
            <w:r w:rsidRPr="0063248C">
              <w:rPr>
                <w:rFonts w:cs="宋体"/>
                <w:sz w:val="18"/>
                <w:szCs w:val="18"/>
              </w:rPr>
              <w:t>/</w:t>
            </w:r>
            <w:r w:rsidRPr="0063248C">
              <w:rPr>
                <w:rFonts w:cs="宋体"/>
                <w:sz w:val="18"/>
                <w:szCs w:val="18"/>
              </w:rPr>
              <w:t>出包费定价依据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A865B51"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本期确认的托管费</w:t>
            </w:r>
            <w:r w:rsidRPr="0063248C">
              <w:rPr>
                <w:rFonts w:cs="宋体"/>
                <w:sz w:val="18"/>
                <w:szCs w:val="18"/>
              </w:rPr>
              <w:t>/</w:t>
            </w:r>
            <w:r w:rsidRPr="0063248C">
              <w:rPr>
                <w:rFonts w:cs="宋体"/>
                <w:sz w:val="18"/>
                <w:szCs w:val="18"/>
              </w:rPr>
              <w:t>出包费</w:t>
            </w:r>
          </w:p>
        </w:tc>
      </w:tr>
    </w:tbl>
    <w:p w14:paraId="41208CFD" w14:textId="77777777" w:rsidR="007B3DB2" w:rsidRPr="0063248C" w:rsidRDefault="00000000">
      <w:pPr>
        <w:spacing w:before="100" w:after="100" w:line="240" w:lineRule="exact"/>
        <w:rPr>
          <w:rFonts w:cs="宋体"/>
          <w:sz w:val="18"/>
          <w:szCs w:val="18"/>
        </w:rPr>
      </w:pPr>
      <w:r w:rsidRPr="0063248C">
        <w:rPr>
          <w:rFonts w:cs="宋体"/>
          <w:sz w:val="18"/>
          <w:szCs w:val="18"/>
        </w:rPr>
        <w:t>关联管理</w:t>
      </w:r>
      <w:r w:rsidRPr="0063248C">
        <w:rPr>
          <w:rFonts w:cs="宋体"/>
          <w:sz w:val="18"/>
          <w:szCs w:val="18"/>
        </w:rPr>
        <w:t>/</w:t>
      </w:r>
      <w:r w:rsidRPr="0063248C">
        <w:rPr>
          <w:rFonts w:cs="宋体"/>
          <w:sz w:val="18"/>
          <w:szCs w:val="18"/>
        </w:rPr>
        <w:t>出</w:t>
      </w:r>
      <w:proofErr w:type="gramStart"/>
      <w:r w:rsidRPr="0063248C">
        <w:rPr>
          <w:rFonts w:cs="宋体"/>
          <w:sz w:val="18"/>
          <w:szCs w:val="18"/>
        </w:rPr>
        <w:t>包情况</w:t>
      </w:r>
      <w:proofErr w:type="gramEnd"/>
      <w:r w:rsidRPr="0063248C">
        <w:rPr>
          <w:rFonts w:cs="宋体"/>
          <w:sz w:val="18"/>
          <w:szCs w:val="18"/>
        </w:rPr>
        <w:t>说明</w:t>
      </w:r>
    </w:p>
    <w:p w14:paraId="18CDA49F" w14:textId="77777777" w:rsidR="00517D34" w:rsidRPr="0063248C" w:rsidRDefault="00000000">
      <w:pPr>
        <w:pStyle w:val="a3"/>
        <w:divId w:val="274989102"/>
        <w:rPr>
          <w:rFonts w:ascii="Times New Roman" w:hAnsi="Times New Roman"/>
          <w:sz w:val="18"/>
          <w:szCs w:val="18"/>
        </w:rPr>
      </w:pPr>
      <w:r w:rsidRPr="0063248C">
        <w:rPr>
          <w:rFonts w:ascii="Times New Roman" w:hAnsi="Times New Roman" w:hint="eastAsia"/>
          <w:sz w:val="18"/>
          <w:szCs w:val="18"/>
        </w:rPr>
        <w:t>无</w:t>
      </w:r>
    </w:p>
    <w:p w14:paraId="24313205" w14:textId="77777777" w:rsidR="007B3DB2" w:rsidRPr="0063248C" w:rsidRDefault="00000000">
      <w:pPr>
        <w:keepNext/>
        <w:keepLines/>
        <w:spacing w:before="300" w:after="300" w:line="280" w:lineRule="exact"/>
        <w:outlineLvl w:val="3"/>
        <w:rPr>
          <w:rFonts w:cs="宋体"/>
          <w:b/>
          <w:bCs/>
          <w:szCs w:val="21"/>
        </w:rPr>
      </w:pPr>
      <w:bookmarkStart w:id="474" w:name="_Toc989368"/>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关联租赁情况</w:t>
      </w:r>
      <w:bookmarkEnd w:id="474"/>
    </w:p>
    <w:p w14:paraId="0E589D85" w14:textId="77777777" w:rsidR="007B3DB2" w:rsidRPr="0063248C" w:rsidRDefault="00000000">
      <w:pPr>
        <w:spacing w:before="40" w:after="40" w:line="240" w:lineRule="exact"/>
        <w:rPr>
          <w:rFonts w:cs="宋体"/>
          <w:sz w:val="18"/>
          <w:szCs w:val="18"/>
        </w:rPr>
      </w:pPr>
      <w:r w:rsidRPr="0063248C">
        <w:rPr>
          <w:rFonts w:cs="宋体"/>
          <w:sz w:val="18"/>
          <w:szCs w:val="18"/>
        </w:rPr>
        <w:t>本公司作为出租方：</w:t>
      </w:r>
    </w:p>
    <w:p w14:paraId="789FB787"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7F7C950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250A96F" w14:textId="77777777" w:rsidR="007B3DB2" w:rsidRPr="0063248C" w:rsidRDefault="00000000">
            <w:pPr>
              <w:spacing w:before="40" w:after="40" w:line="240" w:lineRule="exact"/>
              <w:jc w:val="center"/>
              <w:rPr>
                <w:rFonts w:cs="宋体"/>
                <w:sz w:val="18"/>
                <w:szCs w:val="18"/>
              </w:rPr>
            </w:pPr>
            <w:r w:rsidRPr="0063248C">
              <w:rPr>
                <w:rFonts w:cs="宋体"/>
                <w:sz w:val="18"/>
                <w:szCs w:val="18"/>
              </w:rPr>
              <w:t>承租方名称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B80D6AD" w14:textId="77777777" w:rsidR="007B3DB2" w:rsidRPr="0063248C" w:rsidRDefault="00000000">
            <w:pPr>
              <w:spacing w:before="40" w:after="40" w:line="240" w:lineRule="exact"/>
              <w:jc w:val="center"/>
              <w:rPr>
                <w:rFonts w:cs="宋体"/>
                <w:sz w:val="18"/>
                <w:szCs w:val="18"/>
              </w:rPr>
            </w:pPr>
            <w:r w:rsidRPr="0063248C">
              <w:rPr>
                <w:rFonts w:cs="宋体"/>
                <w:sz w:val="18"/>
                <w:szCs w:val="18"/>
              </w:rPr>
              <w:t>租赁资产种类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8B86C08"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本期确认的租赁收入</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6157029"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上期确认的租赁收入</w:t>
            </w:r>
          </w:p>
        </w:tc>
      </w:tr>
    </w:tbl>
    <w:p w14:paraId="696E4053" w14:textId="77777777" w:rsidR="007B3DB2" w:rsidRPr="0063248C" w:rsidRDefault="00000000">
      <w:pPr>
        <w:spacing w:before="100" w:after="40" w:line="240" w:lineRule="exact"/>
        <w:rPr>
          <w:rFonts w:cs="宋体"/>
          <w:sz w:val="18"/>
          <w:szCs w:val="18"/>
        </w:rPr>
      </w:pPr>
      <w:r w:rsidRPr="0063248C">
        <w:rPr>
          <w:rFonts w:cs="宋体"/>
          <w:sz w:val="18"/>
          <w:szCs w:val="18"/>
        </w:rPr>
        <w:t>本公司作为承租方：</w:t>
      </w:r>
    </w:p>
    <w:p w14:paraId="45A6AA10"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804"/>
        <w:gridCol w:w="705"/>
        <w:gridCol w:w="708"/>
        <w:gridCol w:w="709"/>
        <w:gridCol w:w="709"/>
        <w:gridCol w:w="709"/>
        <w:gridCol w:w="992"/>
        <w:gridCol w:w="1091"/>
        <w:gridCol w:w="893"/>
        <w:gridCol w:w="851"/>
        <w:gridCol w:w="709"/>
        <w:gridCol w:w="759"/>
      </w:tblGrid>
      <w:tr w:rsidR="007B3DB2" w:rsidRPr="0063248C" w14:paraId="3A261E95" w14:textId="77777777" w:rsidTr="000F65D3">
        <w:trPr>
          <w:trHeight w:val="240"/>
        </w:trPr>
        <w:tc>
          <w:tcPr>
            <w:tcW w:w="8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D6EF99" w14:textId="77777777" w:rsidR="007B3DB2" w:rsidRPr="0063248C" w:rsidRDefault="00000000">
            <w:pPr>
              <w:spacing w:before="40" w:after="40" w:line="240" w:lineRule="exact"/>
              <w:jc w:val="center"/>
              <w:rPr>
                <w:rFonts w:cs="宋体"/>
                <w:sz w:val="18"/>
                <w:szCs w:val="18"/>
              </w:rPr>
            </w:pPr>
            <w:r w:rsidRPr="0063248C">
              <w:rPr>
                <w:rFonts w:cs="宋体"/>
                <w:sz w:val="18"/>
                <w:szCs w:val="18"/>
              </w:rPr>
              <w:t>出租方名称</w:t>
            </w:r>
          </w:p>
        </w:tc>
        <w:tc>
          <w:tcPr>
            <w:tcW w:w="7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1B27482" w14:textId="77777777" w:rsidR="007B3DB2" w:rsidRPr="0063248C" w:rsidRDefault="00000000">
            <w:pPr>
              <w:spacing w:before="40" w:after="40" w:line="240" w:lineRule="exact"/>
              <w:jc w:val="center"/>
              <w:rPr>
                <w:rFonts w:cs="宋体"/>
                <w:sz w:val="18"/>
                <w:szCs w:val="18"/>
              </w:rPr>
            </w:pPr>
            <w:r w:rsidRPr="0063248C">
              <w:rPr>
                <w:rFonts w:cs="宋体"/>
                <w:sz w:val="18"/>
                <w:szCs w:val="18"/>
              </w:rPr>
              <w:t>租赁资产种类</w:t>
            </w:r>
          </w:p>
        </w:tc>
        <w:tc>
          <w:tcPr>
            <w:tcW w:w="14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62C7458" w14:textId="77777777" w:rsidR="007B3DB2" w:rsidRPr="0063248C" w:rsidRDefault="00000000">
            <w:pPr>
              <w:spacing w:before="40" w:after="40" w:line="240" w:lineRule="exact"/>
              <w:jc w:val="center"/>
              <w:rPr>
                <w:rFonts w:cs="宋体"/>
                <w:sz w:val="18"/>
                <w:szCs w:val="18"/>
              </w:rPr>
            </w:pPr>
            <w:r w:rsidRPr="0063248C">
              <w:rPr>
                <w:rFonts w:cs="宋体"/>
                <w:sz w:val="18"/>
                <w:szCs w:val="18"/>
              </w:rPr>
              <w:t>简化处理的短期租赁和低价值资产租赁的租金费用（如适用）</w:t>
            </w:r>
          </w:p>
        </w:tc>
        <w:tc>
          <w:tcPr>
            <w:tcW w:w="141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2783AFF" w14:textId="77777777" w:rsidR="007B3DB2" w:rsidRPr="0063248C" w:rsidRDefault="00000000">
            <w:pPr>
              <w:spacing w:before="40" w:after="40" w:line="240" w:lineRule="exact"/>
              <w:jc w:val="center"/>
              <w:rPr>
                <w:rFonts w:cs="宋体"/>
                <w:sz w:val="18"/>
                <w:szCs w:val="18"/>
              </w:rPr>
            </w:pPr>
            <w:r w:rsidRPr="0063248C">
              <w:rPr>
                <w:rFonts w:cs="宋体"/>
                <w:sz w:val="18"/>
                <w:szCs w:val="18"/>
              </w:rPr>
              <w:t>未纳入租赁负债计量的可变租赁付款额（如适用）</w:t>
            </w:r>
          </w:p>
        </w:tc>
        <w:tc>
          <w:tcPr>
            <w:tcW w:w="208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97C192E" w14:textId="77777777" w:rsidR="007B3DB2" w:rsidRPr="0063248C" w:rsidRDefault="00000000">
            <w:pPr>
              <w:spacing w:before="40" w:after="40" w:line="240" w:lineRule="exact"/>
              <w:jc w:val="center"/>
              <w:rPr>
                <w:rFonts w:cs="宋体"/>
                <w:sz w:val="18"/>
                <w:szCs w:val="18"/>
              </w:rPr>
            </w:pPr>
            <w:r w:rsidRPr="0063248C">
              <w:rPr>
                <w:rFonts w:cs="宋体"/>
                <w:sz w:val="18"/>
                <w:szCs w:val="18"/>
              </w:rPr>
              <w:t>支付的租金</w:t>
            </w:r>
          </w:p>
        </w:tc>
        <w:tc>
          <w:tcPr>
            <w:tcW w:w="174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8DF0408" w14:textId="77777777" w:rsidR="007B3DB2" w:rsidRPr="0063248C" w:rsidRDefault="00000000">
            <w:pPr>
              <w:spacing w:before="40" w:after="40" w:line="240" w:lineRule="exact"/>
              <w:jc w:val="center"/>
              <w:rPr>
                <w:rFonts w:cs="宋体"/>
                <w:sz w:val="18"/>
                <w:szCs w:val="18"/>
              </w:rPr>
            </w:pPr>
            <w:r w:rsidRPr="0063248C">
              <w:rPr>
                <w:rFonts w:cs="宋体"/>
                <w:sz w:val="18"/>
                <w:szCs w:val="18"/>
              </w:rPr>
              <w:t>承担的租赁负债利息支出</w:t>
            </w:r>
          </w:p>
        </w:tc>
        <w:tc>
          <w:tcPr>
            <w:tcW w:w="14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EAA6660" w14:textId="77777777" w:rsidR="007B3DB2" w:rsidRPr="0063248C" w:rsidRDefault="00000000">
            <w:pPr>
              <w:spacing w:before="40" w:after="40" w:line="240" w:lineRule="exact"/>
              <w:jc w:val="center"/>
              <w:rPr>
                <w:rFonts w:cs="宋体"/>
                <w:sz w:val="18"/>
                <w:szCs w:val="18"/>
              </w:rPr>
            </w:pPr>
            <w:r w:rsidRPr="0063248C">
              <w:rPr>
                <w:rFonts w:cs="宋体"/>
                <w:sz w:val="18"/>
                <w:szCs w:val="18"/>
              </w:rPr>
              <w:t>增加的使用权资产</w:t>
            </w:r>
          </w:p>
        </w:tc>
      </w:tr>
      <w:tr w:rsidR="000F65D3" w:rsidRPr="0063248C" w14:paraId="6F0FD911" w14:textId="77777777" w:rsidTr="000F65D3">
        <w:trPr>
          <w:trHeight w:val="240"/>
        </w:trPr>
        <w:tc>
          <w:tcPr>
            <w:tcW w:w="804" w:type="dxa"/>
            <w:vMerge/>
            <w:tcBorders>
              <w:top w:val="single" w:sz="2" w:space="0" w:color="auto"/>
              <w:left w:val="single" w:sz="2" w:space="0" w:color="auto"/>
              <w:bottom w:val="single" w:sz="2" w:space="0" w:color="auto"/>
              <w:right w:val="single" w:sz="2" w:space="0" w:color="auto"/>
            </w:tcBorders>
            <w:vAlign w:val="center"/>
          </w:tcPr>
          <w:p w14:paraId="63700C53" w14:textId="77777777" w:rsidR="007B3DB2" w:rsidRPr="0063248C" w:rsidRDefault="007B3DB2"/>
        </w:tc>
        <w:tc>
          <w:tcPr>
            <w:tcW w:w="705" w:type="dxa"/>
            <w:vMerge/>
            <w:tcBorders>
              <w:top w:val="single" w:sz="2" w:space="0" w:color="auto"/>
              <w:left w:val="single" w:sz="2" w:space="0" w:color="auto"/>
              <w:bottom w:val="single" w:sz="2" w:space="0" w:color="auto"/>
              <w:right w:val="single" w:sz="2" w:space="0" w:color="auto"/>
            </w:tcBorders>
            <w:vAlign w:val="center"/>
          </w:tcPr>
          <w:p w14:paraId="5C95AFF5" w14:textId="77777777" w:rsidR="007B3DB2" w:rsidRPr="0063248C" w:rsidRDefault="007B3DB2"/>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758C21BE"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BF76AC4"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DC794AD"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6C9FA8E1"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41EBFA4"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1091" w:type="dxa"/>
            <w:tcBorders>
              <w:top w:val="single" w:sz="2" w:space="0" w:color="auto"/>
              <w:left w:val="single" w:sz="2" w:space="0" w:color="auto"/>
              <w:bottom w:val="single" w:sz="2" w:space="0" w:color="auto"/>
              <w:right w:val="single" w:sz="2" w:space="0" w:color="auto"/>
            </w:tcBorders>
            <w:shd w:val="clear" w:color="auto" w:fill="D3D3D3"/>
            <w:vAlign w:val="center"/>
          </w:tcPr>
          <w:p w14:paraId="6AAAD2D0"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c>
          <w:tcPr>
            <w:tcW w:w="893" w:type="dxa"/>
            <w:tcBorders>
              <w:top w:val="single" w:sz="2" w:space="0" w:color="auto"/>
              <w:left w:val="single" w:sz="2" w:space="0" w:color="auto"/>
              <w:bottom w:val="single" w:sz="2" w:space="0" w:color="auto"/>
              <w:right w:val="single" w:sz="2" w:space="0" w:color="auto"/>
            </w:tcBorders>
            <w:shd w:val="clear" w:color="auto" w:fill="D3D3D3"/>
            <w:vAlign w:val="center"/>
          </w:tcPr>
          <w:p w14:paraId="36666668"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11736C64"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411EC2E"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759" w:type="dxa"/>
            <w:tcBorders>
              <w:top w:val="single" w:sz="2" w:space="0" w:color="auto"/>
              <w:left w:val="single" w:sz="2" w:space="0" w:color="auto"/>
              <w:bottom w:val="single" w:sz="2" w:space="0" w:color="auto"/>
              <w:right w:val="single" w:sz="2" w:space="0" w:color="auto"/>
            </w:tcBorders>
            <w:shd w:val="clear" w:color="auto" w:fill="D3D3D3"/>
            <w:vAlign w:val="center"/>
          </w:tcPr>
          <w:p w14:paraId="0E9E6EDD"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2840974D" w14:textId="77777777" w:rsidTr="000F65D3">
        <w:trPr>
          <w:trHeight w:val="240"/>
        </w:trPr>
        <w:tc>
          <w:tcPr>
            <w:tcW w:w="804" w:type="dxa"/>
            <w:tcBorders>
              <w:top w:val="single" w:sz="2" w:space="0" w:color="auto"/>
              <w:left w:val="single" w:sz="2" w:space="0" w:color="auto"/>
              <w:bottom w:val="single" w:sz="2" w:space="0" w:color="auto"/>
              <w:right w:val="single" w:sz="2" w:space="0" w:color="auto"/>
            </w:tcBorders>
            <w:vAlign w:val="center"/>
          </w:tcPr>
          <w:p w14:paraId="4E0757A3" w14:textId="77777777" w:rsidR="007B3DB2" w:rsidRPr="0063248C" w:rsidRDefault="00000000">
            <w:pPr>
              <w:spacing w:line="240" w:lineRule="exact"/>
              <w:rPr>
                <w:rFonts w:cs="宋体"/>
                <w:sz w:val="18"/>
                <w:szCs w:val="18"/>
              </w:rPr>
            </w:pPr>
            <w:r w:rsidRPr="0063248C">
              <w:rPr>
                <w:rFonts w:cs="宋体"/>
                <w:sz w:val="18"/>
                <w:szCs w:val="18"/>
              </w:rPr>
              <w:t>成都润家商业管理有限公司</w:t>
            </w:r>
          </w:p>
        </w:tc>
        <w:tc>
          <w:tcPr>
            <w:tcW w:w="705" w:type="dxa"/>
            <w:tcBorders>
              <w:top w:val="single" w:sz="2" w:space="0" w:color="auto"/>
              <w:left w:val="single" w:sz="2" w:space="0" w:color="auto"/>
              <w:bottom w:val="single" w:sz="2" w:space="0" w:color="auto"/>
              <w:right w:val="single" w:sz="2" w:space="0" w:color="auto"/>
            </w:tcBorders>
            <w:vAlign w:val="center"/>
          </w:tcPr>
          <w:p w14:paraId="0AB9E8CD" w14:textId="77777777" w:rsidR="007B3DB2" w:rsidRPr="0063248C" w:rsidRDefault="00000000">
            <w:pPr>
              <w:spacing w:line="240" w:lineRule="exact"/>
              <w:rPr>
                <w:rFonts w:cs="宋体"/>
                <w:sz w:val="18"/>
                <w:szCs w:val="18"/>
              </w:rPr>
            </w:pPr>
            <w:r w:rsidRPr="0063248C">
              <w:rPr>
                <w:rFonts w:cs="宋体"/>
                <w:sz w:val="18"/>
                <w:szCs w:val="18"/>
              </w:rPr>
              <w:t>房屋租赁</w:t>
            </w:r>
          </w:p>
        </w:tc>
        <w:tc>
          <w:tcPr>
            <w:tcW w:w="708" w:type="dxa"/>
            <w:tcBorders>
              <w:top w:val="single" w:sz="2" w:space="0" w:color="auto"/>
              <w:left w:val="single" w:sz="2" w:space="0" w:color="auto"/>
              <w:bottom w:val="single" w:sz="2" w:space="0" w:color="auto"/>
              <w:right w:val="single" w:sz="2" w:space="0" w:color="auto"/>
            </w:tcBorders>
            <w:vAlign w:val="center"/>
          </w:tcPr>
          <w:p w14:paraId="1924B91F"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0DE9A07"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6C7C81F"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9553557"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4EC098B" w14:textId="77777777" w:rsidR="007B3DB2" w:rsidRPr="0063248C" w:rsidRDefault="00000000">
            <w:pPr>
              <w:spacing w:line="240" w:lineRule="exact"/>
              <w:jc w:val="right"/>
              <w:rPr>
                <w:rFonts w:cs="宋体"/>
                <w:sz w:val="18"/>
                <w:szCs w:val="18"/>
              </w:rPr>
            </w:pPr>
            <w:r w:rsidRPr="0063248C">
              <w:rPr>
                <w:rFonts w:cs="宋体"/>
                <w:sz w:val="18"/>
                <w:szCs w:val="18"/>
              </w:rPr>
              <w:t>322,600.06</w:t>
            </w:r>
          </w:p>
        </w:tc>
        <w:tc>
          <w:tcPr>
            <w:tcW w:w="1091" w:type="dxa"/>
            <w:tcBorders>
              <w:top w:val="single" w:sz="2" w:space="0" w:color="auto"/>
              <w:left w:val="single" w:sz="2" w:space="0" w:color="auto"/>
              <w:bottom w:val="single" w:sz="2" w:space="0" w:color="auto"/>
              <w:right w:val="single" w:sz="2" w:space="0" w:color="auto"/>
            </w:tcBorders>
            <w:vAlign w:val="center"/>
          </w:tcPr>
          <w:p w14:paraId="1E370984" w14:textId="77777777" w:rsidR="007B3DB2" w:rsidRPr="0063248C" w:rsidRDefault="00000000">
            <w:pPr>
              <w:spacing w:line="240" w:lineRule="exact"/>
              <w:jc w:val="right"/>
              <w:rPr>
                <w:rFonts w:cs="宋体"/>
                <w:sz w:val="18"/>
                <w:szCs w:val="18"/>
              </w:rPr>
            </w:pPr>
            <w:r w:rsidRPr="0063248C">
              <w:rPr>
                <w:rFonts w:cs="宋体"/>
                <w:sz w:val="18"/>
                <w:szCs w:val="18"/>
              </w:rPr>
              <w:t>159,860.64</w:t>
            </w:r>
          </w:p>
        </w:tc>
        <w:tc>
          <w:tcPr>
            <w:tcW w:w="893" w:type="dxa"/>
            <w:tcBorders>
              <w:top w:val="single" w:sz="2" w:space="0" w:color="auto"/>
              <w:left w:val="single" w:sz="2" w:space="0" w:color="auto"/>
              <w:bottom w:val="single" w:sz="2" w:space="0" w:color="auto"/>
              <w:right w:val="single" w:sz="2" w:space="0" w:color="auto"/>
            </w:tcBorders>
            <w:vAlign w:val="center"/>
          </w:tcPr>
          <w:p w14:paraId="4074D5B5" w14:textId="77777777" w:rsidR="007B3DB2" w:rsidRPr="0063248C" w:rsidRDefault="00000000">
            <w:pPr>
              <w:spacing w:line="240" w:lineRule="exact"/>
              <w:jc w:val="right"/>
              <w:rPr>
                <w:rFonts w:cs="宋体"/>
                <w:sz w:val="18"/>
                <w:szCs w:val="18"/>
              </w:rPr>
            </w:pPr>
            <w:r w:rsidRPr="0063248C">
              <w:rPr>
                <w:rFonts w:cs="宋体"/>
                <w:sz w:val="18"/>
                <w:szCs w:val="18"/>
              </w:rPr>
              <w:t>32,473.92</w:t>
            </w:r>
          </w:p>
        </w:tc>
        <w:tc>
          <w:tcPr>
            <w:tcW w:w="851" w:type="dxa"/>
            <w:tcBorders>
              <w:top w:val="single" w:sz="2" w:space="0" w:color="auto"/>
              <w:left w:val="single" w:sz="2" w:space="0" w:color="auto"/>
              <w:bottom w:val="single" w:sz="2" w:space="0" w:color="auto"/>
              <w:right w:val="single" w:sz="2" w:space="0" w:color="auto"/>
            </w:tcBorders>
            <w:vAlign w:val="center"/>
          </w:tcPr>
          <w:p w14:paraId="5D3768E7" w14:textId="77777777" w:rsidR="007B3DB2" w:rsidRPr="0063248C" w:rsidRDefault="00000000">
            <w:pPr>
              <w:spacing w:line="240" w:lineRule="exact"/>
              <w:jc w:val="right"/>
              <w:rPr>
                <w:rFonts w:cs="宋体"/>
                <w:sz w:val="18"/>
                <w:szCs w:val="18"/>
              </w:rPr>
            </w:pPr>
            <w:r w:rsidRPr="0063248C">
              <w:rPr>
                <w:rFonts w:cs="宋体"/>
                <w:sz w:val="18"/>
                <w:szCs w:val="18"/>
              </w:rPr>
              <w:t>38,046.58</w:t>
            </w:r>
          </w:p>
        </w:tc>
        <w:tc>
          <w:tcPr>
            <w:tcW w:w="709" w:type="dxa"/>
            <w:tcBorders>
              <w:top w:val="single" w:sz="2" w:space="0" w:color="auto"/>
              <w:left w:val="single" w:sz="2" w:space="0" w:color="auto"/>
              <w:bottom w:val="single" w:sz="2" w:space="0" w:color="auto"/>
              <w:right w:val="single" w:sz="2" w:space="0" w:color="auto"/>
            </w:tcBorders>
            <w:vAlign w:val="center"/>
          </w:tcPr>
          <w:p w14:paraId="31C05231" w14:textId="77777777" w:rsidR="007B3DB2" w:rsidRPr="0063248C" w:rsidRDefault="007B3DB2">
            <w:pPr>
              <w:spacing w:line="240" w:lineRule="exact"/>
              <w:jc w:val="right"/>
              <w:rPr>
                <w:rFonts w:cs="宋体"/>
                <w:sz w:val="18"/>
                <w:szCs w:val="18"/>
              </w:rPr>
            </w:pPr>
          </w:p>
        </w:tc>
        <w:tc>
          <w:tcPr>
            <w:tcW w:w="759" w:type="dxa"/>
            <w:tcBorders>
              <w:top w:val="single" w:sz="2" w:space="0" w:color="auto"/>
              <w:left w:val="single" w:sz="2" w:space="0" w:color="auto"/>
              <w:bottom w:val="single" w:sz="2" w:space="0" w:color="auto"/>
              <w:right w:val="single" w:sz="2" w:space="0" w:color="auto"/>
            </w:tcBorders>
            <w:vAlign w:val="center"/>
          </w:tcPr>
          <w:p w14:paraId="3A1DE756" w14:textId="77777777" w:rsidR="007B3DB2" w:rsidRPr="0063248C" w:rsidRDefault="007B3DB2">
            <w:pPr>
              <w:spacing w:line="240" w:lineRule="exact"/>
              <w:jc w:val="right"/>
              <w:rPr>
                <w:rFonts w:cs="宋体"/>
                <w:sz w:val="18"/>
                <w:szCs w:val="18"/>
              </w:rPr>
            </w:pPr>
          </w:p>
        </w:tc>
      </w:tr>
      <w:tr w:rsidR="007B3DB2" w:rsidRPr="0063248C" w14:paraId="2F7E5B8A" w14:textId="77777777" w:rsidTr="000F65D3">
        <w:trPr>
          <w:trHeight w:val="240"/>
        </w:trPr>
        <w:tc>
          <w:tcPr>
            <w:tcW w:w="804" w:type="dxa"/>
            <w:tcBorders>
              <w:top w:val="single" w:sz="2" w:space="0" w:color="auto"/>
              <w:left w:val="single" w:sz="2" w:space="0" w:color="auto"/>
              <w:bottom w:val="single" w:sz="2" w:space="0" w:color="auto"/>
              <w:right w:val="single" w:sz="2" w:space="0" w:color="auto"/>
            </w:tcBorders>
            <w:vAlign w:val="center"/>
          </w:tcPr>
          <w:p w14:paraId="50F91C45" w14:textId="77777777" w:rsidR="007B3DB2" w:rsidRPr="0063248C" w:rsidRDefault="00000000">
            <w:pPr>
              <w:spacing w:line="240" w:lineRule="exact"/>
              <w:rPr>
                <w:rFonts w:cs="宋体"/>
                <w:sz w:val="18"/>
                <w:szCs w:val="18"/>
              </w:rPr>
            </w:pPr>
            <w:r w:rsidRPr="0063248C">
              <w:rPr>
                <w:rFonts w:cs="宋体"/>
                <w:sz w:val="18"/>
                <w:szCs w:val="18"/>
              </w:rPr>
              <w:lastRenderedPageBreak/>
              <w:t>成都润家商业管理有限公司</w:t>
            </w:r>
          </w:p>
        </w:tc>
        <w:tc>
          <w:tcPr>
            <w:tcW w:w="705" w:type="dxa"/>
            <w:tcBorders>
              <w:top w:val="single" w:sz="2" w:space="0" w:color="auto"/>
              <w:left w:val="single" w:sz="2" w:space="0" w:color="auto"/>
              <w:bottom w:val="single" w:sz="2" w:space="0" w:color="auto"/>
              <w:right w:val="single" w:sz="2" w:space="0" w:color="auto"/>
            </w:tcBorders>
            <w:vAlign w:val="center"/>
          </w:tcPr>
          <w:p w14:paraId="7FBE5EDA" w14:textId="77777777" w:rsidR="007B3DB2" w:rsidRPr="0063248C" w:rsidRDefault="00000000">
            <w:pPr>
              <w:spacing w:line="240" w:lineRule="exact"/>
              <w:rPr>
                <w:rFonts w:cs="宋体"/>
                <w:sz w:val="18"/>
                <w:szCs w:val="18"/>
              </w:rPr>
            </w:pPr>
            <w:r w:rsidRPr="0063248C">
              <w:rPr>
                <w:rFonts w:cs="宋体"/>
                <w:sz w:val="18"/>
                <w:szCs w:val="18"/>
              </w:rPr>
              <w:t>房屋租赁</w:t>
            </w:r>
          </w:p>
        </w:tc>
        <w:tc>
          <w:tcPr>
            <w:tcW w:w="708" w:type="dxa"/>
            <w:tcBorders>
              <w:top w:val="single" w:sz="2" w:space="0" w:color="auto"/>
              <w:left w:val="single" w:sz="2" w:space="0" w:color="auto"/>
              <w:bottom w:val="single" w:sz="2" w:space="0" w:color="auto"/>
              <w:right w:val="single" w:sz="2" w:space="0" w:color="auto"/>
            </w:tcBorders>
            <w:vAlign w:val="center"/>
          </w:tcPr>
          <w:p w14:paraId="4549BE97"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9218830"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6727167" w14:textId="77777777" w:rsidR="007B3DB2" w:rsidRPr="0063248C" w:rsidRDefault="007B3DB2">
            <w:pPr>
              <w:spacing w:line="240" w:lineRule="exact"/>
              <w:jc w:val="right"/>
              <w:rPr>
                <w:rFonts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F755FB2" w14:textId="77777777" w:rsidR="007B3DB2" w:rsidRPr="0063248C" w:rsidRDefault="007B3DB2">
            <w:pPr>
              <w:spacing w:line="240" w:lineRule="exact"/>
              <w:jc w:val="right"/>
              <w:rPr>
                <w:rFonts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4E5235A" w14:textId="77777777" w:rsidR="007B3DB2" w:rsidRPr="0063248C" w:rsidRDefault="007B3DB2">
            <w:pPr>
              <w:spacing w:line="240" w:lineRule="exact"/>
              <w:jc w:val="right"/>
              <w:rPr>
                <w:rFonts w:cs="宋体"/>
                <w:sz w:val="18"/>
                <w:szCs w:val="18"/>
              </w:rPr>
            </w:pPr>
          </w:p>
        </w:tc>
        <w:tc>
          <w:tcPr>
            <w:tcW w:w="1091" w:type="dxa"/>
            <w:tcBorders>
              <w:top w:val="single" w:sz="2" w:space="0" w:color="auto"/>
              <w:left w:val="single" w:sz="2" w:space="0" w:color="auto"/>
              <w:bottom w:val="single" w:sz="2" w:space="0" w:color="auto"/>
              <w:right w:val="single" w:sz="2" w:space="0" w:color="auto"/>
            </w:tcBorders>
            <w:vAlign w:val="center"/>
          </w:tcPr>
          <w:p w14:paraId="758A1EEA" w14:textId="77777777" w:rsidR="007B3DB2" w:rsidRPr="0063248C" w:rsidRDefault="00000000">
            <w:pPr>
              <w:spacing w:line="240" w:lineRule="exact"/>
              <w:jc w:val="right"/>
              <w:rPr>
                <w:rFonts w:cs="宋体"/>
                <w:sz w:val="18"/>
                <w:szCs w:val="18"/>
              </w:rPr>
            </w:pPr>
            <w:r w:rsidRPr="0063248C">
              <w:rPr>
                <w:rFonts w:cs="宋体"/>
                <w:sz w:val="18"/>
                <w:szCs w:val="18"/>
              </w:rPr>
              <w:t>1,137,961.10</w:t>
            </w:r>
          </w:p>
        </w:tc>
        <w:tc>
          <w:tcPr>
            <w:tcW w:w="893" w:type="dxa"/>
            <w:tcBorders>
              <w:top w:val="single" w:sz="2" w:space="0" w:color="auto"/>
              <w:left w:val="single" w:sz="2" w:space="0" w:color="auto"/>
              <w:bottom w:val="single" w:sz="2" w:space="0" w:color="auto"/>
              <w:right w:val="single" w:sz="2" w:space="0" w:color="auto"/>
            </w:tcBorders>
            <w:vAlign w:val="center"/>
          </w:tcPr>
          <w:p w14:paraId="4ED0F470" w14:textId="77777777" w:rsidR="007B3DB2" w:rsidRPr="0063248C" w:rsidRDefault="007B3DB2">
            <w:pPr>
              <w:spacing w:line="240" w:lineRule="exact"/>
              <w:jc w:val="right"/>
              <w:rPr>
                <w:rFonts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13E4939" w14:textId="77777777" w:rsidR="007B3DB2" w:rsidRPr="0063248C" w:rsidRDefault="00000000">
            <w:pPr>
              <w:spacing w:line="240" w:lineRule="exact"/>
              <w:jc w:val="right"/>
              <w:rPr>
                <w:rFonts w:cs="宋体"/>
                <w:sz w:val="18"/>
                <w:szCs w:val="18"/>
              </w:rPr>
            </w:pPr>
            <w:r w:rsidRPr="0063248C">
              <w:rPr>
                <w:rFonts w:cs="宋体"/>
                <w:sz w:val="18"/>
                <w:szCs w:val="18"/>
              </w:rPr>
              <w:t>59,391.03</w:t>
            </w:r>
          </w:p>
        </w:tc>
        <w:tc>
          <w:tcPr>
            <w:tcW w:w="709" w:type="dxa"/>
            <w:tcBorders>
              <w:top w:val="single" w:sz="2" w:space="0" w:color="auto"/>
              <w:left w:val="single" w:sz="2" w:space="0" w:color="auto"/>
              <w:bottom w:val="single" w:sz="2" w:space="0" w:color="auto"/>
              <w:right w:val="single" w:sz="2" w:space="0" w:color="auto"/>
            </w:tcBorders>
            <w:vAlign w:val="center"/>
          </w:tcPr>
          <w:p w14:paraId="0D8BF610" w14:textId="77777777" w:rsidR="007B3DB2" w:rsidRPr="0063248C" w:rsidRDefault="007B3DB2">
            <w:pPr>
              <w:spacing w:line="240" w:lineRule="exact"/>
              <w:jc w:val="right"/>
              <w:rPr>
                <w:rFonts w:cs="宋体"/>
                <w:sz w:val="18"/>
                <w:szCs w:val="18"/>
              </w:rPr>
            </w:pPr>
          </w:p>
        </w:tc>
        <w:tc>
          <w:tcPr>
            <w:tcW w:w="759" w:type="dxa"/>
            <w:tcBorders>
              <w:top w:val="single" w:sz="2" w:space="0" w:color="auto"/>
              <w:left w:val="single" w:sz="2" w:space="0" w:color="auto"/>
              <w:bottom w:val="single" w:sz="2" w:space="0" w:color="auto"/>
              <w:right w:val="single" w:sz="2" w:space="0" w:color="auto"/>
            </w:tcBorders>
            <w:vAlign w:val="center"/>
          </w:tcPr>
          <w:p w14:paraId="4D6B7BEF" w14:textId="77777777" w:rsidR="007B3DB2" w:rsidRPr="0063248C" w:rsidRDefault="007B3DB2">
            <w:pPr>
              <w:spacing w:line="240" w:lineRule="exact"/>
              <w:jc w:val="right"/>
              <w:rPr>
                <w:rFonts w:cs="宋体"/>
                <w:sz w:val="18"/>
                <w:szCs w:val="18"/>
              </w:rPr>
            </w:pPr>
          </w:p>
        </w:tc>
      </w:tr>
    </w:tbl>
    <w:p w14:paraId="1D8A7D33" w14:textId="77777777" w:rsidR="007B3DB2" w:rsidRPr="0063248C" w:rsidRDefault="00000000">
      <w:pPr>
        <w:spacing w:before="100" w:after="100" w:line="240" w:lineRule="exact"/>
        <w:rPr>
          <w:rFonts w:cs="宋体"/>
          <w:sz w:val="18"/>
          <w:szCs w:val="18"/>
        </w:rPr>
      </w:pPr>
      <w:r w:rsidRPr="0063248C">
        <w:rPr>
          <w:rFonts w:cs="宋体"/>
          <w:sz w:val="18"/>
          <w:szCs w:val="18"/>
        </w:rPr>
        <w:t>关联租赁情况说明</w:t>
      </w:r>
    </w:p>
    <w:p w14:paraId="64F1CC9D" w14:textId="77777777" w:rsidR="00517D34" w:rsidRPr="0063248C" w:rsidRDefault="00000000" w:rsidP="00FA083A">
      <w:pPr>
        <w:pStyle w:val="a3"/>
        <w:spacing w:before="0" w:beforeAutospacing="0" w:after="0" w:afterAutospacing="0"/>
        <w:ind w:firstLineChars="200" w:firstLine="360"/>
        <w:jc w:val="both"/>
        <w:divId w:val="1829398499"/>
        <w:rPr>
          <w:rFonts w:ascii="Times New Roman" w:hAnsi="Times New Roman"/>
          <w:sz w:val="21"/>
          <w:szCs w:val="21"/>
        </w:rPr>
      </w:pPr>
      <w:r w:rsidRPr="0063248C">
        <w:rPr>
          <w:rFonts w:ascii="Times New Roman" w:hAnsi="Times New Roman" w:hint="eastAsia"/>
          <w:sz w:val="18"/>
          <w:szCs w:val="18"/>
        </w:rPr>
        <w:t>山东龙大生猪产品工程技术开发有限公司租入成都润家商业管理有限公司房屋，租赁起始日为</w:t>
      </w:r>
      <w:r w:rsidRPr="0063248C">
        <w:rPr>
          <w:rFonts w:ascii="Times New Roman" w:hAnsi="Times New Roman" w:cs="Times New Roman"/>
          <w:sz w:val="18"/>
          <w:szCs w:val="18"/>
        </w:rPr>
        <w:t>2021</w:t>
      </w:r>
      <w:r w:rsidRPr="0063248C">
        <w:rPr>
          <w:rFonts w:ascii="Times New Roman" w:hAnsi="Times New Roman" w:hint="eastAsia"/>
          <w:sz w:val="18"/>
          <w:szCs w:val="18"/>
        </w:rPr>
        <w:t>年</w:t>
      </w:r>
      <w:r w:rsidRPr="0063248C">
        <w:rPr>
          <w:rFonts w:ascii="Times New Roman" w:hAnsi="Times New Roman" w:cs="Times New Roman"/>
          <w:sz w:val="18"/>
          <w:szCs w:val="18"/>
        </w:rPr>
        <w:t>8</w:t>
      </w:r>
      <w:r w:rsidRPr="0063248C">
        <w:rPr>
          <w:rFonts w:ascii="Times New Roman" w:hAnsi="Times New Roman" w:hint="eastAsia"/>
          <w:sz w:val="18"/>
          <w:szCs w:val="18"/>
        </w:rPr>
        <w:t>月</w:t>
      </w:r>
      <w:r w:rsidRPr="0063248C">
        <w:rPr>
          <w:rFonts w:ascii="Times New Roman" w:hAnsi="Times New Roman" w:cs="Times New Roman"/>
          <w:sz w:val="18"/>
          <w:szCs w:val="18"/>
        </w:rPr>
        <w:t>1</w:t>
      </w:r>
      <w:r w:rsidRPr="0063248C">
        <w:rPr>
          <w:rFonts w:ascii="Times New Roman" w:hAnsi="Times New Roman" w:hint="eastAsia"/>
          <w:sz w:val="18"/>
          <w:szCs w:val="18"/>
        </w:rPr>
        <w:t>日，租赁终止日为</w:t>
      </w:r>
      <w:r w:rsidRPr="0063248C">
        <w:rPr>
          <w:rFonts w:ascii="Times New Roman" w:hAnsi="Times New Roman" w:cs="Times New Roman"/>
          <w:sz w:val="18"/>
          <w:szCs w:val="18"/>
        </w:rPr>
        <w:t>2028</w:t>
      </w:r>
      <w:r w:rsidRPr="0063248C">
        <w:rPr>
          <w:rFonts w:ascii="Times New Roman" w:hAnsi="Times New Roman" w:hint="eastAsia"/>
          <w:sz w:val="18"/>
          <w:szCs w:val="18"/>
        </w:rPr>
        <w:t>年</w:t>
      </w:r>
      <w:r w:rsidRPr="0063248C">
        <w:rPr>
          <w:rFonts w:ascii="Times New Roman" w:hAnsi="Times New Roman" w:cs="Times New Roman"/>
          <w:sz w:val="18"/>
          <w:szCs w:val="18"/>
        </w:rPr>
        <w:t>10</w:t>
      </w:r>
      <w:r w:rsidRPr="0063248C">
        <w:rPr>
          <w:rFonts w:ascii="Times New Roman" w:hAnsi="Times New Roman" w:hint="eastAsia"/>
          <w:sz w:val="18"/>
          <w:szCs w:val="18"/>
        </w:rPr>
        <w:t>月</w:t>
      </w:r>
      <w:r w:rsidRPr="0063248C">
        <w:rPr>
          <w:rFonts w:ascii="Times New Roman" w:hAnsi="Times New Roman" w:cs="Times New Roman"/>
          <w:sz w:val="18"/>
          <w:szCs w:val="18"/>
        </w:rPr>
        <w:t>16</w:t>
      </w:r>
      <w:r w:rsidRPr="0063248C">
        <w:rPr>
          <w:rFonts w:ascii="Times New Roman" w:hAnsi="Times New Roman" w:hint="eastAsia"/>
          <w:sz w:val="18"/>
          <w:szCs w:val="18"/>
        </w:rPr>
        <w:t>日，租赁费定价依据为市场价格</w:t>
      </w:r>
    </w:p>
    <w:p w14:paraId="2B43A0FE" w14:textId="77777777" w:rsidR="007B3DB2" w:rsidRPr="0063248C" w:rsidRDefault="00000000">
      <w:pPr>
        <w:keepNext/>
        <w:keepLines/>
        <w:spacing w:before="300" w:after="300" w:line="280" w:lineRule="exact"/>
        <w:outlineLvl w:val="3"/>
        <w:rPr>
          <w:rFonts w:cs="宋体"/>
          <w:b/>
          <w:bCs/>
          <w:szCs w:val="21"/>
        </w:rPr>
      </w:pPr>
      <w:bookmarkStart w:id="475" w:name="_Toc989369"/>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关联担保情况</w:t>
      </w:r>
      <w:bookmarkEnd w:id="475"/>
    </w:p>
    <w:p w14:paraId="5C83F0B6" w14:textId="77777777" w:rsidR="007B3DB2" w:rsidRPr="0063248C" w:rsidRDefault="00000000">
      <w:pPr>
        <w:spacing w:before="40" w:after="40" w:line="240" w:lineRule="exact"/>
        <w:rPr>
          <w:rFonts w:cs="宋体"/>
          <w:sz w:val="18"/>
          <w:szCs w:val="18"/>
        </w:rPr>
      </w:pPr>
      <w:r w:rsidRPr="0063248C">
        <w:rPr>
          <w:rFonts w:cs="宋体"/>
          <w:sz w:val="18"/>
          <w:szCs w:val="18"/>
        </w:rPr>
        <w:t>本公司作为担保方</w:t>
      </w:r>
    </w:p>
    <w:p w14:paraId="4CB6580C"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7DA1F7D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A5CADB6" w14:textId="77777777" w:rsidR="007B3DB2" w:rsidRPr="0063248C" w:rsidRDefault="00000000">
            <w:pPr>
              <w:spacing w:before="40" w:after="40" w:line="240" w:lineRule="exact"/>
              <w:jc w:val="center"/>
              <w:rPr>
                <w:rFonts w:cs="宋体"/>
                <w:sz w:val="18"/>
                <w:szCs w:val="18"/>
              </w:rPr>
            </w:pPr>
            <w:r w:rsidRPr="0063248C">
              <w:rPr>
                <w:rFonts w:cs="宋体"/>
                <w:sz w:val="18"/>
                <w:szCs w:val="18"/>
              </w:rPr>
              <w:t>被担保方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080E16E"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55094A"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8520491"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D8620B7"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担保是否已经履行完毕</w:t>
            </w:r>
          </w:p>
        </w:tc>
      </w:tr>
    </w:tbl>
    <w:p w14:paraId="49AE4B33" w14:textId="77777777" w:rsidR="007B3DB2" w:rsidRPr="0063248C" w:rsidRDefault="00000000">
      <w:pPr>
        <w:spacing w:before="100" w:after="40" w:line="240" w:lineRule="exact"/>
        <w:rPr>
          <w:rFonts w:cs="宋体"/>
          <w:sz w:val="18"/>
          <w:szCs w:val="18"/>
        </w:rPr>
      </w:pPr>
      <w:r w:rsidRPr="0063248C">
        <w:rPr>
          <w:rFonts w:cs="宋体"/>
          <w:sz w:val="18"/>
          <w:szCs w:val="18"/>
        </w:rPr>
        <w:t>本公司作为被担保方</w:t>
      </w:r>
    </w:p>
    <w:p w14:paraId="3E87B7AC"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53EA2AF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79E1AA5"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77131FE"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C978F1A"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D59AA43"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E5DA07" w14:textId="77777777" w:rsidR="007B3DB2" w:rsidRPr="0063248C" w:rsidRDefault="00000000">
            <w:pPr>
              <w:spacing w:before="40" w:after="40" w:line="240" w:lineRule="exact"/>
              <w:jc w:val="center"/>
              <w:rPr>
                <w:rFonts w:cs="宋体"/>
                <w:sz w:val="18"/>
                <w:szCs w:val="18"/>
              </w:rPr>
            </w:pPr>
            <w:r w:rsidRPr="0063248C">
              <w:rPr>
                <w:rFonts w:cs="宋体"/>
                <w:sz w:val="18"/>
                <w:szCs w:val="18"/>
              </w:rPr>
              <w:t>担保是否已经履行完毕</w:t>
            </w:r>
          </w:p>
        </w:tc>
      </w:tr>
      <w:tr w:rsidR="007B3DB2" w:rsidRPr="0063248C" w14:paraId="472FDCE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97F1946"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BF98092"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2DC661B1"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02</w:t>
            </w:r>
            <w:r w:rsidRPr="0063248C">
              <w:rPr>
                <w:rFonts w:cs="宋体"/>
                <w:sz w:val="18"/>
                <w:szCs w:val="18"/>
              </w:rPr>
              <w:t>月</w:t>
            </w:r>
            <w:r w:rsidRPr="0063248C">
              <w:rPr>
                <w:rFonts w:cs="宋体"/>
                <w:sz w:val="18"/>
                <w:szCs w:val="18"/>
              </w:rPr>
              <w:t>02</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E9E987F"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02</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54D07C5"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2B69307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23B00BC"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C97EC35"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6B4DAB22"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02</w:t>
            </w:r>
            <w:r w:rsidRPr="0063248C">
              <w:rPr>
                <w:rFonts w:cs="宋体"/>
                <w:sz w:val="18"/>
                <w:szCs w:val="18"/>
              </w:rPr>
              <w:t>月</w:t>
            </w:r>
            <w:r w:rsidRPr="0063248C">
              <w:rPr>
                <w:rFonts w:cs="宋体"/>
                <w:sz w:val="18"/>
                <w:szCs w:val="18"/>
              </w:rPr>
              <w:t>02</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DAB1730"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02</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7A54C34"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3E4268F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D7553AA"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917AC6D"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3C3E9B41"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8D6D54B"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24</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4C17F6D"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6EDE03B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4C29D6F"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91E77E8" w14:textId="77777777" w:rsidR="007B3DB2" w:rsidRPr="0063248C" w:rsidRDefault="00000000">
            <w:pPr>
              <w:spacing w:line="240" w:lineRule="exact"/>
              <w:jc w:val="right"/>
              <w:rPr>
                <w:rFonts w:cs="宋体"/>
                <w:sz w:val="18"/>
                <w:szCs w:val="18"/>
              </w:rPr>
            </w:pPr>
            <w:r w:rsidRPr="0063248C">
              <w:rPr>
                <w:rFonts w:cs="宋体"/>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14:paraId="70EAA4D1"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4C1E633"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24</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DA93188"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17578BB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642B251"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7BFB80C" w14:textId="77777777" w:rsidR="007B3DB2" w:rsidRPr="0063248C" w:rsidRDefault="00000000">
            <w:pPr>
              <w:spacing w:line="240" w:lineRule="exact"/>
              <w:jc w:val="right"/>
              <w:rPr>
                <w:rFonts w:cs="宋体"/>
                <w:sz w:val="18"/>
                <w:szCs w:val="18"/>
              </w:rPr>
            </w:pPr>
            <w:r w:rsidRPr="0063248C">
              <w:rPr>
                <w:rFonts w:cs="宋体"/>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14:paraId="71049067"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29</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724BCC6"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76ACD6C"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4A62000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498B3E5"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13A10B0" w14:textId="77777777" w:rsidR="007B3DB2" w:rsidRPr="0063248C" w:rsidRDefault="00000000">
            <w:pPr>
              <w:spacing w:line="240" w:lineRule="exact"/>
              <w:jc w:val="right"/>
              <w:rPr>
                <w:rFonts w:cs="宋体"/>
                <w:sz w:val="18"/>
                <w:szCs w:val="18"/>
              </w:rPr>
            </w:pPr>
            <w:r w:rsidRPr="0063248C">
              <w:rPr>
                <w:rFonts w:cs="宋体"/>
                <w:sz w:val="18"/>
                <w:szCs w:val="18"/>
              </w:rPr>
              <w:t>6,608,509.83</w:t>
            </w:r>
          </w:p>
        </w:tc>
        <w:tc>
          <w:tcPr>
            <w:tcW w:w="1928" w:type="dxa"/>
            <w:tcBorders>
              <w:top w:val="single" w:sz="2" w:space="0" w:color="auto"/>
              <w:left w:val="single" w:sz="2" w:space="0" w:color="auto"/>
              <w:bottom w:val="single" w:sz="2" w:space="0" w:color="auto"/>
              <w:right w:val="single" w:sz="2" w:space="0" w:color="auto"/>
            </w:tcBorders>
            <w:vAlign w:val="center"/>
          </w:tcPr>
          <w:p w14:paraId="6B9F0820"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10</w:t>
            </w:r>
            <w:r w:rsidRPr="0063248C">
              <w:rPr>
                <w:rFonts w:cs="宋体"/>
                <w:sz w:val="18"/>
                <w:szCs w:val="18"/>
              </w:rPr>
              <w:t>月</w:t>
            </w:r>
            <w:r w:rsidRPr="0063248C">
              <w:rPr>
                <w:rFonts w:cs="宋体"/>
                <w:sz w:val="18"/>
                <w:szCs w:val="18"/>
              </w:rPr>
              <w:t>25</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F07ABCF"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10</w:t>
            </w:r>
            <w:r w:rsidRPr="0063248C">
              <w:rPr>
                <w:rFonts w:cs="宋体"/>
                <w:sz w:val="18"/>
                <w:szCs w:val="18"/>
              </w:rPr>
              <w:t>月</w:t>
            </w:r>
            <w:r w:rsidRPr="0063248C">
              <w:rPr>
                <w:rFonts w:cs="宋体"/>
                <w:sz w:val="18"/>
                <w:szCs w:val="18"/>
              </w:rPr>
              <w:t>23</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4570B86"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344A363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CA7D932"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E442609" w14:textId="77777777" w:rsidR="007B3DB2" w:rsidRPr="0063248C" w:rsidRDefault="00000000">
            <w:pPr>
              <w:spacing w:line="240" w:lineRule="exact"/>
              <w:jc w:val="right"/>
              <w:rPr>
                <w:rFonts w:cs="宋体"/>
                <w:sz w:val="18"/>
                <w:szCs w:val="18"/>
              </w:rPr>
            </w:pPr>
            <w:r w:rsidRPr="0063248C">
              <w:rPr>
                <w:rFonts w:cs="宋体"/>
                <w:sz w:val="18"/>
                <w:szCs w:val="18"/>
              </w:rPr>
              <w:t>3,391,490.17</w:t>
            </w:r>
          </w:p>
        </w:tc>
        <w:tc>
          <w:tcPr>
            <w:tcW w:w="1928" w:type="dxa"/>
            <w:tcBorders>
              <w:top w:val="single" w:sz="2" w:space="0" w:color="auto"/>
              <w:left w:val="single" w:sz="2" w:space="0" w:color="auto"/>
              <w:bottom w:val="single" w:sz="2" w:space="0" w:color="auto"/>
              <w:right w:val="single" w:sz="2" w:space="0" w:color="auto"/>
            </w:tcBorders>
            <w:vAlign w:val="center"/>
          </w:tcPr>
          <w:p w14:paraId="5773FD10"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05</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7C027D5"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10</w:t>
            </w:r>
            <w:r w:rsidRPr="0063248C">
              <w:rPr>
                <w:rFonts w:cs="宋体"/>
                <w:sz w:val="18"/>
                <w:szCs w:val="18"/>
              </w:rPr>
              <w:t>月</w:t>
            </w:r>
            <w:r w:rsidRPr="0063248C">
              <w:rPr>
                <w:rFonts w:cs="宋体"/>
                <w:sz w:val="18"/>
                <w:szCs w:val="18"/>
              </w:rPr>
              <w:t>23</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1C4C1C3"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4F425DA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E0E0CA2"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C076EFB" w14:textId="77777777" w:rsidR="007B3DB2" w:rsidRPr="0063248C" w:rsidRDefault="00000000">
            <w:pPr>
              <w:spacing w:line="240" w:lineRule="exact"/>
              <w:jc w:val="right"/>
              <w:rPr>
                <w:rFonts w:cs="宋体"/>
                <w:sz w:val="18"/>
                <w:szCs w:val="18"/>
              </w:rPr>
            </w:pPr>
            <w:r w:rsidRPr="0063248C">
              <w:rPr>
                <w:rFonts w:cs="宋体"/>
                <w:sz w:val="18"/>
                <w:szCs w:val="18"/>
              </w:rPr>
              <w:t>4,384,017.32</w:t>
            </w:r>
          </w:p>
        </w:tc>
        <w:tc>
          <w:tcPr>
            <w:tcW w:w="1928" w:type="dxa"/>
            <w:tcBorders>
              <w:top w:val="single" w:sz="2" w:space="0" w:color="auto"/>
              <w:left w:val="single" w:sz="2" w:space="0" w:color="auto"/>
              <w:bottom w:val="single" w:sz="2" w:space="0" w:color="auto"/>
              <w:right w:val="single" w:sz="2" w:space="0" w:color="auto"/>
            </w:tcBorders>
            <w:vAlign w:val="center"/>
          </w:tcPr>
          <w:p w14:paraId="64395BA3"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02</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77D6EDC"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2129DF3"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0174D25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0108CFD"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5FDA944" w14:textId="77777777" w:rsidR="007B3DB2" w:rsidRPr="0063248C" w:rsidRDefault="00000000">
            <w:pPr>
              <w:spacing w:line="240" w:lineRule="exact"/>
              <w:jc w:val="right"/>
              <w:rPr>
                <w:rFonts w:cs="宋体"/>
                <w:sz w:val="18"/>
                <w:szCs w:val="18"/>
              </w:rPr>
            </w:pPr>
            <w:r w:rsidRPr="0063248C">
              <w:rPr>
                <w:rFonts w:cs="宋体"/>
                <w:sz w:val="18"/>
                <w:szCs w:val="18"/>
              </w:rPr>
              <w:t>2,881,899.45</w:t>
            </w:r>
          </w:p>
        </w:tc>
        <w:tc>
          <w:tcPr>
            <w:tcW w:w="1928" w:type="dxa"/>
            <w:tcBorders>
              <w:top w:val="single" w:sz="2" w:space="0" w:color="auto"/>
              <w:left w:val="single" w:sz="2" w:space="0" w:color="auto"/>
              <w:bottom w:val="single" w:sz="2" w:space="0" w:color="auto"/>
              <w:right w:val="single" w:sz="2" w:space="0" w:color="auto"/>
            </w:tcBorders>
            <w:vAlign w:val="center"/>
          </w:tcPr>
          <w:p w14:paraId="7F5369FE"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03</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E1642BD"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70B2419"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97AFD6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9B50B05"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174B55B" w14:textId="77777777" w:rsidR="007B3DB2" w:rsidRPr="0063248C" w:rsidRDefault="00000000">
            <w:pPr>
              <w:spacing w:line="240" w:lineRule="exact"/>
              <w:jc w:val="right"/>
              <w:rPr>
                <w:rFonts w:cs="宋体"/>
                <w:sz w:val="18"/>
                <w:szCs w:val="18"/>
              </w:rPr>
            </w:pPr>
            <w:r w:rsidRPr="0063248C">
              <w:rPr>
                <w:rFonts w:cs="宋体"/>
                <w:sz w:val="18"/>
                <w:szCs w:val="18"/>
              </w:rPr>
              <w:t>255,000.00</w:t>
            </w:r>
          </w:p>
        </w:tc>
        <w:tc>
          <w:tcPr>
            <w:tcW w:w="1928" w:type="dxa"/>
            <w:tcBorders>
              <w:top w:val="single" w:sz="2" w:space="0" w:color="auto"/>
              <w:left w:val="single" w:sz="2" w:space="0" w:color="auto"/>
              <w:bottom w:val="single" w:sz="2" w:space="0" w:color="auto"/>
              <w:right w:val="single" w:sz="2" w:space="0" w:color="auto"/>
            </w:tcBorders>
            <w:vAlign w:val="center"/>
          </w:tcPr>
          <w:p w14:paraId="655E30B5"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03</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97F88FC"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CB727B4"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501B719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E585086"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D162B7A" w14:textId="77777777" w:rsidR="007B3DB2" w:rsidRPr="0063248C" w:rsidRDefault="00000000">
            <w:pPr>
              <w:spacing w:line="240" w:lineRule="exact"/>
              <w:jc w:val="right"/>
              <w:rPr>
                <w:rFonts w:cs="宋体"/>
                <w:sz w:val="18"/>
                <w:szCs w:val="18"/>
              </w:rPr>
            </w:pPr>
            <w:r w:rsidRPr="0063248C">
              <w:rPr>
                <w:rFonts w:cs="宋体"/>
                <w:sz w:val="18"/>
                <w:szCs w:val="18"/>
              </w:rPr>
              <w:t>511,489.79</w:t>
            </w:r>
          </w:p>
        </w:tc>
        <w:tc>
          <w:tcPr>
            <w:tcW w:w="1928" w:type="dxa"/>
            <w:tcBorders>
              <w:top w:val="single" w:sz="2" w:space="0" w:color="auto"/>
              <w:left w:val="single" w:sz="2" w:space="0" w:color="auto"/>
              <w:bottom w:val="single" w:sz="2" w:space="0" w:color="auto"/>
              <w:right w:val="single" w:sz="2" w:space="0" w:color="auto"/>
            </w:tcBorders>
            <w:vAlign w:val="center"/>
          </w:tcPr>
          <w:p w14:paraId="768EB877"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08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C47A291"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3347FE6"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78CB06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7E2BD26"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07F3338" w14:textId="77777777" w:rsidR="007B3DB2" w:rsidRPr="0063248C" w:rsidRDefault="00000000">
            <w:pPr>
              <w:spacing w:line="240" w:lineRule="exact"/>
              <w:jc w:val="right"/>
              <w:rPr>
                <w:rFonts w:cs="宋体"/>
                <w:sz w:val="18"/>
                <w:szCs w:val="18"/>
              </w:rPr>
            </w:pPr>
            <w:r w:rsidRPr="0063248C">
              <w:rPr>
                <w:rFonts w:cs="宋体"/>
                <w:sz w:val="18"/>
                <w:szCs w:val="18"/>
              </w:rPr>
              <w:t>418,800.00</w:t>
            </w:r>
          </w:p>
        </w:tc>
        <w:tc>
          <w:tcPr>
            <w:tcW w:w="1928" w:type="dxa"/>
            <w:tcBorders>
              <w:top w:val="single" w:sz="2" w:space="0" w:color="auto"/>
              <w:left w:val="single" w:sz="2" w:space="0" w:color="auto"/>
              <w:bottom w:val="single" w:sz="2" w:space="0" w:color="auto"/>
              <w:right w:val="single" w:sz="2" w:space="0" w:color="auto"/>
            </w:tcBorders>
            <w:vAlign w:val="center"/>
          </w:tcPr>
          <w:p w14:paraId="0ADCD213"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09</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473D780"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B1F36F8"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05DE0DF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B57E689"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633F980" w14:textId="77777777" w:rsidR="007B3DB2" w:rsidRPr="0063248C" w:rsidRDefault="00000000">
            <w:pPr>
              <w:spacing w:line="240" w:lineRule="exact"/>
              <w:jc w:val="right"/>
              <w:rPr>
                <w:rFonts w:cs="宋体"/>
                <w:sz w:val="18"/>
                <w:szCs w:val="18"/>
              </w:rPr>
            </w:pPr>
            <w:r w:rsidRPr="0063248C">
              <w:rPr>
                <w:rFonts w:cs="宋体"/>
                <w:sz w:val="18"/>
                <w:szCs w:val="18"/>
              </w:rPr>
              <w:t>178,225.81</w:t>
            </w:r>
          </w:p>
        </w:tc>
        <w:tc>
          <w:tcPr>
            <w:tcW w:w="1928" w:type="dxa"/>
            <w:tcBorders>
              <w:top w:val="single" w:sz="2" w:space="0" w:color="auto"/>
              <w:left w:val="single" w:sz="2" w:space="0" w:color="auto"/>
              <w:bottom w:val="single" w:sz="2" w:space="0" w:color="auto"/>
              <w:right w:val="single" w:sz="2" w:space="0" w:color="auto"/>
            </w:tcBorders>
            <w:vAlign w:val="center"/>
          </w:tcPr>
          <w:p w14:paraId="32F77459"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23</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A3753CC"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7968E4E"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757571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2CAAF72"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4B985C7" w14:textId="77777777" w:rsidR="007B3DB2" w:rsidRPr="0063248C" w:rsidRDefault="00000000">
            <w:pPr>
              <w:spacing w:line="240" w:lineRule="exact"/>
              <w:jc w:val="right"/>
              <w:rPr>
                <w:rFonts w:cs="宋体"/>
                <w:sz w:val="18"/>
                <w:szCs w:val="18"/>
              </w:rPr>
            </w:pPr>
            <w:r w:rsidRPr="0063248C">
              <w:rPr>
                <w:rFonts w:cs="宋体"/>
                <w:sz w:val="18"/>
                <w:szCs w:val="18"/>
              </w:rPr>
              <w:t>1,370,567.63</w:t>
            </w:r>
          </w:p>
        </w:tc>
        <w:tc>
          <w:tcPr>
            <w:tcW w:w="1928" w:type="dxa"/>
            <w:tcBorders>
              <w:top w:val="single" w:sz="2" w:space="0" w:color="auto"/>
              <w:left w:val="single" w:sz="2" w:space="0" w:color="auto"/>
              <w:bottom w:val="single" w:sz="2" w:space="0" w:color="auto"/>
              <w:right w:val="single" w:sz="2" w:space="0" w:color="auto"/>
            </w:tcBorders>
            <w:vAlign w:val="center"/>
          </w:tcPr>
          <w:p w14:paraId="7C4DE334"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23</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3123FC5"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E254865"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1E1C6F2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CB58FEE"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C5F97AC"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4A4A5EDA"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07</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225A1F8"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06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8C37998"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39434F9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3E1B23E"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47FC466" w14:textId="77777777" w:rsidR="007B3DB2" w:rsidRPr="0063248C" w:rsidRDefault="00000000">
            <w:pPr>
              <w:spacing w:line="240" w:lineRule="exact"/>
              <w:jc w:val="right"/>
              <w:rPr>
                <w:rFonts w:cs="宋体"/>
                <w:sz w:val="18"/>
                <w:szCs w:val="18"/>
              </w:rPr>
            </w:pPr>
            <w:r w:rsidRPr="0063248C">
              <w:rPr>
                <w:rFonts w:cs="宋体"/>
                <w:sz w:val="18"/>
                <w:szCs w:val="18"/>
              </w:rPr>
              <w:t>9,000,000.00</w:t>
            </w:r>
          </w:p>
        </w:tc>
        <w:tc>
          <w:tcPr>
            <w:tcW w:w="1928" w:type="dxa"/>
            <w:tcBorders>
              <w:top w:val="single" w:sz="2" w:space="0" w:color="auto"/>
              <w:left w:val="single" w:sz="2" w:space="0" w:color="auto"/>
              <w:bottom w:val="single" w:sz="2" w:space="0" w:color="auto"/>
              <w:right w:val="single" w:sz="2" w:space="0" w:color="auto"/>
            </w:tcBorders>
            <w:vAlign w:val="center"/>
          </w:tcPr>
          <w:p w14:paraId="749E48A8"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11</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756396F"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08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1E64073"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6902F72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6526A6A" w14:textId="77777777" w:rsidR="007B3DB2" w:rsidRPr="0063248C" w:rsidRDefault="00000000">
            <w:pPr>
              <w:spacing w:line="240" w:lineRule="exact"/>
              <w:rPr>
                <w:rFonts w:cs="宋体"/>
                <w:sz w:val="18"/>
                <w:szCs w:val="18"/>
              </w:rPr>
            </w:pPr>
            <w:r w:rsidRPr="0063248C">
              <w:rPr>
                <w:rFonts w:cs="宋体"/>
                <w:sz w:val="18"/>
                <w:szCs w:val="18"/>
              </w:rPr>
              <w:lastRenderedPageBreak/>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2C954AE" w14:textId="77777777" w:rsidR="007B3DB2" w:rsidRPr="0063248C" w:rsidRDefault="00000000">
            <w:pPr>
              <w:spacing w:line="240" w:lineRule="exact"/>
              <w:jc w:val="right"/>
              <w:rPr>
                <w:rFonts w:cs="宋体"/>
                <w:sz w:val="18"/>
                <w:szCs w:val="18"/>
              </w:rPr>
            </w:pPr>
            <w:r w:rsidRPr="0063248C">
              <w:rPr>
                <w:rFonts w:cs="宋体"/>
                <w:sz w:val="18"/>
                <w:szCs w:val="18"/>
              </w:rPr>
              <w:t>28,000,000.00</w:t>
            </w:r>
          </w:p>
        </w:tc>
        <w:tc>
          <w:tcPr>
            <w:tcW w:w="1928" w:type="dxa"/>
            <w:tcBorders>
              <w:top w:val="single" w:sz="2" w:space="0" w:color="auto"/>
              <w:left w:val="single" w:sz="2" w:space="0" w:color="auto"/>
              <w:bottom w:val="single" w:sz="2" w:space="0" w:color="auto"/>
              <w:right w:val="single" w:sz="2" w:space="0" w:color="auto"/>
            </w:tcBorders>
            <w:vAlign w:val="center"/>
          </w:tcPr>
          <w:p w14:paraId="00C24778" w14:textId="77777777" w:rsidR="007B3DB2" w:rsidRPr="0063248C" w:rsidRDefault="00000000">
            <w:pPr>
              <w:spacing w:line="240" w:lineRule="exact"/>
              <w:rPr>
                <w:rFonts w:cs="宋体"/>
                <w:sz w:val="18"/>
                <w:szCs w:val="18"/>
              </w:rPr>
            </w:pPr>
            <w:r w:rsidRPr="0063248C">
              <w:rPr>
                <w:rFonts w:cs="宋体"/>
                <w:sz w:val="18"/>
                <w:szCs w:val="18"/>
              </w:rPr>
              <w:t>2021</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06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83C792C" w14:textId="77777777" w:rsidR="007B3DB2" w:rsidRPr="0063248C" w:rsidRDefault="00000000">
            <w:pPr>
              <w:spacing w:line="240" w:lineRule="exact"/>
              <w:rPr>
                <w:rFonts w:cs="宋体"/>
                <w:sz w:val="18"/>
                <w:szCs w:val="18"/>
              </w:rPr>
            </w:pPr>
            <w:r w:rsidRPr="0063248C">
              <w:rPr>
                <w:rFonts w:cs="宋体"/>
                <w:sz w:val="18"/>
                <w:szCs w:val="18"/>
              </w:rPr>
              <w:t>2026</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06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3016EC4"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007CE36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1D02B26"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A142015" w14:textId="77777777" w:rsidR="007B3DB2" w:rsidRPr="0063248C" w:rsidRDefault="00000000">
            <w:pPr>
              <w:spacing w:line="240" w:lineRule="exact"/>
              <w:jc w:val="right"/>
              <w:rPr>
                <w:rFonts w:cs="宋体"/>
                <w:sz w:val="18"/>
                <w:szCs w:val="18"/>
              </w:rPr>
            </w:pPr>
            <w:r w:rsidRPr="0063248C">
              <w:rPr>
                <w:rFonts w:cs="宋体"/>
                <w:sz w:val="18"/>
                <w:szCs w:val="18"/>
              </w:rPr>
              <w:t>74,990,000.00</w:t>
            </w:r>
          </w:p>
        </w:tc>
        <w:tc>
          <w:tcPr>
            <w:tcW w:w="1928" w:type="dxa"/>
            <w:tcBorders>
              <w:top w:val="single" w:sz="2" w:space="0" w:color="auto"/>
              <w:left w:val="single" w:sz="2" w:space="0" w:color="auto"/>
              <w:bottom w:val="single" w:sz="2" w:space="0" w:color="auto"/>
              <w:right w:val="single" w:sz="2" w:space="0" w:color="auto"/>
            </w:tcBorders>
            <w:vAlign w:val="center"/>
          </w:tcPr>
          <w:p w14:paraId="111F7FDA"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08</w:t>
            </w:r>
            <w:r w:rsidRPr="0063248C">
              <w:rPr>
                <w:rFonts w:cs="宋体"/>
                <w:sz w:val="18"/>
                <w:szCs w:val="18"/>
              </w:rPr>
              <w:t>月</w:t>
            </w:r>
            <w:r w:rsidRPr="0063248C">
              <w:rPr>
                <w:rFonts w:cs="宋体"/>
                <w:sz w:val="18"/>
                <w:szCs w:val="18"/>
              </w:rPr>
              <w:t>24</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07886D8"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09</w:t>
            </w:r>
            <w:r w:rsidRPr="0063248C">
              <w:rPr>
                <w:rFonts w:cs="宋体"/>
                <w:sz w:val="18"/>
                <w:szCs w:val="18"/>
              </w:rPr>
              <w:t>月</w:t>
            </w:r>
            <w:r w:rsidRPr="0063248C">
              <w:rPr>
                <w:rFonts w:cs="宋体"/>
                <w:sz w:val="18"/>
                <w:szCs w:val="18"/>
              </w:rPr>
              <w:t>23</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AD9CC3C"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61336AD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22BCD73"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575A8BA"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3DD6E381"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7E2901F"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25</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9BFE14F"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049FD52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C969D77"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9238C2A" w14:textId="77777777" w:rsidR="007B3DB2" w:rsidRPr="0063248C" w:rsidRDefault="00000000">
            <w:pPr>
              <w:spacing w:line="240" w:lineRule="exact"/>
              <w:jc w:val="right"/>
              <w:rPr>
                <w:rFonts w:cs="宋体"/>
                <w:sz w:val="18"/>
                <w:szCs w:val="18"/>
              </w:rPr>
            </w:pPr>
            <w:r w:rsidRPr="0063248C">
              <w:rPr>
                <w:rFonts w:cs="宋体"/>
                <w:sz w:val="18"/>
                <w:szCs w:val="18"/>
              </w:rPr>
              <w:t>7,000,000.00</w:t>
            </w:r>
          </w:p>
        </w:tc>
        <w:tc>
          <w:tcPr>
            <w:tcW w:w="1928" w:type="dxa"/>
            <w:tcBorders>
              <w:top w:val="single" w:sz="2" w:space="0" w:color="auto"/>
              <w:left w:val="single" w:sz="2" w:space="0" w:color="auto"/>
              <w:bottom w:val="single" w:sz="2" w:space="0" w:color="auto"/>
              <w:right w:val="single" w:sz="2" w:space="0" w:color="auto"/>
            </w:tcBorders>
            <w:vAlign w:val="center"/>
          </w:tcPr>
          <w:p w14:paraId="33C4E7FF"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404F914"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25</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DD44D21"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80061F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2C16E93"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1BBA75D" w14:textId="77777777" w:rsidR="007B3DB2" w:rsidRPr="0063248C" w:rsidRDefault="00000000">
            <w:pPr>
              <w:spacing w:line="240" w:lineRule="exact"/>
              <w:jc w:val="right"/>
              <w:rPr>
                <w:rFonts w:cs="宋体"/>
                <w:sz w:val="18"/>
                <w:szCs w:val="18"/>
              </w:rPr>
            </w:pPr>
            <w:r w:rsidRPr="0063248C">
              <w:rPr>
                <w:rFonts w:cs="宋体"/>
                <w:sz w:val="18"/>
                <w:szCs w:val="18"/>
              </w:rPr>
              <w:t>3,000,000.00</w:t>
            </w:r>
          </w:p>
        </w:tc>
        <w:tc>
          <w:tcPr>
            <w:tcW w:w="1928" w:type="dxa"/>
            <w:tcBorders>
              <w:top w:val="single" w:sz="2" w:space="0" w:color="auto"/>
              <w:left w:val="single" w:sz="2" w:space="0" w:color="auto"/>
              <w:bottom w:val="single" w:sz="2" w:space="0" w:color="auto"/>
              <w:right w:val="single" w:sz="2" w:space="0" w:color="auto"/>
            </w:tcBorders>
            <w:vAlign w:val="center"/>
          </w:tcPr>
          <w:p w14:paraId="271069D7"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08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BB9196C"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02</w:t>
            </w:r>
            <w:r w:rsidRPr="0063248C">
              <w:rPr>
                <w:rFonts w:cs="宋体"/>
                <w:sz w:val="18"/>
                <w:szCs w:val="18"/>
              </w:rPr>
              <w:t>月</w:t>
            </w:r>
            <w:r w:rsidRPr="0063248C">
              <w:rPr>
                <w:rFonts w:cs="宋体"/>
                <w:sz w:val="18"/>
                <w:szCs w:val="18"/>
              </w:rPr>
              <w:t>20</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711268A"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3A4C850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1BAEE70"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莱阳市</w:t>
            </w:r>
            <w:proofErr w:type="gramStart"/>
            <w:r w:rsidRPr="0063248C">
              <w:rPr>
                <w:rFonts w:cs="宋体"/>
                <w:sz w:val="18"/>
                <w:szCs w:val="18"/>
              </w:rPr>
              <w:t>悦果堂果蔬食品</w:t>
            </w:r>
            <w:proofErr w:type="gramEnd"/>
            <w:r w:rsidRPr="0063248C">
              <w:rPr>
                <w:rFonts w:cs="宋体"/>
                <w:sz w:val="18"/>
                <w:szCs w:val="18"/>
              </w:rPr>
              <w:t>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B5A1109" w14:textId="77777777" w:rsidR="007B3DB2" w:rsidRPr="0063248C" w:rsidRDefault="00000000">
            <w:pPr>
              <w:spacing w:line="240" w:lineRule="exact"/>
              <w:jc w:val="right"/>
              <w:rPr>
                <w:rFonts w:cs="宋体"/>
                <w:sz w:val="18"/>
                <w:szCs w:val="18"/>
              </w:rPr>
            </w:pPr>
            <w:r w:rsidRPr="0063248C">
              <w:rPr>
                <w:rFonts w:cs="宋体"/>
                <w:sz w:val="18"/>
                <w:szCs w:val="18"/>
              </w:rPr>
              <w:t>29,990,000.00</w:t>
            </w:r>
          </w:p>
        </w:tc>
        <w:tc>
          <w:tcPr>
            <w:tcW w:w="1928" w:type="dxa"/>
            <w:tcBorders>
              <w:top w:val="single" w:sz="2" w:space="0" w:color="auto"/>
              <w:left w:val="single" w:sz="2" w:space="0" w:color="auto"/>
              <w:bottom w:val="single" w:sz="2" w:space="0" w:color="auto"/>
              <w:right w:val="single" w:sz="2" w:space="0" w:color="auto"/>
            </w:tcBorders>
            <w:vAlign w:val="center"/>
          </w:tcPr>
          <w:p w14:paraId="094C51A7"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28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FE51CCE"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24</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38ED9F6"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AF8BA9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497AB58"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9950DFB" w14:textId="77777777" w:rsidR="007B3DB2" w:rsidRPr="0063248C" w:rsidRDefault="00000000">
            <w:pPr>
              <w:spacing w:line="240" w:lineRule="exact"/>
              <w:jc w:val="right"/>
              <w:rPr>
                <w:rFonts w:cs="宋体"/>
                <w:sz w:val="18"/>
                <w:szCs w:val="18"/>
              </w:rPr>
            </w:pPr>
            <w:r w:rsidRPr="0063248C">
              <w:rPr>
                <w:rFonts w:cs="宋体"/>
                <w:sz w:val="18"/>
                <w:szCs w:val="18"/>
              </w:rPr>
              <w:t>5,300,000.00</w:t>
            </w:r>
          </w:p>
        </w:tc>
        <w:tc>
          <w:tcPr>
            <w:tcW w:w="1928" w:type="dxa"/>
            <w:tcBorders>
              <w:top w:val="single" w:sz="2" w:space="0" w:color="auto"/>
              <w:left w:val="single" w:sz="2" w:space="0" w:color="auto"/>
              <w:bottom w:val="single" w:sz="2" w:space="0" w:color="auto"/>
              <w:right w:val="single" w:sz="2" w:space="0" w:color="auto"/>
            </w:tcBorders>
            <w:vAlign w:val="center"/>
          </w:tcPr>
          <w:p w14:paraId="16464D2C"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22</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20B558C"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09</w:t>
            </w:r>
            <w:r w:rsidRPr="0063248C">
              <w:rPr>
                <w:rFonts w:cs="宋体"/>
                <w:sz w:val="18"/>
                <w:szCs w:val="18"/>
              </w:rPr>
              <w:t>月</w:t>
            </w:r>
            <w:r w:rsidRPr="0063248C">
              <w:rPr>
                <w:rFonts w:cs="宋体"/>
                <w:sz w:val="18"/>
                <w:szCs w:val="18"/>
              </w:rPr>
              <w:t>22</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7DD970E"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22A70C8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31B3023"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5127D2A" w14:textId="77777777" w:rsidR="007B3DB2" w:rsidRPr="0063248C" w:rsidRDefault="00000000">
            <w:pPr>
              <w:spacing w:line="240" w:lineRule="exact"/>
              <w:jc w:val="right"/>
              <w:rPr>
                <w:rFonts w:cs="宋体"/>
                <w:sz w:val="18"/>
                <w:szCs w:val="18"/>
              </w:rPr>
            </w:pPr>
            <w:r w:rsidRPr="0063248C">
              <w:rPr>
                <w:rFonts w:cs="宋体"/>
                <w:sz w:val="18"/>
                <w:szCs w:val="18"/>
              </w:rPr>
              <w:t>58,000,000.00</w:t>
            </w:r>
          </w:p>
        </w:tc>
        <w:tc>
          <w:tcPr>
            <w:tcW w:w="1928" w:type="dxa"/>
            <w:tcBorders>
              <w:top w:val="single" w:sz="2" w:space="0" w:color="auto"/>
              <w:left w:val="single" w:sz="2" w:space="0" w:color="auto"/>
              <w:bottom w:val="single" w:sz="2" w:space="0" w:color="auto"/>
              <w:right w:val="single" w:sz="2" w:space="0" w:color="auto"/>
            </w:tcBorders>
            <w:vAlign w:val="center"/>
          </w:tcPr>
          <w:p w14:paraId="215894EB"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04</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E55BAFC"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03</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9F3378E"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A41F83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D98EEAF"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F09A6A2"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604A86D1"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18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622E468"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18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3A13383"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302D128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FDD1938"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01D6A42" w14:textId="77777777" w:rsidR="007B3DB2" w:rsidRPr="0063248C" w:rsidRDefault="00000000">
            <w:pPr>
              <w:spacing w:line="240" w:lineRule="exact"/>
              <w:jc w:val="right"/>
              <w:rPr>
                <w:rFonts w:cs="宋体"/>
                <w:sz w:val="18"/>
                <w:szCs w:val="18"/>
              </w:rPr>
            </w:pPr>
            <w:r w:rsidRPr="0063248C">
              <w:rPr>
                <w:rFonts w:cs="宋体"/>
                <w:sz w:val="18"/>
                <w:szCs w:val="18"/>
              </w:rPr>
              <w:t>2,910,000.00</w:t>
            </w:r>
          </w:p>
        </w:tc>
        <w:tc>
          <w:tcPr>
            <w:tcW w:w="1928" w:type="dxa"/>
            <w:tcBorders>
              <w:top w:val="single" w:sz="2" w:space="0" w:color="auto"/>
              <w:left w:val="single" w:sz="2" w:space="0" w:color="auto"/>
              <w:bottom w:val="single" w:sz="2" w:space="0" w:color="auto"/>
              <w:right w:val="single" w:sz="2" w:space="0" w:color="auto"/>
            </w:tcBorders>
            <w:vAlign w:val="center"/>
          </w:tcPr>
          <w:p w14:paraId="33825BEA"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05</w:t>
            </w:r>
            <w:r w:rsidRPr="0063248C">
              <w:rPr>
                <w:rFonts w:cs="宋体"/>
                <w:sz w:val="18"/>
                <w:szCs w:val="18"/>
              </w:rPr>
              <w:t>月</w:t>
            </w:r>
            <w:r w:rsidRPr="0063248C">
              <w:rPr>
                <w:rFonts w:cs="宋体"/>
                <w:sz w:val="18"/>
                <w:szCs w:val="18"/>
              </w:rPr>
              <w:t>24</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B0CF640"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18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B4FD1B7"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0608E79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C2B9B1B"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FEA3626" w14:textId="77777777" w:rsidR="007B3DB2" w:rsidRPr="0063248C" w:rsidRDefault="00000000">
            <w:pPr>
              <w:spacing w:line="240" w:lineRule="exact"/>
              <w:jc w:val="right"/>
              <w:rPr>
                <w:rFonts w:cs="宋体"/>
                <w:sz w:val="18"/>
                <w:szCs w:val="18"/>
              </w:rPr>
            </w:pPr>
            <w:r w:rsidRPr="0063248C">
              <w:rPr>
                <w:rFonts w:cs="宋体"/>
                <w:sz w:val="18"/>
                <w:szCs w:val="18"/>
              </w:rPr>
              <w:t>2,846,440.67</w:t>
            </w:r>
          </w:p>
        </w:tc>
        <w:tc>
          <w:tcPr>
            <w:tcW w:w="1928" w:type="dxa"/>
            <w:tcBorders>
              <w:top w:val="single" w:sz="2" w:space="0" w:color="auto"/>
              <w:left w:val="single" w:sz="2" w:space="0" w:color="auto"/>
              <w:bottom w:val="single" w:sz="2" w:space="0" w:color="auto"/>
              <w:right w:val="single" w:sz="2" w:space="0" w:color="auto"/>
            </w:tcBorders>
            <w:vAlign w:val="center"/>
          </w:tcPr>
          <w:p w14:paraId="172C1365"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18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0F0B707"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12</w:t>
            </w:r>
            <w:r w:rsidRPr="0063248C">
              <w:rPr>
                <w:rFonts w:cs="宋体"/>
                <w:sz w:val="18"/>
                <w:szCs w:val="18"/>
              </w:rPr>
              <w:t>月</w:t>
            </w:r>
            <w:r w:rsidRPr="0063248C">
              <w:rPr>
                <w:rFonts w:cs="宋体"/>
                <w:sz w:val="18"/>
                <w:szCs w:val="18"/>
              </w:rPr>
              <w:t>02</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DAA36E5"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16EC15D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EA9D4E4"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458EF6A" w14:textId="77777777" w:rsidR="007B3DB2" w:rsidRPr="0063248C" w:rsidRDefault="00000000">
            <w:pPr>
              <w:spacing w:line="240" w:lineRule="exact"/>
              <w:jc w:val="right"/>
              <w:rPr>
                <w:rFonts w:cs="宋体"/>
                <w:sz w:val="18"/>
                <w:szCs w:val="18"/>
              </w:rPr>
            </w:pPr>
            <w:r w:rsidRPr="0063248C">
              <w:rPr>
                <w:rFonts w:cs="宋体"/>
                <w:sz w:val="18"/>
                <w:szCs w:val="18"/>
              </w:rPr>
              <w:t>9,500,000.00</w:t>
            </w:r>
          </w:p>
        </w:tc>
        <w:tc>
          <w:tcPr>
            <w:tcW w:w="1928" w:type="dxa"/>
            <w:tcBorders>
              <w:top w:val="single" w:sz="2" w:space="0" w:color="auto"/>
              <w:left w:val="single" w:sz="2" w:space="0" w:color="auto"/>
              <w:bottom w:val="single" w:sz="2" w:space="0" w:color="auto"/>
              <w:right w:val="single" w:sz="2" w:space="0" w:color="auto"/>
            </w:tcBorders>
            <w:vAlign w:val="center"/>
          </w:tcPr>
          <w:p w14:paraId="12E5A561"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08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F06350F"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05</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C2E4A7A"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47B387C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A0ECC1E"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4B99422" w14:textId="77777777" w:rsidR="007B3DB2" w:rsidRPr="0063248C" w:rsidRDefault="00000000">
            <w:pPr>
              <w:spacing w:line="240" w:lineRule="exact"/>
              <w:jc w:val="right"/>
              <w:rPr>
                <w:rFonts w:cs="宋体"/>
                <w:sz w:val="18"/>
                <w:szCs w:val="18"/>
              </w:rPr>
            </w:pPr>
            <w:r w:rsidRPr="0063248C">
              <w:rPr>
                <w:rFonts w:cs="宋体"/>
                <w:sz w:val="18"/>
                <w:szCs w:val="18"/>
              </w:rPr>
              <w:t>6,000,000.00</w:t>
            </w:r>
          </w:p>
        </w:tc>
        <w:tc>
          <w:tcPr>
            <w:tcW w:w="1928" w:type="dxa"/>
            <w:tcBorders>
              <w:top w:val="single" w:sz="2" w:space="0" w:color="auto"/>
              <w:left w:val="single" w:sz="2" w:space="0" w:color="auto"/>
              <w:bottom w:val="single" w:sz="2" w:space="0" w:color="auto"/>
              <w:right w:val="single" w:sz="2" w:space="0" w:color="auto"/>
            </w:tcBorders>
            <w:vAlign w:val="center"/>
          </w:tcPr>
          <w:p w14:paraId="7E74B24A"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08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DE8CE32"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06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73B442F"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689D33B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D6BD84B"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D55A5A4"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19C049BD"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08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0D9A43E"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06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87E8410"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4A66D09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1D64AAC"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4FB9C19"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03A04F6A"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11</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813514D"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10</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822CEDD"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6BA3EE7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55D4F07"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7ADAA64" w14:textId="77777777" w:rsidR="007B3DB2" w:rsidRPr="0063248C" w:rsidRDefault="00000000">
            <w:pPr>
              <w:spacing w:line="240" w:lineRule="exact"/>
              <w:jc w:val="right"/>
              <w:rPr>
                <w:rFonts w:cs="宋体"/>
                <w:sz w:val="18"/>
                <w:szCs w:val="18"/>
              </w:rPr>
            </w:pPr>
            <w:r w:rsidRPr="0063248C">
              <w:rPr>
                <w:rFonts w:cs="宋体"/>
                <w:sz w:val="18"/>
                <w:szCs w:val="18"/>
              </w:rPr>
              <w:t>8,600,000.00</w:t>
            </w:r>
          </w:p>
        </w:tc>
        <w:tc>
          <w:tcPr>
            <w:tcW w:w="1928" w:type="dxa"/>
            <w:tcBorders>
              <w:top w:val="single" w:sz="2" w:space="0" w:color="auto"/>
              <w:left w:val="single" w:sz="2" w:space="0" w:color="auto"/>
              <w:bottom w:val="single" w:sz="2" w:space="0" w:color="auto"/>
              <w:right w:val="single" w:sz="2" w:space="0" w:color="auto"/>
            </w:tcBorders>
            <w:vAlign w:val="center"/>
          </w:tcPr>
          <w:p w14:paraId="6C6E98EA"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11</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9ED39FF"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10</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CD6E88B"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4C7FDC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B00407F"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3B705F4" w14:textId="77777777" w:rsidR="007B3DB2" w:rsidRPr="0063248C" w:rsidRDefault="00000000">
            <w:pPr>
              <w:spacing w:line="240" w:lineRule="exact"/>
              <w:jc w:val="right"/>
              <w:rPr>
                <w:rFonts w:cs="宋体"/>
                <w:sz w:val="18"/>
                <w:szCs w:val="18"/>
              </w:rPr>
            </w:pPr>
            <w:r w:rsidRPr="0063248C">
              <w:rPr>
                <w:rFonts w:cs="宋体"/>
                <w:sz w:val="18"/>
                <w:szCs w:val="18"/>
              </w:rPr>
              <w:t>1,400,000.00</w:t>
            </w:r>
          </w:p>
        </w:tc>
        <w:tc>
          <w:tcPr>
            <w:tcW w:w="1928" w:type="dxa"/>
            <w:tcBorders>
              <w:top w:val="single" w:sz="2" w:space="0" w:color="auto"/>
              <w:left w:val="single" w:sz="2" w:space="0" w:color="auto"/>
              <w:bottom w:val="single" w:sz="2" w:space="0" w:color="auto"/>
              <w:right w:val="single" w:sz="2" w:space="0" w:color="auto"/>
            </w:tcBorders>
            <w:vAlign w:val="center"/>
          </w:tcPr>
          <w:p w14:paraId="3F6C35DC"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11</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55B190E"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10</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2DD09A7"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262160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7604272"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2E1D6FA" w14:textId="77777777" w:rsidR="007B3DB2" w:rsidRPr="0063248C" w:rsidRDefault="00000000">
            <w:pPr>
              <w:spacing w:line="240" w:lineRule="exact"/>
              <w:jc w:val="right"/>
              <w:rPr>
                <w:rFonts w:cs="宋体"/>
                <w:sz w:val="18"/>
                <w:szCs w:val="18"/>
              </w:rPr>
            </w:pPr>
            <w:r w:rsidRPr="0063248C">
              <w:rPr>
                <w:rFonts w:cs="宋体"/>
                <w:sz w:val="18"/>
                <w:szCs w:val="18"/>
              </w:rPr>
              <w:t>3,470,000.00</w:t>
            </w:r>
          </w:p>
        </w:tc>
        <w:tc>
          <w:tcPr>
            <w:tcW w:w="1928" w:type="dxa"/>
            <w:tcBorders>
              <w:top w:val="single" w:sz="2" w:space="0" w:color="auto"/>
              <w:left w:val="single" w:sz="2" w:space="0" w:color="auto"/>
              <w:bottom w:val="single" w:sz="2" w:space="0" w:color="auto"/>
              <w:right w:val="single" w:sz="2" w:space="0" w:color="auto"/>
            </w:tcBorders>
            <w:vAlign w:val="center"/>
          </w:tcPr>
          <w:p w14:paraId="2D00D3D8"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18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3CBC098"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17</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AA83767"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1EC90AC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7F3D971"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0E9A83B" w14:textId="77777777" w:rsidR="007B3DB2" w:rsidRPr="0063248C" w:rsidRDefault="00000000">
            <w:pPr>
              <w:spacing w:line="240" w:lineRule="exact"/>
              <w:jc w:val="right"/>
              <w:rPr>
                <w:rFonts w:cs="宋体"/>
                <w:sz w:val="18"/>
                <w:szCs w:val="18"/>
              </w:rPr>
            </w:pPr>
            <w:r w:rsidRPr="0063248C">
              <w:rPr>
                <w:rFonts w:cs="宋体"/>
                <w:sz w:val="18"/>
                <w:szCs w:val="18"/>
              </w:rPr>
              <w:t>6,530,000.00</w:t>
            </w:r>
          </w:p>
        </w:tc>
        <w:tc>
          <w:tcPr>
            <w:tcW w:w="1928" w:type="dxa"/>
            <w:tcBorders>
              <w:top w:val="single" w:sz="2" w:space="0" w:color="auto"/>
              <w:left w:val="single" w:sz="2" w:space="0" w:color="auto"/>
              <w:bottom w:val="single" w:sz="2" w:space="0" w:color="auto"/>
              <w:right w:val="single" w:sz="2" w:space="0" w:color="auto"/>
            </w:tcBorders>
            <w:vAlign w:val="center"/>
          </w:tcPr>
          <w:p w14:paraId="3EE7B3A7"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23</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9E3EDCD"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21</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826AD0A"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A62743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1AEA22C"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39048D4"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1146B480"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23</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08750EA"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21</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238069C"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524F73D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E10A717"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FE6D9D2"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663F3D88"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23</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32867FE"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03</w:t>
            </w:r>
            <w:r w:rsidRPr="0063248C">
              <w:rPr>
                <w:rFonts w:cs="宋体"/>
                <w:sz w:val="18"/>
                <w:szCs w:val="18"/>
              </w:rPr>
              <w:t>月</w:t>
            </w:r>
            <w:r w:rsidRPr="0063248C">
              <w:rPr>
                <w:rFonts w:cs="宋体"/>
                <w:sz w:val="18"/>
                <w:szCs w:val="18"/>
              </w:rPr>
              <w:t>21</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02A5017"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5C12D9E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D1D12F8"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F6D8F94"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592A18A6"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20</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F008A1F"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06</w:t>
            </w:r>
            <w:r w:rsidRPr="0063248C">
              <w:rPr>
                <w:rFonts w:cs="宋体"/>
                <w:sz w:val="18"/>
                <w:szCs w:val="18"/>
              </w:rPr>
              <w:t>月</w:t>
            </w:r>
            <w:r w:rsidRPr="0063248C">
              <w:rPr>
                <w:rFonts w:cs="宋体"/>
                <w:sz w:val="18"/>
                <w:szCs w:val="18"/>
              </w:rPr>
              <w:t>19</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2BF9DBB"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0BA0E4E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A3F9F35" w14:textId="77777777" w:rsidR="007B3DB2" w:rsidRPr="0063248C" w:rsidRDefault="00000000">
            <w:pPr>
              <w:spacing w:line="240" w:lineRule="exact"/>
              <w:rPr>
                <w:rFonts w:cs="宋体"/>
                <w:sz w:val="18"/>
                <w:szCs w:val="18"/>
              </w:rPr>
            </w:pPr>
            <w:r w:rsidRPr="0063248C">
              <w:rPr>
                <w:rFonts w:cs="宋体"/>
                <w:sz w:val="18"/>
                <w:szCs w:val="18"/>
              </w:rPr>
              <w:lastRenderedPageBreak/>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5CB97FC"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7E926F51"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17</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2C56F49"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11</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B4B1CE8"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4CCAEC6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6790AC4"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C9ECD2E" w14:textId="77777777" w:rsidR="007B3DB2" w:rsidRPr="0063248C" w:rsidRDefault="00000000">
            <w:pPr>
              <w:spacing w:line="240" w:lineRule="exact"/>
              <w:jc w:val="right"/>
              <w:rPr>
                <w:rFonts w:cs="宋体"/>
                <w:sz w:val="18"/>
                <w:szCs w:val="18"/>
              </w:rPr>
            </w:pPr>
            <w:r w:rsidRPr="0063248C">
              <w:rPr>
                <w:rFonts w:cs="宋体"/>
                <w:sz w:val="18"/>
                <w:szCs w:val="18"/>
              </w:rPr>
              <w:t>4,500,000.00</w:t>
            </w:r>
          </w:p>
        </w:tc>
        <w:tc>
          <w:tcPr>
            <w:tcW w:w="1928" w:type="dxa"/>
            <w:tcBorders>
              <w:top w:val="single" w:sz="2" w:space="0" w:color="auto"/>
              <w:left w:val="single" w:sz="2" w:space="0" w:color="auto"/>
              <w:bottom w:val="single" w:sz="2" w:space="0" w:color="auto"/>
              <w:right w:val="single" w:sz="2" w:space="0" w:color="auto"/>
            </w:tcBorders>
            <w:vAlign w:val="center"/>
          </w:tcPr>
          <w:p w14:paraId="53323E98"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10</w:t>
            </w:r>
            <w:r w:rsidRPr="0063248C">
              <w:rPr>
                <w:rFonts w:cs="宋体"/>
                <w:sz w:val="18"/>
                <w:szCs w:val="18"/>
              </w:rPr>
              <w:t>月</w:t>
            </w:r>
            <w:r w:rsidRPr="0063248C">
              <w:rPr>
                <w:rFonts w:cs="宋体"/>
                <w:sz w:val="18"/>
                <w:szCs w:val="18"/>
              </w:rPr>
              <w:t>12</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99821BD"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10</w:t>
            </w:r>
            <w:r w:rsidRPr="0063248C">
              <w:rPr>
                <w:rFonts w:cs="宋体"/>
                <w:sz w:val="18"/>
                <w:szCs w:val="18"/>
              </w:rPr>
              <w:t>月</w:t>
            </w:r>
            <w:r w:rsidRPr="0063248C">
              <w:rPr>
                <w:rFonts w:cs="宋体"/>
                <w:sz w:val="18"/>
                <w:szCs w:val="18"/>
              </w:rPr>
              <w:t>10</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C53254D"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4BEFC70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FDC78A6"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80D3F7C" w14:textId="77777777" w:rsidR="007B3DB2" w:rsidRPr="0063248C" w:rsidRDefault="00000000">
            <w:pPr>
              <w:spacing w:line="240" w:lineRule="exact"/>
              <w:jc w:val="right"/>
              <w:rPr>
                <w:rFonts w:cs="宋体"/>
                <w:sz w:val="18"/>
                <w:szCs w:val="18"/>
              </w:rPr>
            </w:pPr>
            <w:r w:rsidRPr="0063248C">
              <w:rPr>
                <w:rFonts w:cs="宋体"/>
                <w:sz w:val="18"/>
                <w:szCs w:val="18"/>
              </w:rPr>
              <w:t>35,000,000.00</w:t>
            </w:r>
          </w:p>
        </w:tc>
        <w:tc>
          <w:tcPr>
            <w:tcW w:w="1928" w:type="dxa"/>
            <w:tcBorders>
              <w:top w:val="single" w:sz="2" w:space="0" w:color="auto"/>
              <w:left w:val="single" w:sz="2" w:space="0" w:color="auto"/>
              <w:bottom w:val="single" w:sz="2" w:space="0" w:color="auto"/>
              <w:right w:val="single" w:sz="2" w:space="0" w:color="auto"/>
            </w:tcBorders>
            <w:vAlign w:val="center"/>
          </w:tcPr>
          <w:p w14:paraId="5F496750" w14:textId="77777777" w:rsidR="007B3DB2" w:rsidRPr="0063248C" w:rsidRDefault="00000000">
            <w:pPr>
              <w:spacing w:line="240" w:lineRule="exact"/>
              <w:rPr>
                <w:rFonts w:cs="宋体"/>
                <w:sz w:val="18"/>
                <w:szCs w:val="18"/>
              </w:rPr>
            </w:pPr>
            <w:r w:rsidRPr="0063248C">
              <w:rPr>
                <w:rFonts w:cs="宋体"/>
                <w:sz w:val="18"/>
                <w:szCs w:val="18"/>
              </w:rPr>
              <w:t>2021</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06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E0D5E27" w14:textId="77777777" w:rsidR="007B3DB2" w:rsidRPr="0063248C" w:rsidRDefault="00000000">
            <w:pPr>
              <w:spacing w:line="240" w:lineRule="exact"/>
              <w:rPr>
                <w:rFonts w:cs="宋体"/>
                <w:sz w:val="18"/>
                <w:szCs w:val="18"/>
              </w:rPr>
            </w:pPr>
            <w:r w:rsidRPr="0063248C">
              <w:rPr>
                <w:rFonts w:cs="宋体"/>
                <w:sz w:val="18"/>
                <w:szCs w:val="18"/>
              </w:rPr>
              <w:t>2026</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06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1E1BBD7"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39FBDC6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8B3198F"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9E84E68" w14:textId="77777777" w:rsidR="007B3DB2" w:rsidRPr="0063248C" w:rsidRDefault="00000000">
            <w:pPr>
              <w:spacing w:line="240" w:lineRule="exact"/>
              <w:jc w:val="right"/>
              <w:rPr>
                <w:rFonts w:cs="宋体"/>
                <w:sz w:val="18"/>
                <w:szCs w:val="18"/>
              </w:rPr>
            </w:pPr>
            <w:r w:rsidRPr="0063248C">
              <w:rPr>
                <w:rFonts w:cs="宋体"/>
                <w:sz w:val="18"/>
                <w:szCs w:val="18"/>
              </w:rPr>
              <w:t>82,800,000.00</w:t>
            </w:r>
          </w:p>
        </w:tc>
        <w:tc>
          <w:tcPr>
            <w:tcW w:w="1928" w:type="dxa"/>
            <w:tcBorders>
              <w:top w:val="single" w:sz="2" w:space="0" w:color="auto"/>
              <w:left w:val="single" w:sz="2" w:space="0" w:color="auto"/>
              <w:bottom w:val="single" w:sz="2" w:space="0" w:color="auto"/>
              <w:right w:val="single" w:sz="2" w:space="0" w:color="auto"/>
            </w:tcBorders>
            <w:vAlign w:val="center"/>
          </w:tcPr>
          <w:p w14:paraId="00149BE4"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11</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1AD1E78"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11</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976B49D"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2535D29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E432E71"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259626B" w14:textId="77777777" w:rsidR="007B3DB2" w:rsidRPr="0063248C" w:rsidRDefault="00000000">
            <w:pPr>
              <w:spacing w:line="240" w:lineRule="exact"/>
              <w:jc w:val="right"/>
              <w:rPr>
                <w:rFonts w:cs="宋体"/>
                <w:sz w:val="18"/>
                <w:szCs w:val="18"/>
              </w:rPr>
            </w:pPr>
            <w:r w:rsidRPr="0063248C">
              <w:rPr>
                <w:rFonts w:cs="宋体"/>
                <w:sz w:val="18"/>
                <w:szCs w:val="18"/>
              </w:rPr>
              <w:t>70,000,000.00</w:t>
            </w:r>
          </w:p>
        </w:tc>
        <w:tc>
          <w:tcPr>
            <w:tcW w:w="1928" w:type="dxa"/>
            <w:tcBorders>
              <w:top w:val="single" w:sz="2" w:space="0" w:color="auto"/>
              <w:left w:val="single" w:sz="2" w:space="0" w:color="auto"/>
              <w:bottom w:val="single" w:sz="2" w:space="0" w:color="auto"/>
              <w:right w:val="single" w:sz="2" w:space="0" w:color="auto"/>
            </w:tcBorders>
            <w:vAlign w:val="center"/>
          </w:tcPr>
          <w:p w14:paraId="7A2173A4"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25</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05E536F"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24</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DB3C913"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388313B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CDBD779"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8E60BC8"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6C5ED4CA"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D16411F"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9CCFFEE"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9AFF05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7994867"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E7B4BDE" w14:textId="77777777" w:rsidR="007B3DB2" w:rsidRPr="0063248C" w:rsidRDefault="00000000">
            <w:pPr>
              <w:spacing w:line="240" w:lineRule="exact"/>
              <w:jc w:val="right"/>
              <w:rPr>
                <w:rFonts w:cs="宋体"/>
                <w:sz w:val="18"/>
                <w:szCs w:val="18"/>
              </w:rPr>
            </w:pPr>
            <w:r w:rsidRPr="0063248C">
              <w:rPr>
                <w:rFonts w:cs="宋体"/>
                <w:sz w:val="18"/>
                <w:szCs w:val="18"/>
              </w:rPr>
              <w:t>67,200,000.00</w:t>
            </w:r>
          </w:p>
        </w:tc>
        <w:tc>
          <w:tcPr>
            <w:tcW w:w="1928" w:type="dxa"/>
            <w:tcBorders>
              <w:top w:val="single" w:sz="2" w:space="0" w:color="auto"/>
              <w:left w:val="single" w:sz="2" w:space="0" w:color="auto"/>
              <w:bottom w:val="single" w:sz="2" w:space="0" w:color="auto"/>
              <w:right w:val="single" w:sz="2" w:space="0" w:color="auto"/>
            </w:tcBorders>
            <w:vAlign w:val="center"/>
          </w:tcPr>
          <w:p w14:paraId="0B1A6330"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E5BCC55"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26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2BA8C94"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4890371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DA42D11"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E61E1EE" w14:textId="77777777" w:rsidR="007B3DB2" w:rsidRPr="0063248C" w:rsidRDefault="00000000">
            <w:pPr>
              <w:spacing w:line="240" w:lineRule="exact"/>
              <w:jc w:val="right"/>
              <w:rPr>
                <w:rFonts w:cs="宋体"/>
                <w:sz w:val="18"/>
                <w:szCs w:val="18"/>
              </w:rPr>
            </w:pPr>
            <w:r w:rsidRPr="0063248C">
              <w:rPr>
                <w:rFonts w:cs="宋体"/>
                <w:sz w:val="18"/>
                <w:szCs w:val="18"/>
              </w:rPr>
              <w:t>31,500,000.00</w:t>
            </w:r>
          </w:p>
        </w:tc>
        <w:tc>
          <w:tcPr>
            <w:tcW w:w="1928" w:type="dxa"/>
            <w:tcBorders>
              <w:top w:val="single" w:sz="2" w:space="0" w:color="auto"/>
              <w:left w:val="single" w:sz="2" w:space="0" w:color="auto"/>
              <w:bottom w:val="single" w:sz="2" w:space="0" w:color="auto"/>
              <w:right w:val="single" w:sz="2" w:space="0" w:color="auto"/>
            </w:tcBorders>
            <w:vAlign w:val="center"/>
          </w:tcPr>
          <w:p w14:paraId="1C2551F0"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11</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EC51BEF"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08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ACD7F0F"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F05AAB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F9F5D7A"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FD1FA84"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35849B0E"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16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B3D40BA"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14</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7E8F4D7"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7C7D5B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772A9FD"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4F00649"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272DDAEA"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16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53405EC"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14</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7D3EA14"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655CD54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85E75CB"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AD9BC18"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3E11CC45"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16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BD64E1B"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14</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77F2FE1"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01D7EBE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56EFF74"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E4AC5E0"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1596202F"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16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B5D5DA7"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14</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7DE9A73"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4DB89BC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38179EC"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92F2263" w14:textId="77777777" w:rsidR="007B3DB2" w:rsidRPr="0063248C" w:rsidRDefault="00000000">
            <w:pPr>
              <w:spacing w:line="240" w:lineRule="exact"/>
              <w:jc w:val="right"/>
              <w:rPr>
                <w:rFonts w:cs="宋体"/>
                <w:sz w:val="18"/>
                <w:szCs w:val="18"/>
              </w:rPr>
            </w:pPr>
            <w:r w:rsidRPr="0063248C">
              <w:rPr>
                <w:rFonts w:cs="宋体"/>
                <w:sz w:val="18"/>
                <w:szCs w:val="18"/>
              </w:rPr>
              <w:t>9,990,000.00</w:t>
            </w:r>
          </w:p>
        </w:tc>
        <w:tc>
          <w:tcPr>
            <w:tcW w:w="1928" w:type="dxa"/>
            <w:tcBorders>
              <w:top w:val="single" w:sz="2" w:space="0" w:color="auto"/>
              <w:left w:val="single" w:sz="2" w:space="0" w:color="auto"/>
              <w:bottom w:val="single" w:sz="2" w:space="0" w:color="auto"/>
              <w:right w:val="single" w:sz="2" w:space="0" w:color="auto"/>
            </w:tcBorders>
            <w:vAlign w:val="center"/>
          </w:tcPr>
          <w:p w14:paraId="1046FDAB" w14:textId="77777777" w:rsidR="007B3DB2" w:rsidRPr="0063248C" w:rsidRDefault="00000000">
            <w:pPr>
              <w:spacing w:line="240" w:lineRule="exact"/>
              <w:rPr>
                <w:rFonts w:cs="宋体"/>
                <w:sz w:val="18"/>
                <w:szCs w:val="18"/>
              </w:rPr>
            </w:pPr>
            <w:r w:rsidRPr="0063248C">
              <w:rPr>
                <w:rFonts w:cs="宋体"/>
                <w:sz w:val="18"/>
                <w:szCs w:val="18"/>
              </w:rPr>
              <w:t>2023</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20</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E7E4A76"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11</w:t>
            </w:r>
            <w:r w:rsidRPr="0063248C">
              <w:rPr>
                <w:rFonts w:cs="宋体"/>
                <w:sz w:val="18"/>
                <w:szCs w:val="18"/>
              </w:rPr>
              <w:t>月</w:t>
            </w:r>
            <w:r w:rsidRPr="0063248C">
              <w:rPr>
                <w:rFonts w:cs="宋体"/>
                <w:sz w:val="18"/>
                <w:szCs w:val="18"/>
              </w:rPr>
              <w:t>18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DFB5355"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41E3093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E3CE81A"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1A0F9DF" w14:textId="77777777" w:rsidR="007B3DB2" w:rsidRPr="0063248C" w:rsidRDefault="00000000">
            <w:pPr>
              <w:spacing w:line="240" w:lineRule="exact"/>
              <w:jc w:val="right"/>
              <w:rPr>
                <w:rFonts w:cs="宋体"/>
                <w:sz w:val="18"/>
                <w:szCs w:val="18"/>
              </w:rPr>
            </w:pPr>
            <w:r w:rsidRPr="0063248C">
              <w:rPr>
                <w:rFonts w:cs="宋体"/>
                <w:sz w:val="18"/>
                <w:szCs w:val="18"/>
              </w:rPr>
              <w:t>70,000.00</w:t>
            </w:r>
          </w:p>
        </w:tc>
        <w:tc>
          <w:tcPr>
            <w:tcW w:w="1928" w:type="dxa"/>
            <w:tcBorders>
              <w:top w:val="single" w:sz="2" w:space="0" w:color="auto"/>
              <w:left w:val="single" w:sz="2" w:space="0" w:color="auto"/>
              <w:bottom w:val="single" w:sz="2" w:space="0" w:color="auto"/>
              <w:right w:val="single" w:sz="2" w:space="0" w:color="auto"/>
            </w:tcBorders>
            <w:vAlign w:val="center"/>
          </w:tcPr>
          <w:p w14:paraId="579EC457"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18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0DF1FC4"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17</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AD253BC"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27ABE08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DE692D6"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19BEEE9" w14:textId="77777777" w:rsidR="007B3DB2" w:rsidRPr="0063248C" w:rsidRDefault="00000000">
            <w:pPr>
              <w:spacing w:line="240" w:lineRule="exact"/>
              <w:jc w:val="right"/>
              <w:rPr>
                <w:rFonts w:cs="宋体"/>
                <w:sz w:val="18"/>
                <w:szCs w:val="18"/>
              </w:rPr>
            </w:pPr>
            <w:r w:rsidRPr="0063248C">
              <w:rPr>
                <w:rFonts w:cs="宋体"/>
                <w:sz w:val="18"/>
                <w:szCs w:val="18"/>
              </w:rPr>
              <w:t>1,000,000.00</w:t>
            </w:r>
          </w:p>
        </w:tc>
        <w:tc>
          <w:tcPr>
            <w:tcW w:w="1928" w:type="dxa"/>
            <w:tcBorders>
              <w:top w:val="single" w:sz="2" w:space="0" w:color="auto"/>
              <w:left w:val="single" w:sz="2" w:space="0" w:color="auto"/>
              <w:bottom w:val="single" w:sz="2" w:space="0" w:color="auto"/>
              <w:right w:val="single" w:sz="2" w:space="0" w:color="auto"/>
            </w:tcBorders>
            <w:vAlign w:val="center"/>
          </w:tcPr>
          <w:p w14:paraId="6629524F"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10</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A478F98"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09</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65C8D78"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1255826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7D07947"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3C9460C" w14:textId="77777777" w:rsidR="007B3DB2" w:rsidRPr="0063248C" w:rsidRDefault="00000000">
            <w:pPr>
              <w:spacing w:line="240" w:lineRule="exact"/>
              <w:jc w:val="right"/>
              <w:rPr>
                <w:rFonts w:cs="宋体"/>
                <w:sz w:val="18"/>
                <w:szCs w:val="18"/>
              </w:rPr>
            </w:pPr>
            <w:r w:rsidRPr="0063248C">
              <w:rPr>
                <w:rFonts w:cs="宋体"/>
                <w:sz w:val="18"/>
                <w:szCs w:val="18"/>
              </w:rPr>
              <w:t>9,930,000.00</w:t>
            </w:r>
          </w:p>
        </w:tc>
        <w:tc>
          <w:tcPr>
            <w:tcW w:w="1928" w:type="dxa"/>
            <w:tcBorders>
              <w:top w:val="single" w:sz="2" w:space="0" w:color="auto"/>
              <w:left w:val="single" w:sz="2" w:space="0" w:color="auto"/>
              <w:bottom w:val="single" w:sz="2" w:space="0" w:color="auto"/>
              <w:right w:val="single" w:sz="2" w:space="0" w:color="auto"/>
            </w:tcBorders>
            <w:vAlign w:val="center"/>
          </w:tcPr>
          <w:p w14:paraId="3B912F79"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10</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BD70B20"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06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3D2A01F"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4A83E28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5788BA5"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C923E2A" w14:textId="77777777" w:rsidR="007B3DB2" w:rsidRPr="0063248C" w:rsidRDefault="00000000">
            <w:pPr>
              <w:spacing w:line="240" w:lineRule="exact"/>
              <w:jc w:val="right"/>
              <w:rPr>
                <w:rFonts w:cs="宋体"/>
                <w:sz w:val="18"/>
                <w:szCs w:val="18"/>
              </w:rPr>
            </w:pPr>
            <w:r w:rsidRPr="0063248C">
              <w:rPr>
                <w:rFonts w:cs="宋体"/>
                <w:sz w:val="18"/>
                <w:szCs w:val="18"/>
              </w:rPr>
              <w:t>13,930,000.00</w:t>
            </w:r>
          </w:p>
        </w:tc>
        <w:tc>
          <w:tcPr>
            <w:tcW w:w="1928" w:type="dxa"/>
            <w:tcBorders>
              <w:top w:val="single" w:sz="2" w:space="0" w:color="auto"/>
              <w:left w:val="single" w:sz="2" w:space="0" w:color="auto"/>
              <w:bottom w:val="single" w:sz="2" w:space="0" w:color="auto"/>
              <w:right w:val="single" w:sz="2" w:space="0" w:color="auto"/>
            </w:tcBorders>
            <w:vAlign w:val="center"/>
          </w:tcPr>
          <w:p w14:paraId="0167A99A"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18</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0E23258"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07</w:t>
            </w:r>
            <w:r w:rsidRPr="0063248C">
              <w:rPr>
                <w:rFonts w:cs="宋体"/>
                <w:sz w:val="18"/>
                <w:szCs w:val="18"/>
              </w:rPr>
              <w:t>月</w:t>
            </w:r>
            <w:r w:rsidRPr="0063248C">
              <w:rPr>
                <w:rFonts w:cs="宋体"/>
                <w:sz w:val="18"/>
                <w:szCs w:val="18"/>
              </w:rPr>
              <w:t>17</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0B212B2"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2861AFC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0965EE2"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3C2D373" w14:textId="77777777" w:rsidR="007B3DB2" w:rsidRPr="0063248C" w:rsidRDefault="00000000">
            <w:pPr>
              <w:spacing w:line="240" w:lineRule="exact"/>
              <w:jc w:val="right"/>
              <w:rPr>
                <w:rFonts w:cs="宋体"/>
                <w:sz w:val="18"/>
                <w:szCs w:val="18"/>
              </w:rPr>
            </w:pPr>
            <w:r w:rsidRPr="0063248C">
              <w:rPr>
                <w:rFonts w:cs="宋体"/>
                <w:sz w:val="18"/>
                <w:szCs w:val="18"/>
              </w:rPr>
              <w:t>5,070,000.00</w:t>
            </w:r>
          </w:p>
        </w:tc>
        <w:tc>
          <w:tcPr>
            <w:tcW w:w="1928" w:type="dxa"/>
            <w:tcBorders>
              <w:top w:val="single" w:sz="2" w:space="0" w:color="auto"/>
              <w:left w:val="single" w:sz="2" w:space="0" w:color="auto"/>
              <w:bottom w:val="single" w:sz="2" w:space="0" w:color="auto"/>
              <w:right w:val="single" w:sz="2" w:space="0" w:color="auto"/>
            </w:tcBorders>
            <w:vAlign w:val="center"/>
          </w:tcPr>
          <w:p w14:paraId="4436CA54" w14:textId="77777777" w:rsidR="007B3DB2" w:rsidRPr="0063248C" w:rsidRDefault="00000000">
            <w:pPr>
              <w:spacing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22</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4FCD368" w14:textId="77777777" w:rsidR="007B3DB2" w:rsidRPr="0063248C" w:rsidRDefault="00000000">
            <w:pPr>
              <w:spacing w:line="240" w:lineRule="exact"/>
              <w:rPr>
                <w:rFonts w:cs="宋体"/>
                <w:sz w:val="18"/>
                <w:szCs w:val="18"/>
              </w:rPr>
            </w:pPr>
            <w:r w:rsidRPr="0063248C">
              <w:rPr>
                <w:rFonts w:cs="宋体"/>
                <w:sz w:val="18"/>
                <w:szCs w:val="18"/>
              </w:rPr>
              <w:t>2025</w:t>
            </w:r>
            <w:r w:rsidRPr="0063248C">
              <w:rPr>
                <w:rFonts w:cs="宋体"/>
                <w:sz w:val="18"/>
                <w:szCs w:val="18"/>
              </w:rPr>
              <w:t>年</w:t>
            </w:r>
            <w:r w:rsidRPr="0063248C">
              <w:rPr>
                <w:rFonts w:cs="宋体"/>
                <w:sz w:val="18"/>
                <w:szCs w:val="18"/>
              </w:rPr>
              <w:t>01</w:t>
            </w:r>
            <w:r w:rsidRPr="0063248C">
              <w:rPr>
                <w:rFonts w:cs="宋体"/>
                <w:sz w:val="18"/>
                <w:szCs w:val="18"/>
              </w:rPr>
              <w:t>月</w:t>
            </w:r>
            <w:r w:rsidRPr="0063248C">
              <w:rPr>
                <w:rFonts w:cs="宋体"/>
                <w:sz w:val="18"/>
                <w:szCs w:val="18"/>
              </w:rPr>
              <w:t>22</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246FCEB"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26A5ABB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6A1D24B"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90D4F07" w14:textId="77777777" w:rsidR="007B3DB2" w:rsidRPr="0063248C" w:rsidRDefault="00000000">
            <w:pPr>
              <w:spacing w:line="240" w:lineRule="exact"/>
              <w:jc w:val="right"/>
              <w:rPr>
                <w:rFonts w:cs="宋体"/>
                <w:sz w:val="18"/>
                <w:szCs w:val="18"/>
              </w:rPr>
            </w:pPr>
            <w:r w:rsidRPr="0063248C">
              <w:rPr>
                <w:rFonts w:cs="宋体"/>
                <w:sz w:val="18"/>
                <w:szCs w:val="18"/>
              </w:rPr>
              <w:t>35,000,000.00</w:t>
            </w:r>
          </w:p>
        </w:tc>
        <w:tc>
          <w:tcPr>
            <w:tcW w:w="1928" w:type="dxa"/>
            <w:tcBorders>
              <w:top w:val="single" w:sz="2" w:space="0" w:color="auto"/>
              <w:left w:val="single" w:sz="2" w:space="0" w:color="auto"/>
              <w:bottom w:val="single" w:sz="2" w:space="0" w:color="auto"/>
              <w:right w:val="single" w:sz="2" w:space="0" w:color="auto"/>
            </w:tcBorders>
            <w:vAlign w:val="center"/>
          </w:tcPr>
          <w:p w14:paraId="1E9D99D5" w14:textId="77777777" w:rsidR="007B3DB2" w:rsidRPr="0063248C" w:rsidRDefault="00000000">
            <w:pPr>
              <w:spacing w:line="240" w:lineRule="exact"/>
              <w:rPr>
                <w:rFonts w:cs="宋体"/>
                <w:sz w:val="18"/>
                <w:szCs w:val="18"/>
              </w:rPr>
            </w:pPr>
            <w:r w:rsidRPr="0063248C">
              <w:rPr>
                <w:rFonts w:cs="宋体"/>
                <w:sz w:val="18"/>
                <w:szCs w:val="18"/>
              </w:rPr>
              <w:t>2021</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06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F235580" w14:textId="77777777" w:rsidR="007B3DB2" w:rsidRPr="0063248C" w:rsidRDefault="00000000">
            <w:pPr>
              <w:spacing w:line="240" w:lineRule="exact"/>
              <w:rPr>
                <w:rFonts w:cs="宋体"/>
                <w:sz w:val="18"/>
                <w:szCs w:val="18"/>
              </w:rPr>
            </w:pPr>
            <w:r w:rsidRPr="0063248C">
              <w:rPr>
                <w:rFonts w:cs="宋体"/>
                <w:sz w:val="18"/>
                <w:szCs w:val="18"/>
              </w:rPr>
              <w:t>2026</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06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993D02A"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r w:rsidR="007B3DB2" w:rsidRPr="0063248C" w14:paraId="7E01346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CBA01EC" w14:textId="77777777" w:rsidR="007B3DB2" w:rsidRPr="0063248C" w:rsidRDefault="00000000">
            <w:pPr>
              <w:spacing w:line="240" w:lineRule="exact"/>
              <w:rPr>
                <w:rFonts w:cs="宋体"/>
                <w:sz w:val="18"/>
                <w:szCs w:val="18"/>
              </w:rPr>
            </w:pPr>
            <w:r w:rsidRPr="0063248C">
              <w:rPr>
                <w:rFonts w:cs="宋体"/>
                <w:sz w:val="18"/>
                <w:szCs w:val="18"/>
              </w:rPr>
              <w:t>蓝润发展控股集团有限公司</w:t>
            </w:r>
            <w:r w:rsidRPr="0063248C">
              <w:rPr>
                <w:rFonts w:cs="宋体"/>
                <w:sz w:val="18"/>
                <w:szCs w:val="18"/>
              </w:rPr>
              <w:t>/</w:t>
            </w:r>
            <w:r w:rsidRPr="0063248C">
              <w:rPr>
                <w:rFonts w:cs="宋体"/>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6E87E2B" w14:textId="77777777" w:rsidR="007B3DB2" w:rsidRPr="0063248C" w:rsidRDefault="00000000">
            <w:pPr>
              <w:spacing w:line="240" w:lineRule="exact"/>
              <w:jc w:val="right"/>
              <w:rPr>
                <w:rFonts w:cs="宋体"/>
                <w:sz w:val="18"/>
                <w:szCs w:val="18"/>
              </w:rPr>
            </w:pPr>
            <w:r w:rsidRPr="0063248C">
              <w:rPr>
                <w:rFonts w:cs="宋体"/>
                <w:sz w:val="18"/>
                <w:szCs w:val="18"/>
              </w:rPr>
              <w:t>28,000,000.00</w:t>
            </w:r>
          </w:p>
        </w:tc>
        <w:tc>
          <w:tcPr>
            <w:tcW w:w="1928" w:type="dxa"/>
            <w:tcBorders>
              <w:top w:val="single" w:sz="2" w:space="0" w:color="auto"/>
              <w:left w:val="single" w:sz="2" w:space="0" w:color="auto"/>
              <w:bottom w:val="single" w:sz="2" w:space="0" w:color="auto"/>
              <w:right w:val="single" w:sz="2" w:space="0" w:color="auto"/>
            </w:tcBorders>
            <w:vAlign w:val="center"/>
          </w:tcPr>
          <w:p w14:paraId="603D23BE" w14:textId="77777777" w:rsidR="007B3DB2" w:rsidRPr="0063248C" w:rsidRDefault="00000000">
            <w:pPr>
              <w:spacing w:line="240" w:lineRule="exact"/>
              <w:rPr>
                <w:rFonts w:cs="宋体"/>
                <w:sz w:val="18"/>
                <w:szCs w:val="18"/>
              </w:rPr>
            </w:pPr>
            <w:r w:rsidRPr="0063248C">
              <w:rPr>
                <w:rFonts w:cs="宋体"/>
                <w:sz w:val="18"/>
                <w:szCs w:val="18"/>
              </w:rPr>
              <w:t>2021</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06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4910DFC" w14:textId="77777777" w:rsidR="007B3DB2" w:rsidRPr="0063248C" w:rsidRDefault="00000000">
            <w:pPr>
              <w:spacing w:line="240" w:lineRule="exact"/>
              <w:rPr>
                <w:rFonts w:cs="宋体"/>
                <w:sz w:val="18"/>
                <w:szCs w:val="18"/>
              </w:rPr>
            </w:pPr>
            <w:r w:rsidRPr="0063248C">
              <w:rPr>
                <w:rFonts w:cs="宋体"/>
                <w:sz w:val="18"/>
                <w:szCs w:val="18"/>
              </w:rPr>
              <w:t>2026</w:t>
            </w:r>
            <w:r w:rsidRPr="0063248C">
              <w:rPr>
                <w:rFonts w:cs="宋体"/>
                <w:sz w:val="18"/>
                <w:szCs w:val="18"/>
              </w:rPr>
              <w:t>年</w:t>
            </w:r>
            <w:r w:rsidRPr="0063248C">
              <w:rPr>
                <w:rFonts w:cs="宋体"/>
                <w:sz w:val="18"/>
                <w:szCs w:val="18"/>
              </w:rPr>
              <w:t>04</w:t>
            </w:r>
            <w:r w:rsidRPr="0063248C">
              <w:rPr>
                <w:rFonts w:cs="宋体"/>
                <w:sz w:val="18"/>
                <w:szCs w:val="18"/>
              </w:rPr>
              <w:t>月</w:t>
            </w:r>
            <w:r w:rsidRPr="0063248C">
              <w:rPr>
                <w:rFonts w:cs="宋体"/>
                <w:sz w:val="18"/>
                <w:szCs w:val="18"/>
              </w:rPr>
              <w:t>06</w:t>
            </w:r>
            <w:r w:rsidRPr="0063248C">
              <w:rPr>
                <w:rFonts w:cs="宋体"/>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BD24DD7" w14:textId="77777777" w:rsidR="007B3DB2" w:rsidRPr="0063248C" w:rsidRDefault="00000000" w:rsidP="00E319D8">
            <w:pPr>
              <w:spacing w:line="240" w:lineRule="exact"/>
              <w:jc w:val="center"/>
              <w:rPr>
                <w:rFonts w:cs="宋体"/>
                <w:sz w:val="18"/>
                <w:szCs w:val="18"/>
              </w:rPr>
            </w:pPr>
            <w:r w:rsidRPr="0063248C">
              <w:rPr>
                <w:rFonts w:cs="宋体"/>
                <w:sz w:val="18"/>
                <w:szCs w:val="18"/>
              </w:rPr>
              <w:t>否</w:t>
            </w:r>
          </w:p>
        </w:tc>
      </w:tr>
    </w:tbl>
    <w:p w14:paraId="0F435012" w14:textId="77777777" w:rsidR="007B3DB2" w:rsidRPr="0063248C" w:rsidRDefault="00000000">
      <w:pPr>
        <w:spacing w:before="100" w:after="100" w:line="240" w:lineRule="exact"/>
        <w:rPr>
          <w:rFonts w:cs="宋体"/>
          <w:sz w:val="18"/>
          <w:szCs w:val="18"/>
        </w:rPr>
      </w:pPr>
      <w:r w:rsidRPr="0063248C">
        <w:rPr>
          <w:rFonts w:cs="宋体"/>
          <w:sz w:val="18"/>
          <w:szCs w:val="18"/>
        </w:rPr>
        <w:t>关联担保情况说明</w:t>
      </w:r>
    </w:p>
    <w:p w14:paraId="24638C7F" w14:textId="77777777" w:rsidR="00517D34" w:rsidRPr="0063248C" w:rsidRDefault="00000000">
      <w:pPr>
        <w:pStyle w:val="a3"/>
        <w:divId w:val="70085194"/>
        <w:rPr>
          <w:rFonts w:ascii="Times New Roman" w:hAnsi="Times New Roman"/>
          <w:sz w:val="18"/>
          <w:szCs w:val="18"/>
        </w:rPr>
      </w:pPr>
      <w:r w:rsidRPr="0063248C">
        <w:rPr>
          <w:rFonts w:ascii="Times New Roman" w:hAnsi="Times New Roman" w:hint="eastAsia"/>
          <w:sz w:val="18"/>
          <w:szCs w:val="18"/>
        </w:rPr>
        <w:t>无</w:t>
      </w:r>
    </w:p>
    <w:p w14:paraId="1A11A254" w14:textId="77777777" w:rsidR="007B3DB2" w:rsidRPr="0063248C" w:rsidRDefault="00000000">
      <w:pPr>
        <w:keepNext/>
        <w:keepLines/>
        <w:spacing w:before="300" w:after="300" w:line="280" w:lineRule="exact"/>
        <w:outlineLvl w:val="3"/>
        <w:rPr>
          <w:rFonts w:cs="宋体"/>
          <w:b/>
          <w:bCs/>
          <w:szCs w:val="21"/>
        </w:rPr>
      </w:pPr>
      <w:bookmarkStart w:id="476" w:name="_Toc989370"/>
      <w:r w:rsidRPr="0063248C">
        <w:rPr>
          <w:rFonts w:cs="宋体"/>
          <w:b/>
          <w:bCs/>
          <w:szCs w:val="21"/>
        </w:rPr>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关联方资金拆借</w:t>
      </w:r>
      <w:bookmarkEnd w:id="476"/>
    </w:p>
    <w:p w14:paraId="7DA32942" w14:textId="77777777" w:rsidR="00E319D8" w:rsidRPr="0063248C" w:rsidRDefault="00E319D8" w:rsidP="00E319D8">
      <w:pPr>
        <w:pStyle w:val="a3"/>
        <w:rPr>
          <w:rFonts w:ascii="Times New Roman" w:hAnsi="Times New Roman"/>
          <w:sz w:val="18"/>
          <w:szCs w:val="18"/>
        </w:rPr>
      </w:pPr>
      <w:bookmarkStart w:id="477" w:name="_Toc989371"/>
      <w:r w:rsidRPr="0063248C">
        <w:rPr>
          <w:rFonts w:ascii="Times New Roman" w:hAnsi="Times New Roman" w:hint="eastAsia"/>
          <w:sz w:val="18"/>
          <w:szCs w:val="18"/>
        </w:rPr>
        <w:t>无</w:t>
      </w:r>
    </w:p>
    <w:p w14:paraId="72BACCAF"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lastRenderedPageBreak/>
        <w:t>（</w:t>
      </w:r>
      <w:r w:rsidRPr="0063248C">
        <w:rPr>
          <w:rFonts w:cs="宋体"/>
          <w:b/>
          <w:bCs/>
          <w:szCs w:val="21"/>
        </w:rPr>
        <w:t>6</w:t>
      </w:r>
      <w:r w:rsidRPr="0063248C">
        <w:rPr>
          <w:rFonts w:cs="宋体"/>
          <w:b/>
          <w:bCs/>
          <w:szCs w:val="21"/>
        </w:rPr>
        <w:t>）</w:t>
      </w:r>
      <w:r w:rsidRPr="0063248C">
        <w:rPr>
          <w:rFonts w:cs="宋体"/>
          <w:b/>
          <w:bCs/>
          <w:szCs w:val="21"/>
        </w:rPr>
        <w:t xml:space="preserve"> </w:t>
      </w:r>
      <w:r w:rsidRPr="0063248C">
        <w:rPr>
          <w:rFonts w:cs="宋体"/>
          <w:b/>
          <w:bCs/>
          <w:szCs w:val="21"/>
        </w:rPr>
        <w:t>关联方资产转让、债务重组情况</w:t>
      </w:r>
      <w:bookmarkEnd w:id="477"/>
    </w:p>
    <w:p w14:paraId="7772BA91" w14:textId="77777777" w:rsidR="00E319D8" w:rsidRPr="0063248C" w:rsidRDefault="00E319D8" w:rsidP="00E319D8">
      <w:pPr>
        <w:pStyle w:val="a3"/>
        <w:rPr>
          <w:rFonts w:ascii="Times New Roman" w:hAnsi="Times New Roman"/>
          <w:sz w:val="18"/>
          <w:szCs w:val="18"/>
        </w:rPr>
      </w:pPr>
      <w:bookmarkStart w:id="478" w:name="_Toc989372"/>
      <w:r w:rsidRPr="0063248C">
        <w:rPr>
          <w:rFonts w:ascii="Times New Roman" w:hAnsi="Times New Roman" w:hint="eastAsia"/>
          <w:sz w:val="18"/>
          <w:szCs w:val="18"/>
        </w:rPr>
        <w:t>无</w:t>
      </w:r>
    </w:p>
    <w:p w14:paraId="363BBB8F"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7</w:t>
      </w:r>
      <w:r w:rsidRPr="0063248C">
        <w:rPr>
          <w:rFonts w:cs="宋体"/>
          <w:b/>
          <w:bCs/>
          <w:szCs w:val="21"/>
        </w:rPr>
        <w:t>）</w:t>
      </w:r>
      <w:r w:rsidRPr="0063248C">
        <w:rPr>
          <w:rFonts w:cs="宋体"/>
          <w:b/>
          <w:bCs/>
          <w:szCs w:val="21"/>
        </w:rPr>
        <w:t xml:space="preserve"> </w:t>
      </w:r>
      <w:r w:rsidRPr="0063248C">
        <w:rPr>
          <w:rFonts w:cs="宋体"/>
          <w:b/>
          <w:bCs/>
          <w:szCs w:val="21"/>
        </w:rPr>
        <w:t>关键管理人员报酬</w:t>
      </w:r>
      <w:bookmarkEnd w:id="478"/>
    </w:p>
    <w:p w14:paraId="2C973E82"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37C9F6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45C7BC"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0C4E37"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21626E"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5EF91EA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A06F160" w14:textId="77777777" w:rsidR="007B3DB2" w:rsidRPr="0063248C" w:rsidRDefault="00000000">
            <w:pPr>
              <w:spacing w:line="240" w:lineRule="exact"/>
              <w:rPr>
                <w:rFonts w:cs="宋体"/>
                <w:sz w:val="18"/>
                <w:szCs w:val="18"/>
              </w:rPr>
            </w:pPr>
            <w:r w:rsidRPr="0063248C">
              <w:rPr>
                <w:rFonts w:cs="宋体"/>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14:paraId="5766D1E1" w14:textId="77777777" w:rsidR="007B3DB2" w:rsidRPr="0063248C" w:rsidRDefault="00000000">
            <w:pPr>
              <w:spacing w:line="240" w:lineRule="exact"/>
              <w:jc w:val="right"/>
              <w:rPr>
                <w:rFonts w:cs="宋体"/>
                <w:sz w:val="18"/>
                <w:szCs w:val="18"/>
              </w:rPr>
            </w:pPr>
            <w:r w:rsidRPr="0063248C">
              <w:rPr>
                <w:rFonts w:cs="宋体"/>
                <w:sz w:val="18"/>
                <w:szCs w:val="18"/>
              </w:rPr>
              <w:t>1,215,071.60</w:t>
            </w:r>
          </w:p>
        </w:tc>
        <w:tc>
          <w:tcPr>
            <w:tcW w:w="3213" w:type="dxa"/>
            <w:tcBorders>
              <w:top w:val="single" w:sz="2" w:space="0" w:color="auto"/>
              <w:left w:val="single" w:sz="2" w:space="0" w:color="auto"/>
              <w:bottom w:val="single" w:sz="2" w:space="0" w:color="auto"/>
              <w:right w:val="single" w:sz="2" w:space="0" w:color="auto"/>
            </w:tcBorders>
            <w:vAlign w:val="center"/>
          </w:tcPr>
          <w:p w14:paraId="1E8E950F" w14:textId="77777777" w:rsidR="007B3DB2" w:rsidRPr="0063248C" w:rsidRDefault="00000000">
            <w:pPr>
              <w:spacing w:line="240" w:lineRule="exact"/>
              <w:jc w:val="right"/>
              <w:rPr>
                <w:rFonts w:cs="宋体"/>
                <w:sz w:val="18"/>
                <w:szCs w:val="18"/>
              </w:rPr>
            </w:pPr>
            <w:r w:rsidRPr="0063248C">
              <w:rPr>
                <w:rFonts w:cs="宋体"/>
                <w:sz w:val="18"/>
                <w:szCs w:val="18"/>
              </w:rPr>
              <w:t>1,499,009.04</w:t>
            </w:r>
          </w:p>
        </w:tc>
      </w:tr>
    </w:tbl>
    <w:p w14:paraId="16194A47" w14:textId="77777777" w:rsidR="007B3DB2" w:rsidRPr="0063248C" w:rsidRDefault="00000000">
      <w:pPr>
        <w:keepNext/>
        <w:keepLines/>
        <w:spacing w:before="300" w:after="300" w:line="280" w:lineRule="exact"/>
        <w:outlineLvl w:val="3"/>
        <w:rPr>
          <w:rFonts w:cs="宋体"/>
          <w:b/>
          <w:bCs/>
          <w:szCs w:val="21"/>
        </w:rPr>
      </w:pPr>
      <w:bookmarkStart w:id="479" w:name="_Toc989373"/>
      <w:r w:rsidRPr="0063248C">
        <w:rPr>
          <w:rFonts w:cs="宋体"/>
          <w:b/>
          <w:bCs/>
          <w:szCs w:val="21"/>
        </w:rPr>
        <w:t>（</w:t>
      </w:r>
      <w:r w:rsidRPr="0063248C">
        <w:rPr>
          <w:rFonts w:cs="宋体"/>
          <w:b/>
          <w:bCs/>
          <w:szCs w:val="21"/>
        </w:rPr>
        <w:t>8</w:t>
      </w:r>
      <w:r w:rsidRPr="0063248C">
        <w:rPr>
          <w:rFonts w:cs="宋体"/>
          <w:b/>
          <w:bCs/>
          <w:szCs w:val="21"/>
        </w:rPr>
        <w:t>）</w:t>
      </w:r>
      <w:r w:rsidRPr="0063248C">
        <w:rPr>
          <w:rFonts w:cs="宋体"/>
          <w:b/>
          <w:bCs/>
          <w:szCs w:val="21"/>
        </w:rPr>
        <w:t xml:space="preserve"> </w:t>
      </w:r>
      <w:r w:rsidRPr="0063248C">
        <w:rPr>
          <w:rFonts w:cs="宋体"/>
          <w:b/>
          <w:bCs/>
          <w:szCs w:val="21"/>
        </w:rPr>
        <w:t>其他关联交易</w:t>
      </w:r>
      <w:bookmarkEnd w:id="479"/>
    </w:p>
    <w:p w14:paraId="52300168" w14:textId="77777777" w:rsidR="003137C2" w:rsidRDefault="003137C2" w:rsidP="003137C2">
      <w:pPr>
        <w:divId w:val="937834426"/>
        <w:rPr>
          <w:rFonts w:ascii="宋体" w:hAnsi="宋体" w:hint="eastAsia"/>
          <w:sz w:val="18"/>
          <w:szCs w:val="18"/>
        </w:rPr>
      </w:pPr>
      <w:r>
        <w:rPr>
          <w:rFonts w:ascii="宋体" w:hAnsi="宋体"/>
          <w:sz w:val="18"/>
          <w:szCs w:val="20"/>
        </w:rPr>
        <w:t>利</w:t>
      </w:r>
      <w:r w:rsidRPr="000056DA">
        <w:rPr>
          <w:rFonts w:ascii="宋体" w:hAnsi="宋体"/>
          <w:sz w:val="18"/>
          <w:szCs w:val="18"/>
        </w:rPr>
        <w:t>息收入</w:t>
      </w:r>
    </w:p>
    <w:p w14:paraId="34412852" w14:textId="2D8059E6" w:rsidR="002A3F99" w:rsidRPr="000056DA" w:rsidRDefault="002A3F99" w:rsidP="002A3F99">
      <w:pPr>
        <w:jc w:val="right"/>
        <w:divId w:val="937834426"/>
        <w:rPr>
          <w:rFonts w:ascii="宋体" w:hAnsi="宋体" w:hint="eastAsia"/>
          <w:sz w:val="18"/>
          <w:szCs w:val="18"/>
        </w:rPr>
      </w:pPr>
      <w:r>
        <w:rPr>
          <w:rFonts w:ascii="宋体" w:hAnsi="宋体" w:hint="eastAsia"/>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1803"/>
        <w:gridCol w:w="2455"/>
        <w:gridCol w:w="2522"/>
      </w:tblGrid>
      <w:tr w:rsidR="003137C2" w:rsidRPr="0094275C" w14:paraId="1A5A72AB" w14:textId="77777777" w:rsidTr="003137C2">
        <w:trPr>
          <w:divId w:val="937834426"/>
          <w:trHeight w:val="340"/>
          <w:tblHeader/>
        </w:trPr>
        <w:tc>
          <w:tcPr>
            <w:tcW w:w="1559" w:type="pct"/>
            <w:vAlign w:val="center"/>
          </w:tcPr>
          <w:p w14:paraId="16B2DA43" w14:textId="77777777" w:rsidR="003137C2" w:rsidRPr="000056DA" w:rsidRDefault="003137C2" w:rsidP="0094275C">
            <w:pPr>
              <w:autoSpaceDE w:val="0"/>
              <w:autoSpaceDN w:val="0"/>
              <w:adjustRightInd w:val="0"/>
              <w:jc w:val="center"/>
              <w:rPr>
                <w:sz w:val="18"/>
                <w:szCs w:val="18"/>
              </w:rPr>
            </w:pPr>
            <w:r w:rsidRPr="000056DA">
              <w:rPr>
                <w:kern w:val="0"/>
                <w:sz w:val="18"/>
                <w:szCs w:val="18"/>
              </w:rPr>
              <w:t>关联方</w:t>
            </w:r>
          </w:p>
        </w:tc>
        <w:tc>
          <w:tcPr>
            <w:tcW w:w="914" w:type="pct"/>
            <w:vAlign w:val="center"/>
          </w:tcPr>
          <w:p w14:paraId="666BE9E5" w14:textId="77777777" w:rsidR="003137C2" w:rsidRPr="000056DA" w:rsidRDefault="003137C2" w:rsidP="0094275C">
            <w:pPr>
              <w:autoSpaceDE w:val="0"/>
              <w:autoSpaceDN w:val="0"/>
              <w:adjustRightInd w:val="0"/>
              <w:jc w:val="center"/>
              <w:rPr>
                <w:sz w:val="18"/>
                <w:szCs w:val="18"/>
              </w:rPr>
            </w:pPr>
            <w:r w:rsidRPr="000056DA">
              <w:rPr>
                <w:sz w:val="18"/>
                <w:szCs w:val="18"/>
              </w:rPr>
              <w:t>关联交易内容</w:t>
            </w:r>
          </w:p>
        </w:tc>
        <w:tc>
          <w:tcPr>
            <w:tcW w:w="1245" w:type="pct"/>
            <w:vAlign w:val="center"/>
          </w:tcPr>
          <w:p w14:paraId="54F8E0D0" w14:textId="77777777" w:rsidR="003137C2" w:rsidRPr="000056DA" w:rsidRDefault="003137C2" w:rsidP="0094275C">
            <w:pPr>
              <w:autoSpaceDE w:val="0"/>
              <w:autoSpaceDN w:val="0"/>
              <w:adjustRightInd w:val="0"/>
              <w:jc w:val="center"/>
              <w:rPr>
                <w:sz w:val="18"/>
                <w:szCs w:val="18"/>
              </w:rPr>
            </w:pPr>
            <w:r w:rsidRPr="000056DA">
              <w:rPr>
                <w:kern w:val="0"/>
                <w:sz w:val="18"/>
                <w:szCs w:val="18"/>
              </w:rPr>
              <w:t>本年发生额</w:t>
            </w:r>
          </w:p>
        </w:tc>
        <w:tc>
          <w:tcPr>
            <w:tcW w:w="1279" w:type="pct"/>
            <w:vAlign w:val="center"/>
          </w:tcPr>
          <w:p w14:paraId="6AD5779B" w14:textId="77777777" w:rsidR="003137C2" w:rsidRPr="000056DA" w:rsidRDefault="003137C2" w:rsidP="0094275C">
            <w:pPr>
              <w:autoSpaceDE w:val="0"/>
              <w:autoSpaceDN w:val="0"/>
              <w:adjustRightInd w:val="0"/>
              <w:jc w:val="center"/>
              <w:rPr>
                <w:sz w:val="18"/>
                <w:szCs w:val="18"/>
              </w:rPr>
            </w:pPr>
            <w:r w:rsidRPr="000056DA">
              <w:rPr>
                <w:kern w:val="0"/>
                <w:sz w:val="18"/>
                <w:szCs w:val="18"/>
              </w:rPr>
              <w:t>上年发生额</w:t>
            </w:r>
          </w:p>
        </w:tc>
      </w:tr>
      <w:tr w:rsidR="003137C2" w:rsidRPr="0094275C" w14:paraId="1AE3DC5C" w14:textId="77777777" w:rsidTr="003137C2">
        <w:trPr>
          <w:divId w:val="937834426"/>
          <w:trHeight w:val="340"/>
        </w:trPr>
        <w:tc>
          <w:tcPr>
            <w:tcW w:w="1559" w:type="pct"/>
            <w:noWrap/>
            <w:vAlign w:val="center"/>
          </w:tcPr>
          <w:p w14:paraId="1AEDB941" w14:textId="77777777" w:rsidR="003137C2" w:rsidRPr="000056DA" w:rsidRDefault="003137C2" w:rsidP="0094275C">
            <w:pPr>
              <w:autoSpaceDE w:val="0"/>
              <w:autoSpaceDN w:val="0"/>
              <w:adjustRightInd w:val="0"/>
              <w:rPr>
                <w:sz w:val="18"/>
                <w:szCs w:val="18"/>
              </w:rPr>
            </w:pPr>
            <w:r w:rsidRPr="000056DA">
              <w:rPr>
                <w:kern w:val="0"/>
                <w:sz w:val="18"/>
                <w:szCs w:val="18"/>
              </w:rPr>
              <w:t>达州银行股份有限公司</w:t>
            </w:r>
          </w:p>
        </w:tc>
        <w:tc>
          <w:tcPr>
            <w:tcW w:w="914" w:type="pct"/>
            <w:noWrap/>
            <w:vAlign w:val="center"/>
          </w:tcPr>
          <w:p w14:paraId="2CE8AFC2" w14:textId="77777777" w:rsidR="003137C2" w:rsidRPr="000056DA" w:rsidRDefault="003137C2" w:rsidP="0094275C">
            <w:pPr>
              <w:autoSpaceDE w:val="0"/>
              <w:autoSpaceDN w:val="0"/>
              <w:adjustRightInd w:val="0"/>
              <w:jc w:val="center"/>
              <w:rPr>
                <w:sz w:val="18"/>
                <w:szCs w:val="18"/>
              </w:rPr>
            </w:pPr>
            <w:r w:rsidRPr="000056DA">
              <w:rPr>
                <w:kern w:val="0"/>
                <w:sz w:val="18"/>
                <w:szCs w:val="18"/>
              </w:rPr>
              <w:t>利息收入</w:t>
            </w:r>
          </w:p>
        </w:tc>
        <w:tc>
          <w:tcPr>
            <w:tcW w:w="1245" w:type="pct"/>
            <w:shd w:val="clear" w:color="auto" w:fill="auto"/>
            <w:noWrap/>
            <w:vAlign w:val="center"/>
          </w:tcPr>
          <w:p w14:paraId="75AB6157" w14:textId="77777777" w:rsidR="003137C2" w:rsidRPr="0094275C" w:rsidRDefault="003137C2" w:rsidP="0094275C">
            <w:pPr>
              <w:widowControl/>
              <w:jc w:val="right"/>
              <w:textAlignment w:val="center"/>
              <w:rPr>
                <w:rFonts w:cs="Times New Roman"/>
                <w:color w:val="000000"/>
                <w:sz w:val="18"/>
                <w:szCs w:val="18"/>
              </w:rPr>
            </w:pPr>
            <w:r w:rsidRPr="0094275C">
              <w:rPr>
                <w:rFonts w:cs="Times New Roman"/>
                <w:color w:val="000000"/>
                <w:kern w:val="0"/>
                <w:sz w:val="18"/>
                <w:szCs w:val="18"/>
                <w:lang w:bidi="ar"/>
              </w:rPr>
              <w:t xml:space="preserve"> 7,895,700.07 </w:t>
            </w:r>
          </w:p>
        </w:tc>
        <w:tc>
          <w:tcPr>
            <w:tcW w:w="1279" w:type="pct"/>
            <w:shd w:val="clear" w:color="auto" w:fill="auto"/>
            <w:noWrap/>
            <w:vAlign w:val="center"/>
          </w:tcPr>
          <w:p w14:paraId="4AC24BD4" w14:textId="77777777" w:rsidR="003137C2" w:rsidRPr="0094275C" w:rsidRDefault="003137C2" w:rsidP="0094275C">
            <w:pPr>
              <w:widowControl/>
              <w:jc w:val="right"/>
              <w:textAlignment w:val="center"/>
              <w:rPr>
                <w:rFonts w:cs="Times New Roman"/>
                <w:color w:val="000000"/>
                <w:sz w:val="18"/>
                <w:szCs w:val="18"/>
              </w:rPr>
            </w:pPr>
            <w:r w:rsidRPr="0094275C">
              <w:rPr>
                <w:rFonts w:cs="Times New Roman"/>
                <w:color w:val="000000"/>
                <w:kern w:val="0"/>
                <w:sz w:val="18"/>
                <w:szCs w:val="18"/>
                <w:lang w:bidi="ar"/>
              </w:rPr>
              <w:t xml:space="preserve"> 12,740,839.95 </w:t>
            </w:r>
          </w:p>
        </w:tc>
      </w:tr>
    </w:tbl>
    <w:p w14:paraId="2893943A" w14:textId="77777777" w:rsidR="007B3DB2" w:rsidRPr="0063248C" w:rsidRDefault="00000000">
      <w:pPr>
        <w:pStyle w:val="3"/>
        <w:spacing w:line="280" w:lineRule="exact"/>
        <w:jc w:val="left"/>
        <w:rPr>
          <w:rFonts w:cs="宋体"/>
          <w:b/>
          <w:bCs/>
        </w:rPr>
      </w:pPr>
      <w:bookmarkStart w:id="480" w:name="_Toc989374"/>
      <w:r w:rsidRPr="0063248C">
        <w:rPr>
          <w:rFonts w:cs="宋体"/>
          <w:b/>
          <w:bCs/>
        </w:rPr>
        <w:t>6</w:t>
      </w:r>
      <w:r w:rsidRPr="0063248C">
        <w:rPr>
          <w:rFonts w:cs="宋体"/>
          <w:b/>
          <w:bCs/>
        </w:rPr>
        <w:t>、关联方应收应付款项</w:t>
      </w:r>
      <w:bookmarkEnd w:id="480"/>
    </w:p>
    <w:p w14:paraId="40AA3BF4" w14:textId="77777777" w:rsidR="007B3DB2" w:rsidRPr="0063248C" w:rsidRDefault="00000000">
      <w:pPr>
        <w:keepNext/>
        <w:keepLines/>
        <w:spacing w:before="300" w:after="300" w:line="280" w:lineRule="exact"/>
        <w:outlineLvl w:val="3"/>
        <w:rPr>
          <w:rFonts w:cs="宋体"/>
          <w:b/>
          <w:bCs/>
          <w:szCs w:val="21"/>
        </w:rPr>
      </w:pPr>
      <w:bookmarkStart w:id="481" w:name="_Toc989375"/>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应收项目</w:t>
      </w:r>
      <w:bookmarkEnd w:id="481"/>
    </w:p>
    <w:p w14:paraId="5DCAD309"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607"/>
        <w:gridCol w:w="1606"/>
        <w:gridCol w:w="1607"/>
      </w:tblGrid>
      <w:tr w:rsidR="007B3DB2" w:rsidRPr="0063248C" w14:paraId="641D25EC"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90EE07A"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AC68ADA" w14:textId="77777777" w:rsidR="007B3DB2" w:rsidRPr="0063248C" w:rsidRDefault="00000000">
            <w:pPr>
              <w:spacing w:before="40" w:after="40" w:line="240" w:lineRule="exact"/>
              <w:jc w:val="center"/>
              <w:rPr>
                <w:rFonts w:cs="宋体"/>
                <w:sz w:val="18"/>
                <w:szCs w:val="18"/>
              </w:rPr>
            </w:pPr>
            <w:r w:rsidRPr="0063248C">
              <w:rPr>
                <w:rFonts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DC9A191"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B47FF6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6037ED5D" w14:textId="7777777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D44A7F9" w14:textId="77777777" w:rsidR="007B3DB2" w:rsidRPr="0063248C" w:rsidRDefault="007B3DB2"/>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ECE21B" w14:textId="77777777" w:rsidR="007B3DB2" w:rsidRPr="0063248C" w:rsidRDefault="007B3DB2"/>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3AB202A"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6FDDCDA"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40E58C2"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56FE1D7"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r>
      <w:tr w:rsidR="007B3DB2" w:rsidRPr="0063248C" w14:paraId="3851D431"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C99F727" w14:textId="77777777" w:rsidR="007B3DB2" w:rsidRPr="0063248C" w:rsidRDefault="00000000">
            <w:pPr>
              <w:spacing w:line="240" w:lineRule="exact"/>
              <w:rPr>
                <w:rFonts w:cs="宋体"/>
                <w:sz w:val="18"/>
                <w:szCs w:val="18"/>
              </w:rPr>
            </w:pPr>
            <w:r w:rsidRPr="0063248C">
              <w:rPr>
                <w:rFonts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14:paraId="19AB825D" w14:textId="77777777" w:rsidR="007B3DB2" w:rsidRPr="0063248C" w:rsidRDefault="00000000">
            <w:pPr>
              <w:spacing w:line="240" w:lineRule="exact"/>
              <w:rPr>
                <w:rFonts w:cs="宋体"/>
                <w:sz w:val="18"/>
                <w:szCs w:val="18"/>
              </w:rPr>
            </w:pPr>
            <w:r w:rsidRPr="0063248C">
              <w:rPr>
                <w:rFonts w:cs="宋体"/>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3B4F28A" w14:textId="77777777" w:rsidR="007B3DB2" w:rsidRPr="0063248C" w:rsidRDefault="00000000">
            <w:pPr>
              <w:spacing w:line="240" w:lineRule="exact"/>
              <w:jc w:val="right"/>
              <w:rPr>
                <w:rFonts w:cs="宋体"/>
                <w:sz w:val="18"/>
                <w:szCs w:val="18"/>
              </w:rPr>
            </w:pPr>
            <w:r w:rsidRPr="0063248C">
              <w:rPr>
                <w:rFonts w:cs="宋体"/>
                <w:sz w:val="18"/>
                <w:szCs w:val="18"/>
              </w:rPr>
              <w:t>86,575.32</w:t>
            </w:r>
          </w:p>
        </w:tc>
        <w:tc>
          <w:tcPr>
            <w:tcW w:w="1606" w:type="dxa"/>
            <w:tcBorders>
              <w:top w:val="single" w:sz="2" w:space="0" w:color="auto"/>
              <w:left w:val="single" w:sz="2" w:space="0" w:color="auto"/>
              <w:bottom w:val="single" w:sz="2" w:space="0" w:color="auto"/>
              <w:right w:val="single" w:sz="2" w:space="0" w:color="auto"/>
            </w:tcBorders>
            <w:vAlign w:val="center"/>
          </w:tcPr>
          <w:p w14:paraId="2FC98049" w14:textId="77777777" w:rsidR="007B3DB2" w:rsidRPr="0063248C" w:rsidRDefault="00000000">
            <w:pPr>
              <w:spacing w:line="240" w:lineRule="exact"/>
              <w:jc w:val="right"/>
              <w:rPr>
                <w:rFonts w:cs="宋体"/>
                <w:sz w:val="18"/>
                <w:szCs w:val="18"/>
              </w:rPr>
            </w:pPr>
            <w:r w:rsidRPr="0063248C">
              <w:rPr>
                <w:rFonts w:cs="宋体"/>
                <w:sz w:val="18"/>
                <w:szCs w:val="18"/>
              </w:rPr>
              <w:t>29,607.66</w:t>
            </w:r>
          </w:p>
        </w:tc>
        <w:tc>
          <w:tcPr>
            <w:tcW w:w="1606" w:type="dxa"/>
            <w:tcBorders>
              <w:top w:val="single" w:sz="2" w:space="0" w:color="auto"/>
              <w:left w:val="single" w:sz="2" w:space="0" w:color="auto"/>
              <w:bottom w:val="single" w:sz="2" w:space="0" w:color="auto"/>
              <w:right w:val="single" w:sz="2" w:space="0" w:color="auto"/>
            </w:tcBorders>
            <w:vAlign w:val="center"/>
          </w:tcPr>
          <w:p w14:paraId="604B366D" w14:textId="62C5326F" w:rsidR="007B3DB2" w:rsidRPr="0063248C" w:rsidRDefault="00000000">
            <w:pPr>
              <w:spacing w:line="240" w:lineRule="exact"/>
              <w:jc w:val="right"/>
              <w:rPr>
                <w:rFonts w:cs="宋体"/>
                <w:sz w:val="18"/>
                <w:szCs w:val="18"/>
              </w:rPr>
            </w:pPr>
            <w:r w:rsidRPr="0063248C">
              <w:rPr>
                <w:rFonts w:cs="宋体"/>
                <w:sz w:val="18"/>
                <w:szCs w:val="18"/>
              </w:rPr>
              <w:t>8</w:t>
            </w:r>
            <w:r w:rsidR="003137C2">
              <w:rPr>
                <w:rFonts w:cs="宋体" w:hint="eastAsia"/>
                <w:sz w:val="18"/>
                <w:szCs w:val="18"/>
              </w:rPr>
              <w:t>6</w:t>
            </w:r>
            <w:r w:rsidRPr="0063248C">
              <w:rPr>
                <w:rFonts w:cs="宋体"/>
                <w:sz w:val="18"/>
                <w:szCs w:val="18"/>
              </w:rPr>
              <w:t>,575.32</w:t>
            </w:r>
          </w:p>
        </w:tc>
        <w:tc>
          <w:tcPr>
            <w:tcW w:w="1606" w:type="dxa"/>
            <w:tcBorders>
              <w:top w:val="single" w:sz="2" w:space="0" w:color="auto"/>
              <w:left w:val="single" w:sz="2" w:space="0" w:color="auto"/>
              <w:bottom w:val="single" w:sz="2" w:space="0" w:color="auto"/>
              <w:right w:val="single" w:sz="2" w:space="0" w:color="auto"/>
            </w:tcBorders>
            <w:vAlign w:val="center"/>
          </w:tcPr>
          <w:p w14:paraId="4073DF7F" w14:textId="77777777" w:rsidR="007B3DB2" w:rsidRPr="0063248C" w:rsidRDefault="00000000">
            <w:pPr>
              <w:spacing w:line="240" w:lineRule="exact"/>
              <w:jc w:val="right"/>
              <w:rPr>
                <w:rFonts w:cs="宋体"/>
                <w:sz w:val="18"/>
                <w:szCs w:val="18"/>
              </w:rPr>
            </w:pPr>
            <w:r w:rsidRPr="0063248C">
              <w:rPr>
                <w:rFonts w:cs="宋体"/>
                <w:sz w:val="18"/>
                <w:szCs w:val="18"/>
              </w:rPr>
              <w:t>35,876.85</w:t>
            </w:r>
          </w:p>
        </w:tc>
      </w:tr>
      <w:tr w:rsidR="007B3DB2" w:rsidRPr="0063248C" w14:paraId="05E0370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6463976" w14:textId="77777777" w:rsidR="007B3DB2" w:rsidRPr="0063248C" w:rsidRDefault="00000000">
            <w:pPr>
              <w:spacing w:line="240" w:lineRule="exact"/>
              <w:rPr>
                <w:rFonts w:cs="宋体"/>
                <w:sz w:val="18"/>
                <w:szCs w:val="18"/>
              </w:rPr>
            </w:pPr>
            <w:r w:rsidRPr="0063248C">
              <w:rPr>
                <w:rFonts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14:paraId="3F173FA8" w14:textId="77777777" w:rsidR="007B3DB2" w:rsidRPr="0063248C" w:rsidRDefault="00000000">
            <w:pPr>
              <w:spacing w:line="240" w:lineRule="exact"/>
              <w:rPr>
                <w:rFonts w:cs="宋体"/>
                <w:sz w:val="18"/>
                <w:szCs w:val="18"/>
              </w:rPr>
            </w:pPr>
            <w:r w:rsidRPr="0063248C">
              <w:rPr>
                <w:rFonts w:cs="宋体"/>
                <w:sz w:val="18"/>
                <w:szCs w:val="18"/>
              </w:rPr>
              <w:t>宣威市鼎宏食品有限公司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79F1D70F" w14:textId="77777777" w:rsidR="007B3DB2" w:rsidRPr="0063248C" w:rsidRDefault="00000000">
            <w:pPr>
              <w:spacing w:line="240" w:lineRule="exact"/>
              <w:jc w:val="right"/>
              <w:rPr>
                <w:rFonts w:cs="宋体"/>
                <w:sz w:val="18"/>
                <w:szCs w:val="18"/>
              </w:rPr>
            </w:pPr>
            <w:r w:rsidRPr="0063248C">
              <w:rPr>
                <w:rFonts w:cs="宋体"/>
                <w:sz w:val="18"/>
                <w:szCs w:val="18"/>
              </w:rPr>
              <w:t>2,870,000.00</w:t>
            </w:r>
          </w:p>
        </w:tc>
        <w:tc>
          <w:tcPr>
            <w:tcW w:w="1606" w:type="dxa"/>
            <w:tcBorders>
              <w:top w:val="single" w:sz="2" w:space="0" w:color="auto"/>
              <w:left w:val="single" w:sz="2" w:space="0" w:color="auto"/>
              <w:bottom w:val="single" w:sz="2" w:space="0" w:color="auto"/>
              <w:right w:val="single" w:sz="2" w:space="0" w:color="auto"/>
            </w:tcBorders>
            <w:vAlign w:val="center"/>
          </w:tcPr>
          <w:p w14:paraId="4DD46225" w14:textId="77777777" w:rsidR="007B3DB2" w:rsidRPr="0063248C" w:rsidRDefault="00000000">
            <w:pPr>
              <w:spacing w:line="240" w:lineRule="exact"/>
              <w:jc w:val="right"/>
              <w:rPr>
                <w:rFonts w:cs="宋体"/>
                <w:sz w:val="18"/>
                <w:szCs w:val="18"/>
              </w:rPr>
            </w:pPr>
            <w:r w:rsidRPr="0063248C">
              <w:rPr>
                <w:rFonts w:cs="宋体"/>
                <w:sz w:val="18"/>
                <w:szCs w:val="18"/>
              </w:rPr>
              <w:t>2,296,000.00</w:t>
            </w:r>
          </w:p>
        </w:tc>
        <w:tc>
          <w:tcPr>
            <w:tcW w:w="1606" w:type="dxa"/>
            <w:tcBorders>
              <w:top w:val="single" w:sz="2" w:space="0" w:color="auto"/>
              <w:left w:val="single" w:sz="2" w:space="0" w:color="auto"/>
              <w:bottom w:val="single" w:sz="2" w:space="0" w:color="auto"/>
              <w:right w:val="single" w:sz="2" w:space="0" w:color="auto"/>
            </w:tcBorders>
            <w:vAlign w:val="center"/>
          </w:tcPr>
          <w:p w14:paraId="67C5FD7B" w14:textId="77777777" w:rsidR="007B3DB2" w:rsidRPr="0063248C" w:rsidRDefault="00000000">
            <w:pPr>
              <w:spacing w:line="240" w:lineRule="exact"/>
              <w:jc w:val="right"/>
              <w:rPr>
                <w:rFonts w:cs="宋体"/>
                <w:sz w:val="18"/>
                <w:szCs w:val="18"/>
              </w:rPr>
            </w:pPr>
            <w:r w:rsidRPr="0063248C">
              <w:rPr>
                <w:rFonts w:cs="宋体"/>
                <w:sz w:val="18"/>
                <w:szCs w:val="18"/>
              </w:rPr>
              <w:t>2,870,000.00</w:t>
            </w:r>
          </w:p>
        </w:tc>
        <w:tc>
          <w:tcPr>
            <w:tcW w:w="1606" w:type="dxa"/>
            <w:tcBorders>
              <w:top w:val="single" w:sz="2" w:space="0" w:color="auto"/>
              <w:left w:val="single" w:sz="2" w:space="0" w:color="auto"/>
              <w:bottom w:val="single" w:sz="2" w:space="0" w:color="auto"/>
              <w:right w:val="single" w:sz="2" w:space="0" w:color="auto"/>
            </w:tcBorders>
            <w:vAlign w:val="center"/>
          </w:tcPr>
          <w:p w14:paraId="319A41EF" w14:textId="77777777" w:rsidR="007B3DB2" w:rsidRPr="0063248C" w:rsidRDefault="00000000">
            <w:pPr>
              <w:spacing w:line="240" w:lineRule="exact"/>
              <w:jc w:val="right"/>
              <w:rPr>
                <w:rFonts w:cs="宋体"/>
                <w:sz w:val="18"/>
                <w:szCs w:val="18"/>
              </w:rPr>
            </w:pPr>
            <w:r w:rsidRPr="0063248C">
              <w:rPr>
                <w:rFonts w:cs="宋体"/>
                <w:sz w:val="18"/>
                <w:szCs w:val="18"/>
              </w:rPr>
              <w:t>2,296,000.00</w:t>
            </w:r>
          </w:p>
        </w:tc>
      </w:tr>
      <w:tr w:rsidR="007B3DB2" w:rsidRPr="0063248C" w14:paraId="02DB8F6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5ABF325" w14:textId="77777777" w:rsidR="007B3DB2" w:rsidRPr="0063248C" w:rsidRDefault="00000000">
            <w:pPr>
              <w:spacing w:line="240" w:lineRule="exact"/>
              <w:rPr>
                <w:rFonts w:cs="宋体"/>
                <w:sz w:val="18"/>
                <w:szCs w:val="18"/>
              </w:rPr>
            </w:pPr>
            <w:r w:rsidRPr="0063248C">
              <w:rPr>
                <w:rFonts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309B7FA0" w14:textId="77777777" w:rsidR="007B3DB2" w:rsidRPr="0063248C" w:rsidRDefault="00000000">
            <w:pPr>
              <w:spacing w:line="240" w:lineRule="exact"/>
              <w:rPr>
                <w:rFonts w:cs="宋体"/>
                <w:sz w:val="18"/>
                <w:szCs w:val="18"/>
              </w:rPr>
            </w:pPr>
            <w:proofErr w:type="gramStart"/>
            <w:r w:rsidRPr="0063248C">
              <w:rPr>
                <w:rFonts w:cs="宋体"/>
                <w:sz w:val="18"/>
                <w:szCs w:val="18"/>
              </w:rPr>
              <w:t>牧原食品</w:t>
            </w:r>
            <w:proofErr w:type="gramEnd"/>
            <w:r w:rsidRPr="0063248C">
              <w:rPr>
                <w:rFonts w:cs="宋体"/>
                <w:sz w:val="18"/>
                <w:szCs w:val="18"/>
              </w:rPr>
              <w:t>股份有限公司（集团）</w:t>
            </w:r>
          </w:p>
        </w:tc>
        <w:tc>
          <w:tcPr>
            <w:tcW w:w="1606" w:type="dxa"/>
            <w:tcBorders>
              <w:top w:val="single" w:sz="2" w:space="0" w:color="auto"/>
              <w:left w:val="single" w:sz="2" w:space="0" w:color="auto"/>
              <w:bottom w:val="single" w:sz="2" w:space="0" w:color="auto"/>
              <w:right w:val="single" w:sz="2" w:space="0" w:color="auto"/>
            </w:tcBorders>
            <w:vAlign w:val="center"/>
          </w:tcPr>
          <w:p w14:paraId="587BE4E8" w14:textId="77777777" w:rsidR="007B3DB2" w:rsidRPr="0063248C" w:rsidRDefault="00000000">
            <w:pPr>
              <w:spacing w:line="240" w:lineRule="exact"/>
              <w:jc w:val="right"/>
              <w:rPr>
                <w:rFonts w:cs="宋体"/>
                <w:sz w:val="18"/>
                <w:szCs w:val="18"/>
              </w:rPr>
            </w:pPr>
            <w:r w:rsidRPr="0063248C">
              <w:rPr>
                <w:rFonts w:cs="宋体"/>
                <w:sz w:val="18"/>
                <w:szCs w:val="18"/>
              </w:rPr>
              <w:t>1,686,867.15</w:t>
            </w:r>
          </w:p>
        </w:tc>
        <w:tc>
          <w:tcPr>
            <w:tcW w:w="1606" w:type="dxa"/>
            <w:tcBorders>
              <w:top w:val="single" w:sz="2" w:space="0" w:color="auto"/>
              <w:left w:val="single" w:sz="2" w:space="0" w:color="auto"/>
              <w:bottom w:val="single" w:sz="2" w:space="0" w:color="auto"/>
              <w:right w:val="single" w:sz="2" w:space="0" w:color="auto"/>
            </w:tcBorders>
            <w:vAlign w:val="center"/>
          </w:tcPr>
          <w:p w14:paraId="24097292"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97D2029" w14:textId="77777777" w:rsidR="007B3DB2" w:rsidRPr="0063248C" w:rsidRDefault="00000000">
            <w:pPr>
              <w:spacing w:line="240" w:lineRule="exact"/>
              <w:jc w:val="right"/>
              <w:rPr>
                <w:rFonts w:cs="宋体"/>
                <w:sz w:val="18"/>
                <w:szCs w:val="18"/>
              </w:rPr>
            </w:pPr>
            <w:r w:rsidRPr="0063248C">
              <w:rPr>
                <w:rFonts w:cs="宋体"/>
                <w:sz w:val="18"/>
                <w:szCs w:val="18"/>
              </w:rPr>
              <w:t>1,998,216.64</w:t>
            </w:r>
          </w:p>
        </w:tc>
        <w:tc>
          <w:tcPr>
            <w:tcW w:w="1606" w:type="dxa"/>
            <w:tcBorders>
              <w:top w:val="single" w:sz="2" w:space="0" w:color="auto"/>
              <w:left w:val="single" w:sz="2" w:space="0" w:color="auto"/>
              <w:bottom w:val="single" w:sz="2" w:space="0" w:color="auto"/>
              <w:right w:val="single" w:sz="2" w:space="0" w:color="auto"/>
            </w:tcBorders>
            <w:vAlign w:val="center"/>
          </w:tcPr>
          <w:p w14:paraId="7047858E" w14:textId="77777777" w:rsidR="007B3DB2" w:rsidRPr="0063248C" w:rsidRDefault="007B3DB2">
            <w:pPr>
              <w:spacing w:line="240" w:lineRule="exact"/>
              <w:jc w:val="right"/>
              <w:rPr>
                <w:rFonts w:cs="宋体"/>
                <w:sz w:val="18"/>
                <w:szCs w:val="18"/>
              </w:rPr>
            </w:pPr>
          </w:p>
        </w:tc>
      </w:tr>
      <w:tr w:rsidR="007B3DB2" w:rsidRPr="0063248C" w14:paraId="5B7E632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C19FF5F" w14:textId="77777777" w:rsidR="007B3DB2" w:rsidRPr="0063248C" w:rsidRDefault="00000000">
            <w:pPr>
              <w:spacing w:line="240" w:lineRule="exact"/>
              <w:rPr>
                <w:rFonts w:cs="宋体"/>
                <w:sz w:val="18"/>
                <w:szCs w:val="18"/>
              </w:rPr>
            </w:pPr>
            <w:r w:rsidRPr="0063248C">
              <w:rPr>
                <w:rFonts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4C66B0E3" w14:textId="77777777" w:rsidR="007B3DB2" w:rsidRPr="0063248C" w:rsidRDefault="00000000">
            <w:pPr>
              <w:spacing w:line="240" w:lineRule="exact"/>
              <w:rPr>
                <w:rFonts w:cs="宋体"/>
                <w:sz w:val="18"/>
                <w:szCs w:val="18"/>
              </w:rPr>
            </w:pPr>
            <w:r w:rsidRPr="0063248C">
              <w:rPr>
                <w:rFonts w:cs="宋体"/>
                <w:sz w:val="18"/>
                <w:szCs w:val="18"/>
              </w:rPr>
              <w:t>青岛优尼特</w:t>
            </w:r>
            <w:proofErr w:type="gramStart"/>
            <w:r w:rsidRPr="0063248C">
              <w:rPr>
                <w:rFonts w:cs="宋体"/>
                <w:sz w:val="18"/>
                <w:szCs w:val="18"/>
              </w:rPr>
              <w:t>尚品食品</w:t>
            </w:r>
            <w:proofErr w:type="gramEnd"/>
            <w:r w:rsidRPr="0063248C">
              <w:rPr>
                <w:rFonts w:cs="宋体"/>
                <w:sz w:val="18"/>
                <w:szCs w:val="18"/>
              </w:rPr>
              <w:t>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A9CC8FD" w14:textId="77777777" w:rsidR="007B3DB2" w:rsidRPr="0063248C" w:rsidRDefault="00000000">
            <w:pPr>
              <w:spacing w:line="240" w:lineRule="exact"/>
              <w:jc w:val="right"/>
              <w:rPr>
                <w:rFonts w:cs="宋体"/>
                <w:sz w:val="18"/>
                <w:szCs w:val="18"/>
              </w:rPr>
            </w:pPr>
            <w:r w:rsidRPr="0063248C">
              <w:rPr>
                <w:rFonts w:cs="宋体"/>
                <w:sz w:val="18"/>
                <w:szCs w:val="18"/>
              </w:rPr>
              <w:t>9,000.00</w:t>
            </w:r>
          </w:p>
        </w:tc>
        <w:tc>
          <w:tcPr>
            <w:tcW w:w="1606" w:type="dxa"/>
            <w:tcBorders>
              <w:top w:val="single" w:sz="2" w:space="0" w:color="auto"/>
              <w:left w:val="single" w:sz="2" w:space="0" w:color="auto"/>
              <w:bottom w:val="single" w:sz="2" w:space="0" w:color="auto"/>
              <w:right w:val="single" w:sz="2" w:space="0" w:color="auto"/>
            </w:tcBorders>
            <w:vAlign w:val="center"/>
          </w:tcPr>
          <w:p w14:paraId="0BD74132"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BECBFE1"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489F4BB" w14:textId="77777777" w:rsidR="007B3DB2" w:rsidRPr="0063248C" w:rsidRDefault="007B3DB2">
            <w:pPr>
              <w:spacing w:line="240" w:lineRule="exact"/>
              <w:jc w:val="right"/>
              <w:rPr>
                <w:rFonts w:cs="宋体"/>
                <w:sz w:val="18"/>
                <w:szCs w:val="18"/>
              </w:rPr>
            </w:pPr>
          </w:p>
        </w:tc>
      </w:tr>
      <w:tr w:rsidR="007B3DB2" w:rsidRPr="0063248C" w14:paraId="73584118"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AAFACDC" w14:textId="77777777" w:rsidR="007B3DB2" w:rsidRPr="0063248C" w:rsidRDefault="00000000">
            <w:pPr>
              <w:spacing w:line="240" w:lineRule="exact"/>
              <w:rPr>
                <w:rFonts w:cs="宋体"/>
                <w:sz w:val="18"/>
                <w:szCs w:val="18"/>
              </w:rPr>
            </w:pPr>
            <w:r w:rsidRPr="0063248C">
              <w:rPr>
                <w:rFonts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608742E5" w14:textId="77777777" w:rsidR="007B3DB2" w:rsidRPr="0063248C" w:rsidRDefault="00000000">
            <w:pPr>
              <w:spacing w:line="240" w:lineRule="exact"/>
              <w:rPr>
                <w:rFonts w:cs="宋体"/>
                <w:sz w:val="18"/>
                <w:szCs w:val="18"/>
              </w:rPr>
            </w:pPr>
            <w:r w:rsidRPr="0063248C">
              <w:rPr>
                <w:rFonts w:cs="宋体"/>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01E3644" w14:textId="77777777" w:rsidR="007B3DB2" w:rsidRPr="0063248C" w:rsidRDefault="00000000">
            <w:pPr>
              <w:spacing w:line="240" w:lineRule="exact"/>
              <w:jc w:val="right"/>
              <w:rPr>
                <w:rFonts w:cs="宋体"/>
                <w:sz w:val="18"/>
                <w:szCs w:val="18"/>
              </w:rPr>
            </w:pPr>
            <w:r w:rsidRPr="0063248C">
              <w:rPr>
                <w:rFonts w:cs="宋体"/>
                <w:sz w:val="18"/>
                <w:szCs w:val="18"/>
              </w:rPr>
              <w:t>20,000.00</w:t>
            </w:r>
          </w:p>
        </w:tc>
        <w:tc>
          <w:tcPr>
            <w:tcW w:w="1606" w:type="dxa"/>
            <w:tcBorders>
              <w:top w:val="single" w:sz="2" w:space="0" w:color="auto"/>
              <w:left w:val="single" w:sz="2" w:space="0" w:color="auto"/>
              <w:bottom w:val="single" w:sz="2" w:space="0" w:color="auto"/>
              <w:right w:val="single" w:sz="2" w:space="0" w:color="auto"/>
            </w:tcBorders>
            <w:vAlign w:val="center"/>
          </w:tcPr>
          <w:p w14:paraId="621497D5"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B11AB02" w14:textId="77777777" w:rsidR="007B3DB2" w:rsidRPr="0063248C" w:rsidRDefault="00000000">
            <w:pPr>
              <w:spacing w:line="240" w:lineRule="exact"/>
              <w:jc w:val="right"/>
              <w:rPr>
                <w:rFonts w:cs="宋体"/>
                <w:sz w:val="18"/>
                <w:szCs w:val="18"/>
              </w:rPr>
            </w:pPr>
            <w:r w:rsidRPr="0063248C">
              <w:rPr>
                <w:rFonts w:cs="宋体"/>
                <w:sz w:val="18"/>
                <w:szCs w:val="18"/>
              </w:rPr>
              <w:t>20,000.00</w:t>
            </w:r>
          </w:p>
        </w:tc>
        <w:tc>
          <w:tcPr>
            <w:tcW w:w="1606" w:type="dxa"/>
            <w:tcBorders>
              <w:top w:val="single" w:sz="2" w:space="0" w:color="auto"/>
              <w:left w:val="single" w:sz="2" w:space="0" w:color="auto"/>
              <w:bottom w:val="single" w:sz="2" w:space="0" w:color="auto"/>
              <w:right w:val="single" w:sz="2" w:space="0" w:color="auto"/>
            </w:tcBorders>
            <w:vAlign w:val="center"/>
          </w:tcPr>
          <w:p w14:paraId="7FDA4364" w14:textId="77777777" w:rsidR="007B3DB2" w:rsidRPr="0063248C" w:rsidRDefault="007B3DB2">
            <w:pPr>
              <w:spacing w:line="240" w:lineRule="exact"/>
              <w:jc w:val="right"/>
              <w:rPr>
                <w:rFonts w:cs="宋体"/>
                <w:sz w:val="18"/>
                <w:szCs w:val="18"/>
              </w:rPr>
            </w:pPr>
          </w:p>
        </w:tc>
      </w:tr>
      <w:tr w:rsidR="007B3DB2" w:rsidRPr="0063248C" w14:paraId="4060D78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BC639F8" w14:textId="77777777" w:rsidR="007B3DB2" w:rsidRPr="0063248C" w:rsidRDefault="00000000">
            <w:pPr>
              <w:spacing w:line="240" w:lineRule="exact"/>
              <w:rPr>
                <w:rFonts w:cs="宋体"/>
                <w:sz w:val="18"/>
                <w:szCs w:val="18"/>
              </w:rPr>
            </w:pPr>
            <w:r w:rsidRPr="0063248C">
              <w:rPr>
                <w:rFonts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1EAAA980" w14:textId="77777777" w:rsidR="007B3DB2" w:rsidRPr="0063248C" w:rsidRDefault="00000000">
            <w:pPr>
              <w:spacing w:line="240" w:lineRule="exact"/>
              <w:rPr>
                <w:rFonts w:cs="宋体"/>
                <w:sz w:val="18"/>
                <w:szCs w:val="18"/>
              </w:rPr>
            </w:pPr>
            <w:r w:rsidRPr="0063248C">
              <w:rPr>
                <w:rFonts w:cs="宋体"/>
                <w:sz w:val="18"/>
                <w:szCs w:val="18"/>
              </w:rPr>
              <w:t>青岛联合友和食品有限公司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4355524" w14:textId="77777777" w:rsidR="007B3DB2" w:rsidRPr="0063248C" w:rsidRDefault="00000000">
            <w:pPr>
              <w:spacing w:line="240" w:lineRule="exact"/>
              <w:jc w:val="right"/>
              <w:rPr>
                <w:rFonts w:cs="宋体"/>
                <w:sz w:val="18"/>
                <w:szCs w:val="18"/>
              </w:rPr>
            </w:pPr>
            <w:r w:rsidRPr="0063248C">
              <w:rPr>
                <w:rFonts w:cs="宋体"/>
                <w:sz w:val="18"/>
                <w:szCs w:val="18"/>
              </w:rPr>
              <w:t>1,304,137.69</w:t>
            </w:r>
          </w:p>
        </w:tc>
        <w:tc>
          <w:tcPr>
            <w:tcW w:w="1606" w:type="dxa"/>
            <w:tcBorders>
              <w:top w:val="single" w:sz="2" w:space="0" w:color="auto"/>
              <w:left w:val="single" w:sz="2" w:space="0" w:color="auto"/>
              <w:bottom w:val="single" w:sz="2" w:space="0" w:color="auto"/>
              <w:right w:val="single" w:sz="2" w:space="0" w:color="auto"/>
            </w:tcBorders>
            <w:vAlign w:val="center"/>
          </w:tcPr>
          <w:p w14:paraId="5D0FFE0C"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992067F"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21024CF" w14:textId="77777777" w:rsidR="007B3DB2" w:rsidRPr="0063248C" w:rsidRDefault="007B3DB2">
            <w:pPr>
              <w:spacing w:line="240" w:lineRule="exact"/>
              <w:jc w:val="right"/>
              <w:rPr>
                <w:rFonts w:cs="宋体"/>
                <w:sz w:val="18"/>
                <w:szCs w:val="18"/>
              </w:rPr>
            </w:pPr>
          </w:p>
        </w:tc>
      </w:tr>
      <w:tr w:rsidR="007B3DB2" w:rsidRPr="0063248C" w14:paraId="630D88B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E39A7C5" w14:textId="77777777" w:rsidR="007B3DB2" w:rsidRPr="0063248C" w:rsidRDefault="00000000">
            <w:pPr>
              <w:spacing w:line="240" w:lineRule="exact"/>
              <w:rPr>
                <w:rFonts w:cs="宋体"/>
                <w:sz w:val="18"/>
                <w:szCs w:val="18"/>
              </w:rPr>
            </w:pPr>
            <w:r w:rsidRPr="0063248C">
              <w:rPr>
                <w:rFonts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14:paraId="64E60ADA" w14:textId="77777777" w:rsidR="007B3DB2" w:rsidRPr="0063248C" w:rsidRDefault="00000000">
            <w:pPr>
              <w:spacing w:line="240" w:lineRule="exact"/>
              <w:rPr>
                <w:rFonts w:cs="宋体"/>
                <w:sz w:val="18"/>
                <w:szCs w:val="18"/>
              </w:rPr>
            </w:pPr>
            <w:r w:rsidRPr="0063248C">
              <w:rPr>
                <w:rFonts w:cs="宋体"/>
                <w:sz w:val="18"/>
                <w:szCs w:val="18"/>
              </w:rPr>
              <w:t>青岛飞熊领鲜科技有限公司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83B48AD" w14:textId="77777777" w:rsidR="007B3DB2" w:rsidRPr="0063248C" w:rsidRDefault="00000000">
            <w:pPr>
              <w:spacing w:line="240" w:lineRule="exact"/>
              <w:jc w:val="right"/>
              <w:rPr>
                <w:rFonts w:cs="宋体"/>
                <w:sz w:val="18"/>
                <w:szCs w:val="18"/>
              </w:rPr>
            </w:pPr>
            <w:r w:rsidRPr="0063248C">
              <w:rPr>
                <w:rFonts w:cs="宋体"/>
                <w:sz w:val="18"/>
                <w:szCs w:val="18"/>
              </w:rPr>
              <w:t>116,812.64</w:t>
            </w:r>
          </w:p>
        </w:tc>
        <w:tc>
          <w:tcPr>
            <w:tcW w:w="1606" w:type="dxa"/>
            <w:tcBorders>
              <w:top w:val="single" w:sz="2" w:space="0" w:color="auto"/>
              <w:left w:val="single" w:sz="2" w:space="0" w:color="auto"/>
              <w:bottom w:val="single" w:sz="2" w:space="0" w:color="auto"/>
              <w:right w:val="single" w:sz="2" w:space="0" w:color="auto"/>
            </w:tcBorders>
            <w:vAlign w:val="center"/>
          </w:tcPr>
          <w:p w14:paraId="455FFBE0"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E4E90DA"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717B1D1" w14:textId="77777777" w:rsidR="007B3DB2" w:rsidRPr="0063248C" w:rsidRDefault="007B3DB2">
            <w:pPr>
              <w:spacing w:line="240" w:lineRule="exact"/>
              <w:jc w:val="right"/>
              <w:rPr>
                <w:rFonts w:cs="宋体"/>
                <w:sz w:val="18"/>
                <w:szCs w:val="18"/>
              </w:rPr>
            </w:pPr>
          </w:p>
        </w:tc>
      </w:tr>
      <w:tr w:rsidR="007B3DB2" w:rsidRPr="0063248C" w14:paraId="5C5A721B"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9430D55" w14:textId="77777777" w:rsidR="007B3DB2" w:rsidRPr="0063248C" w:rsidRDefault="00000000">
            <w:pPr>
              <w:spacing w:line="240" w:lineRule="exact"/>
              <w:rPr>
                <w:rFonts w:cs="宋体"/>
                <w:sz w:val="18"/>
                <w:szCs w:val="18"/>
              </w:rPr>
            </w:pPr>
            <w:r w:rsidRPr="0063248C">
              <w:rPr>
                <w:rFonts w:cs="宋体"/>
                <w:sz w:val="18"/>
                <w:szCs w:val="18"/>
              </w:rPr>
              <w:t>货币资金</w:t>
            </w:r>
          </w:p>
        </w:tc>
        <w:tc>
          <w:tcPr>
            <w:tcW w:w="1606" w:type="dxa"/>
            <w:tcBorders>
              <w:top w:val="single" w:sz="2" w:space="0" w:color="auto"/>
              <w:left w:val="single" w:sz="2" w:space="0" w:color="auto"/>
              <w:bottom w:val="single" w:sz="2" w:space="0" w:color="auto"/>
              <w:right w:val="single" w:sz="2" w:space="0" w:color="auto"/>
            </w:tcBorders>
            <w:vAlign w:val="center"/>
          </w:tcPr>
          <w:p w14:paraId="3C632D7A" w14:textId="77777777" w:rsidR="007B3DB2" w:rsidRPr="0063248C" w:rsidRDefault="00000000">
            <w:pPr>
              <w:spacing w:line="240" w:lineRule="exact"/>
              <w:rPr>
                <w:rFonts w:cs="宋体"/>
                <w:sz w:val="18"/>
                <w:szCs w:val="18"/>
              </w:rPr>
            </w:pPr>
            <w:r w:rsidRPr="0063248C">
              <w:rPr>
                <w:rFonts w:cs="宋体"/>
                <w:sz w:val="18"/>
                <w:szCs w:val="18"/>
              </w:rPr>
              <w:t>达州银行股份有限公司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43D4729E" w14:textId="77777777" w:rsidR="007B3DB2" w:rsidRPr="0063248C" w:rsidRDefault="00000000">
            <w:pPr>
              <w:spacing w:line="240" w:lineRule="exact"/>
              <w:jc w:val="right"/>
              <w:rPr>
                <w:rFonts w:cs="宋体"/>
                <w:sz w:val="18"/>
                <w:szCs w:val="18"/>
              </w:rPr>
            </w:pPr>
            <w:r w:rsidRPr="0063248C">
              <w:rPr>
                <w:rFonts w:cs="宋体"/>
                <w:sz w:val="18"/>
                <w:szCs w:val="18"/>
              </w:rPr>
              <w:t>414,323,142.67</w:t>
            </w:r>
          </w:p>
        </w:tc>
        <w:tc>
          <w:tcPr>
            <w:tcW w:w="1606" w:type="dxa"/>
            <w:tcBorders>
              <w:top w:val="single" w:sz="2" w:space="0" w:color="auto"/>
              <w:left w:val="single" w:sz="2" w:space="0" w:color="auto"/>
              <w:bottom w:val="single" w:sz="2" w:space="0" w:color="auto"/>
              <w:right w:val="single" w:sz="2" w:space="0" w:color="auto"/>
            </w:tcBorders>
            <w:vAlign w:val="center"/>
          </w:tcPr>
          <w:p w14:paraId="483DF44F"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BD25D88" w14:textId="77777777" w:rsidR="007B3DB2" w:rsidRPr="0063248C" w:rsidRDefault="00000000">
            <w:pPr>
              <w:spacing w:line="240" w:lineRule="exact"/>
              <w:jc w:val="right"/>
              <w:rPr>
                <w:rFonts w:cs="宋体"/>
                <w:sz w:val="18"/>
                <w:szCs w:val="18"/>
              </w:rPr>
            </w:pPr>
            <w:r w:rsidRPr="0063248C">
              <w:rPr>
                <w:rFonts w:cs="宋体"/>
                <w:sz w:val="18"/>
                <w:szCs w:val="18"/>
              </w:rPr>
              <w:t>408,966,390.02</w:t>
            </w:r>
          </w:p>
        </w:tc>
        <w:tc>
          <w:tcPr>
            <w:tcW w:w="1606" w:type="dxa"/>
            <w:tcBorders>
              <w:top w:val="single" w:sz="2" w:space="0" w:color="auto"/>
              <w:left w:val="single" w:sz="2" w:space="0" w:color="auto"/>
              <w:bottom w:val="single" w:sz="2" w:space="0" w:color="auto"/>
              <w:right w:val="single" w:sz="2" w:space="0" w:color="auto"/>
            </w:tcBorders>
            <w:vAlign w:val="center"/>
          </w:tcPr>
          <w:p w14:paraId="205AF44A" w14:textId="77777777" w:rsidR="007B3DB2" w:rsidRPr="0063248C" w:rsidRDefault="007B3DB2">
            <w:pPr>
              <w:spacing w:line="240" w:lineRule="exact"/>
              <w:jc w:val="right"/>
              <w:rPr>
                <w:rFonts w:cs="宋体"/>
                <w:sz w:val="18"/>
                <w:szCs w:val="18"/>
              </w:rPr>
            </w:pPr>
          </w:p>
        </w:tc>
      </w:tr>
    </w:tbl>
    <w:p w14:paraId="14D84AA1" w14:textId="77777777" w:rsidR="007B3DB2" w:rsidRPr="0063248C" w:rsidRDefault="00000000">
      <w:pPr>
        <w:keepNext/>
        <w:keepLines/>
        <w:spacing w:before="300" w:after="300" w:line="280" w:lineRule="exact"/>
        <w:outlineLvl w:val="3"/>
        <w:rPr>
          <w:rFonts w:cs="宋体"/>
          <w:b/>
          <w:bCs/>
          <w:szCs w:val="21"/>
        </w:rPr>
      </w:pPr>
      <w:bookmarkStart w:id="482" w:name="_Toc989376"/>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应付项目</w:t>
      </w:r>
      <w:bookmarkEnd w:id="482"/>
    </w:p>
    <w:p w14:paraId="48B3CDA4"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836"/>
        <w:gridCol w:w="1984"/>
        <w:gridCol w:w="2410"/>
      </w:tblGrid>
      <w:tr w:rsidR="007B3DB2" w:rsidRPr="0063248C" w14:paraId="6879651B" w14:textId="77777777" w:rsidTr="00080A3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34E4ED89"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项目名称</w:t>
            </w:r>
          </w:p>
        </w:tc>
        <w:tc>
          <w:tcPr>
            <w:tcW w:w="2836" w:type="dxa"/>
            <w:tcBorders>
              <w:top w:val="single" w:sz="2" w:space="0" w:color="auto"/>
              <w:left w:val="single" w:sz="2" w:space="0" w:color="auto"/>
              <w:bottom w:val="single" w:sz="2" w:space="0" w:color="auto"/>
              <w:right w:val="single" w:sz="2" w:space="0" w:color="auto"/>
            </w:tcBorders>
            <w:shd w:val="clear" w:color="auto" w:fill="D3D3D3"/>
            <w:vAlign w:val="center"/>
          </w:tcPr>
          <w:p w14:paraId="4D797C42" w14:textId="77777777" w:rsidR="007B3DB2" w:rsidRPr="0063248C" w:rsidRDefault="00000000">
            <w:pPr>
              <w:spacing w:before="40" w:after="40" w:line="240" w:lineRule="exact"/>
              <w:jc w:val="center"/>
              <w:rPr>
                <w:rFonts w:cs="宋体"/>
                <w:sz w:val="18"/>
                <w:szCs w:val="18"/>
              </w:rPr>
            </w:pPr>
            <w:r w:rsidRPr="0063248C">
              <w:rPr>
                <w:rFonts w:cs="宋体"/>
                <w:sz w:val="18"/>
                <w:szCs w:val="18"/>
              </w:rPr>
              <w:t>关联方</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48A0C18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A2C16F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期初账面余额</w:t>
            </w:r>
          </w:p>
        </w:tc>
      </w:tr>
      <w:tr w:rsidR="007B3DB2" w:rsidRPr="0063248C" w14:paraId="431F1FF5" w14:textId="77777777" w:rsidTr="00080A3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1428AE2E" w14:textId="77777777" w:rsidR="007B3DB2" w:rsidRPr="0063248C" w:rsidRDefault="00000000">
            <w:pPr>
              <w:spacing w:line="240" w:lineRule="exact"/>
              <w:rPr>
                <w:rFonts w:cs="宋体"/>
                <w:sz w:val="18"/>
                <w:szCs w:val="18"/>
              </w:rPr>
            </w:pPr>
            <w:r w:rsidRPr="0063248C">
              <w:rPr>
                <w:rFonts w:cs="宋体"/>
                <w:sz w:val="18"/>
                <w:szCs w:val="18"/>
              </w:rPr>
              <w:t>应付账款</w:t>
            </w:r>
          </w:p>
        </w:tc>
        <w:tc>
          <w:tcPr>
            <w:tcW w:w="2836" w:type="dxa"/>
            <w:tcBorders>
              <w:top w:val="single" w:sz="2" w:space="0" w:color="auto"/>
              <w:left w:val="single" w:sz="2" w:space="0" w:color="auto"/>
              <w:bottom w:val="single" w:sz="2" w:space="0" w:color="auto"/>
              <w:right w:val="single" w:sz="2" w:space="0" w:color="auto"/>
            </w:tcBorders>
            <w:vAlign w:val="center"/>
          </w:tcPr>
          <w:p w14:paraId="77AEC75D" w14:textId="77777777" w:rsidR="007B3DB2" w:rsidRPr="0063248C" w:rsidRDefault="00000000">
            <w:pPr>
              <w:spacing w:line="240" w:lineRule="exact"/>
              <w:rPr>
                <w:rFonts w:cs="宋体"/>
                <w:sz w:val="18"/>
                <w:szCs w:val="18"/>
              </w:rPr>
            </w:pPr>
            <w:r w:rsidRPr="0063248C">
              <w:rPr>
                <w:rFonts w:cs="宋体"/>
                <w:sz w:val="18"/>
                <w:szCs w:val="18"/>
              </w:rPr>
              <w:t>青岛东方睿智商贸有限公司</w:t>
            </w:r>
          </w:p>
        </w:tc>
        <w:tc>
          <w:tcPr>
            <w:tcW w:w="1984" w:type="dxa"/>
            <w:tcBorders>
              <w:top w:val="single" w:sz="2" w:space="0" w:color="auto"/>
              <w:left w:val="single" w:sz="2" w:space="0" w:color="auto"/>
              <w:bottom w:val="single" w:sz="2" w:space="0" w:color="auto"/>
              <w:right w:val="single" w:sz="2" w:space="0" w:color="auto"/>
            </w:tcBorders>
            <w:vAlign w:val="center"/>
          </w:tcPr>
          <w:p w14:paraId="072344E2" w14:textId="77777777" w:rsidR="007B3DB2" w:rsidRPr="0063248C" w:rsidRDefault="00000000">
            <w:pPr>
              <w:spacing w:line="240" w:lineRule="exact"/>
              <w:jc w:val="right"/>
              <w:rPr>
                <w:rFonts w:cs="宋体"/>
                <w:sz w:val="18"/>
                <w:szCs w:val="18"/>
              </w:rPr>
            </w:pPr>
            <w:r w:rsidRPr="0063248C">
              <w:rPr>
                <w:rFonts w:cs="宋体"/>
                <w:sz w:val="18"/>
                <w:szCs w:val="18"/>
              </w:rPr>
              <w:t>14,238.25</w:t>
            </w:r>
          </w:p>
        </w:tc>
        <w:tc>
          <w:tcPr>
            <w:tcW w:w="2410" w:type="dxa"/>
            <w:tcBorders>
              <w:top w:val="single" w:sz="2" w:space="0" w:color="auto"/>
              <w:left w:val="single" w:sz="2" w:space="0" w:color="auto"/>
              <w:bottom w:val="single" w:sz="2" w:space="0" w:color="auto"/>
              <w:right w:val="single" w:sz="2" w:space="0" w:color="auto"/>
            </w:tcBorders>
            <w:vAlign w:val="center"/>
          </w:tcPr>
          <w:p w14:paraId="6F163C95" w14:textId="77777777" w:rsidR="007B3DB2" w:rsidRPr="0063248C" w:rsidRDefault="00000000">
            <w:pPr>
              <w:spacing w:line="240" w:lineRule="exact"/>
              <w:jc w:val="right"/>
              <w:rPr>
                <w:rFonts w:cs="宋体"/>
                <w:sz w:val="18"/>
                <w:szCs w:val="18"/>
              </w:rPr>
            </w:pPr>
            <w:r w:rsidRPr="0063248C">
              <w:rPr>
                <w:rFonts w:cs="宋体"/>
                <w:sz w:val="18"/>
                <w:szCs w:val="18"/>
              </w:rPr>
              <w:t>14,238.25</w:t>
            </w:r>
          </w:p>
        </w:tc>
      </w:tr>
      <w:tr w:rsidR="007B3DB2" w:rsidRPr="0063248C" w14:paraId="0EF3AFE8" w14:textId="77777777" w:rsidTr="00080A3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1C19CF5A" w14:textId="77777777" w:rsidR="007B3DB2" w:rsidRPr="0063248C" w:rsidRDefault="00000000">
            <w:pPr>
              <w:spacing w:line="240" w:lineRule="exact"/>
              <w:rPr>
                <w:rFonts w:cs="宋体"/>
                <w:sz w:val="18"/>
                <w:szCs w:val="18"/>
              </w:rPr>
            </w:pPr>
            <w:r w:rsidRPr="0063248C">
              <w:rPr>
                <w:rFonts w:cs="宋体"/>
                <w:sz w:val="18"/>
                <w:szCs w:val="18"/>
              </w:rPr>
              <w:t>应付账款</w:t>
            </w:r>
          </w:p>
        </w:tc>
        <w:tc>
          <w:tcPr>
            <w:tcW w:w="2836" w:type="dxa"/>
            <w:tcBorders>
              <w:top w:val="single" w:sz="2" w:space="0" w:color="auto"/>
              <w:left w:val="single" w:sz="2" w:space="0" w:color="auto"/>
              <w:bottom w:val="single" w:sz="2" w:space="0" w:color="auto"/>
              <w:right w:val="single" w:sz="2" w:space="0" w:color="auto"/>
            </w:tcBorders>
            <w:vAlign w:val="center"/>
          </w:tcPr>
          <w:p w14:paraId="25345EE7" w14:textId="77777777" w:rsidR="007B3DB2" w:rsidRPr="0063248C" w:rsidRDefault="00000000">
            <w:pPr>
              <w:spacing w:line="240" w:lineRule="exact"/>
              <w:rPr>
                <w:rFonts w:cs="宋体"/>
                <w:sz w:val="18"/>
                <w:szCs w:val="18"/>
              </w:rPr>
            </w:pPr>
            <w:r w:rsidRPr="0063248C">
              <w:rPr>
                <w:rFonts w:cs="宋体"/>
                <w:sz w:val="18"/>
                <w:szCs w:val="18"/>
              </w:rPr>
              <w:t>青岛优尼特</w:t>
            </w:r>
            <w:proofErr w:type="gramStart"/>
            <w:r w:rsidRPr="0063248C">
              <w:rPr>
                <w:rFonts w:cs="宋体"/>
                <w:sz w:val="18"/>
                <w:szCs w:val="18"/>
              </w:rPr>
              <w:t>尚品食品</w:t>
            </w:r>
            <w:proofErr w:type="gramEnd"/>
            <w:r w:rsidRPr="0063248C">
              <w:rPr>
                <w:rFonts w:cs="宋体"/>
                <w:sz w:val="18"/>
                <w:szCs w:val="18"/>
              </w:rPr>
              <w:t>有限公司</w:t>
            </w:r>
          </w:p>
        </w:tc>
        <w:tc>
          <w:tcPr>
            <w:tcW w:w="1984" w:type="dxa"/>
            <w:tcBorders>
              <w:top w:val="single" w:sz="2" w:space="0" w:color="auto"/>
              <w:left w:val="single" w:sz="2" w:space="0" w:color="auto"/>
              <w:bottom w:val="single" w:sz="2" w:space="0" w:color="auto"/>
              <w:right w:val="single" w:sz="2" w:space="0" w:color="auto"/>
            </w:tcBorders>
            <w:vAlign w:val="center"/>
          </w:tcPr>
          <w:p w14:paraId="65298807"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55452A8" w14:textId="77777777" w:rsidR="007B3DB2" w:rsidRPr="0063248C" w:rsidRDefault="00000000">
            <w:pPr>
              <w:spacing w:line="240" w:lineRule="exact"/>
              <w:jc w:val="right"/>
              <w:rPr>
                <w:rFonts w:cs="宋体"/>
                <w:sz w:val="18"/>
                <w:szCs w:val="18"/>
              </w:rPr>
            </w:pPr>
            <w:r w:rsidRPr="0063248C">
              <w:rPr>
                <w:rFonts w:cs="宋体"/>
                <w:sz w:val="18"/>
                <w:szCs w:val="18"/>
              </w:rPr>
              <w:t>3,155.96</w:t>
            </w:r>
          </w:p>
        </w:tc>
      </w:tr>
      <w:tr w:rsidR="007B3DB2" w:rsidRPr="0063248C" w14:paraId="6947189E" w14:textId="77777777" w:rsidTr="00080A3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35B00597" w14:textId="77777777" w:rsidR="007B3DB2" w:rsidRPr="0063248C" w:rsidRDefault="00000000">
            <w:pPr>
              <w:spacing w:line="240" w:lineRule="exact"/>
              <w:rPr>
                <w:rFonts w:cs="宋体"/>
                <w:sz w:val="18"/>
                <w:szCs w:val="18"/>
              </w:rPr>
            </w:pPr>
            <w:r w:rsidRPr="0063248C">
              <w:rPr>
                <w:rFonts w:cs="宋体"/>
                <w:sz w:val="18"/>
                <w:szCs w:val="18"/>
              </w:rPr>
              <w:t>应付账款</w:t>
            </w:r>
          </w:p>
        </w:tc>
        <w:tc>
          <w:tcPr>
            <w:tcW w:w="2836" w:type="dxa"/>
            <w:tcBorders>
              <w:top w:val="single" w:sz="2" w:space="0" w:color="auto"/>
              <w:left w:val="single" w:sz="2" w:space="0" w:color="auto"/>
              <w:bottom w:val="single" w:sz="2" w:space="0" w:color="auto"/>
              <w:right w:val="single" w:sz="2" w:space="0" w:color="auto"/>
            </w:tcBorders>
            <w:vAlign w:val="center"/>
          </w:tcPr>
          <w:p w14:paraId="3CD32F13" w14:textId="77777777" w:rsidR="007B3DB2" w:rsidRPr="0063248C" w:rsidRDefault="00000000">
            <w:pPr>
              <w:spacing w:line="240" w:lineRule="exact"/>
              <w:rPr>
                <w:rFonts w:cs="宋体"/>
                <w:sz w:val="18"/>
                <w:szCs w:val="18"/>
              </w:rPr>
            </w:pPr>
            <w:proofErr w:type="gramStart"/>
            <w:r w:rsidRPr="0063248C">
              <w:rPr>
                <w:rFonts w:cs="宋体"/>
                <w:sz w:val="18"/>
                <w:szCs w:val="18"/>
              </w:rPr>
              <w:t>牧原食品</w:t>
            </w:r>
            <w:proofErr w:type="gramEnd"/>
            <w:r w:rsidRPr="0063248C">
              <w:rPr>
                <w:rFonts w:cs="宋体"/>
                <w:sz w:val="18"/>
                <w:szCs w:val="18"/>
              </w:rPr>
              <w:t>股份有限公司（集团）</w:t>
            </w:r>
          </w:p>
        </w:tc>
        <w:tc>
          <w:tcPr>
            <w:tcW w:w="1984" w:type="dxa"/>
            <w:tcBorders>
              <w:top w:val="single" w:sz="2" w:space="0" w:color="auto"/>
              <w:left w:val="single" w:sz="2" w:space="0" w:color="auto"/>
              <w:bottom w:val="single" w:sz="2" w:space="0" w:color="auto"/>
              <w:right w:val="single" w:sz="2" w:space="0" w:color="auto"/>
            </w:tcBorders>
            <w:vAlign w:val="center"/>
          </w:tcPr>
          <w:p w14:paraId="0CC1AEBE" w14:textId="77777777" w:rsidR="007B3DB2" w:rsidRPr="0063248C" w:rsidRDefault="00000000">
            <w:pPr>
              <w:spacing w:line="240" w:lineRule="exact"/>
              <w:jc w:val="right"/>
              <w:rPr>
                <w:rFonts w:cs="宋体"/>
                <w:sz w:val="18"/>
                <w:szCs w:val="18"/>
              </w:rPr>
            </w:pPr>
            <w:r w:rsidRPr="0063248C">
              <w:rPr>
                <w:rFonts w:cs="宋体"/>
                <w:sz w:val="18"/>
                <w:szCs w:val="18"/>
              </w:rPr>
              <w:t>2,933,176.71</w:t>
            </w:r>
          </w:p>
        </w:tc>
        <w:tc>
          <w:tcPr>
            <w:tcW w:w="2410" w:type="dxa"/>
            <w:tcBorders>
              <w:top w:val="single" w:sz="2" w:space="0" w:color="auto"/>
              <w:left w:val="single" w:sz="2" w:space="0" w:color="auto"/>
              <w:bottom w:val="single" w:sz="2" w:space="0" w:color="auto"/>
              <w:right w:val="single" w:sz="2" w:space="0" w:color="auto"/>
            </w:tcBorders>
            <w:vAlign w:val="center"/>
          </w:tcPr>
          <w:p w14:paraId="7D596365" w14:textId="77777777" w:rsidR="007B3DB2" w:rsidRPr="0063248C" w:rsidRDefault="007B3DB2">
            <w:pPr>
              <w:spacing w:line="240" w:lineRule="exact"/>
              <w:jc w:val="right"/>
              <w:rPr>
                <w:rFonts w:cs="宋体"/>
                <w:sz w:val="18"/>
                <w:szCs w:val="18"/>
              </w:rPr>
            </w:pPr>
          </w:p>
        </w:tc>
      </w:tr>
      <w:tr w:rsidR="007B3DB2" w:rsidRPr="0063248C" w14:paraId="08533736" w14:textId="77777777" w:rsidTr="00080A3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67885A36" w14:textId="77777777" w:rsidR="007B3DB2" w:rsidRPr="0063248C" w:rsidRDefault="00000000">
            <w:pPr>
              <w:spacing w:line="240" w:lineRule="exact"/>
              <w:rPr>
                <w:rFonts w:cs="宋体"/>
                <w:sz w:val="18"/>
                <w:szCs w:val="18"/>
              </w:rPr>
            </w:pPr>
            <w:r w:rsidRPr="0063248C">
              <w:rPr>
                <w:rFonts w:cs="宋体"/>
                <w:sz w:val="18"/>
                <w:szCs w:val="18"/>
              </w:rPr>
              <w:t>应付票据</w:t>
            </w:r>
          </w:p>
        </w:tc>
        <w:tc>
          <w:tcPr>
            <w:tcW w:w="2836" w:type="dxa"/>
            <w:tcBorders>
              <w:top w:val="single" w:sz="2" w:space="0" w:color="auto"/>
              <w:left w:val="single" w:sz="2" w:space="0" w:color="auto"/>
              <w:bottom w:val="single" w:sz="2" w:space="0" w:color="auto"/>
              <w:right w:val="single" w:sz="2" w:space="0" w:color="auto"/>
            </w:tcBorders>
            <w:vAlign w:val="center"/>
          </w:tcPr>
          <w:p w14:paraId="74F9AA46" w14:textId="77777777" w:rsidR="007B3DB2" w:rsidRPr="0063248C" w:rsidRDefault="00000000">
            <w:pPr>
              <w:spacing w:line="240" w:lineRule="exact"/>
              <w:rPr>
                <w:rFonts w:cs="宋体"/>
                <w:sz w:val="18"/>
                <w:szCs w:val="18"/>
              </w:rPr>
            </w:pPr>
            <w:proofErr w:type="gramStart"/>
            <w:r w:rsidRPr="0063248C">
              <w:rPr>
                <w:rFonts w:cs="宋体"/>
                <w:sz w:val="18"/>
                <w:szCs w:val="18"/>
              </w:rPr>
              <w:t>牧原食品</w:t>
            </w:r>
            <w:proofErr w:type="gramEnd"/>
            <w:r w:rsidRPr="0063248C">
              <w:rPr>
                <w:rFonts w:cs="宋体"/>
                <w:sz w:val="18"/>
                <w:szCs w:val="18"/>
              </w:rPr>
              <w:t>股份有限公司</w:t>
            </w:r>
          </w:p>
        </w:tc>
        <w:tc>
          <w:tcPr>
            <w:tcW w:w="1984" w:type="dxa"/>
            <w:tcBorders>
              <w:top w:val="single" w:sz="2" w:space="0" w:color="auto"/>
              <w:left w:val="single" w:sz="2" w:space="0" w:color="auto"/>
              <w:bottom w:val="single" w:sz="2" w:space="0" w:color="auto"/>
              <w:right w:val="single" w:sz="2" w:space="0" w:color="auto"/>
            </w:tcBorders>
            <w:vAlign w:val="center"/>
          </w:tcPr>
          <w:p w14:paraId="29062569" w14:textId="4BDBA503" w:rsidR="007B3DB2" w:rsidRPr="0063248C" w:rsidRDefault="003137C2">
            <w:pPr>
              <w:spacing w:line="240" w:lineRule="exact"/>
              <w:jc w:val="right"/>
              <w:rPr>
                <w:rFonts w:cs="宋体"/>
                <w:sz w:val="18"/>
                <w:szCs w:val="18"/>
              </w:rPr>
            </w:pPr>
            <w:r>
              <w:rPr>
                <w:rFonts w:cs="宋体" w:hint="eastAsia"/>
                <w:sz w:val="18"/>
                <w:szCs w:val="18"/>
              </w:rPr>
              <w:t>150,900,000.00</w:t>
            </w:r>
          </w:p>
        </w:tc>
        <w:tc>
          <w:tcPr>
            <w:tcW w:w="2410" w:type="dxa"/>
            <w:tcBorders>
              <w:top w:val="single" w:sz="2" w:space="0" w:color="auto"/>
              <w:left w:val="single" w:sz="2" w:space="0" w:color="auto"/>
              <w:bottom w:val="single" w:sz="2" w:space="0" w:color="auto"/>
              <w:right w:val="single" w:sz="2" w:space="0" w:color="auto"/>
            </w:tcBorders>
            <w:vAlign w:val="center"/>
          </w:tcPr>
          <w:p w14:paraId="6BD5E8DC" w14:textId="77777777" w:rsidR="007B3DB2" w:rsidRPr="0063248C" w:rsidRDefault="00000000">
            <w:pPr>
              <w:spacing w:line="240" w:lineRule="exact"/>
              <w:jc w:val="right"/>
              <w:rPr>
                <w:rFonts w:cs="宋体"/>
                <w:sz w:val="18"/>
                <w:szCs w:val="18"/>
              </w:rPr>
            </w:pPr>
            <w:r w:rsidRPr="0063248C">
              <w:rPr>
                <w:rFonts w:cs="宋体"/>
                <w:sz w:val="18"/>
                <w:szCs w:val="18"/>
              </w:rPr>
              <w:t>129,090,000.00</w:t>
            </w:r>
          </w:p>
        </w:tc>
      </w:tr>
      <w:tr w:rsidR="007B3DB2" w:rsidRPr="0063248C" w14:paraId="20498C8C" w14:textId="77777777" w:rsidTr="00080A3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7B79CCAF" w14:textId="77777777" w:rsidR="007B3DB2" w:rsidRPr="0063248C" w:rsidRDefault="00000000">
            <w:pPr>
              <w:spacing w:line="240" w:lineRule="exact"/>
              <w:rPr>
                <w:rFonts w:cs="宋体"/>
                <w:sz w:val="18"/>
                <w:szCs w:val="18"/>
              </w:rPr>
            </w:pPr>
            <w:r w:rsidRPr="0063248C">
              <w:rPr>
                <w:rFonts w:cs="宋体"/>
                <w:sz w:val="18"/>
                <w:szCs w:val="18"/>
              </w:rPr>
              <w:t>应付票据</w:t>
            </w:r>
          </w:p>
        </w:tc>
        <w:tc>
          <w:tcPr>
            <w:tcW w:w="2836" w:type="dxa"/>
            <w:tcBorders>
              <w:top w:val="single" w:sz="2" w:space="0" w:color="auto"/>
              <w:left w:val="single" w:sz="2" w:space="0" w:color="auto"/>
              <w:bottom w:val="single" w:sz="2" w:space="0" w:color="auto"/>
              <w:right w:val="single" w:sz="2" w:space="0" w:color="auto"/>
            </w:tcBorders>
            <w:vAlign w:val="center"/>
          </w:tcPr>
          <w:p w14:paraId="0AAE4D03" w14:textId="77777777" w:rsidR="007B3DB2" w:rsidRPr="0063248C" w:rsidRDefault="00000000">
            <w:pPr>
              <w:spacing w:line="240" w:lineRule="exact"/>
              <w:rPr>
                <w:rFonts w:cs="宋体"/>
                <w:sz w:val="18"/>
                <w:szCs w:val="18"/>
              </w:rPr>
            </w:pPr>
            <w:r w:rsidRPr="0063248C">
              <w:rPr>
                <w:rFonts w:cs="宋体"/>
                <w:sz w:val="18"/>
                <w:szCs w:val="18"/>
              </w:rPr>
              <w:t>青岛飞熊领鲜科技有限公司</w:t>
            </w:r>
          </w:p>
        </w:tc>
        <w:tc>
          <w:tcPr>
            <w:tcW w:w="1984" w:type="dxa"/>
            <w:tcBorders>
              <w:top w:val="single" w:sz="2" w:space="0" w:color="auto"/>
              <w:left w:val="single" w:sz="2" w:space="0" w:color="auto"/>
              <w:bottom w:val="single" w:sz="2" w:space="0" w:color="auto"/>
              <w:right w:val="single" w:sz="2" w:space="0" w:color="auto"/>
            </w:tcBorders>
            <w:vAlign w:val="center"/>
          </w:tcPr>
          <w:p w14:paraId="5BCD343F"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A5A2BA7" w14:textId="77777777" w:rsidR="007B3DB2" w:rsidRPr="0063248C" w:rsidRDefault="00000000">
            <w:pPr>
              <w:spacing w:line="240" w:lineRule="exact"/>
              <w:jc w:val="right"/>
              <w:rPr>
                <w:rFonts w:cs="宋体"/>
                <w:sz w:val="18"/>
                <w:szCs w:val="18"/>
              </w:rPr>
            </w:pPr>
            <w:r w:rsidRPr="0063248C">
              <w:rPr>
                <w:rFonts w:cs="宋体"/>
                <w:sz w:val="18"/>
                <w:szCs w:val="18"/>
              </w:rPr>
              <w:t>69,764,916.67</w:t>
            </w:r>
          </w:p>
        </w:tc>
      </w:tr>
      <w:tr w:rsidR="007B3DB2" w:rsidRPr="0063248C" w14:paraId="1CE7F214" w14:textId="77777777" w:rsidTr="00080A3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40A19965" w14:textId="77777777" w:rsidR="007B3DB2" w:rsidRPr="0063248C" w:rsidRDefault="00000000">
            <w:pPr>
              <w:spacing w:line="240" w:lineRule="exact"/>
              <w:rPr>
                <w:rFonts w:cs="宋体"/>
                <w:sz w:val="18"/>
                <w:szCs w:val="18"/>
              </w:rPr>
            </w:pPr>
            <w:r w:rsidRPr="0063248C">
              <w:rPr>
                <w:rFonts w:cs="宋体"/>
                <w:sz w:val="18"/>
                <w:szCs w:val="18"/>
              </w:rPr>
              <w:lastRenderedPageBreak/>
              <w:t>其他应付款</w:t>
            </w:r>
          </w:p>
        </w:tc>
        <w:tc>
          <w:tcPr>
            <w:tcW w:w="2836" w:type="dxa"/>
            <w:tcBorders>
              <w:top w:val="single" w:sz="2" w:space="0" w:color="auto"/>
              <w:left w:val="single" w:sz="2" w:space="0" w:color="auto"/>
              <w:bottom w:val="single" w:sz="2" w:space="0" w:color="auto"/>
              <w:right w:val="single" w:sz="2" w:space="0" w:color="auto"/>
            </w:tcBorders>
            <w:vAlign w:val="center"/>
          </w:tcPr>
          <w:p w14:paraId="12869CEC" w14:textId="77777777" w:rsidR="007B3DB2" w:rsidRPr="0063248C" w:rsidRDefault="00000000">
            <w:pPr>
              <w:spacing w:line="240" w:lineRule="exact"/>
              <w:rPr>
                <w:rFonts w:cs="宋体"/>
                <w:sz w:val="18"/>
                <w:szCs w:val="18"/>
              </w:rPr>
            </w:pPr>
            <w:r w:rsidRPr="0063248C">
              <w:rPr>
                <w:rFonts w:cs="宋体"/>
                <w:sz w:val="18"/>
                <w:szCs w:val="18"/>
              </w:rPr>
              <w:t>上海新农科技股份有限公司</w:t>
            </w:r>
          </w:p>
        </w:tc>
        <w:tc>
          <w:tcPr>
            <w:tcW w:w="1984" w:type="dxa"/>
            <w:tcBorders>
              <w:top w:val="single" w:sz="2" w:space="0" w:color="auto"/>
              <w:left w:val="single" w:sz="2" w:space="0" w:color="auto"/>
              <w:bottom w:val="single" w:sz="2" w:space="0" w:color="auto"/>
              <w:right w:val="single" w:sz="2" w:space="0" w:color="auto"/>
            </w:tcBorders>
            <w:vAlign w:val="center"/>
          </w:tcPr>
          <w:p w14:paraId="513ECC6B" w14:textId="77777777" w:rsidR="007B3DB2" w:rsidRPr="0063248C" w:rsidRDefault="00000000">
            <w:pPr>
              <w:spacing w:line="240" w:lineRule="exact"/>
              <w:jc w:val="right"/>
              <w:rPr>
                <w:rFonts w:cs="宋体"/>
                <w:sz w:val="18"/>
                <w:szCs w:val="18"/>
              </w:rPr>
            </w:pPr>
            <w:r w:rsidRPr="0063248C">
              <w:rPr>
                <w:rFonts w:cs="宋体"/>
                <w:sz w:val="18"/>
                <w:szCs w:val="18"/>
              </w:rPr>
              <w:t>34,300,000.00</w:t>
            </w:r>
          </w:p>
        </w:tc>
        <w:tc>
          <w:tcPr>
            <w:tcW w:w="2410" w:type="dxa"/>
            <w:tcBorders>
              <w:top w:val="single" w:sz="2" w:space="0" w:color="auto"/>
              <w:left w:val="single" w:sz="2" w:space="0" w:color="auto"/>
              <w:bottom w:val="single" w:sz="2" w:space="0" w:color="auto"/>
              <w:right w:val="single" w:sz="2" w:space="0" w:color="auto"/>
            </w:tcBorders>
            <w:vAlign w:val="center"/>
          </w:tcPr>
          <w:p w14:paraId="71351808" w14:textId="77777777" w:rsidR="007B3DB2" w:rsidRPr="0063248C" w:rsidRDefault="00000000">
            <w:pPr>
              <w:spacing w:line="240" w:lineRule="exact"/>
              <w:jc w:val="right"/>
              <w:rPr>
                <w:rFonts w:cs="宋体"/>
                <w:sz w:val="18"/>
                <w:szCs w:val="18"/>
              </w:rPr>
            </w:pPr>
            <w:r w:rsidRPr="0063248C">
              <w:rPr>
                <w:rFonts w:cs="宋体"/>
                <w:sz w:val="18"/>
                <w:szCs w:val="18"/>
              </w:rPr>
              <w:t>61,740,000.00</w:t>
            </w:r>
          </w:p>
        </w:tc>
      </w:tr>
      <w:tr w:rsidR="007B3DB2" w:rsidRPr="0063248C" w14:paraId="26E77C3A" w14:textId="77777777" w:rsidTr="00080A3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093EB6D2" w14:textId="77777777" w:rsidR="007B3DB2" w:rsidRPr="0063248C" w:rsidRDefault="00000000">
            <w:pPr>
              <w:spacing w:line="240" w:lineRule="exact"/>
              <w:rPr>
                <w:rFonts w:cs="宋体"/>
                <w:sz w:val="18"/>
                <w:szCs w:val="18"/>
              </w:rPr>
            </w:pPr>
            <w:r w:rsidRPr="0063248C">
              <w:rPr>
                <w:rFonts w:cs="宋体"/>
                <w:sz w:val="18"/>
                <w:szCs w:val="18"/>
              </w:rPr>
              <w:t>租赁负债</w:t>
            </w:r>
          </w:p>
        </w:tc>
        <w:tc>
          <w:tcPr>
            <w:tcW w:w="2836" w:type="dxa"/>
            <w:tcBorders>
              <w:top w:val="single" w:sz="2" w:space="0" w:color="auto"/>
              <w:left w:val="single" w:sz="2" w:space="0" w:color="auto"/>
              <w:bottom w:val="single" w:sz="2" w:space="0" w:color="auto"/>
              <w:right w:val="single" w:sz="2" w:space="0" w:color="auto"/>
            </w:tcBorders>
            <w:vAlign w:val="center"/>
          </w:tcPr>
          <w:p w14:paraId="45F849B1" w14:textId="77777777" w:rsidR="007B3DB2" w:rsidRPr="0063248C" w:rsidRDefault="00000000">
            <w:pPr>
              <w:spacing w:line="240" w:lineRule="exact"/>
              <w:rPr>
                <w:rFonts w:cs="宋体"/>
                <w:sz w:val="18"/>
                <w:szCs w:val="18"/>
              </w:rPr>
            </w:pPr>
            <w:r w:rsidRPr="0063248C">
              <w:rPr>
                <w:rFonts w:cs="宋体"/>
                <w:sz w:val="18"/>
                <w:szCs w:val="18"/>
              </w:rPr>
              <w:t>成都润家商业管理有限公司</w:t>
            </w:r>
          </w:p>
        </w:tc>
        <w:tc>
          <w:tcPr>
            <w:tcW w:w="1984" w:type="dxa"/>
            <w:tcBorders>
              <w:top w:val="single" w:sz="2" w:space="0" w:color="auto"/>
              <w:left w:val="single" w:sz="2" w:space="0" w:color="auto"/>
              <w:bottom w:val="single" w:sz="2" w:space="0" w:color="auto"/>
              <w:right w:val="single" w:sz="2" w:space="0" w:color="auto"/>
            </w:tcBorders>
            <w:vAlign w:val="center"/>
          </w:tcPr>
          <w:p w14:paraId="612FD601" w14:textId="77777777" w:rsidR="007B3DB2" w:rsidRPr="0063248C" w:rsidRDefault="00000000">
            <w:pPr>
              <w:spacing w:line="240" w:lineRule="exact"/>
              <w:jc w:val="right"/>
              <w:rPr>
                <w:rFonts w:cs="宋体"/>
                <w:sz w:val="18"/>
                <w:szCs w:val="18"/>
              </w:rPr>
            </w:pPr>
            <w:r w:rsidRPr="0063248C">
              <w:rPr>
                <w:rFonts w:cs="宋体"/>
                <w:sz w:val="18"/>
                <w:szCs w:val="18"/>
              </w:rPr>
              <w:t>1,534,165.37</w:t>
            </w:r>
          </w:p>
        </w:tc>
        <w:tc>
          <w:tcPr>
            <w:tcW w:w="2410" w:type="dxa"/>
            <w:tcBorders>
              <w:top w:val="single" w:sz="2" w:space="0" w:color="auto"/>
              <w:left w:val="single" w:sz="2" w:space="0" w:color="auto"/>
              <w:bottom w:val="single" w:sz="2" w:space="0" w:color="auto"/>
              <w:right w:val="single" w:sz="2" w:space="0" w:color="auto"/>
            </w:tcBorders>
            <w:vAlign w:val="center"/>
          </w:tcPr>
          <w:p w14:paraId="0331C1E1" w14:textId="77777777" w:rsidR="007B3DB2" w:rsidRPr="0063248C" w:rsidRDefault="00000000">
            <w:pPr>
              <w:spacing w:line="240" w:lineRule="exact"/>
              <w:jc w:val="right"/>
              <w:rPr>
                <w:rFonts w:cs="宋体"/>
                <w:sz w:val="18"/>
                <w:szCs w:val="18"/>
              </w:rPr>
            </w:pPr>
            <w:r w:rsidRPr="0063248C">
              <w:rPr>
                <w:rFonts w:cs="宋体"/>
                <w:sz w:val="18"/>
                <w:szCs w:val="18"/>
              </w:rPr>
              <w:t>1,856,765.43</w:t>
            </w:r>
          </w:p>
        </w:tc>
      </w:tr>
      <w:tr w:rsidR="007B3DB2" w:rsidRPr="0063248C" w14:paraId="2AB9D125" w14:textId="77777777" w:rsidTr="00080A3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19958C59" w14:textId="77777777" w:rsidR="007B3DB2" w:rsidRPr="0063248C" w:rsidRDefault="00000000">
            <w:pPr>
              <w:spacing w:line="240" w:lineRule="exact"/>
              <w:rPr>
                <w:rFonts w:cs="宋体"/>
                <w:sz w:val="18"/>
                <w:szCs w:val="18"/>
              </w:rPr>
            </w:pPr>
            <w:r w:rsidRPr="0063248C">
              <w:rPr>
                <w:rFonts w:cs="宋体"/>
                <w:sz w:val="18"/>
                <w:szCs w:val="18"/>
              </w:rPr>
              <w:t>合同负债</w:t>
            </w:r>
          </w:p>
        </w:tc>
        <w:tc>
          <w:tcPr>
            <w:tcW w:w="2836" w:type="dxa"/>
            <w:tcBorders>
              <w:top w:val="single" w:sz="2" w:space="0" w:color="auto"/>
              <w:left w:val="single" w:sz="2" w:space="0" w:color="auto"/>
              <w:bottom w:val="single" w:sz="2" w:space="0" w:color="auto"/>
              <w:right w:val="single" w:sz="2" w:space="0" w:color="auto"/>
            </w:tcBorders>
            <w:vAlign w:val="center"/>
          </w:tcPr>
          <w:p w14:paraId="1936038F" w14:textId="77777777" w:rsidR="007B3DB2" w:rsidRPr="0063248C" w:rsidRDefault="00000000">
            <w:pPr>
              <w:spacing w:line="240" w:lineRule="exact"/>
              <w:rPr>
                <w:rFonts w:cs="宋体"/>
                <w:sz w:val="18"/>
                <w:szCs w:val="18"/>
              </w:rPr>
            </w:pPr>
            <w:r w:rsidRPr="0063248C">
              <w:rPr>
                <w:rFonts w:cs="宋体"/>
                <w:sz w:val="18"/>
                <w:szCs w:val="18"/>
              </w:rPr>
              <w:t>青岛联合友和食品有限公司</w:t>
            </w:r>
          </w:p>
        </w:tc>
        <w:tc>
          <w:tcPr>
            <w:tcW w:w="1984" w:type="dxa"/>
            <w:tcBorders>
              <w:top w:val="single" w:sz="2" w:space="0" w:color="auto"/>
              <w:left w:val="single" w:sz="2" w:space="0" w:color="auto"/>
              <w:bottom w:val="single" w:sz="2" w:space="0" w:color="auto"/>
              <w:right w:val="single" w:sz="2" w:space="0" w:color="auto"/>
            </w:tcBorders>
            <w:vAlign w:val="center"/>
          </w:tcPr>
          <w:p w14:paraId="48333487"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F7305FE" w14:textId="77777777" w:rsidR="007B3DB2" w:rsidRPr="0063248C" w:rsidRDefault="00000000">
            <w:pPr>
              <w:spacing w:line="240" w:lineRule="exact"/>
              <w:jc w:val="right"/>
              <w:rPr>
                <w:rFonts w:cs="宋体"/>
                <w:sz w:val="18"/>
                <w:szCs w:val="18"/>
              </w:rPr>
            </w:pPr>
            <w:r w:rsidRPr="0063248C">
              <w:rPr>
                <w:rFonts w:cs="宋体"/>
                <w:sz w:val="18"/>
                <w:szCs w:val="18"/>
              </w:rPr>
              <w:t>2,276.48</w:t>
            </w:r>
          </w:p>
        </w:tc>
      </w:tr>
      <w:tr w:rsidR="007B3DB2" w:rsidRPr="0063248C" w14:paraId="077F28B8" w14:textId="77777777" w:rsidTr="00080A3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35993343" w14:textId="77777777" w:rsidR="007B3DB2" w:rsidRPr="0063248C" w:rsidRDefault="00000000">
            <w:pPr>
              <w:spacing w:line="240" w:lineRule="exact"/>
              <w:rPr>
                <w:rFonts w:cs="宋体"/>
                <w:sz w:val="18"/>
                <w:szCs w:val="18"/>
              </w:rPr>
            </w:pPr>
            <w:r w:rsidRPr="0063248C">
              <w:rPr>
                <w:rFonts w:cs="宋体"/>
                <w:sz w:val="18"/>
                <w:szCs w:val="18"/>
              </w:rPr>
              <w:t>合同负债</w:t>
            </w:r>
          </w:p>
        </w:tc>
        <w:tc>
          <w:tcPr>
            <w:tcW w:w="2836" w:type="dxa"/>
            <w:tcBorders>
              <w:top w:val="single" w:sz="2" w:space="0" w:color="auto"/>
              <w:left w:val="single" w:sz="2" w:space="0" w:color="auto"/>
              <w:bottom w:val="single" w:sz="2" w:space="0" w:color="auto"/>
              <w:right w:val="single" w:sz="2" w:space="0" w:color="auto"/>
            </w:tcBorders>
            <w:vAlign w:val="center"/>
          </w:tcPr>
          <w:p w14:paraId="51505B5E" w14:textId="77777777" w:rsidR="007B3DB2" w:rsidRPr="0063248C" w:rsidRDefault="00000000">
            <w:pPr>
              <w:spacing w:line="240" w:lineRule="exact"/>
              <w:rPr>
                <w:rFonts w:cs="宋体"/>
                <w:sz w:val="18"/>
                <w:szCs w:val="18"/>
              </w:rPr>
            </w:pPr>
            <w:r w:rsidRPr="0063248C">
              <w:rPr>
                <w:rFonts w:cs="宋体"/>
                <w:sz w:val="18"/>
                <w:szCs w:val="18"/>
              </w:rPr>
              <w:t>青岛飞熊领鲜科技有限公司</w:t>
            </w:r>
          </w:p>
        </w:tc>
        <w:tc>
          <w:tcPr>
            <w:tcW w:w="1984" w:type="dxa"/>
            <w:tcBorders>
              <w:top w:val="single" w:sz="2" w:space="0" w:color="auto"/>
              <w:left w:val="single" w:sz="2" w:space="0" w:color="auto"/>
              <w:bottom w:val="single" w:sz="2" w:space="0" w:color="auto"/>
              <w:right w:val="single" w:sz="2" w:space="0" w:color="auto"/>
            </w:tcBorders>
            <w:vAlign w:val="center"/>
          </w:tcPr>
          <w:p w14:paraId="12CE10AC" w14:textId="77777777" w:rsidR="007B3DB2" w:rsidRPr="0063248C" w:rsidRDefault="00000000">
            <w:pPr>
              <w:spacing w:line="240" w:lineRule="exact"/>
              <w:jc w:val="right"/>
              <w:rPr>
                <w:rFonts w:cs="宋体"/>
                <w:sz w:val="18"/>
                <w:szCs w:val="18"/>
              </w:rPr>
            </w:pPr>
            <w:r w:rsidRPr="0063248C">
              <w:rPr>
                <w:rFonts w:cs="宋体"/>
                <w:sz w:val="18"/>
                <w:szCs w:val="18"/>
              </w:rPr>
              <w:t>1,128,660.06</w:t>
            </w:r>
          </w:p>
        </w:tc>
        <w:tc>
          <w:tcPr>
            <w:tcW w:w="2410" w:type="dxa"/>
            <w:tcBorders>
              <w:top w:val="single" w:sz="2" w:space="0" w:color="auto"/>
              <w:left w:val="single" w:sz="2" w:space="0" w:color="auto"/>
              <w:bottom w:val="single" w:sz="2" w:space="0" w:color="auto"/>
              <w:right w:val="single" w:sz="2" w:space="0" w:color="auto"/>
            </w:tcBorders>
            <w:vAlign w:val="center"/>
          </w:tcPr>
          <w:p w14:paraId="06626311" w14:textId="77777777" w:rsidR="007B3DB2" w:rsidRPr="0063248C" w:rsidRDefault="007B3DB2">
            <w:pPr>
              <w:spacing w:line="240" w:lineRule="exact"/>
              <w:jc w:val="right"/>
              <w:rPr>
                <w:rFonts w:cs="宋体"/>
                <w:sz w:val="18"/>
                <w:szCs w:val="18"/>
              </w:rPr>
            </w:pPr>
          </w:p>
        </w:tc>
      </w:tr>
      <w:tr w:rsidR="007B3DB2" w:rsidRPr="0063248C" w14:paraId="2C799503" w14:textId="77777777" w:rsidTr="00080A3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3449CE65" w14:textId="77777777" w:rsidR="007B3DB2" w:rsidRPr="0063248C" w:rsidRDefault="00000000">
            <w:pPr>
              <w:spacing w:line="240" w:lineRule="exact"/>
              <w:rPr>
                <w:rFonts w:cs="宋体"/>
                <w:sz w:val="18"/>
                <w:szCs w:val="18"/>
              </w:rPr>
            </w:pPr>
            <w:r w:rsidRPr="0063248C">
              <w:rPr>
                <w:rFonts w:cs="宋体"/>
                <w:sz w:val="18"/>
                <w:szCs w:val="18"/>
              </w:rPr>
              <w:t>合同负债</w:t>
            </w:r>
          </w:p>
        </w:tc>
        <w:tc>
          <w:tcPr>
            <w:tcW w:w="2836" w:type="dxa"/>
            <w:tcBorders>
              <w:top w:val="single" w:sz="2" w:space="0" w:color="auto"/>
              <w:left w:val="single" w:sz="2" w:space="0" w:color="auto"/>
              <w:bottom w:val="single" w:sz="2" w:space="0" w:color="auto"/>
              <w:right w:val="single" w:sz="2" w:space="0" w:color="auto"/>
            </w:tcBorders>
            <w:vAlign w:val="center"/>
          </w:tcPr>
          <w:p w14:paraId="0E7FD156" w14:textId="77777777" w:rsidR="007B3DB2" w:rsidRPr="0063248C" w:rsidRDefault="00000000">
            <w:pPr>
              <w:spacing w:line="240" w:lineRule="exact"/>
              <w:rPr>
                <w:rFonts w:cs="宋体"/>
                <w:sz w:val="18"/>
                <w:szCs w:val="18"/>
              </w:rPr>
            </w:pPr>
            <w:r w:rsidRPr="0063248C">
              <w:rPr>
                <w:rFonts w:cs="宋体"/>
                <w:sz w:val="18"/>
                <w:szCs w:val="18"/>
              </w:rPr>
              <w:t>蓬莱富华冷藏有限公司</w:t>
            </w:r>
          </w:p>
        </w:tc>
        <w:tc>
          <w:tcPr>
            <w:tcW w:w="1984" w:type="dxa"/>
            <w:tcBorders>
              <w:top w:val="single" w:sz="2" w:space="0" w:color="auto"/>
              <w:left w:val="single" w:sz="2" w:space="0" w:color="auto"/>
              <w:bottom w:val="single" w:sz="2" w:space="0" w:color="auto"/>
              <w:right w:val="single" w:sz="2" w:space="0" w:color="auto"/>
            </w:tcBorders>
            <w:vAlign w:val="center"/>
          </w:tcPr>
          <w:p w14:paraId="588E7F25" w14:textId="77777777" w:rsidR="007B3DB2" w:rsidRPr="0063248C" w:rsidRDefault="007B3DB2">
            <w:pPr>
              <w:spacing w:line="240" w:lineRule="exact"/>
              <w:jc w:val="right"/>
              <w:rPr>
                <w:rFonts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DB0A367" w14:textId="77777777" w:rsidR="007B3DB2" w:rsidRPr="0063248C" w:rsidRDefault="00000000">
            <w:pPr>
              <w:spacing w:line="240" w:lineRule="exact"/>
              <w:jc w:val="right"/>
              <w:rPr>
                <w:rFonts w:cs="宋体"/>
                <w:sz w:val="18"/>
                <w:szCs w:val="18"/>
              </w:rPr>
            </w:pPr>
            <w:r w:rsidRPr="0063248C">
              <w:rPr>
                <w:rFonts w:cs="宋体"/>
                <w:sz w:val="18"/>
                <w:szCs w:val="18"/>
              </w:rPr>
              <w:t>828,541.15</w:t>
            </w:r>
          </w:p>
        </w:tc>
      </w:tr>
    </w:tbl>
    <w:p w14:paraId="4F5671D3" w14:textId="77777777" w:rsidR="007B3DB2" w:rsidRPr="0063248C" w:rsidRDefault="00000000">
      <w:pPr>
        <w:pStyle w:val="3"/>
        <w:spacing w:line="280" w:lineRule="exact"/>
        <w:jc w:val="left"/>
        <w:rPr>
          <w:rFonts w:cs="宋体"/>
          <w:b/>
          <w:bCs/>
        </w:rPr>
      </w:pPr>
      <w:bookmarkStart w:id="483" w:name="_Toc989377"/>
      <w:r w:rsidRPr="0063248C">
        <w:rPr>
          <w:rFonts w:cs="宋体"/>
          <w:b/>
          <w:bCs/>
        </w:rPr>
        <w:t>7</w:t>
      </w:r>
      <w:r w:rsidRPr="0063248C">
        <w:rPr>
          <w:rFonts w:cs="宋体"/>
          <w:b/>
          <w:bCs/>
        </w:rPr>
        <w:t>、关联方承诺</w:t>
      </w:r>
      <w:bookmarkEnd w:id="483"/>
    </w:p>
    <w:p w14:paraId="42598E68" w14:textId="77777777" w:rsidR="00517D34" w:rsidRPr="0063248C" w:rsidRDefault="00000000" w:rsidP="000F65D3">
      <w:pPr>
        <w:pStyle w:val="a3"/>
        <w:spacing w:before="0" w:beforeAutospacing="0" w:after="0" w:afterAutospacing="0" w:line="276" w:lineRule="auto"/>
        <w:ind w:firstLineChars="200" w:firstLine="360"/>
        <w:divId w:val="2026403341"/>
        <w:rPr>
          <w:rFonts w:ascii="Times New Roman" w:hAnsi="Times New Roman"/>
        </w:rPr>
      </w:pPr>
      <w:r w:rsidRPr="0063248C">
        <w:rPr>
          <w:rFonts w:ascii="Times New Roman" w:hAnsi="Times New Roman" w:hint="eastAsia"/>
          <w:sz w:val="18"/>
          <w:szCs w:val="18"/>
        </w:rPr>
        <w:t>公司实际控制人戴学斌、董翔，公司控股股东蓝润发展控股集团有限公司，莱阳银龙投资有限公司，公司董事、监事、高级管理人员已</w:t>
      </w:r>
      <w:proofErr w:type="gramStart"/>
      <w:r w:rsidRPr="0063248C">
        <w:rPr>
          <w:rFonts w:ascii="Times New Roman" w:hAnsi="Times New Roman" w:hint="eastAsia"/>
          <w:sz w:val="18"/>
          <w:szCs w:val="18"/>
        </w:rPr>
        <w:t>作出</w:t>
      </w:r>
      <w:proofErr w:type="gramEnd"/>
      <w:r w:rsidRPr="0063248C">
        <w:rPr>
          <w:rFonts w:ascii="Times New Roman" w:hAnsi="Times New Roman" w:hint="eastAsia"/>
          <w:sz w:val="18"/>
          <w:szCs w:val="18"/>
        </w:rPr>
        <w:t>关于避免或减少关联交易的承诺，承诺</w:t>
      </w:r>
      <w:proofErr w:type="gramStart"/>
      <w:r w:rsidRPr="0063248C">
        <w:rPr>
          <w:rFonts w:ascii="Times New Roman" w:hAnsi="Times New Roman" w:hint="eastAsia"/>
          <w:sz w:val="18"/>
          <w:szCs w:val="18"/>
        </w:rPr>
        <w:t>其及其</w:t>
      </w:r>
      <w:proofErr w:type="gramEnd"/>
      <w:r w:rsidRPr="0063248C">
        <w:rPr>
          <w:rFonts w:ascii="Times New Roman" w:hAnsi="Times New Roman" w:hint="eastAsia"/>
          <w:sz w:val="18"/>
          <w:szCs w:val="18"/>
        </w:rPr>
        <w:t>控股或控制的企业（公司及其控股或控制的企业除外）与公司及其控股或控制的企业之间将尽可能地避免或减少关联交易；对于无法避免或者有合理原因而发生的关联交易，将遵循市场公正、公平、公开的原则，并依法签订协议，履行合法程序，按照有关法律法规、规则以及公司章程等有关规定履行信息披露义务和办理有关报批手续，保证不通过关联交易损害公司及其他股东的合法权益。及其控股或控制的企业（公司及其控股或控制的企业除外）不向公司拆借、占用公司资金或采取由公司代垫款、代偿债务等方式侵占公司资金。</w:t>
      </w:r>
    </w:p>
    <w:p w14:paraId="00B9150F" w14:textId="77777777" w:rsidR="007B3DB2" w:rsidRPr="0063248C" w:rsidRDefault="00000000">
      <w:pPr>
        <w:pStyle w:val="3"/>
        <w:spacing w:line="280" w:lineRule="exact"/>
        <w:jc w:val="left"/>
        <w:rPr>
          <w:rFonts w:cs="宋体"/>
          <w:b/>
          <w:bCs/>
        </w:rPr>
      </w:pPr>
      <w:bookmarkStart w:id="484" w:name="_Toc989378"/>
      <w:r w:rsidRPr="0063248C">
        <w:rPr>
          <w:rFonts w:cs="宋体"/>
          <w:b/>
          <w:bCs/>
        </w:rPr>
        <w:t>8</w:t>
      </w:r>
      <w:r w:rsidRPr="0063248C">
        <w:rPr>
          <w:rFonts w:cs="宋体"/>
          <w:b/>
          <w:bCs/>
        </w:rPr>
        <w:t>、其他</w:t>
      </w:r>
      <w:bookmarkEnd w:id="484"/>
    </w:p>
    <w:p w14:paraId="57699BCB" w14:textId="77777777" w:rsidR="00517D34" w:rsidRPr="0063248C" w:rsidRDefault="00000000">
      <w:pPr>
        <w:pStyle w:val="a3"/>
        <w:spacing w:beforeAutospacing="0" w:afterAutospacing="0"/>
        <w:divId w:val="1768113193"/>
        <w:rPr>
          <w:rFonts w:ascii="Times New Roman" w:hAnsi="Times New Roman"/>
        </w:rPr>
      </w:pPr>
      <w:r w:rsidRPr="0063248C">
        <w:rPr>
          <w:rFonts w:ascii="Times New Roman" w:hAnsi="Times New Roman" w:hint="eastAsia"/>
          <w:sz w:val="18"/>
          <w:szCs w:val="18"/>
        </w:rPr>
        <w:t>无</w:t>
      </w:r>
    </w:p>
    <w:p w14:paraId="098A8F32" w14:textId="77777777" w:rsidR="007B3DB2" w:rsidRPr="0063248C" w:rsidRDefault="00000000">
      <w:pPr>
        <w:pStyle w:val="2"/>
        <w:spacing w:before="300" w:after="300" w:line="320" w:lineRule="exact"/>
        <w:rPr>
          <w:rFonts w:cs="宋体"/>
          <w:b/>
          <w:bCs/>
          <w:sz w:val="24"/>
          <w:szCs w:val="24"/>
        </w:rPr>
      </w:pPr>
      <w:bookmarkStart w:id="485" w:name="_Toc989379"/>
      <w:r w:rsidRPr="0063248C">
        <w:rPr>
          <w:rFonts w:cs="宋体"/>
          <w:b/>
          <w:bCs/>
          <w:sz w:val="24"/>
          <w:szCs w:val="24"/>
        </w:rPr>
        <w:t>十五、股份支付</w:t>
      </w:r>
      <w:bookmarkEnd w:id="485"/>
    </w:p>
    <w:p w14:paraId="23A424F1" w14:textId="77777777" w:rsidR="007B3DB2" w:rsidRPr="0063248C" w:rsidRDefault="00000000">
      <w:pPr>
        <w:pStyle w:val="3"/>
        <w:spacing w:line="280" w:lineRule="exact"/>
        <w:jc w:val="left"/>
        <w:rPr>
          <w:rFonts w:cs="宋体"/>
          <w:b/>
          <w:bCs/>
        </w:rPr>
      </w:pPr>
      <w:bookmarkStart w:id="486" w:name="_Toc989380"/>
      <w:r w:rsidRPr="0063248C">
        <w:rPr>
          <w:rFonts w:cs="宋体"/>
          <w:b/>
          <w:bCs/>
        </w:rPr>
        <w:t>1</w:t>
      </w:r>
      <w:r w:rsidRPr="0063248C">
        <w:rPr>
          <w:rFonts w:cs="宋体"/>
          <w:b/>
          <w:bCs/>
        </w:rPr>
        <w:t>、股份支付总体情况</w:t>
      </w:r>
      <w:bookmarkEnd w:id="486"/>
    </w:p>
    <w:p w14:paraId="6B29F8BB"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4380D34" w14:textId="77777777" w:rsidR="007B3DB2" w:rsidRPr="0063248C" w:rsidRDefault="00000000">
      <w:pPr>
        <w:pStyle w:val="3"/>
        <w:spacing w:line="280" w:lineRule="exact"/>
        <w:jc w:val="left"/>
        <w:rPr>
          <w:rFonts w:cs="宋体"/>
          <w:b/>
          <w:bCs/>
        </w:rPr>
      </w:pPr>
      <w:bookmarkStart w:id="487" w:name="_Toc989381"/>
      <w:r w:rsidRPr="0063248C">
        <w:rPr>
          <w:rFonts w:cs="宋体"/>
          <w:b/>
          <w:bCs/>
        </w:rPr>
        <w:t>2</w:t>
      </w:r>
      <w:r w:rsidRPr="0063248C">
        <w:rPr>
          <w:rFonts w:cs="宋体"/>
          <w:b/>
          <w:bCs/>
        </w:rPr>
        <w:t>、以权益结算的股份支付情况</w:t>
      </w:r>
      <w:bookmarkEnd w:id="487"/>
    </w:p>
    <w:p w14:paraId="355F53B1"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51A71F0" w14:textId="77777777" w:rsidR="007B3DB2" w:rsidRPr="0063248C" w:rsidRDefault="00000000">
      <w:pPr>
        <w:pStyle w:val="3"/>
        <w:spacing w:line="280" w:lineRule="exact"/>
        <w:jc w:val="left"/>
        <w:rPr>
          <w:rFonts w:cs="宋体"/>
          <w:b/>
          <w:bCs/>
        </w:rPr>
      </w:pPr>
      <w:bookmarkStart w:id="488" w:name="_Toc989382"/>
      <w:r w:rsidRPr="0063248C">
        <w:rPr>
          <w:rFonts w:cs="宋体"/>
          <w:b/>
          <w:bCs/>
        </w:rPr>
        <w:t>3</w:t>
      </w:r>
      <w:r w:rsidRPr="0063248C">
        <w:rPr>
          <w:rFonts w:cs="宋体"/>
          <w:b/>
          <w:bCs/>
        </w:rPr>
        <w:t>、以现金结算的股份支付情况</w:t>
      </w:r>
      <w:bookmarkEnd w:id="488"/>
    </w:p>
    <w:p w14:paraId="0291C65A"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D732D15" w14:textId="77777777" w:rsidR="007B3DB2" w:rsidRPr="0063248C" w:rsidRDefault="00000000">
      <w:pPr>
        <w:pStyle w:val="3"/>
        <w:spacing w:line="280" w:lineRule="exact"/>
        <w:jc w:val="left"/>
        <w:rPr>
          <w:rFonts w:cs="宋体"/>
          <w:b/>
          <w:bCs/>
        </w:rPr>
      </w:pPr>
      <w:bookmarkStart w:id="489" w:name="_Toc989383"/>
      <w:r w:rsidRPr="0063248C">
        <w:rPr>
          <w:rFonts w:cs="宋体"/>
          <w:b/>
          <w:bCs/>
        </w:rPr>
        <w:t>4</w:t>
      </w:r>
      <w:r w:rsidRPr="0063248C">
        <w:rPr>
          <w:rFonts w:cs="宋体"/>
          <w:b/>
          <w:bCs/>
        </w:rPr>
        <w:t>、本期股份支付费用</w:t>
      </w:r>
      <w:bookmarkEnd w:id="489"/>
    </w:p>
    <w:p w14:paraId="369555EC"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A0E20AB" w14:textId="77777777" w:rsidR="007B3DB2" w:rsidRPr="0063248C" w:rsidRDefault="00000000">
      <w:pPr>
        <w:pStyle w:val="3"/>
        <w:spacing w:line="280" w:lineRule="exact"/>
        <w:jc w:val="left"/>
        <w:rPr>
          <w:rFonts w:cs="宋体"/>
          <w:b/>
          <w:bCs/>
        </w:rPr>
      </w:pPr>
      <w:bookmarkStart w:id="490" w:name="_Toc989384"/>
      <w:r w:rsidRPr="0063248C">
        <w:rPr>
          <w:rFonts w:cs="宋体"/>
          <w:b/>
          <w:bCs/>
        </w:rPr>
        <w:t>5</w:t>
      </w:r>
      <w:r w:rsidRPr="0063248C">
        <w:rPr>
          <w:rFonts w:cs="宋体"/>
          <w:b/>
          <w:bCs/>
        </w:rPr>
        <w:t>、股份支付的修改、终止情况</w:t>
      </w:r>
      <w:bookmarkEnd w:id="490"/>
    </w:p>
    <w:p w14:paraId="2B08031C" w14:textId="77777777" w:rsidR="00517D34" w:rsidRPr="0063248C" w:rsidRDefault="00000000">
      <w:pPr>
        <w:pStyle w:val="a3"/>
        <w:divId w:val="1700812946"/>
        <w:rPr>
          <w:rFonts w:ascii="Times New Roman" w:hAnsi="Times New Roman"/>
          <w:sz w:val="18"/>
          <w:szCs w:val="18"/>
        </w:rPr>
      </w:pPr>
      <w:r w:rsidRPr="0063248C">
        <w:rPr>
          <w:rFonts w:ascii="Times New Roman" w:hAnsi="Times New Roman" w:hint="eastAsia"/>
          <w:sz w:val="18"/>
          <w:szCs w:val="18"/>
        </w:rPr>
        <w:t>无</w:t>
      </w:r>
    </w:p>
    <w:p w14:paraId="6D6C0B7B" w14:textId="77777777" w:rsidR="007B3DB2" w:rsidRPr="0063248C" w:rsidRDefault="00000000">
      <w:pPr>
        <w:pStyle w:val="3"/>
        <w:spacing w:line="280" w:lineRule="exact"/>
        <w:jc w:val="left"/>
        <w:rPr>
          <w:rFonts w:cs="宋体"/>
          <w:b/>
          <w:bCs/>
        </w:rPr>
      </w:pPr>
      <w:bookmarkStart w:id="491" w:name="_Toc989385"/>
      <w:r w:rsidRPr="0063248C">
        <w:rPr>
          <w:rFonts w:cs="宋体"/>
          <w:b/>
          <w:bCs/>
        </w:rPr>
        <w:t>6</w:t>
      </w:r>
      <w:r w:rsidRPr="0063248C">
        <w:rPr>
          <w:rFonts w:cs="宋体"/>
          <w:b/>
          <w:bCs/>
        </w:rPr>
        <w:t>、其他</w:t>
      </w:r>
      <w:r w:rsidRPr="0063248C">
        <w:rPr>
          <w:rFonts w:cs="宋体"/>
          <w:b/>
          <w:bCs/>
        </w:rPr>
        <w:t xml:space="preserve"> </w:t>
      </w:r>
      <w:bookmarkEnd w:id="491"/>
    </w:p>
    <w:p w14:paraId="6501645E" w14:textId="77777777" w:rsidR="00517D34" w:rsidRPr="0063248C" w:rsidRDefault="00000000">
      <w:pPr>
        <w:pStyle w:val="a3"/>
        <w:divId w:val="10425281"/>
        <w:rPr>
          <w:rFonts w:ascii="Times New Roman" w:hAnsi="Times New Roman"/>
          <w:sz w:val="18"/>
          <w:szCs w:val="18"/>
        </w:rPr>
      </w:pPr>
      <w:r w:rsidRPr="0063248C">
        <w:rPr>
          <w:rFonts w:ascii="Times New Roman" w:hAnsi="Times New Roman" w:hint="eastAsia"/>
          <w:sz w:val="18"/>
          <w:szCs w:val="18"/>
        </w:rPr>
        <w:t>无</w:t>
      </w:r>
    </w:p>
    <w:p w14:paraId="01745F91" w14:textId="77777777" w:rsidR="007B3DB2" w:rsidRPr="0063248C" w:rsidRDefault="00000000">
      <w:pPr>
        <w:pStyle w:val="2"/>
        <w:spacing w:before="300" w:after="300" w:line="320" w:lineRule="exact"/>
        <w:rPr>
          <w:rFonts w:cs="宋体"/>
          <w:b/>
          <w:bCs/>
          <w:sz w:val="24"/>
          <w:szCs w:val="24"/>
        </w:rPr>
      </w:pPr>
      <w:bookmarkStart w:id="492" w:name="_Toc989386"/>
      <w:r w:rsidRPr="0063248C">
        <w:rPr>
          <w:rFonts w:cs="宋体"/>
          <w:b/>
          <w:bCs/>
          <w:sz w:val="24"/>
          <w:szCs w:val="24"/>
        </w:rPr>
        <w:lastRenderedPageBreak/>
        <w:t>十六、承诺及或有事项</w:t>
      </w:r>
      <w:bookmarkEnd w:id="492"/>
    </w:p>
    <w:p w14:paraId="6882E2FD" w14:textId="77777777" w:rsidR="007B3DB2" w:rsidRPr="0063248C" w:rsidRDefault="00000000">
      <w:pPr>
        <w:pStyle w:val="3"/>
        <w:spacing w:line="280" w:lineRule="exact"/>
        <w:jc w:val="left"/>
        <w:rPr>
          <w:rFonts w:cs="宋体"/>
          <w:b/>
          <w:bCs/>
        </w:rPr>
      </w:pPr>
      <w:bookmarkStart w:id="493" w:name="_Toc989387"/>
      <w:r w:rsidRPr="0063248C">
        <w:rPr>
          <w:rFonts w:cs="宋体"/>
          <w:b/>
          <w:bCs/>
        </w:rPr>
        <w:t>1</w:t>
      </w:r>
      <w:r w:rsidRPr="0063248C">
        <w:rPr>
          <w:rFonts w:cs="宋体"/>
          <w:b/>
          <w:bCs/>
        </w:rPr>
        <w:t>、重要承诺事项</w:t>
      </w:r>
      <w:bookmarkEnd w:id="493"/>
    </w:p>
    <w:p w14:paraId="004AEF4A" w14:textId="77777777" w:rsidR="007B3DB2" w:rsidRPr="0063248C" w:rsidRDefault="00000000">
      <w:pPr>
        <w:spacing w:before="100" w:after="100" w:line="240" w:lineRule="exact"/>
        <w:rPr>
          <w:rFonts w:cs="宋体"/>
          <w:sz w:val="18"/>
          <w:szCs w:val="18"/>
        </w:rPr>
      </w:pPr>
      <w:r w:rsidRPr="0063248C">
        <w:rPr>
          <w:rFonts w:cs="宋体"/>
          <w:sz w:val="18"/>
          <w:szCs w:val="18"/>
        </w:rPr>
        <w:t>资产负债表</w:t>
      </w:r>
      <w:proofErr w:type="gramStart"/>
      <w:r w:rsidRPr="0063248C">
        <w:rPr>
          <w:rFonts w:cs="宋体"/>
          <w:sz w:val="18"/>
          <w:szCs w:val="18"/>
        </w:rPr>
        <w:t>日存在</w:t>
      </w:r>
      <w:proofErr w:type="gramEnd"/>
      <w:r w:rsidRPr="0063248C">
        <w:rPr>
          <w:rFonts w:cs="宋体"/>
          <w:sz w:val="18"/>
          <w:szCs w:val="18"/>
        </w:rPr>
        <w:t>的重要承诺</w:t>
      </w:r>
    </w:p>
    <w:p w14:paraId="55CA8D9F" w14:textId="77777777" w:rsidR="00517D34" w:rsidRPr="0063248C" w:rsidRDefault="00000000">
      <w:pPr>
        <w:pStyle w:val="a3"/>
        <w:divId w:val="1418869414"/>
        <w:rPr>
          <w:rFonts w:ascii="Times New Roman" w:hAnsi="Times New Roman"/>
          <w:sz w:val="18"/>
          <w:szCs w:val="18"/>
        </w:rPr>
      </w:pPr>
      <w:r w:rsidRPr="0063248C">
        <w:rPr>
          <w:rFonts w:ascii="Times New Roman" w:hAnsi="Times New Roman" w:hint="eastAsia"/>
          <w:sz w:val="18"/>
          <w:szCs w:val="18"/>
        </w:rPr>
        <w:t>无</w:t>
      </w:r>
    </w:p>
    <w:p w14:paraId="56A7FF41" w14:textId="77777777" w:rsidR="007B3DB2" w:rsidRPr="0063248C" w:rsidRDefault="00000000">
      <w:pPr>
        <w:pStyle w:val="3"/>
        <w:spacing w:line="280" w:lineRule="exact"/>
        <w:jc w:val="left"/>
        <w:rPr>
          <w:rFonts w:cs="宋体"/>
          <w:b/>
          <w:bCs/>
        </w:rPr>
      </w:pPr>
      <w:bookmarkStart w:id="494" w:name="_Toc989388"/>
      <w:r w:rsidRPr="0063248C">
        <w:rPr>
          <w:rFonts w:cs="宋体"/>
          <w:b/>
          <w:bCs/>
        </w:rPr>
        <w:t>2</w:t>
      </w:r>
      <w:r w:rsidRPr="0063248C">
        <w:rPr>
          <w:rFonts w:cs="宋体"/>
          <w:b/>
          <w:bCs/>
        </w:rPr>
        <w:t>、或有事项</w:t>
      </w:r>
      <w:bookmarkEnd w:id="494"/>
    </w:p>
    <w:p w14:paraId="05F83776" w14:textId="77777777" w:rsidR="007B3DB2" w:rsidRPr="0063248C" w:rsidRDefault="00000000">
      <w:pPr>
        <w:keepNext/>
        <w:keepLines/>
        <w:spacing w:before="300" w:after="300" w:line="280" w:lineRule="exact"/>
        <w:outlineLvl w:val="3"/>
        <w:rPr>
          <w:rFonts w:cs="宋体"/>
          <w:b/>
          <w:bCs/>
          <w:szCs w:val="21"/>
        </w:rPr>
      </w:pPr>
      <w:bookmarkStart w:id="495" w:name="_Toc989389"/>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资产负债表</w:t>
      </w:r>
      <w:proofErr w:type="gramStart"/>
      <w:r w:rsidRPr="0063248C">
        <w:rPr>
          <w:rFonts w:cs="宋体"/>
          <w:b/>
          <w:bCs/>
          <w:szCs w:val="21"/>
        </w:rPr>
        <w:t>日存在</w:t>
      </w:r>
      <w:proofErr w:type="gramEnd"/>
      <w:r w:rsidRPr="0063248C">
        <w:rPr>
          <w:rFonts w:cs="宋体"/>
          <w:b/>
          <w:bCs/>
          <w:szCs w:val="21"/>
        </w:rPr>
        <w:t>的重要或有事项</w:t>
      </w:r>
      <w:bookmarkEnd w:id="495"/>
    </w:p>
    <w:p w14:paraId="1E744AFD" w14:textId="77777777" w:rsidR="00517D34" w:rsidRPr="0063248C" w:rsidRDefault="00000000">
      <w:pPr>
        <w:pStyle w:val="a3"/>
        <w:divId w:val="140083182"/>
        <w:rPr>
          <w:rFonts w:ascii="Times New Roman" w:hAnsi="Times New Roman"/>
          <w:sz w:val="18"/>
          <w:szCs w:val="18"/>
        </w:rPr>
      </w:pPr>
      <w:r w:rsidRPr="0063248C">
        <w:rPr>
          <w:rFonts w:ascii="Times New Roman" w:hAnsi="Times New Roman" w:hint="eastAsia"/>
          <w:sz w:val="18"/>
          <w:szCs w:val="18"/>
        </w:rPr>
        <w:t>无</w:t>
      </w:r>
    </w:p>
    <w:p w14:paraId="6E6D8A53" w14:textId="77777777" w:rsidR="007B3DB2" w:rsidRPr="0063248C" w:rsidRDefault="00000000">
      <w:pPr>
        <w:keepNext/>
        <w:keepLines/>
        <w:spacing w:before="300" w:after="300" w:line="280" w:lineRule="exact"/>
        <w:outlineLvl w:val="3"/>
        <w:rPr>
          <w:rFonts w:cs="宋体"/>
          <w:b/>
          <w:bCs/>
          <w:szCs w:val="21"/>
        </w:rPr>
      </w:pPr>
      <w:bookmarkStart w:id="496" w:name="_Toc989390"/>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公司没有需要披露的重要或有事项，也应予以说明</w:t>
      </w:r>
      <w:bookmarkEnd w:id="496"/>
    </w:p>
    <w:p w14:paraId="7B6077C0" w14:textId="77777777" w:rsidR="007B3DB2" w:rsidRPr="0063248C" w:rsidRDefault="00000000">
      <w:pPr>
        <w:spacing w:before="40" w:after="40" w:line="240" w:lineRule="exact"/>
        <w:rPr>
          <w:rFonts w:cs="宋体"/>
          <w:sz w:val="18"/>
          <w:szCs w:val="18"/>
        </w:rPr>
      </w:pPr>
      <w:r w:rsidRPr="0063248C">
        <w:rPr>
          <w:rFonts w:cs="宋体"/>
          <w:sz w:val="18"/>
          <w:szCs w:val="18"/>
        </w:rPr>
        <w:t>公司不存在需要披露的重要或有事项。</w:t>
      </w:r>
    </w:p>
    <w:p w14:paraId="3EDF0CA4" w14:textId="77777777" w:rsidR="007B3DB2" w:rsidRPr="0063248C" w:rsidRDefault="00000000">
      <w:pPr>
        <w:pStyle w:val="3"/>
        <w:spacing w:line="280" w:lineRule="exact"/>
        <w:jc w:val="left"/>
        <w:rPr>
          <w:rFonts w:cs="宋体"/>
          <w:b/>
          <w:bCs/>
        </w:rPr>
      </w:pPr>
      <w:bookmarkStart w:id="497" w:name="_Toc989391"/>
      <w:r w:rsidRPr="0063248C">
        <w:rPr>
          <w:rFonts w:cs="宋体"/>
          <w:b/>
          <w:bCs/>
        </w:rPr>
        <w:t>3</w:t>
      </w:r>
      <w:r w:rsidRPr="0063248C">
        <w:rPr>
          <w:rFonts w:cs="宋体"/>
          <w:b/>
          <w:bCs/>
        </w:rPr>
        <w:t>、其他</w:t>
      </w:r>
      <w:bookmarkEnd w:id="497"/>
    </w:p>
    <w:p w14:paraId="0DF4CE37" w14:textId="77777777" w:rsidR="00517D34" w:rsidRPr="0063248C" w:rsidRDefault="00000000">
      <w:pPr>
        <w:pStyle w:val="a3"/>
        <w:divId w:val="236325011"/>
        <w:rPr>
          <w:rFonts w:ascii="Times New Roman" w:hAnsi="Times New Roman"/>
          <w:sz w:val="18"/>
          <w:szCs w:val="18"/>
        </w:rPr>
      </w:pPr>
      <w:r w:rsidRPr="0063248C">
        <w:rPr>
          <w:rFonts w:ascii="Times New Roman" w:hAnsi="Times New Roman" w:hint="eastAsia"/>
          <w:sz w:val="18"/>
          <w:szCs w:val="18"/>
        </w:rPr>
        <w:t>无</w:t>
      </w:r>
      <w:r w:rsidRPr="0063248C">
        <w:rPr>
          <w:rFonts w:ascii="Times New Roman" w:hAnsi="Times New Roman" w:hint="eastAsia"/>
          <w:sz w:val="18"/>
          <w:szCs w:val="18"/>
        </w:rPr>
        <w:t> </w:t>
      </w:r>
    </w:p>
    <w:p w14:paraId="0397D745" w14:textId="77777777" w:rsidR="007B3DB2" w:rsidRPr="0063248C" w:rsidRDefault="00000000">
      <w:pPr>
        <w:pStyle w:val="2"/>
        <w:spacing w:before="300" w:after="300" w:line="320" w:lineRule="exact"/>
        <w:rPr>
          <w:rFonts w:cs="宋体"/>
          <w:b/>
          <w:bCs/>
          <w:sz w:val="24"/>
          <w:szCs w:val="24"/>
        </w:rPr>
      </w:pPr>
      <w:bookmarkStart w:id="498" w:name="_Toc989392"/>
      <w:r w:rsidRPr="0063248C">
        <w:rPr>
          <w:rFonts w:cs="宋体"/>
          <w:b/>
          <w:bCs/>
          <w:sz w:val="24"/>
          <w:szCs w:val="24"/>
        </w:rPr>
        <w:t>十七、资产负债表日后事项</w:t>
      </w:r>
      <w:bookmarkEnd w:id="498"/>
    </w:p>
    <w:p w14:paraId="732A29E3" w14:textId="77777777" w:rsidR="007B3DB2" w:rsidRPr="0063248C" w:rsidRDefault="00000000">
      <w:pPr>
        <w:pStyle w:val="3"/>
        <w:spacing w:line="280" w:lineRule="exact"/>
        <w:jc w:val="left"/>
        <w:rPr>
          <w:rFonts w:cs="宋体"/>
          <w:b/>
          <w:bCs/>
        </w:rPr>
      </w:pPr>
      <w:bookmarkStart w:id="499" w:name="_Toc989393"/>
      <w:r w:rsidRPr="0063248C">
        <w:rPr>
          <w:rFonts w:cs="宋体"/>
          <w:b/>
          <w:bCs/>
        </w:rPr>
        <w:t>1</w:t>
      </w:r>
      <w:r w:rsidRPr="0063248C">
        <w:rPr>
          <w:rFonts w:cs="宋体"/>
          <w:b/>
          <w:bCs/>
        </w:rPr>
        <w:t>、重要的非调整事项</w:t>
      </w:r>
      <w:bookmarkEnd w:id="499"/>
    </w:p>
    <w:p w14:paraId="076C349B" w14:textId="77777777" w:rsidR="00E319D8" w:rsidRPr="0063248C" w:rsidRDefault="00E319D8" w:rsidP="00E319D8">
      <w:pPr>
        <w:pStyle w:val="a3"/>
        <w:rPr>
          <w:rFonts w:ascii="Times New Roman" w:hAnsi="Times New Roman"/>
          <w:sz w:val="18"/>
          <w:szCs w:val="18"/>
        </w:rPr>
      </w:pPr>
      <w:bookmarkStart w:id="500" w:name="_Toc989394"/>
      <w:r w:rsidRPr="0063248C">
        <w:rPr>
          <w:rFonts w:ascii="Times New Roman" w:hAnsi="Times New Roman" w:hint="eastAsia"/>
          <w:sz w:val="18"/>
          <w:szCs w:val="18"/>
        </w:rPr>
        <w:t>无</w:t>
      </w:r>
    </w:p>
    <w:p w14:paraId="58085459" w14:textId="77777777" w:rsidR="007B3DB2" w:rsidRPr="0063248C" w:rsidRDefault="00000000">
      <w:pPr>
        <w:pStyle w:val="3"/>
        <w:spacing w:line="280" w:lineRule="exact"/>
        <w:jc w:val="left"/>
        <w:rPr>
          <w:rFonts w:cs="宋体"/>
          <w:b/>
          <w:bCs/>
        </w:rPr>
      </w:pPr>
      <w:r w:rsidRPr="0063248C">
        <w:rPr>
          <w:rFonts w:cs="宋体"/>
          <w:b/>
          <w:bCs/>
        </w:rPr>
        <w:t>2</w:t>
      </w:r>
      <w:r w:rsidRPr="0063248C">
        <w:rPr>
          <w:rFonts w:cs="宋体"/>
          <w:b/>
          <w:bCs/>
        </w:rPr>
        <w:t>、利润分配情况</w:t>
      </w:r>
      <w:bookmarkEnd w:id="500"/>
    </w:p>
    <w:p w14:paraId="4E62E1D4" w14:textId="77777777" w:rsidR="00E319D8" w:rsidRPr="0063248C" w:rsidRDefault="00E319D8" w:rsidP="00E319D8">
      <w:pPr>
        <w:pStyle w:val="a3"/>
        <w:rPr>
          <w:rFonts w:ascii="Times New Roman" w:hAnsi="Times New Roman"/>
          <w:sz w:val="18"/>
          <w:szCs w:val="18"/>
        </w:rPr>
      </w:pPr>
      <w:bookmarkStart w:id="501" w:name="_Toc989395"/>
      <w:r w:rsidRPr="0063248C">
        <w:rPr>
          <w:rFonts w:ascii="Times New Roman" w:hAnsi="Times New Roman" w:hint="eastAsia"/>
          <w:sz w:val="18"/>
          <w:szCs w:val="18"/>
        </w:rPr>
        <w:t>无</w:t>
      </w:r>
    </w:p>
    <w:p w14:paraId="4802851F" w14:textId="77777777" w:rsidR="007B3DB2" w:rsidRPr="0063248C" w:rsidRDefault="00000000">
      <w:pPr>
        <w:pStyle w:val="3"/>
        <w:spacing w:line="280" w:lineRule="exact"/>
        <w:jc w:val="left"/>
        <w:rPr>
          <w:rFonts w:cs="宋体"/>
          <w:b/>
          <w:bCs/>
        </w:rPr>
      </w:pPr>
      <w:r w:rsidRPr="0063248C">
        <w:rPr>
          <w:rFonts w:cs="宋体"/>
          <w:b/>
          <w:bCs/>
        </w:rPr>
        <w:t>3</w:t>
      </w:r>
      <w:r w:rsidRPr="0063248C">
        <w:rPr>
          <w:rFonts w:cs="宋体"/>
          <w:b/>
          <w:bCs/>
        </w:rPr>
        <w:t>、销售退回</w:t>
      </w:r>
      <w:bookmarkEnd w:id="501"/>
    </w:p>
    <w:p w14:paraId="23B9CC35" w14:textId="77777777" w:rsidR="00517D34" w:rsidRPr="0063248C" w:rsidRDefault="00000000">
      <w:pPr>
        <w:pStyle w:val="a3"/>
        <w:divId w:val="92170392"/>
        <w:rPr>
          <w:rFonts w:ascii="Times New Roman" w:hAnsi="Times New Roman"/>
          <w:sz w:val="18"/>
          <w:szCs w:val="18"/>
        </w:rPr>
      </w:pPr>
      <w:r w:rsidRPr="0063248C">
        <w:rPr>
          <w:rFonts w:ascii="Times New Roman" w:hAnsi="Times New Roman" w:hint="eastAsia"/>
          <w:sz w:val="18"/>
          <w:szCs w:val="18"/>
        </w:rPr>
        <w:t>无</w:t>
      </w:r>
    </w:p>
    <w:p w14:paraId="29DBCDD8" w14:textId="77777777" w:rsidR="007B3DB2" w:rsidRPr="0063248C" w:rsidRDefault="00000000">
      <w:pPr>
        <w:pStyle w:val="3"/>
        <w:spacing w:line="280" w:lineRule="exact"/>
        <w:jc w:val="left"/>
        <w:rPr>
          <w:rFonts w:cs="宋体"/>
          <w:b/>
          <w:bCs/>
        </w:rPr>
      </w:pPr>
      <w:bookmarkStart w:id="502" w:name="_Toc989396"/>
      <w:r w:rsidRPr="0063248C">
        <w:rPr>
          <w:rFonts w:cs="宋体"/>
          <w:b/>
          <w:bCs/>
        </w:rPr>
        <w:t>4</w:t>
      </w:r>
      <w:r w:rsidRPr="0063248C">
        <w:rPr>
          <w:rFonts w:cs="宋体"/>
          <w:b/>
          <w:bCs/>
        </w:rPr>
        <w:t>、其他资产负债表日后事项说明</w:t>
      </w:r>
      <w:bookmarkEnd w:id="502"/>
    </w:p>
    <w:p w14:paraId="7074A0F9" w14:textId="77777777" w:rsidR="00517D34" w:rsidRPr="0063248C" w:rsidRDefault="00000000">
      <w:pPr>
        <w:pStyle w:val="a3"/>
        <w:divId w:val="739717404"/>
        <w:rPr>
          <w:rFonts w:ascii="Times New Roman" w:hAnsi="Times New Roman"/>
          <w:sz w:val="18"/>
          <w:szCs w:val="18"/>
        </w:rPr>
      </w:pPr>
      <w:r w:rsidRPr="0063248C">
        <w:rPr>
          <w:rFonts w:ascii="Times New Roman" w:hAnsi="Times New Roman" w:hint="eastAsia"/>
          <w:sz w:val="18"/>
          <w:szCs w:val="18"/>
        </w:rPr>
        <w:t>无</w:t>
      </w:r>
    </w:p>
    <w:p w14:paraId="45505190" w14:textId="77777777" w:rsidR="007B3DB2" w:rsidRPr="0063248C" w:rsidRDefault="00000000">
      <w:pPr>
        <w:pStyle w:val="2"/>
        <w:spacing w:before="300" w:after="300" w:line="320" w:lineRule="exact"/>
        <w:rPr>
          <w:rFonts w:cs="宋体"/>
          <w:b/>
          <w:bCs/>
          <w:sz w:val="24"/>
          <w:szCs w:val="24"/>
        </w:rPr>
      </w:pPr>
      <w:bookmarkStart w:id="503" w:name="_Toc989397"/>
      <w:r w:rsidRPr="0063248C">
        <w:rPr>
          <w:rFonts w:cs="宋体"/>
          <w:b/>
          <w:bCs/>
          <w:sz w:val="24"/>
          <w:szCs w:val="24"/>
        </w:rPr>
        <w:t>十八、其他重要事项</w:t>
      </w:r>
      <w:bookmarkEnd w:id="503"/>
    </w:p>
    <w:p w14:paraId="3555EABD" w14:textId="77777777" w:rsidR="007B3DB2" w:rsidRPr="0063248C" w:rsidRDefault="00000000">
      <w:pPr>
        <w:pStyle w:val="3"/>
        <w:spacing w:line="280" w:lineRule="exact"/>
        <w:jc w:val="left"/>
        <w:rPr>
          <w:rFonts w:cs="宋体"/>
          <w:b/>
          <w:bCs/>
        </w:rPr>
      </w:pPr>
      <w:bookmarkStart w:id="504" w:name="_Toc989398"/>
      <w:r w:rsidRPr="0063248C">
        <w:rPr>
          <w:rFonts w:cs="宋体"/>
          <w:b/>
          <w:bCs/>
        </w:rPr>
        <w:t>1</w:t>
      </w:r>
      <w:r w:rsidRPr="0063248C">
        <w:rPr>
          <w:rFonts w:cs="宋体"/>
          <w:b/>
          <w:bCs/>
        </w:rPr>
        <w:t>、前期会计差错更正</w:t>
      </w:r>
      <w:bookmarkEnd w:id="504"/>
    </w:p>
    <w:p w14:paraId="3C1B1DF1" w14:textId="77777777" w:rsidR="007B3DB2" w:rsidRPr="0063248C" w:rsidRDefault="00000000">
      <w:pPr>
        <w:keepNext/>
        <w:keepLines/>
        <w:spacing w:before="300" w:after="300" w:line="280" w:lineRule="exact"/>
        <w:outlineLvl w:val="3"/>
        <w:rPr>
          <w:rFonts w:cs="宋体"/>
          <w:b/>
          <w:bCs/>
          <w:szCs w:val="21"/>
        </w:rPr>
      </w:pPr>
      <w:bookmarkStart w:id="505" w:name="_Toc989399"/>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追溯重述法</w:t>
      </w:r>
      <w:bookmarkEnd w:id="505"/>
    </w:p>
    <w:p w14:paraId="427E6C30" w14:textId="77777777" w:rsidR="00E319D8" w:rsidRPr="0063248C" w:rsidRDefault="00E319D8" w:rsidP="00E319D8">
      <w:pPr>
        <w:pStyle w:val="a3"/>
        <w:rPr>
          <w:rFonts w:ascii="Times New Roman" w:hAnsi="Times New Roman"/>
          <w:sz w:val="18"/>
          <w:szCs w:val="18"/>
        </w:rPr>
      </w:pPr>
      <w:bookmarkStart w:id="506" w:name="_Toc989400"/>
      <w:r w:rsidRPr="0063248C">
        <w:rPr>
          <w:rFonts w:ascii="Times New Roman" w:hAnsi="Times New Roman" w:hint="eastAsia"/>
          <w:sz w:val="18"/>
          <w:szCs w:val="18"/>
        </w:rPr>
        <w:t>无</w:t>
      </w:r>
    </w:p>
    <w:p w14:paraId="1EFF15C6" w14:textId="77777777" w:rsidR="007B3DB2" w:rsidRDefault="00000000">
      <w:pPr>
        <w:keepNext/>
        <w:keepLines/>
        <w:spacing w:before="300" w:after="300" w:line="280" w:lineRule="exact"/>
        <w:outlineLvl w:val="3"/>
        <w:rPr>
          <w:rFonts w:cs="宋体"/>
          <w:b/>
          <w:bCs/>
          <w:szCs w:val="21"/>
        </w:rPr>
      </w:pPr>
      <w:r w:rsidRPr="0063248C">
        <w:rPr>
          <w:rFonts w:cs="宋体"/>
          <w:b/>
          <w:bCs/>
          <w:szCs w:val="21"/>
        </w:rPr>
        <w:lastRenderedPageBreak/>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未来适用法</w:t>
      </w:r>
      <w:bookmarkEnd w:id="506"/>
    </w:p>
    <w:p w14:paraId="5716AAF8" w14:textId="77777777" w:rsidR="00E319D8" w:rsidRPr="0063248C" w:rsidRDefault="00E319D8" w:rsidP="00E319D8">
      <w:pPr>
        <w:pStyle w:val="a3"/>
        <w:rPr>
          <w:rFonts w:ascii="Times New Roman" w:hAnsi="Times New Roman"/>
          <w:sz w:val="18"/>
          <w:szCs w:val="18"/>
        </w:rPr>
      </w:pPr>
      <w:bookmarkStart w:id="507" w:name="_Toc989401"/>
      <w:r w:rsidRPr="0063248C">
        <w:rPr>
          <w:rFonts w:ascii="Times New Roman" w:hAnsi="Times New Roman" w:hint="eastAsia"/>
          <w:sz w:val="18"/>
          <w:szCs w:val="18"/>
        </w:rPr>
        <w:t>无</w:t>
      </w:r>
    </w:p>
    <w:p w14:paraId="5BDDFE37" w14:textId="77777777" w:rsidR="007B3DB2" w:rsidRPr="0063248C" w:rsidRDefault="00000000">
      <w:pPr>
        <w:pStyle w:val="3"/>
        <w:spacing w:line="280" w:lineRule="exact"/>
        <w:jc w:val="left"/>
        <w:rPr>
          <w:rFonts w:cs="宋体"/>
          <w:b/>
          <w:bCs/>
        </w:rPr>
      </w:pPr>
      <w:r w:rsidRPr="0063248C">
        <w:rPr>
          <w:rFonts w:cs="宋体"/>
          <w:b/>
          <w:bCs/>
        </w:rPr>
        <w:t>2</w:t>
      </w:r>
      <w:r w:rsidRPr="0063248C">
        <w:rPr>
          <w:rFonts w:cs="宋体"/>
          <w:b/>
          <w:bCs/>
        </w:rPr>
        <w:t>、债务重组</w:t>
      </w:r>
      <w:bookmarkEnd w:id="507"/>
    </w:p>
    <w:p w14:paraId="6E6E6383" w14:textId="77777777" w:rsidR="00517D34" w:rsidRPr="0063248C" w:rsidRDefault="00000000">
      <w:pPr>
        <w:pStyle w:val="a3"/>
        <w:divId w:val="367754893"/>
        <w:rPr>
          <w:rFonts w:ascii="Times New Roman" w:hAnsi="Times New Roman"/>
          <w:sz w:val="18"/>
          <w:szCs w:val="18"/>
        </w:rPr>
      </w:pPr>
      <w:r w:rsidRPr="0063248C">
        <w:rPr>
          <w:rFonts w:ascii="Times New Roman" w:hAnsi="Times New Roman" w:hint="eastAsia"/>
          <w:sz w:val="18"/>
          <w:szCs w:val="18"/>
        </w:rPr>
        <w:t>无</w:t>
      </w:r>
    </w:p>
    <w:p w14:paraId="1BEC8922" w14:textId="77777777" w:rsidR="007B3DB2" w:rsidRPr="0063248C" w:rsidRDefault="00000000">
      <w:pPr>
        <w:pStyle w:val="3"/>
        <w:spacing w:line="280" w:lineRule="exact"/>
        <w:jc w:val="left"/>
        <w:rPr>
          <w:rFonts w:cs="宋体"/>
          <w:b/>
          <w:bCs/>
        </w:rPr>
      </w:pPr>
      <w:bookmarkStart w:id="508" w:name="_Toc989402"/>
      <w:r w:rsidRPr="0063248C">
        <w:rPr>
          <w:rFonts w:cs="宋体"/>
          <w:b/>
          <w:bCs/>
        </w:rPr>
        <w:t>3</w:t>
      </w:r>
      <w:r w:rsidRPr="0063248C">
        <w:rPr>
          <w:rFonts w:cs="宋体"/>
          <w:b/>
          <w:bCs/>
        </w:rPr>
        <w:t>、资产置换</w:t>
      </w:r>
      <w:bookmarkEnd w:id="508"/>
    </w:p>
    <w:p w14:paraId="5C55B098" w14:textId="77777777" w:rsidR="007B3DB2" w:rsidRPr="0063248C" w:rsidRDefault="00000000">
      <w:pPr>
        <w:keepNext/>
        <w:keepLines/>
        <w:spacing w:before="300" w:after="300" w:line="280" w:lineRule="exact"/>
        <w:outlineLvl w:val="3"/>
        <w:rPr>
          <w:rFonts w:cs="宋体"/>
          <w:b/>
          <w:bCs/>
          <w:szCs w:val="21"/>
        </w:rPr>
      </w:pPr>
      <w:bookmarkStart w:id="509" w:name="_Toc989403"/>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非货币性资产交换</w:t>
      </w:r>
      <w:bookmarkEnd w:id="509"/>
    </w:p>
    <w:p w14:paraId="5E64AFDA" w14:textId="77777777" w:rsidR="00517D34" w:rsidRPr="0063248C" w:rsidRDefault="00000000">
      <w:pPr>
        <w:pStyle w:val="a3"/>
        <w:divId w:val="220874275"/>
        <w:rPr>
          <w:rFonts w:ascii="Times New Roman" w:hAnsi="Times New Roman"/>
          <w:sz w:val="18"/>
          <w:szCs w:val="18"/>
        </w:rPr>
      </w:pPr>
      <w:r w:rsidRPr="0063248C">
        <w:rPr>
          <w:rFonts w:ascii="Times New Roman" w:hAnsi="Times New Roman" w:hint="eastAsia"/>
          <w:sz w:val="18"/>
          <w:szCs w:val="18"/>
        </w:rPr>
        <w:t>无</w:t>
      </w:r>
    </w:p>
    <w:p w14:paraId="57BB28F8" w14:textId="77777777" w:rsidR="007B3DB2" w:rsidRPr="0063248C" w:rsidRDefault="00000000">
      <w:pPr>
        <w:keepNext/>
        <w:keepLines/>
        <w:spacing w:before="300" w:after="300" w:line="280" w:lineRule="exact"/>
        <w:outlineLvl w:val="3"/>
        <w:rPr>
          <w:rFonts w:cs="宋体"/>
          <w:b/>
          <w:bCs/>
          <w:szCs w:val="21"/>
        </w:rPr>
      </w:pPr>
      <w:bookmarkStart w:id="510" w:name="_Toc989404"/>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其他资产置换</w:t>
      </w:r>
      <w:bookmarkEnd w:id="510"/>
    </w:p>
    <w:p w14:paraId="421F85B7" w14:textId="19278D37" w:rsidR="007B3DB2" w:rsidRPr="00E319D8" w:rsidRDefault="00E319D8" w:rsidP="00E319D8">
      <w:pPr>
        <w:pStyle w:val="a3"/>
        <w:rPr>
          <w:rFonts w:ascii="Times New Roman" w:hAnsi="Times New Roman"/>
          <w:sz w:val="18"/>
          <w:szCs w:val="18"/>
        </w:rPr>
      </w:pPr>
      <w:r w:rsidRPr="0063248C">
        <w:rPr>
          <w:rFonts w:ascii="Times New Roman" w:hAnsi="Times New Roman" w:hint="eastAsia"/>
          <w:sz w:val="18"/>
          <w:szCs w:val="18"/>
        </w:rPr>
        <w:t>无</w:t>
      </w:r>
    </w:p>
    <w:p w14:paraId="4E598C3B" w14:textId="77777777" w:rsidR="007B3DB2" w:rsidRPr="0063248C" w:rsidRDefault="00000000">
      <w:pPr>
        <w:pStyle w:val="3"/>
        <w:spacing w:line="280" w:lineRule="exact"/>
        <w:jc w:val="left"/>
        <w:rPr>
          <w:rFonts w:cs="宋体"/>
          <w:b/>
          <w:bCs/>
        </w:rPr>
      </w:pPr>
      <w:bookmarkStart w:id="511" w:name="_Toc989405"/>
      <w:r w:rsidRPr="0063248C">
        <w:rPr>
          <w:rFonts w:cs="宋体"/>
          <w:b/>
          <w:bCs/>
        </w:rPr>
        <w:t>4</w:t>
      </w:r>
      <w:r w:rsidRPr="0063248C">
        <w:rPr>
          <w:rFonts w:cs="宋体"/>
          <w:b/>
          <w:bCs/>
        </w:rPr>
        <w:t>、年金计划</w:t>
      </w:r>
      <w:bookmarkEnd w:id="511"/>
    </w:p>
    <w:p w14:paraId="5C65899A" w14:textId="77777777" w:rsidR="00517D34" w:rsidRPr="0063248C" w:rsidRDefault="00000000">
      <w:pPr>
        <w:pStyle w:val="a3"/>
        <w:divId w:val="989092920"/>
        <w:rPr>
          <w:rFonts w:ascii="Times New Roman" w:hAnsi="Times New Roman"/>
          <w:sz w:val="18"/>
          <w:szCs w:val="18"/>
        </w:rPr>
      </w:pPr>
      <w:r w:rsidRPr="0063248C">
        <w:rPr>
          <w:rFonts w:ascii="Times New Roman" w:hAnsi="Times New Roman" w:hint="eastAsia"/>
          <w:sz w:val="18"/>
          <w:szCs w:val="18"/>
        </w:rPr>
        <w:t>无</w:t>
      </w:r>
    </w:p>
    <w:p w14:paraId="3E5CAE70" w14:textId="77777777" w:rsidR="007B3DB2" w:rsidRPr="0063248C" w:rsidRDefault="00000000">
      <w:pPr>
        <w:pStyle w:val="3"/>
        <w:spacing w:line="280" w:lineRule="exact"/>
        <w:jc w:val="left"/>
        <w:rPr>
          <w:rFonts w:cs="宋体"/>
          <w:b/>
          <w:bCs/>
        </w:rPr>
      </w:pPr>
      <w:bookmarkStart w:id="512" w:name="_Toc989406"/>
      <w:r w:rsidRPr="0063248C">
        <w:rPr>
          <w:rFonts w:cs="宋体"/>
          <w:b/>
          <w:bCs/>
        </w:rPr>
        <w:t>5</w:t>
      </w:r>
      <w:r w:rsidRPr="0063248C">
        <w:rPr>
          <w:rFonts w:cs="宋体"/>
          <w:b/>
          <w:bCs/>
        </w:rPr>
        <w:t>、终止经营</w:t>
      </w:r>
      <w:bookmarkEnd w:id="512"/>
    </w:p>
    <w:p w14:paraId="0F909830" w14:textId="77777777" w:rsidR="00517D34" w:rsidRPr="0063248C" w:rsidRDefault="00000000">
      <w:pPr>
        <w:pStyle w:val="a3"/>
        <w:divId w:val="1884753330"/>
        <w:rPr>
          <w:rFonts w:ascii="Times New Roman" w:hAnsi="Times New Roman"/>
          <w:sz w:val="18"/>
          <w:szCs w:val="18"/>
        </w:rPr>
      </w:pPr>
      <w:r w:rsidRPr="0063248C">
        <w:rPr>
          <w:rFonts w:ascii="Times New Roman" w:hAnsi="Times New Roman" w:hint="eastAsia"/>
          <w:sz w:val="18"/>
          <w:szCs w:val="18"/>
        </w:rPr>
        <w:t>无</w:t>
      </w:r>
    </w:p>
    <w:p w14:paraId="392B1D5D" w14:textId="77777777" w:rsidR="007B3DB2" w:rsidRPr="0063248C" w:rsidRDefault="00000000">
      <w:pPr>
        <w:pStyle w:val="3"/>
        <w:spacing w:line="280" w:lineRule="exact"/>
        <w:jc w:val="left"/>
        <w:rPr>
          <w:rFonts w:cs="宋体"/>
          <w:b/>
          <w:bCs/>
        </w:rPr>
      </w:pPr>
      <w:bookmarkStart w:id="513" w:name="_Toc989407"/>
      <w:r w:rsidRPr="0063248C">
        <w:rPr>
          <w:rFonts w:cs="宋体"/>
          <w:b/>
          <w:bCs/>
        </w:rPr>
        <w:t>6</w:t>
      </w:r>
      <w:r w:rsidRPr="0063248C">
        <w:rPr>
          <w:rFonts w:cs="宋体"/>
          <w:b/>
          <w:bCs/>
        </w:rPr>
        <w:t>、分部信息</w:t>
      </w:r>
      <w:bookmarkEnd w:id="513"/>
    </w:p>
    <w:p w14:paraId="46124DE7" w14:textId="77777777" w:rsidR="007B3DB2" w:rsidRPr="0063248C" w:rsidRDefault="00000000">
      <w:pPr>
        <w:keepNext/>
        <w:keepLines/>
        <w:spacing w:before="300" w:after="300" w:line="280" w:lineRule="exact"/>
        <w:outlineLvl w:val="3"/>
        <w:rPr>
          <w:rFonts w:cs="宋体"/>
          <w:b/>
          <w:bCs/>
          <w:szCs w:val="21"/>
        </w:rPr>
      </w:pPr>
      <w:bookmarkStart w:id="514" w:name="_Toc989408"/>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报告分部的确定依据与会计政策</w:t>
      </w:r>
      <w:bookmarkEnd w:id="514"/>
    </w:p>
    <w:p w14:paraId="47437DF2" w14:textId="77777777" w:rsidR="00517D34" w:rsidRPr="0063248C" w:rsidRDefault="00000000">
      <w:pPr>
        <w:pStyle w:val="a3"/>
        <w:divId w:val="1716390895"/>
        <w:rPr>
          <w:rFonts w:ascii="Times New Roman" w:hAnsi="Times New Roman"/>
          <w:sz w:val="18"/>
          <w:szCs w:val="18"/>
        </w:rPr>
      </w:pPr>
      <w:r w:rsidRPr="0063248C">
        <w:rPr>
          <w:rFonts w:ascii="Times New Roman" w:hAnsi="Times New Roman" w:hint="eastAsia"/>
          <w:sz w:val="18"/>
          <w:szCs w:val="18"/>
        </w:rPr>
        <w:t>无</w:t>
      </w:r>
    </w:p>
    <w:p w14:paraId="03437D64" w14:textId="77777777" w:rsidR="007B3DB2" w:rsidRPr="0063248C" w:rsidRDefault="00000000">
      <w:pPr>
        <w:keepNext/>
        <w:keepLines/>
        <w:spacing w:before="300" w:after="300" w:line="280" w:lineRule="exact"/>
        <w:outlineLvl w:val="3"/>
        <w:rPr>
          <w:rFonts w:cs="宋体"/>
          <w:b/>
          <w:bCs/>
          <w:szCs w:val="21"/>
        </w:rPr>
      </w:pPr>
      <w:bookmarkStart w:id="515" w:name="_Toc989409"/>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报告分部的财务信息</w:t>
      </w:r>
      <w:bookmarkEnd w:id="515"/>
    </w:p>
    <w:p w14:paraId="6CA6F3C6" w14:textId="77777777" w:rsidR="00E319D8" w:rsidRPr="0063248C" w:rsidRDefault="00E319D8" w:rsidP="00E319D8">
      <w:pPr>
        <w:pStyle w:val="a3"/>
        <w:rPr>
          <w:rFonts w:ascii="Times New Roman" w:hAnsi="Times New Roman"/>
          <w:sz w:val="18"/>
          <w:szCs w:val="18"/>
        </w:rPr>
      </w:pPr>
      <w:bookmarkStart w:id="516" w:name="_Toc989410"/>
      <w:r w:rsidRPr="0063248C">
        <w:rPr>
          <w:rFonts w:ascii="Times New Roman" w:hAnsi="Times New Roman" w:hint="eastAsia"/>
          <w:sz w:val="18"/>
          <w:szCs w:val="18"/>
        </w:rPr>
        <w:t>无</w:t>
      </w:r>
    </w:p>
    <w:p w14:paraId="5401234E" w14:textId="77777777" w:rsidR="007B3DB2" w:rsidRPr="0063248C" w:rsidRDefault="00000000">
      <w:pPr>
        <w:keepNext/>
        <w:keepLines/>
        <w:spacing w:before="300" w:after="300" w:line="280" w:lineRule="exact"/>
        <w:outlineLvl w:val="3"/>
        <w:rPr>
          <w:rFonts w:cs="宋体"/>
          <w:b/>
          <w:bCs/>
          <w:szCs w:val="21"/>
        </w:rPr>
      </w:pPr>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公司</w:t>
      </w:r>
      <w:proofErr w:type="gramStart"/>
      <w:r w:rsidRPr="0063248C">
        <w:rPr>
          <w:rFonts w:cs="宋体"/>
          <w:b/>
          <w:bCs/>
          <w:szCs w:val="21"/>
        </w:rPr>
        <w:t>无报告</w:t>
      </w:r>
      <w:proofErr w:type="gramEnd"/>
      <w:r w:rsidRPr="0063248C">
        <w:rPr>
          <w:rFonts w:cs="宋体"/>
          <w:b/>
          <w:bCs/>
          <w:szCs w:val="21"/>
        </w:rPr>
        <w:t>分部的，或者不能披露各报告分部的资产总额和负债总额的，应说明原因</w:t>
      </w:r>
      <w:bookmarkEnd w:id="516"/>
    </w:p>
    <w:p w14:paraId="4AB4564E" w14:textId="77777777" w:rsidR="00517D34" w:rsidRPr="0063248C" w:rsidRDefault="00000000">
      <w:pPr>
        <w:pStyle w:val="a3"/>
        <w:divId w:val="1659843714"/>
        <w:rPr>
          <w:rFonts w:ascii="Times New Roman" w:hAnsi="Times New Roman"/>
          <w:sz w:val="18"/>
          <w:szCs w:val="18"/>
        </w:rPr>
      </w:pPr>
      <w:r w:rsidRPr="0063248C">
        <w:rPr>
          <w:rFonts w:ascii="Times New Roman" w:hAnsi="Times New Roman" w:hint="eastAsia"/>
          <w:sz w:val="18"/>
          <w:szCs w:val="18"/>
        </w:rPr>
        <w:t>无</w:t>
      </w:r>
    </w:p>
    <w:p w14:paraId="035FC88E" w14:textId="77777777" w:rsidR="007B3DB2" w:rsidRPr="0063248C" w:rsidRDefault="00000000">
      <w:pPr>
        <w:keepNext/>
        <w:keepLines/>
        <w:spacing w:before="300" w:after="300" w:line="280" w:lineRule="exact"/>
        <w:outlineLvl w:val="3"/>
        <w:rPr>
          <w:rFonts w:cs="宋体"/>
          <w:b/>
          <w:bCs/>
          <w:szCs w:val="21"/>
        </w:rPr>
      </w:pPr>
      <w:bookmarkStart w:id="517" w:name="_Toc989411"/>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其他说明</w:t>
      </w:r>
      <w:bookmarkEnd w:id="517"/>
    </w:p>
    <w:p w14:paraId="0C9D9760" w14:textId="77777777" w:rsidR="00517D34" w:rsidRPr="0063248C" w:rsidRDefault="00000000">
      <w:pPr>
        <w:pStyle w:val="a3"/>
        <w:divId w:val="41252847"/>
        <w:rPr>
          <w:rFonts w:ascii="Times New Roman" w:hAnsi="Times New Roman"/>
          <w:sz w:val="18"/>
          <w:szCs w:val="18"/>
        </w:rPr>
      </w:pPr>
      <w:r w:rsidRPr="0063248C">
        <w:rPr>
          <w:rFonts w:ascii="Times New Roman" w:hAnsi="Times New Roman" w:hint="eastAsia"/>
          <w:sz w:val="18"/>
          <w:szCs w:val="18"/>
        </w:rPr>
        <w:t>无</w:t>
      </w:r>
    </w:p>
    <w:p w14:paraId="14C502AA" w14:textId="77777777" w:rsidR="007B3DB2" w:rsidRPr="0063248C" w:rsidRDefault="00000000">
      <w:pPr>
        <w:pStyle w:val="3"/>
        <w:spacing w:line="280" w:lineRule="exact"/>
        <w:jc w:val="left"/>
        <w:rPr>
          <w:rFonts w:cs="宋体"/>
          <w:b/>
          <w:bCs/>
        </w:rPr>
      </w:pPr>
      <w:bookmarkStart w:id="518" w:name="_Toc989412"/>
      <w:r w:rsidRPr="0063248C">
        <w:rPr>
          <w:rFonts w:cs="宋体"/>
          <w:b/>
          <w:bCs/>
        </w:rPr>
        <w:t>7</w:t>
      </w:r>
      <w:r w:rsidRPr="0063248C">
        <w:rPr>
          <w:rFonts w:cs="宋体"/>
          <w:b/>
          <w:bCs/>
        </w:rPr>
        <w:t>、其他对投资者决策有影响的重要交易和事项</w:t>
      </w:r>
      <w:bookmarkEnd w:id="518"/>
    </w:p>
    <w:p w14:paraId="6503DD7E" w14:textId="77777777" w:rsidR="00517D34" w:rsidRPr="0063248C" w:rsidRDefault="00000000">
      <w:pPr>
        <w:pStyle w:val="a3"/>
        <w:divId w:val="1097406113"/>
        <w:rPr>
          <w:rFonts w:ascii="Times New Roman" w:hAnsi="Times New Roman"/>
          <w:sz w:val="18"/>
          <w:szCs w:val="18"/>
        </w:rPr>
      </w:pPr>
      <w:r w:rsidRPr="0063248C">
        <w:rPr>
          <w:rFonts w:ascii="Times New Roman" w:hAnsi="Times New Roman" w:hint="eastAsia"/>
          <w:sz w:val="18"/>
          <w:szCs w:val="18"/>
        </w:rPr>
        <w:t>无</w:t>
      </w:r>
    </w:p>
    <w:p w14:paraId="60550B48" w14:textId="77777777" w:rsidR="007B3DB2" w:rsidRPr="0063248C" w:rsidRDefault="00000000">
      <w:pPr>
        <w:pStyle w:val="3"/>
        <w:spacing w:line="280" w:lineRule="exact"/>
        <w:jc w:val="left"/>
        <w:rPr>
          <w:rFonts w:cs="宋体"/>
          <w:b/>
          <w:bCs/>
        </w:rPr>
      </w:pPr>
      <w:bookmarkStart w:id="519" w:name="_Toc989413"/>
      <w:r w:rsidRPr="0063248C">
        <w:rPr>
          <w:rFonts w:cs="宋体"/>
          <w:b/>
          <w:bCs/>
        </w:rPr>
        <w:lastRenderedPageBreak/>
        <w:t>8</w:t>
      </w:r>
      <w:r w:rsidRPr="0063248C">
        <w:rPr>
          <w:rFonts w:cs="宋体"/>
          <w:b/>
          <w:bCs/>
        </w:rPr>
        <w:t>、其他</w:t>
      </w:r>
      <w:bookmarkEnd w:id="519"/>
    </w:p>
    <w:p w14:paraId="399EA133" w14:textId="77777777" w:rsidR="00517D34" w:rsidRPr="0063248C" w:rsidRDefault="00000000">
      <w:pPr>
        <w:pStyle w:val="a3"/>
        <w:divId w:val="783426108"/>
        <w:rPr>
          <w:rFonts w:ascii="Times New Roman" w:hAnsi="Times New Roman"/>
          <w:sz w:val="18"/>
          <w:szCs w:val="18"/>
        </w:rPr>
      </w:pPr>
      <w:r w:rsidRPr="0063248C">
        <w:rPr>
          <w:rFonts w:ascii="Times New Roman" w:hAnsi="Times New Roman" w:hint="eastAsia"/>
          <w:sz w:val="18"/>
          <w:szCs w:val="18"/>
        </w:rPr>
        <w:t>无</w:t>
      </w:r>
    </w:p>
    <w:p w14:paraId="159AE56A" w14:textId="77777777" w:rsidR="007B3DB2" w:rsidRPr="0063248C" w:rsidRDefault="00000000">
      <w:pPr>
        <w:pStyle w:val="2"/>
        <w:spacing w:before="300" w:after="300" w:line="320" w:lineRule="exact"/>
        <w:rPr>
          <w:rFonts w:cs="宋体"/>
          <w:b/>
          <w:bCs/>
          <w:sz w:val="24"/>
          <w:szCs w:val="24"/>
        </w:rPr>
      </w:pPr>
      <w:bookmarkStart w:id="520" w:name="_Toc989414"/>
      <w:r w:rsidRPr="0063248C">
        <w:rPr>
          <w:rFonts w:cs="宋体"/>
          <w:b/>
          <w:bCs/>
          <w:sz w:val="24"/>
          <w:szCs w:val="24"/>
        </w:rPr>
        <w:t>十九、母公司财务报表主要项目注释</w:t>
      </w:r>
      <w:bookmarkEnd w:id="520"/>
    </w:p>
    <w:p w14:paraId="725FDCB6" w14:textId="77777777" w:rsidR="007B3DB2" w:rsidRPr="0063248C" w:rsidRDefault="00000000">
      <w:pPr>
        <w:pStyle w:val="3"/>
        <w:spacing w:line="280" w:lineRule="exact"/>
        <w:jc w:val="left"/>
        <w:rPr>
          <w:rFonts w:cs="宋体"/>
          <w:b/>
          <w:bCs/>
        </w:rPr>
      </w:pPr>
      <w:bookmarkStart w:id="521" w:name="_Toc989415"/>
      <w:r w:rsidRPr="0063248C">
        <w:rPr>
          <w:rFonts w:cs="宋体"/>
          <w:b/>
          <w:bCs/>
        </w:rPr>
        <w:t>1</w:t>
      </w:r>
      <w:r w:rsidRPr="0063248C">
        <w:rPr>
          <w:rFonts w:cs="宋体"/>
          <w:b/>
          <w:bCs/>
        </w:rPr>
        <w:t>、应收账款</w:t>
      </w:r>
      <w:bookmarkEnd w:id="521"/>
    </w:p>
    <w:p w14:paraId="62A31DB6" w14:textId="77777777" w:rsidR="007B3DB2" w:rsidRPr="0063248C" w:rsidRDefault="00000000">
      <w:pPr>
        <w:keepNext/>
        <w:keepLines/>
        <w:spacing w:before="300" w:after="300" w:line="280" w:lineRule="exact"/>
        <w:outlineLvl w:val="3"/>
        <w:rPr>
          <w:rFonts w:cs="宋体"/>
          <w:b/>
          <w:bCs/>
          <w:szCs w:val="21"/>
        </w:rPr>
      </w:pPr>
      <w:bookmarkStart w:id="522" w:name="_Toc989416"/>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proofErr w:type="gramStart"/>
      <w:r w:rsidRPr="0063248C">
        <w:rPr>
          <w:rFonts w:cs="宋体"/>
          <w:b/>
          <w:bCs/>
          <w:szCs w:val="21"/>
        </w:rPr>
        <w:t>按账龄</w:t>
      </w:r>
      <w:proofErr w:type="gramEnd"/>
      <w:r w:rsidRPr="0063248C">
        <w:rPr>
          <w:rFonts w:cs="宋体"/>
          <w:b/>
          <w:bCs/>
          <w:szCs w:val="21"/>
        </w:rPr>
        <w:t>披露</w:t>
      </w:r>
      <w:bookmarkEnd w:id="522"/>
    </w:p>
    <w:p w14:paraId="26B7C907"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474AC3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A7D952"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491F72"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48073E"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期初账面余额</w:t>
            </w:r>
          </w:p>
        </w:tc>
      </w:tr>
      <w:tr w:rsidR="007B3DB2" w:rsidRPr="0063248C" w14:paraId="29FE32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3B91AC"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年以内（含</w:t>
            </w:r>
            <w:r w:rsidRPr="0063248C">
              <w:rPr>
                <w:rFonts w:cs="宋体"/>
                <w:sz w:val="18"/>
                <w:szCs w:val="18"/>
              </w:rPr>
              <w:t>1</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7A502A7A" w14:textId="77777777" w:rsidR="007B3DB2" w:rsidRPr="0063248C" w:rsidRDefault="00000000">
            <w:pPr>
              <w:spacing w:line="240" w:lineRule="exact"/>
              <w:jc w:val="right"/>
              <w:rPr>
                <w:rFonts w:cs="宋体"/>
                <w:sz w:val="18"/>
                <w:szCs w:val="18"/>
              </w:rPr>
            </w:pPr>
            <w:r w:rsidRPr="0063248C">
              <w:rPr>
                <w:rFonts w:cs="宋体"/>
                <w:sz w:val="18"/>
                <w:szCs w:val="18"/>
              </w:rPr>
              <w:t>318,886,441.96</w:t>
            </w:r>
          </w:p>
        </w:tc>
        <w:tc>
          <w:tcPr>
            <w:tcW w:w="3213" w:type="dxa"/>
            <w:tcBorders>
              <w:top w:val="single" w:sz="2" w:space="0" w:color="auto"/>
              <w:left w:val="single" w:sz="2" w:space="0" w:color="auto"/>
              <w:bottom w:val="single" w:sz="2" w:space="0" w:color="auto"/>
              <w:right w:val="single" w:sz="2" w:space="0" w:color="auto"/>
            </w:tcBorders>
            <w:vAlign w:val="center"/>
          </w:tcPr>
          <w:p w14:paraId="707A96F5" w14:textId="77777777" w:rsidR="007B3DB2" w:rsidRPr="0063248C" w:rsidRDefault="00000000">
            <w:pPr>
              <w:spacing w:line="240" w:lineRule="exact"/>
              <w:jc w:val="right"/>
              <w:rPr>
                <w:rFonts w:cs="宋体"/>
                <w:sz w:val="18"/>
                <w:szCs w:val="18"/>
              </w:rPr>
            </w:pPr>
            <w:r w:rsidRPr="0063248C">
              <w:rPr>
                <w:rFonts w:cs="宋体"/>
                <w:sz w:val="18"/>
                <w:szCs w:val="18"/>
              </w:rPr>
              <w:t>416,341,029.75</w:t>
            </w:r>
          </w:p>
        </w:tc>
      </w:tr>
      <w:tr w:rsidR="007B3DB2" w:rsidRPr="0063248C" w14:paraId="25D9251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7F5C7E2" w14:textId="77777777" w:rsidR="007B3DB2" w:rsidRPr="0063248C" w:rsidRDefault="00000000">
            <w:pPr>
              <w:spacing w:line="240" w:lineRule="exact"/>
              <w:rPr>
                <w:rFonts w:cs="宋体"/>
                <w:sz w:val="18"/>
                <w:szCs w:val="18"/>
              </w:rPr>
            </w:pPr>
            <w:r w:rsidRPr="0063248C">
              <w:rPr>
                <w:rFonts w:cs="宋体"/>
                <w:sz w:val="18"/>
                <w:szCs w:val="18"/>
              </w:rPr>
              <w:t>1-3</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4B01EBA3" w14:textId="77777777" w:rsidR="007B3DB2" w:rsidRPr="0063248C" w:rsidRDefault="00000000">
            <w:pPr>
              <w:spacing w:line="240" w:lineRule="exact"/>
              <w:jc w:val="right"/>
              <w:rPr>
                <w:rFonts w:cs="宋体"/>
                <w:sz w:val="18"/>
                <w:szCs w:val="18"/>
              </w:rPr>
            </w:pPr>
            <w:r w:rsidRPr="0063248C">
              <w:rPr>
                <w:rFonts w:cs="宋体"/>
                <w:sz w:val="18"/>
                <w:szCs w:val="18"/>
              </w:rPr>
              <w:t>201,228,656.80</w:t>
            </w:r>
          </w:p>
        </w:tc>
        <w:tc>
          <w:tcPr>
            <w:tcW w:w="3213" w:type="dxa"/>
            <w:tcBorders>
              <w:top w:val="single" w:sz="2" w:space="0" w:color="auto"/>
              <w:left w:val="single" w:sz="2" w:space="0" w:color="auto"/>
              <w:bottom w:val="single" w:sz="2" w:space="0" w:color="auto"/>
              <w:right w:val="single" w:sz="2" w:space="0" w:color="auto"/>
            </w:tcBorders>
            <w:vAlign w:val="center"/>
          </w:tcPr>
          <w:p w14:paraId="23B9B172" w14:textId="77777777" w:rsidR="007B3DB2" w:rsidRPr="0063248C" w:rsidRDefault="00000000">
            <w:pPr>
              <w:spacing w:line="240" w:lineRule="exact"/>
              <w:jc w:val="right"/>
              <w:rPr>
                <w:rFonts w:cs="宋体"/>
                <w:sz w:val="18"/>
                <w:szCs w:val="18"/>
              </w:rPr>
            </w:pPr>
            <w:r w:rsidRPr="0063248C">
              <w:rPr>
                <w:rFonts w:cs="宋体"/>
                <w:sz w:val="18"/>
                <w:szCs w:val="18"/>
              </w:rPr>
              <w:t>346,190,583.84</w:t>
            </w:r>
          </w:p>
        </w:tc>
      </w:tr>
      <w:tr w:rsidR="007B3DB2" w:rsidRPr="0063248C" w14:paraId="2E68B1B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6712340" w14:textId="77777777" w:rsidR="007B3DB2" w:rsidRPr="0063248C" w:rsidRDefault="00000000">
            <w:pPr>
              <w:spacing w:line="240" w:lineRule="exact"/>
              <w:rPr>
                <w:rFonts w:cs="宋体"/>
                <w:sz w:val="18"/>
                <w:szCs w:val="18"/>
              </w:rPr>
            </w:pPr>
            <w:r w:rsidRPr="0063248C">
              <w:rPr>
                <w:rFonts w:cs="宋体"/>
                <w:sz w:val="18"/>
                <w:szCs w:val="18"/>
              </w:rPr>
              <w:t>4-6</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0D6208B3" w14:textId="77777777" w:rsidR="007B3DB2" w:rsidRPr="0063248C" w:rsidRDefault="00000000">
            <w:pPr>
              <w:spacing w:line="240" w:lineRule="exact"/>
              <w:jc w:val="right"/>
              <w:rPr>
                <w:rFonts w:cs="宋体"/>
                <w:sz w:val="18"/>
                <w:szCs w:val="18"/>
              </w:rPr>
            </w:pPr>
            <w:r w:rsidRPr="0063248C">
              <w:rPr>
                <w:rFonts w:cs="宋体"/>
                <w:sz w:val="18"/>
                <w:szCs w:val="18"/>
              </w:rPr>
              <w:t>31,501,503.02</w:t>
            </w:r>
          </w:p>
        </w:tc>
        <w:tc>
          <w:tcPr>
            <w:tcW w:w="3213" w:type="dxa"/>
            <w:tcBorders>
              <w:top w:val="single" w:sz="2" w:space="0" w:color="auto"/>
              <w:left w:val="single" w:sz="2" w:space="0" w:color="auto"/>
              <w:bottom w:val="single" w:sz="2" w:space="0" w:color="auto"/>
              <w:right w:val="single" w:sz="2" w:space="0" w:color="auto"/>
            </w:tcBorders>
            <w:vAlign w:val="center"/>
          </w:tcPr>
          <w:p w14:paraId="04F46238" w14:textId="77777777" w:rsidR="007B3DB2" w:rsidRPr="0063248C" w:rsidRDefault="00000000">
            <w:pPr>
              <w:spacing w:line="240" w:lineRule="exact"/>
              <w:jc w:val="right"/>
              <w:rPr>
                <w:rFonts w:cs="宋体"/>
                <w:sz w:val="18"/>
                <w:szCs w:val="18"/>
              </w:rPr>
            </w:pPr>
            <w:r w:rsidRPr="0063248C">
              <w:rPr>
                <w:rFonts w:cs="宋体"/>
                <w:sz w:val="18"/>
                <w:szCs w:val="18"/>
              </w:rPr>
              <w:t>50,308,236.62</w:t>
            </w:r>
          </w:p>
        </w:tc>
      </w:tr>
      <w:tr w:rsidR="007B3DB2" w:rsidRPr="0063248C" w14:paraId="6FF82D3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177B718" w14:textId="77777777" w:rsidR="007B3DB2" w:rsidRPr="0063248C" w:rsidRDefault="00000000">
            <w:pPr>
              <w:spacing w:line="240" w:lineRule="exact"/>
              <w:rPr>
                <w:rFonts w:cs="宋体"/>
                <w:sz w:val="18"/>
                <w:szCs w:val="18"/>
              </w:rPr>
            </w:pPr>
            <w:r w:rsidRPr="0063248C">
              <w:rPr>
                <w:rFonts w:cs="宋体"/>
                <w:sz w:val="18"/>
                <w:szCs w:val="18"/>
              </w:rPr>
              <w:t>7-9</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68B7CADD" w14:textId="77777777" w:rsidR="007B3DB2" w:rsidRPr="0063248C" w:rsidRDefault="00000000">
            <w:pPr>
              <w:spacing w:line="240" w:lineRule="exact"/>
              <w:jc w:val="right"/>
              <w:rPr>
                <w:rFonts w:cs="宋体"/>
                <w:sz w:val="18"/>
                <w:szCs w:val="18"/>
              </w:rPr>
            </w:pPr>
            <w:r w:rsidRPr="0063248C">
              <w:rPr>
                <w:rFonts w:cs="宋体"/>
                <w:sz w:val="18"/>
                <w:szCs w:val="18"/>
              </w:rPr>
              <w:t>72,805,021.57</w:t>
            </w:r>
          </w:p>
        </w:tc>
        <w:tc>
          <w:tcPr>
            <w:tcW w:w="3213" w:type="dxa"/>
            <w:tcBorders>
              <w:top w:val="single" w:sz="2" w:space="0" w:color="auto"/>
              <w:left w:val="single" w:sz="2" w:space="0" w:color="auto"/>
              <w:bottom w:val="single" w:sz="2" w:space="0" w:color="auto"/>
              <w:right w:val="single" w:sz="2" w:space="0" w:color="auto"/>
            </w:tcBorders>
            <w:vAlign w:val="center"/>
          </w:tcPr>
          <w:p w14:paraId="6DEE747F" w14:textId="77777777" w:rsidR="007B3DB2" w:rsidRPr="0063248C" w:rsidRDefault="00000000">
            <w:pPr>
              <w:spacing w:line="240" w:lineRule="exact"/>
              <w:jc w:val="right"/>
              <w:rPr>
                <w:rFonts w:cs="宋体"/>
                <w:sz w:val="18"/>
                <w:szCs w:val="18"/>
              </w:rPr>
            </w:pPr>
            <w:r w:rsidRPr="0063248C">
              <w:rPr>
                <w:rFonts w:cs="宋体"/>
                <w:sz w:val="18"/>
                <w:szCs w:val="18"/>
              </w:rPr>
              <w:t>14,546,491.13</w:t>
            </w:r>
          </w:p>
        </w:tc>
      </w:tr>
      <w:tr w:rsidR="007B3DB2" w:rsidRPr="0063248C" w14:paraId="0344556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EEC55CD" w14:textId="77777777" w:rsidR="007B3DB2" w:rsidRPr="0063248C" w:rsidRDefault="00000000">
            <w:pPr>
              <w:spacing w:line="240" w:lineRule="exact"/>
              <w:rPr>
                <w:rFonts w:cs="宋体"/>
                <w:sz w:val="18"/>
                <w:szCs w:val="18"/>
              </w:rPr>
            </w:pPr>
            <w:r w:rsidRPr="0063248C">
              <w:rPr>
                <w:rFonts w:cs="宋体"/>
                <w:sz w:val="18"/>
                <w:szCs w:val="18"/>
              </w:rPr>
              <w:t>10-12</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6BA46ED0" w14:textId="77777777" w:rsidR="007B3DB2" w:rsidRPr="0063248C" w:rsidRDefault="00000000">
            <w:pPr>
              <w:spacing w:line="240" w:lineRule="exact"/>
              <w:jc w:val="right"/>
              <w:rPr>
                <w:rFonts w:cs="宋体"/>
                <w:sz w:val="18"/>
                <w:szCs w:val="18"/>
              </w:rPr>
            </w:pPr>
            <w:r w:rsidRPr="0063248C">
              <w:rPr>
                <w:rFonts w:cs="宋体"/>
                <w:sz w:val="18"/>
                <w:szCs w:val="18"/>
              </w:rPr>
              <w:t>13,351,260.57</w:t>
            </w:r>
          </w:p>
        </w:tc>
        <w:tc>
          <w:tcPr>
            <w:tcW w:w="3213" w:type="dxa"/>
            <w:tcBorders>
              <w:top w:val="single" w:sz="2" w:space="0" w:color="auto"/>
              <w:left w:val="single" w:sz="2" w:space="0" w:color="auto"/>
              <w:bottom w:val="single" w:sz="2" w:space="0" w:color="auto"/>
              <w:right w:val="single" w:sz="2" w:space="0" w:color="auto"/>
            </w:tcBorders>
            <w:vAlign w:val="center"/>
          </w:tcPr>
          <w:p w14:paraId="1E3C1D7F" w14:textId="77777777" w:rsidR="007B3DB2" w:rsidRPr="0063248C" w:rsidRDefault="00000000">
            <w:pPr>
              <w:spacing w:line="240" w:lineRule="exact"/>
              <w:jc w:val="right"/>
              <w:rPr>
                <w:rFonts w:cs="宋体"/>
                <w:sz w:val="18"/>
                <w:szCs w:val="18"/>
              </w:rPr>
            </w:pPr>
            <w:r w:rsidRPr="0063248C">
              <w:rPr>
                <w:rFonts w:cs="宋体"/>
                <w:sz w:val="18"/>
                <w:szCs w:val="18"/>
              </w:rPr>
              <w:t>5,295,718.16</w:t>
            </w:r>
          </w:p>
        </w:tc>
      </w:tr>
      <w:tr w:rsidR="007B3DB2" w:rsidRPr="0063248C" w14:paraId="2CFA68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8CEFBC"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至</w:t>
            </w:r>
            <w:r w:rsidRPr="0063248C">
              <w:rPr>
                <w:rFonts w:cs="宋体"/>
                <w:sz w:val="18"/>
                <w:szCs w:val="18"/>
              </w:rPr>
              <w:t>2</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0CD5FCA8" w14:textId="77777777" w:rsidR="007B3DB2" w:rsidRPr="0063248C" w:rsidRDefault="00000000">
            <w:pPr>
              <w:spacing w:line="240" w:lineRule="exact"/>
              <w:jc w:val="right"/>
              <w:rPr>
                <w:rFonts w:cs="宋体"/>
                <w:sz w:val="18"/>
                <w:szCs w:val="18"/>
              </w:rPr>
            </w:pPr>
            <w:r w:rsidRPr="0063248C">
              <w:rPr>
                <w:rFonts w:cs="宋体"/>
                <w:sz w:val="18"/>
                <w:szCs w:val="18"/>
              </w:rPr>
              <w:t>29,614,263.67</w:t>
            </w:r>
          </w:p>
        </w:tc>
        <w:tc>
          <w:tcPr>
            <w:tcW w:w="3213" w:type="dxa"/>
            <w:tcBorders>
              <w:top w:val="single" w:sz="2" w:space="0" w:color="auto"/>
              <w:left w:val="single" w:sz="2" w:space="0" w:color="auto"/>
              <w:bottom w:val="single" w:sz="2" w:space="0" w:color="auto"/>
              <w:right w:val="single" w:sz="2" w:space="0" w:color="auto"/>
            </w:tcBorders>
            <w:vAlign w:val="center"/>
          </w:tcPr>
          <w:p w14:paraId="084A7F18" w14:textId="77777777" w:rsidR="007B3DB2" w:rsidRPr="0063248C" w:rsidRDefault="00000000">
            <w:pPr>
              <w:spacing w:line="240" w:lineRule="exact"/>
              <w:jc w:val="right"/>
              <w:rPr>
                <w:rFonts w:cs="宋体"/>
                <w:sz w:val="18"/>
                <w:szCs w:val="18"/>
              </w:rPr>
            </w:pPr>
            <w:r w:rsidRPr="0063248C">
              <w:rPr>
                <w:rFonts w:cs="宋体"/>
                <w:sz w:val="18"/>
                <w:szCs w:val="18"/>
              </w:rPr>
              <w:t>17,199,968.60</w:t>
            </w:r>
          </w:p>
        </w:tc>
      </w:tr>
      <w:tr w:rsidR="007B3DB2" w:rsidRPr="0063248C" w14:paraId="175EB2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944DD5"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至</w:t>
            </w:r>
            <w:r w:rsidRPr="0063248C">
              <w:rPr>
                <w:rFonts w:cs="宋体"/>
                <w:sz w:val="18"/>
                <w:szCs w:val="18"/>
              </w:rPr>
              <w:t>3</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5D7A9C6C" w14:textId="77777777" w:rsidR="007B3DB2" w:rsidRPr="0063248C" w:rsidRDefault="00000000">
            <w:pPr>
              <w:spacing w:line="240" w:lineRule="exact"/>
              <w:jc w:val="right"/>
              <w:rPr>
                <w:rFonts w:cs="宋体"/>
                <w:sz w:val="18"/>
                <w:szCs w:val="18"/>
              </w:rPr>
            </w:pPr>
            <w:r w:rsidRPr="0063248C">
              <w:rPr>
                <w:rFonts w:cs="宋体"/>
                <w:sz w:val="18"/>
                <w:szCs w:val="18"/>
              </w:rPr>
              <w:t>8,849,248.12</w:t>
            </w:r>
          </w:p>
        </w:tc>
        <w:tc>
          <w:tcPr>
            <w:tcW w:w="3213" w:type="dxa"/>
            <w:tcBorders>
              <w:top w:val="single" w:sz="2" w:space="0" w:color="auto"/>
              <w:left w:val="single" w:sz="2" w:space="0" w:color="auto"/>
              <w:bottom w:val="single" w:sz="2" w:space="0" w:color="auto"/>
              <w:right w:val="single" w:sz="2" w:space="0" w:color="auto"/>
            </w:tcBorders>
            <w:vAlign w:val="center"/>
          </w:tcPr>
          <w:p w14:paraId="43CFD657" w14:textId="77777777" w:rsidR="007B3DB2" w:rsidRPr="0063248C" w:rsidRDefault="00000000">
            <w:pPr>
              <w:spacing w:line="240" w:lineRule="exact"/>
              <w:jc w:val="right"/>
              <w:rPr>
                <w:rFonts w:cs="宋体"/>
                <w:sz w:val="18"/>
                <w:szCs w:val="18"/>
              </w:rPr>
            </w:pPr>
            <w:r w:rsidRPr="0063248C">
              <w:rPr>
                <w:rFonts w:cs="宋体"/>
                <w:sz w:val="18"/>
                <w:szCs w:val="18"/>
              </w:rPr>
              <w:t>5,602,630.30</w:t>
            </w:r>
          </w:p>
        </w:tc>
      </w:tr>
      <w:tr w:rsidR="007B3DB2" w:rsidRPr="0063248C" w14:paraId="24E696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E56740"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49B6B700" w14:textId="77777777" w:rsidR="007B3DB2" w:rsidRPr="0063248C" w:rsidRDefault="00000000">
            <w:pPr>
              <w:spacing w:line="240" w:lineRule="exact"/>
              <w:jc w:val="right"/>
              <w:rPr>
                <w:rFonts w:cs="宋体"/>
                <w:sz w:val="18"/>
                <w:szCs w:val="18"/>
              </w:rPr>
            </w:pPr>
            <w:r w:rsidRPr="0063248C">
              <w:rPr>
                <w:rFonts w:cs="宋体"/>
                <w:sz w:val="18"/>
                <w:szCs w:val="18"/>
              </w:rPr>
              <w:t>6,769,663.71</w:t>
            </w:r>
          </w:p>
        </w:tc>
        <w:tc>
          <w:tcPr>
            <w:tcW w:w="3213" w:type="dxa"/>
            <w:tcBorders>
              <w:top w:val="single" w:sz="2" w:space="0" w:color="auto"/>
              <w:left w:val="single" w:sz="2" w:space="0" w:color="auto"/>
              <w:bottom w:val="single" w:sz="2" w:space="0" w:color="auto"/>
              <w:right w:val="single" w:sz="2" w:space="0" w:color="auto"/>
            </w:tcBorders>
            <w:vAlign w:val="center"/>
          </w:tcPr>
          <w:p w14:paraId="0197500C" w14:textId="77777777" w:rsidR="007B3DB2" w:rsidRPr="0063248C" w:rsidRDefault="00000000">
            <w:pPr>
              <w:spacing w:line="240" w:lineRule="exact"/>
              <w:jc w:val="right"/>
              <w:rPr>
                <w:rFonts w:cs="宋体"/>
                <w:sz w:val="18"/>
                <w:szCs w:val="18"/>
              </w:rPr>
            </w:pPr>
            <w:r w:rsidRPr="0063248C">
              <w:rPr>
                <w:rFonts w:cs="宋体"/>
                <w:sz w:val="18"/>
                <w:szCs w:val="18"/>
              </w:rPr>
              <w:t>6,610,579.61</w:t>
            </w:r>
          </w:p>
        </w:tc>
      </w:tr>
      <w:tr w:rsidR="007B3DB2" w:rsidRPr="0063248C" w14:paraId="3F8BB8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176BAF"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至</w:t>
            </w:r>
            <w:r w:rsidRPr="0063248C">
              <w:rPr>
                <w:rFonts w:cs="宋体"/>
                <w:sz w:val="18"/>
                <w:szCs w:val="18"/>
              </w:rPr>
              <w:t>4</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68ADA53" w14:textId="77777777" w:rsidR="007B3DB2" w:rsidRPr="0063248C" w:rsidRDefault="00000000">
            <w:pPr>
              <w:spacing w:line="240" w:lineRule="exact"/>
              <w:jc w:val="right"/>
              <w:rPr>
                <w:rFonts w:cs="宋体"/>
                <w:sz w:val="18"/>
                <w:szCs w:val="18"/>
              </w:rPr>
            </w:pPr>
            <w:r w:rsidRPr="0063248C">
              <w:rPr>
                <w:rFonts w:cs="宋体"/>
                <w:sz w:val="18"/>
                <w:szCs w:val="18"/>
              </w:rPr>
              <w:t>6,769,663.71</w:t>
            </w:r>
          </w:p>
        </w:tc>
        <w:tc>
          <w:tcPr>
            <w:tcW w:w="3213" w:type="dxa"/>
            <w:tcBorders>
              <w:top w:val="single" w:sz="2" w:space="0" w:color="auto"/>
              <w:left w:val="single" w:sz="2" w:space="0" w:color="auto"/>
              <w:bottom w:val="single" w:sz="2" w:space="0" w:color="auto"/>
              <w:right w:val="single" w:sz="2" w:space="0" w:color="auto"/>
            </w:tcBorders>
            <w:vAlign w:val="center"/>
          </w:tcPr>
          <w:p w14:paraId="57E677B8" w14:textId="77777777" w:rsidR="007B3DB2" w:rsidRPr="0063248C" w:rsidRDefault="00000000">
            <w:pPr>
              <w:spacing w:line="240" w:lineRule="exact"/>
              <w:jc w:val="right"/>
              <w:rPr>
                <w:rFonts w:cs="宋体"/>
                <w:sz w:val="18"/>
                <w:szCs w:val="18"/>
              </w:rPr>
            </w:pPr>
            <w:r w:rsidRPr="0063248C">
              <w:rPr>
                <w:rFonts w:cs="宋体"/>
                <w:sz w:val="18"/>
                <w:szCs w:val="18"/>
              </w:rPr>
              <w:t>20,066.23</w:t>
            </w:r>
          </w:p>
        </w:tc>
      </w:tr>
      <w:tr w:rsidR="007B3DB2" w:rsidRPr="0063248C" w14:paraId="26AD41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2AD989"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至</w:t>
            </w:r>
            <w:r w:rsidRPr="0063248C">
              <w:rPr>
                <w:rFonts w:cs="宋体"/>
                <w:sz w:val="18"/>
                <w:szCs w:val="18"/>
              </w:rPr>
              <w:t>5</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7CE83C00" w14:textId="77777777" w:rsidR="007B3DB2" w:rsidRPr="0063248C" w:rsidRDefault="007B3DB2">
            <w:pPr>
              <w:spacing w:line="240" w:lineRule="exact"/>
              <w:jc w:val="right"/>
              <w:rPr>
                <w:rFonts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52C71B" w14:textId="77777777" w:rsidR="007B3DB2" w:rsidRPr="0063248C" w:rsidRDefault="00000000">
            <w:pPr>
              <w:spacing w:line="240" w:lineRule="exact"/>
              <w:jc w:val="right"/>
              <w:rPr>
                <w:rFonts w:cs="宋体"/>
                <w:sz w:val="18"/>
                <w:szCs w:val="18"/>
              </w:rPr>
            </w:pPr>
            <w:r w:rsidRPr="0063248C">
              <w:rPr>
                <w:rFonts w:cs="宋体"/>
                <w:sz w:val="18"/>
                <w:szCs w:val="18"/>
              </w:rPr>
              <w:t>6,590,513.38</w:t>
            </w:r>
          </w:p>
        </w:tc>
      </w:tr>
      <w:tr w:rsidR="007B3DB2" w:rsidRPr="0063248C" w14:paraId="2A1493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B40515"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833D497" w14:textId="77777777" w:rsidR="007B3DB2" w:rsidRPr="0063248C" w:rsidRDefault="00000000">
            <w:pPr>
              <w:spacing w:line="240" w:lineRule="exact"/>
              <w:jc w:val="right"/>
              <w:rPr>
                <w:rFonts w:cs="宋体"/>
                <w:sz w:val="18"/>
                <w:szCs w:val="18"/>
              </w:rPr>
            </w:pPr>
            <w:r w:rsidRPr="0063248C">
              <w:rPr>
                <w:rFonts w:cs="宋体"/>
                <w:sz w:val="18"/>
                <w:szCs w:val="18"/>
              </w:rPr>
              <w:t>364,119,617.46</w:t>
            </w:r>
          </w:p>
        </w:tc>
        <w:tc>
          <w:tcPr>
            <w:tcW w:w="3213" w:type="dxa"/>
            <w:tcBorders>
              <w:top w:val="single" w:sz="2" w:space="0" w:color="auto"/>
              <w:left w:val="single" w:sz="2" w:space="0" w:color="auto"/>
              <w:bottom w:val="single" w:sz="2" w:space="0" w:color="auto"/>
              <w:right w:val="single" w:sz="2" w:space="0" w:color="auto"/>
            </w:tcBorders>
            <w:vAlign w:val="center"/>
          </w:tcPr>
          <w:p w14:paraId="176F7628" w14:textId="77777777" w:rsidR="007B3DB2" w:rsidRPr="0063248C" w:rsidRDefault="00000000">
            <w:pPr>
              <w:spacing w:line="240" w:lineRule="exact"/>
              <w:jc w:val="right"/>
              <w:rPr>
                <w:rFonts w:cs="宋体"/>
                <w:sz w:val="18"/>
                <w:szCs w:val="18"/>
              </w:rPr>
            </w:pPr>
            <w:r w:rsidRPr="0063248C">
              <w:rPr>
                <w:rFonts w:cs="宋体"/>
                <w:sz w:val="18"/>
                <w:szCs w:val="18"/>
              </w:rPr>
              <w:t>445,754,208.26</w:t>
            </w:r>
          </w:p>
        </w:tc>
      </w:tr>
    </w:tbl>
    <w:p w14:paraId="725B4918" w14:textId="77777777" w:rsidR="007B3DB2" w:rsidRPr="0063248C" w:rsidRDefault="00000000">
      <w:pPr>
        <w:keepNext/>
        <w:keepLines/>
        <w:spacing w:before="300" w:after="300" w:line="280" w:lineRule="exact"/>
        <w:outlineLvl w:val="3"/>
        <w:rPr>
          <w:rFonts w:cs="宋体"/>
          <w:b/>
          <w:bCs/>
          <w:szCs w:val="21"/>
        </w:rPr>
      </w:pPr>
      <w:bookmarkStart w:id="523" w:name="_Toc989417"/>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按坏账计提方法分类披露</w:t>
      </w:r>
      <w:bookmarkEnd w:id="523"/>
    </w:p>
    <w:p w14:paraId="33100DF6"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875"/>
        <w:gridCol w:w="1059"/>
        <w:gridCol w:w="694"/>
        <w:gridCol w:w="876"/>
        <w:gridCol w:w="877"/>
        <w:gridCol w:w="876"/>
        <w:gridCol w:w="876"/>
        <w:gridCol w:w="877"/>
        <w:gridCol w:w="876"/>
        <w:gridCol w:w="877"/>
        <w:gridCol w:w="876"/>
      </w:tblGrid>
      <w:tr w:rsidR="007B3DB2" w:rsidRPr="0063248C" w14:paraId="22CC1F2F" w14:textId="77777777" w:rsidTr="00831EF5">
        <w:trPr>
          <w:trHeight w:val="240"/>
        </w:trPr>
        <w:tc>
          <w:tcPr>
            <w:tcW w:w="8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F4741B" w14:textId="77777777" w:rsidR="007B3DB2" w:rsidRPr="0063248C" w:rsidRDefault="00000000">
            <w:pPr>
              <w:spacing w:before="40" w:after="40" w:line="240" w:lineRule="exact"/>
              <w:jc w:val="center"/>
              <w:rPr>
                <w:rFonts w:cs="宋体"/>
                <w:sz w:val="18"/>
                <w:szCs w:val="18"/>
              </w:rPr>
            </w:pPr>
            <w:r w:rsidRPr="0063248C">
              <w:rPr>
                <w:rFonts w:cs="宋体"/>
                <w:sz w:val="18"/>
                <w:szCs w:val="18"/>
              </w:rPr>
              <w:t>类别</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0216EC3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447049CD"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50C78DE7" w14:textId="77777777" w:rsidTr="00831EF5">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BD51329" w14:textId="77777777" w:rsidR="007B3DB2" w:rsidRPr="0063248C" w:rsidRDefault="007B3DB2"/>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84CD182"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60E11E4"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4D10B01"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2A00186"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F675B8F"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302351"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r>
      <w:tr w:rsidR="007B3DB2" w:rsidRPr="0063248C" w14:paraId="13B00F15" w14:textId="77777777" w:rsidTr="00831EF5">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29BA898" w14:textId="77777777" w:rsidR="007B3DB2" w:rsidRPr="0063248C" w:rsidRDefault="007B3DB2"/>
        </w:tc>
        <w:tc>
          <w:tcPr>
            <w:tcW w:w="1059" w:type="dxa"/>
            <w:tcBorders>
              <w:top w:val="single" w:sz="2" w:space="0" w:color="auto"/>
              <w:left w:val="single" w:sz="2" w:space="0" w:color="auto"/>
              <w:bottom w:val="single" w:sz="2" w:space="0" w:color="auto"/>
              <w:right w:val="single" w:sz="2" w:space="0" w:color="auto"/>
            </w:tcBorders>
            <w:shd w:val="clear" w:color="auto" w:fill="D3D3D3"/>
            <w:vAlign w:val="center"/>
          </w:tcPr>
          <w:p w14:paraId="789F823E"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694" w:type="dxa"/>
            <w:tcBorders>
              <w:top w:val="single" w:sz="2" w:space="0" w:color="auto"/>
              <w:left w:val="single" w:sz="2" w:space="0" w:color="auto"/>
              <w:bottom w:val="single" w:sz="2" w:space="0" w:color="auto"/>
              <w:right w:val="single" w:sz="2" w:space="0" w:color="auto"/>
            </w:tcBorders>
            <w:shd w:val="clear" w:color="auto" w:fill="D3D3D3"/>
            <w:vAlign w:val="center"/>
          </w:tcPr>
          <w:p w14:paraId="1A54791D" w14:textId="77777777" w:rsidR="007B3DB2" w:rsidRPr="0063248C" w:rsidRDefault="00000000">
            <w:pPr>
              <w:spacing w:before="40" w:after="40" w:line="240" w:lineRule="exact"/>
              <w:jc w:val="center"/>
              <w:rPr>
                <w:rFonts w:cs="宋体"/>
                <w:sz w:val="18"/>
                <w:szCs w:val="18"/>
              </w:rPr>
            </w:pPr>
            <w:r w:rsidRPr="0063248C">
              <w:rPr>
                <w:rFonts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5B7194A"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C51F7DC"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9E93CD"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1991A5C"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994EAB3" w14:textId="77777777" w:rsidR="007B3DB2" w:rsidRPr="0063248C" w:rsidRDefault="00000000">
            <w:pPr>
              <w:spacing w:before="40" w:after="40" w:line="240" w:lineRule="exact"/>
              <w:jc w:val="center"/>
              <w:rPr>
                <w:rFonts w:cs="宋体"/>
                <w:sz w:val="18"/>
                <w:szCs w:val="18"/>
              </w:rPr>
            </w:pPr>
            <w:r w:rsidRPr="0063248C">
              <w:rPr>
                <w:rFonts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0FCC679"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C56CF0C"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951D6F4" w14:textId="77777777" w:rsidR="007B3DB2" w:rsidRPr="0063248C" w:rsidRDefault="007B3DB2"/>
        </w:tc>
      </w:tr>
      <w:tr w:rsidR="007B3DB2" w:rsidRPr="0063248C" w14:paraId="2D215851" w14:textId="77777777" w:rsidTr="00831EF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643F5432" w14:textId="77777777" w:rsidR="007B3DB2" w:rsidRPr="0063248C" w:rsidRDefault="00000000">
            <w:pPr>
              <w:spacing w:before="40" w:after="40" w:line="240" w:lineRule="exact"/>
              <w:rPr>
                <w:rFonts w:cs="宋体"/>
                <w:sz w:val="18"/>
                <w:szCs w:val="18"/>
              </w:rPr>
            </w:pPr>
            <w:r w:rsidRPr="0063248C">
              <w:rPr>
                <w:rFonts w:cs="宋体"/>
                <w:sz w:val="18"/>
                <w:szCs w:val="18"/>
              </w:rPr>
              <w:t>按单项计提坏账准备的应收账款</w:t>
            </w:r>
          </w:p>
        </w:tc>
        <w:tc>
          <w:tcPr>
            <w:tcW w:w="1059" w:type="dxa"/>
            <w:tcBorders>
              <w:top w:val="single" w:sz="2" w:space="0" w:color="auto"/>
              <w:left w:val="single" w:sz="2" w:space="0" w:color="auto"/>
              <w:bottom w:val="single" w:sz="2" w:space="0" w:color="auto"/>
              <w:right w:val="single" w:sz="2" w:space="0" w:color="auto"/>
            </w:tcBorders>
            <w:vAlign w:val="center"/>
          </w:tcPr>
          <w:p w14:paraId="6C8DEB83" w14:textId="77777777" w:rsidR="007B3DB2" w:rsidRPr="0063248C" w:rsidRDefault="00000000">
            <w:pPr>
              <w:spacing w:line="240" w:lineRule="exact"/>
              <w:jc w:val="right"/>
              <w:rPr>
                <w:rFonts w:cs="宋体"/>
                <w:sz w:val="18"/>
                <w:szCs w:val="18"/>
              </w:rPr>
            </w:pPr>
            <w:r w:rsidRPr="0063248C">
              <w:rPr>
                <w:rFonts w:cs="宋体"/>
                <w:sz w:val="18"/>
                <w:szCs w:val="18"/>
              </w:rPr>
              <w:t>7,195,348.47</w:t>
            </w:r>
          </w:p>
        </w:tc>
        <w:tc>
          <w:tcPr>
            <w:tcW w:w="694" w:type="dxa"/>
            <w:tcBorders>
              <w:top w:val="single" w:sz="2" w:space="0" w:color="auto"/>
              <w:left w:val="single" w:sz="2" w:space="0" w:color="auto"/>
              <w:bottom w:val="single" w:sz="2" w:space="0" w:color="auto"/>
              <w:right w:val="single" w:sz="2" w:space="0" w:color="auto"/>
            </w:tcBorders>
            <w:vAlign w:val="center"/>
          </w:tcPr>
          <w:p w14:paraId="1B90E944" w14:textId="77777777" w:rsidR="007B3DB2" w:rsidRPr="0063248C" w:rsidRDefault="00000000">
            <w:pPr>
              <w:spacing w:line="240" w:lineRule="exact"/>
              <w:jc w:val="right"/>
              <w:rPr>
                <w:rFonts w:cs="宋体"/>
                <w:sz w:val="18"/>
                <w:szCs w:val="18"/>
              </w:rPr>
            </w:pPr>
            <w:r w:rsidRPr="0063248C">
              <w:rPr>
                <w:rFonts w:cs="宋体"/>
                <w:sz w:val="18"/>
                <w:szCs w:val="18"/>
              </w:rPr>
              <w:t>1.98%</w:t>
            </w:r>
          </w:p>
        </w:tc>
        <w:tc>
          <w:tcPr>
            <w:tcW w:w="876" w:type="dxa"/>
            <w:tcBorders>
              <w:top w:val="single" w:sz="2" w:space="0" w:color="auto"/>
              <w:left w:val="single" w:sz="2" w:space="0" w:color="auto"/>
              <w:bottom w:val="single" w:sz="2" w:space="0" w:color="auto"/>
              <w:right w:val="single" w:sz="2" w:space="0" w:color="auto"/>
            </w:tcBorders>
            <w:vAlign w:val="center"/>
          </w:tcPr>
          <w:p w14:paraId="2151A61A" w14:textId="77777777" w:rsidR="007B3DB2" w:rsidRPr="0063248C" w:rsidRDefault="00000000">
            <w:pPr>
              <w:spacing w:line="240" w:lineRule="exact"/>
              <w:jc w:val="right"/>
              <w:rPr>
                <w:rFonts w:cs="宋体"/>
                <w:sz w:val="18"/>
                <w:szCs w:val="18"/>
              </w:rPr>
            </w:pPr>
            <w:r w:rsidRPr="0063248C">
              <w:rPr>
                <w:rFonts w:cs="宋体"/>
                <w:sz w:val="18"/>
                <w:szCs w:val="18"/>
              </w:rPr>
              <w:t>7,195,348.47</w:t>
            </w:r>
          </w:p>
        </w:tc>
        <w:tc>
          <w:tcPr>
            <w:tcW w:w="877" w:type="dxa"/>
            <w:tcBorders>
              <w:top w:val="single" w:sz="2" w:space="0" w:color="auto"/>
              <w:left w:val="single" w:sz="2" w:space="0" w:color="auto"/>
              <w:bottom w:val="single" w:sz="2" w:space="0" w:color="auto"/>
              <w:right w:val="single" w:sz="2" w:space="0" w:color="auto"/>
            </w:tcBorders>
            <w:vAlign w:val="center"/>
          </w:tcPr>
          <w:p w14:paraId="545E0976"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369DE1CA"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14:paraId="61EBC7C4" w14:textId="77777777" w:rsidR="007B3DB2" w:rsidRPr="0063248C" w:rsidRDefault="00000000">
            <w:pPr>
              <w:spacing w:line="240" w:lineRule="exact"/>
              <w:jc w:val="right"/>
              <w:rPr>
                <w:rFonts w:cs="宋体"/>
                <w:sz w:val="18"/>
                <w:szCs w:val="18"/>
              </w:rPr>
            </w:pPr>
            <w:r w:rsidRPr="0063248C">
              <w:rPr>
                <w:rFonts w:cs="宋体"/>
                <w:sz w:val="18"/>
                <w:szCs w:val="18"/>
              </w:rPr>
              <w:t>7,646,823.99</w:t>
            </w:r>
          </w:p>
        </w:tc>
        <w:tc>
          <w:tcPr>
            <w:tcW w:w="877" w:type="dxa"/>
            <w:tcBorders>
              <w:top w:val="single" w:sz="2" w:space="0" w:color="auto"/>
              <w:left w:val="single" w:sz="2" w:space="0" w:color="auto"/>
              <w:bottom w:val="single" w:sz="2" w:space="0" w:color="auto"/>
              <w:right w:val="single" w:sz="2" w:space="0" w:color="auto"/>
            </w:tcBorders>
            <w:vAlign w:val="center"/>
          </w:tcPr>
          <w:p w14:paraId="2D5B8BB0" w14:textId="77777777" w:rsidR="007B3DB2" w:rsidRPr="0063248C" w:rsidRDefault="00000000">
            <w:pPr>
              <w:spacing w:line="240" w:lineRule="exact"/>
              <w:jc w:val="right"/>
              <w:rPr>
                <w:rFonts w:cs="宋体"/>
                <w:sz w:val="18"/>
                <w:szCs w:val="18"/>
              </w:rPr>
            </w:pPr>
            <w:r w:rsidRPr="0063248C">
              <w:rPr>
                <w:rFonts w:cs="宋体"/>
                <w:sz w:val="18"/>
                <w:szCs w:val="18"/>
              </w:rPr>
              <w:t>1.72%</w:t>
            </w:r>
          </w:p>
        </w:tc>
        <w:tc>
          <w:tcPr>
            <w:tcW w:w="876" w:type="dxa"/>
            <w:tcBorders>
              <w:top w:val="single" w:sz="2" w:space="0" w:color="auto"/>
              <w:left w:val="single" w:sz="2" w:space="0" w:color="auto"/>
              <w:bottom w:val="single" w:sz="2" w:space="0" w:color="auto"/>
              <w:right w:val="single" w:sz="2" w:space="0" w:color="auto"/>
            </w:tcBorders>
            <w:vAlign w:val="center"/>
          </w:tcPr>
          <w:p w14:paraId="2C0A9E7A" w14:textId="77777777" w:rsidR="007B3DB2" w:rsidRPr="0063248C" w:rsidRDefault="00000000">
            <w:pPr>
              <w:spacing w:line="240" w:lineRule="exact"/>
              <w:jc w:val="right"/>
              <w:rPr>
                <w:rFonts w:cs="宋体"/>
                <w:sz w:val="18"/>
                <w:szCs w:val="18"/>
              </w:rPr>
            </w:pPr>
            <w:r w:rsidRPr="0063248C">
              <w:rPr>
                <w:rFonts w:cs="宋体"/>
                <w:sz w:val="18"/>
                <w:szCs w:val="18"/>
              </w:rPr>
              <w:t>7,646,823.99</w:t>
            </w:r>
          </w:p>
        </w:tc>
        <w:tc>
          <w:tcPr>
            <w:tcW w:w="877" w:type="dxa"/>
            <w:tcBorders>
              <w:top w:val="single" w:sz="2" w:space="0" w:color="auto"/>
              <w:left w:val="single" w:sz="2" w:space="0" w:color="auto"/>
              <w:bottom w:val="single" w:sz="2" w:space="0" w:color="auto"/>
              <w:right w:val="single" w:sz="2" w:space="0" w:color="auto"/>
            </w:tcBorders>
            <w:vAlign w:val="center"/>
          </w:tcPr>
          <w:p w14:paraId="2E6E895C"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61985C7F"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5AF2EF40" w14:textId="77777777" w:rsidTr="00831EF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7345EFA4"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其中：</w:t>
            </w:r>
          </w:p>
        </w:tc>
        <w:tc>
          <w:tcPr>
            <w:tcW w:w="1059" w:type="dxa"/>
            <w:tcBorders>
              <w:top w:val="single" w:sz="2" w:space="0" w:color="auto"/>
              <w:left w:val="single" w:sz="2" w:space="0" w:color="auto"/>
              <w:bottom w:val="single" w:sz="2" w:space="0" w:color="auto"/>
              <w:right w:val="single" w:sz="2" w:space="0" w:color="auto"/>
            </w:tcBorders>
            <w:shd w:val="clear" w:color="auto" w:fill="D3D3D3"/>
            <w:vAlign w:val="center"/>
          </w:tcPr>
          <w:p w14:paraId="5D076D13" w14:textId="77777777" w:rsidR="007B3DB2" w:rsidRPr="0063248C" w:rsidRDefault="007B3DB2"/>
        </w:tc>
        <w:tc>
          <w:tcPr>
            <w:tcW w:w="694" w:type="dxa"/>
            <w:tcBorders>
              <w:top w:val="single" w:sz="2" w:space="0" w:color="auto"/>
              <w:left w:val="single" w:sz="2" w:space="0" w:color="auto"/>
              <w:bottom w:val="single" w:sz="2" w:space="0" w:color="auto"/>
              <w:right w:val="single" w:sz="2" w:space="0" w:color="auto"/>
            </w:tcBorders>
            <w:shd w:val="clear" w:color="auto" w:fill="D3D3D3"/>
            <w:vAlign w:val="center"/>
          </w:tcPr>
          <w:p w14:paraId="00F04D8B"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DDB8698" w14:textId="77777777" w:rsidR="007B3DB2" w:rsidRPr="0063248C" w:rsidRDefault="007B3DB2"/>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9C7386F"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ACCB6AE"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A8903D1" w14:textId="77777777" w:rsidR="007B3DB2" w:rsidRPr="0063248C" w:rsidRDefault="007B3DB2"/>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55645FE9"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6C05892" w14:textId="77777777" w:rsidR="007B3DB2" w:rsidRPr="0063248C" w:rsidRDefault="007B3DB2"/>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1C12943C"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FCD884F" w14:textId="77777777" w:rsidR="007B3DB2" w:rsidRPr="0063248C" w:rsidRDefault="007B3DB2"/>
        </w:tc>
      </w:tr>
      <w:tr w:rsidR="007B3DB2" w:rsidRPr="0063248C" w14:paraId="3FE4CFB4" w14:textId="77777777" w:rsidTr="00831EF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34D15F10" w14:textId="77777777" w:rsidR="007B3DB2" w:rsidRPr="0063248C" w:rsidRDefault="00000000">
            <w:pPr>
              <w:spacing w:before="40" w:after="40" w:line="240" w:lineRule="exact"/>
              <w:rPr>
                <w:rFonts w:cs="宋体"/>
                <w:sz w:val="18"/>
                <w:szCs w:val="18"/>
              </w:rPr>
            </w:pPr>
            <w:r w:rsidRPr="0063248C">
              <w:rPr>
                <w:rFonts w:cs="宋体"/>
                <w:sz w:val="18"/>
                <w:szCs w:val="18"/>
              </w:rPr>
              <w:t>按组合计提坏账准备的应收账款</w:t>
            </w:r>
          </w:p>
        </w:tc>
        <w:tc>
          <w:tcPr>
            <w:tcW w:w="1059" w:type="dxa"/>
            <w:tcBorders>
              <w:top w:val="single" w:sz="2" w:space="0" w:color="auto"/>
              <w:left w:val="single" w:sz="2" w:space="0" w:color="auto"/>
              <w:bottom w:val="single" w:sz="2" w:space="0" w:color="auto"/>
              <w:right w:val="single" w:sz="2" w:space="0" w:color="auto"/>
            </w:tcBorders>
            <w:vAlign w:val="center"/>
          </w:tcPr>
          <w:p w14:paraId="5F38C978" w14:textId="77777777" w:rsidR="007B3DB2" w:rsidRPr="0063248C" w:rsidRDefault="00000000">
            <w:pPr>
              <w:spacing w:line="240" w:lineRule="exact"/>
              <w:jc w:val="right"/>
              <w:rPr>
                <w:rFonts w:cs="宋体"/>
                <w:sz w:val="18"/>
                <w:szCs w:val="18"/>
              </w:rPr>
            </w:pPr>
            <w:r w:rsidRPr="0063248C">
              <w:rPr>
                <w:rFonts w:cs="宋体"/>
                <w:sz w:val="18"/>
                <w:szCs w:val="18"/>
              </w:rPr>
              <w:t>356,924,268.99</w:t>
            </w:r>
          </w:p>
        </w:tc>
        <w:tc>
          <w:tcPr>
            <w:tcW w:w="694" w:type="dxa"/>
            <w:tcBorders>
              <w:top w:val="single" w:sz="2" w:space="0" w:color="auto"/>
              <w:left w:val="single" w:sz="2" w:space="0" w:color="auto"/>
              <w:bottom w:val="single" w:sz="2" w:space="0" w:color="auto"/>
              <w:right w:val="single" w:sz="2" w:space="0" w:color="auto"/>
            </w:tcBorders>
            <w:vAlign w:val="center"/>
          </w:tcPr>
          <w:p w14:paraId="2095E693" w14:textId="77777777" w:rsidR="007B3DB2" w:rsidRPr="0063248C" w:rsidRDefault="00000000">
            <w:pPr>
              <w:spacing w:line="240" w:lineRule="exact"/>
              <w:jc w:val="right"/>
              <w:rPr>
                <w:rFonts w:cs="宋体"/>
                <w:sz w:val="18"/>
                <w:szCs w:val="18"/>
              </w:rPr>
            </w:pPr>
            <w:r w:rsidRPr="0063248C">
              <w:rPr>
                <w:rFonts w:cs="宋体"/>
                <w:sz w:val="18"/>
                <w:szCs w:val="18"/>
              </w:rPr>
              <w:t>98.02%</w:t>
            </w:r>
          </w:p>
        </w:tc>
        <w:tc>
          <w:tcPr>
            <w:tcW w:w="876" w:type="dxa"/>
            <w:tcBorders>
              <w:top w:val="single" w:sz="2" w:space="0" w:color="auto"/>
              <w:left w:val="single" w:sz="2" w:space="0" w:color="auto"/>
              <w:bottom w:val="single" w:sz="2" w:space="0" w:color="auto"/>
              <w:right w:val="single" w:sz="2" w:space="0" w:color="auto"/>
            </w:tcBorders>
            <w:vAlign w:val="center"/>
          </w:tcPr>
          <w:p w14:paraId="31BB510C" w14:textId="77777777" w:rsidR="007B3DB2" w:rsidRPr="0063248C" w:rsidRDefault="00000000">
            <w:pPr>
              <w:spacing w:line="240" w:lineRule="exact"/>
              <w:jc w:val="right"/>
              <w:rPr>
                <w:rFonts w:cs="宋体"/>
                <w:sz w:val="18"/>
                <w:szCs w:val="18"/>
              </w:rPr>
            </w:pPr>
            <w:r w:rsidRPr="0063248C">
              <w:rPr>
                <w:rFonts w:cs="宋体"/>
                <w:sz w:val="18"/>
                <w:szCs w:val="18"/>
              </w:rPr>
              <w:t>18,338,794.83</w:t>
            </w:r>
          </w:p>
        </w:tc>
        <w:tc>
          <w:tcPr>
            <w:tcW w:w="877" w:type="dxa"/>
            <w:tcBorders>
              <w:top w:val="single" w:sz="2" w:space="0" w:color="auto"/>
              <w:left w:val="single" w:sz="2" w:space="0" w:color="auto"/>
              <w:bottom w:val="single" w:sz="2" w:space="0" w:color="auto"/>
              <w:right w:val="single" w:sz="2" w:space="0" w:color="auto"/>
            </w:tcBorders>
            <w:vAlign w:val="center"/>
          </w:tcPr>
          <w:p w14:paraId="7A21034F" w14:textId="77777777" w:rsidR="007B3DB2" w:rsidRPr="0063248C" w:rsidRDefault="00000000">
            <w:pPr>
              <w:spacing w:line="240" w:lineRule="exact"/>
              <w:jc w:val="right"/>
              <w:rPr>
                <w:rFonts w:cs="宋体"/>
                <w:sz w:val="18"/>
                <w:szCs w:val="18"/>
              </w:rPr>
            </w:pPr>
            <w:r w:rsidRPr="0063248C">
              <w:rPr>
                <w:rFonts w:cs="宋体"/>
                <w:sz w:val="18"/>
                <w:szCs w:val="18"/>
              </w:rPr>
              <w:t>5.14%</w:t>
            </w:r>
          </w:p>
        </w:tc>
        <w:tc>
          <w:tcPr>
            <w:tcW w:w="876" w:type="dxa"/>
            <w:tcBorders>
              <w:top w:val="single" w:sz="2" w:space="0" w:color="auto"/>
              <w:left w:val="single" w:sz="2" w:space="0" w:color="auto"/>
              <w:bottom w:val="single" w:sz="2" w:space="0" w:color="auto"/>
              <w:right w:val="single" w:sz="2" w:space="0" w:color="auto"/>
            </w:tcBorders>
            <w:vAlign w:val="center"/>
          </w:tcPr>
          <w:p w14:paraId="5F88F89D" w14:textId="77777777" w:rsidR="007B3DB2" w:rsidRPr="0063248C" w:rsidRDefault="00000000">
            <w:pPr>
              <w:spacing w:line="240" w:lineRule="exact"/>
              <w:jc w:val="right"/>
              <w:rPr>
                <w:rFonts w:cs="宋体"/>
                <w:sz w:val="18"/>
                <w:szCs w:val="18"/>
              </w:rPr>
            </w:pPr>
            <w:r w:rsidRPr="0063248C">
              <w:rPr>
                <w:rFonts w:cs="宋体"/>
                <w:sz w:val="18"/>
                <w:szCs w:val="18"/>
              </w:rPr>
              <w:t>338,585,474.16</w:t>
            </w:r>
          </w:p>
        </w:tc>
        <w:tc>
          <w:tcPr>
            <w:tcW w:w="876" w:type="dxa"/>
            <w:tcBorders>
              <w:top w:val="single" w:sz="2" w:space="0" w:color="auto"/>
              <w:left w:val="single" w:sz="2" w:space="0" w:color="auto"/>
              <w:bottom w:val="single" w:sz="2" w:space="0" w:color="auto"/>
              <w:right w:val="single" w:sz="2" w:space="0" w:color="auto"/>
            </w:tcBorders>
            <w:vAlign w:val="center"/>
          </w:tcPr>
          <w:p w14:paraId="24B69640" w14:textId="77777777" w:rsidR="007B3DB2" w:rsidRPr="0063248C" w:rsidRDefault="00000000">
            <w:pPr>
              <w:spacing w:line="240" w:lineRule="exact"/>
              <w:jc w:val="right"/>
              <w:rPr>
                <w:rFonts w:cs="宋体"/>
                <w:sz w:val="18"/>
                <w:szCs w:val="18"/>
              </w:rPr>
            </w:pPr>
            <w:r w:rsidRPr="0063248C">
              <w:rPr>
                <w:rFonts w:cs="宋体"/>
                <w:sz w:val="18"/>
                <w:szCs w:val="18"/>
              </w:rPr>
              <w:t>438,107,384.27</w:t>
            </w:r>
          </w:p>
        </w:tc>
        <w:tc>
          <w:tcPr>
            <w:tcW w:w="877" w:type="dxa"/>
            <w:tcBorders>
              <w:top w:val="single" w:sz="2" w:space="0" w:color="auto"/>
              <w:left w:val="single" w:sz="2" w:space="0" w:color="auto"/>
              <w:bottom w:val="single" w:sz="2" w:space="0" w:color="auto"/>
              <w:right w:val="single" w:sz="2" w:space="0" w:color="auto"/>
            </w:tcBorders>
            <w:vAlign w:val="center"/>
          </w:tcPr>
          <w:p w14:paraId="0BAEC85B" w14:textId="77777777" w:rsidR="007B3DB2" w:rsidRPr="0063248C" w:rsidRDefault="00000000">
            <w:pPr>
              <w:spacing w:line="240" w:lineRule="exact"/>
              <w:jc w:val="right"/>
              <w:rPr>
                <w:rFonts w:cs="宋体"/>
                <w:sz w:val="18"/>
                <w:szCs w:val="18"/>
              </w:rPr>
            </w:pPr>
            <w:r w:rsidRPr="0063248C">
              <w:rPr>
                <w:rFonts w:cs="宋体"/>
                <w:sz w:val="18"/>
                <w:szCs w:val="18"/>
              </w:rPr>
              <w:t>98.28%</w:t>
            </w:r>
          </w:p>
        </w:tc>
        <w:tc>
          <w:tcPr>
            <w:tcW w:w="876" w:type="dxa"/>
            <w:tcBorders>
              <w:top w:val="single" w:sz="2" w:space="0" w:color="auto"/>
              <w:left w:val="single" w:sz="2" w:space="0" w:color="auto"/>
              <w:bottom w:val="single" w:sz="2" w:space="0" w:color="auto"/>
              <w:right w:val="single" w:sz="2" w:space="0" w:color="auto"/>
            </w:tcBorders>
            <w:vAlign w:val="center"/>
          </w:tcPr>
          <w:p w14:paraId="4B48F9E3" w14:textId="77777777" w:rsidR="007B3DB2" w:rsidRPr="0063248C" w:rsidRDefault="00000000">
            <w:pPr>
              <w:spacing w:line="240" w:lineRule="exact"/>
              <w:jc w:val="right"/>
              <w:rPr>
                <w:rFonts w:cs="宋体"/>
                <w:sz w:val="18"/>
                <w:szCs w:val="18"/>
              </w:rPr>
            </w:pPr>
            <w:r w:rsidRPr="0063248C">
              <w:rPr>
                <w:rFonts w:cs="宋体"/>
                <w:sz w:val="18"/>
                <w:szCs w:val="18"/>
              </w:rPr>
              <w:t>19,948,450.42</w:t>
            </w:r>
          </w:p>
        </w:tc>
        <w:tc>
          <w:tcPr>
            <w:tcW w:w="877" w:type="dxa"/>
            <w:tcBorders>
              <w:top w:val="single" w:sz="2" w:space="0" w:color="auto"/>
              <w:left w:val="single" w:sz="2" w:space="0" w:color="auto"/>
              <w:bottom w:val="single" w:sz="2" w:space="0" w:color="auto"/>
              <w:right w:val="single" w:sz="2" w:space="0" w:color="auto"/>
            </w:tcBorders>
            <w:vAlign w:val="center"/>
          </w:tcPr>
          <w:p w14:paraId="49A76776" w14:textId="77777777" w:rsidR="007B3DB2" w:rsidRPr="0063248C" w:rsidRDefault="00000000">
            <w:pPr>
              <w:spacing w:line="240" w:lineRule="exact"/>
              <w:jc w:val="right"/>
              <w:rPr>
                <w:rFonts w:cs="宋体"/>
                <w:sz w:val="18"/>
                <w:szCs w:val="18"/>
              </w:rPr>
            </w:pPr>
            <w:r w:rsidRPr="0063248C">
              <w:rPr>
                <w:rFonts w:cs="宋体"/>
                <w:sz w:val="18"/>
                <w:szCs w:val="18"/>
              </w:rPr>
              <w:t>4.55%</w:t>
            </w:r>
          </w:p>
        </w:tc>
        <w:tc>
          <w:tcPr>
            <w:tcW w:w="876" w:type="dxa"/>
            <w:tcBorders>
              <w:top w:val="single" w:sz="2" w:space="0" w:color="auto"/>
              <w:left w:val="single" w:sz="2" w:space="0" w:color="auto"/>
              <w:bottom w:val="single" w:sz="2" w:space="0" w:color="auto"/>
              <w:right w:val="single" w:sz="2" w:space="0" w:color="auto"/>
            </w:tcBorders>
            <w:vAlign w:val="center"/>
          </w:tcPr>
          <w:p w14:paraId="3638E638" w14:textId="77777777" w:rsidR="007B3DB2" w:rsidRPr="0063248C" w:rsidRDefault="00000000">
            <w:pPr>
              <w:spacing w:line="240" w:lineRule="exact"/>
              <w:jc w:val="right"/>
              <w:rPr>
                <w:rFonts w:cs="宋体"/>
                <w:sz w:val="18"/>
                <w:szCs w:val="18"/>
              </w:rPr>
            </w:pPr>
            <w:r w:rsidRPr="0063248C">
              <w:rPr>
                <w:rFonts w:cs="宋体"/>
                <w:sz w:val="18"/>
                <w:szCs w:val="18"/>
              </w:rPr>
              <w:t>418,158,933.85</w:t>
            </w:r>
          </w:p>
        </w:tc>
      </w:tr>
      <w:tr w:rsidR="007B3DB2" w:rsidRPr="0063248C" w14:paraId="5CD7F801" w14:textId="77777777" w:rsidTr="00831EF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480112AB" w14:textId="77777777" w:rsidR="007B3DB2" w:rsidRPr="0063248C" w:rsidRDefault="00000000">
            <w:pPr>
              <w:spacing w:before="40" w:after="40" w:line="240" w:lineRule="exact"/>
              <w:ind w:firstLineChars="100" w:firstLine="180"/>
              <w:rPr>
                <w:rFonts w:cs="宋体"/>
                <w:sz w:val="18"/>
                <w:szCs w:val="18"/>
              </w:rPr>
            </w:pPr>
            <w:r w:rsidRPr="0063248C">
              <w:rPr>
                <w:rFonts w:cs="宋体"/>
                <w:sz w:val="18"/>
                <w:szCs w:val="18"/>
              </w:rPr>
              <w:t>其中：</w:t>
            </w:r>
          </w:p>
        </w:tc>
        <w:tc>
          <w:tcPr>
            <w:tcW w:w="1059" w:type="dxa"/>
            <w:tcBorders>
              <w:top w:val="single" w:sz="2" w:space="0" w:color="auto"/>
              <w:left w:val="single" w:sz="2" w:space="0" w:color="auto"/>
              <w:bottom w:val="single" w:sz="2" w:space="0" w:color="auto"/>
              <w:right w:val="single" w:sz="2" w:space="0" w:color="auto"/>
            </w:tcBorders>
            <w:shd w:val="clear" w:color="auto" w:fill="D3D3D3"/>
            <w:vAlign w:val="center"/>
          </w:tcPr>
          <w:p w14:paraId="6C3601A3" w14:textId="77777777" w:rsidR="007B3DB2" w:rsidRPr="0063248C" w:rsidRDefault="007B3DB2"/>
        </w:tc>
        <w:tc>
          <w:tcPr>
            <w:tcW w:w="694" w:type="dxa"/>
            <w:tcBorders>
              <w:top w:val="single" w:sz="2" w:space="0" w:color="auto"/>
              <w:left w:val="single" w:sz="2" w:space="0" w:color="auto"/>
              <w:bottom w:val="single" w:sz="2" w:space="0" w:color="auto"/>
              <w:right w:val="single" w:sz="2" w:space="0" w:color="auto"/>
            </w:tcBorders>
            <w:shd w:val="clear" w:color="auto" w:fill="D3D3D3"/>
            <w:vAlign w:val="center"/>
          </w:tcPr>
          <w:p w14:paraId="6EE9AA0C"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52D747D" w14:textId="77777777" w:rsidR="007B3DB2" w:rsidRPr="0063248C" w:rsidRDefault="007B3DB2"/>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BDAA911"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E94B9DB"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AAAE7BF" w14:textId="77777777" w:rsidR="007B3DB2" w:rsidRPr="0063248C" w:rsidRDefault="007B3DB2"/>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59892E0D"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EB8943E" w14:textId="77777777" w:rsidR="007B3DB2" w:rsidRPr="0063248C" w:rsidRDefault="007B3DB2"/>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A1C0178" w14:textId="77777777" w:rsidR="007B3DB2" w:rsidRPr="0063248C" w:rsidRDefault="007B3DB2"/>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F70FE48" w14:textId="77777777" w:rsidR="007B3DB2" w:rsidRPr="0063248C" w:rsidRDefault="007B3DB2"/>
        </w:tc>
      </w:tr>
      <w:tr w:rsidR="007B3DB2" w:rsidRPr="0063248C" w14:paraId="419EEDB5" w14:textId="77777777" w:rsidTr="00831EF5">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64523546" w14:textId="77777777" w:rsidR="007B3DB2" w:rsidRPr="0063248C" w:rsidRDefault="00000000">
            <w:pPr>
              <w:spacing w:line="240" w:lineRule="exact"/>
              <w:rPr>
                <w:rFonts w:cs="宋体"/>
                <w:sz w:val="18"/>
                <w:szCs w:val="18"/>
              </w:rPr>
            </w:pPr>
            <w:r w:rsidRPr="0063248C">
              <w:rPr>
                <w:rFonts w:cs="宋体"/>
                <w:sz w:val="18"/>
                <w:szCs w:val="18"/>
              </w:rPr>
              <w:t>合并范围内关联方款项组合</w:t>
            </w:r>
          </w:p>
        </w:tc>
        <w:tc>
          <w:tcPr>
            <w:tcW w:w="1059" w:type="dxa"/>
            <w:tcBorders>
              <w:top w:val="single" w:sz="2" w:space="0" w:color="auto"/>
              <w:left w:val="single" w:sz="2" w:space="0" w:color="auto"/>
              <w:bottom w:val="single" w:sz="2" w:space="0" w:color="auto"/>
              <w:right w:val="single" w:sz="2" w:space="0" w:color="auto"/>
            </w:tcBorders>
            <w:vAlign w:val="center"/>
          </w:tcPr>
          <w:p w14:paraId="40D2A262" w14:textId="77777777" w:rsidR="007B3DB2" w:rsidRPr="0063248C" w:rsidRDefault="00000000">
            <w:pPr>
              <w:spacing w:line="240" w:lineRule="exact"/>
              <w:jc w:val="right"/>
              <w:rPr>
                <w:rFonts w:cs="宋体"/>
                <w:sz w:val="18"/>
                <w:szCs w:val="18"/>
              </w:rPr>
            </w:pPr>
            <w:r w:rsidRPr="0063248C">
              <w:rPr>
                <w:rFonts w:cs="宋体"/>
                <w:sz w:val="18"/>
                <w:szCs w:val="18"/>
              </w:rPr>
              <w:t>132,331,164.11</w:t>
            </w:r>
          </w:p>
        </w:tc>
        <w:tc>
          <w:tcPr>
            <w:tcW w:w="694" w:type="dxa"/>
            <w:tcBorders>
              <w:top w:val="single" w:sz="2" w:space="0" w:color="auto"/>
              <w:left w:val="single" w:sz="2" w:space="0" w:color="auto"/>
              <w:bottom w:val="single" w:sz="2" w:space="0" w:color="auto"/>
              <w:right w:val="single" w:sz="2" w:space="0" w:color="auto"/>
            </w:tcBorders>
            <w:vAlign w:val="center"/>
          </w:tcPr>
          <w:p w14:paraId="6BAC6F47" w14:textId="77777777" w:rsidR="007B3DB2" w:rsidRPr="0063248C" w:rsidRDefault="00000000">
            <w:pPr>
              <w:spacing w:line="240" w:lineRule="exact"/>
              <w:jc w:val="right"/>
              <w:rPr>
                <w:rFonts w:cs="宋体"/>
                <w:sz w:val="18"/>
                <w:szCs w:val="18"/>
              </w:rPr>
            </w:pPr>
            <w:r w:rsidRPr="0063248C">
              <w:rPr>
                <w:rFonts w:cs="宋体"/>
                <w:sz w:val="18"/>
                <w:szCs w:val="18"/>
              </w:rPr>
              <w:t>36.34%</w:t>
            </w:r>
          </w:p>
        </w:tc>
        <w:tc>
          <w:tcPr>
            <w:tcW w:w="876" w:type="dxa"/>
            <w:tcBorders>
              <w:top w:val="single" w:sz="2" w:space="0" w:color="auto"/>
              <w:left w:val="single" w:sz="2" w:space="0" w:color="auto"/>
              <w:bottom w:val="single" w:sz="2" w:space="0" w:color="auto"/>
              <w:right w:val="single" w:sz="2" w:space="0" w:color="auto"/>
            </w:tcBorders>
            <w:vAlign w:val="center"/>
          </w:tcPr>
          <w:p w14:paraId="5135E34A" w14:textId="77777777" w:rsidR="007B3DB2" w:rsidRPr="0063248C" w:rsidRDefault="00000000">
            <w:pPr>
              <w:spacing w:line="240" w:lineRule="exact"/>
              <w:jc w:val="right"/>
              <w:rPr>
                <w:rFonts w:cs="宋体"/>
                <w:sz w:val="18"/>
                <w:szCs w:val="18"/>
              </w:rPr>
            </w:pPr>
            <w:r w:rsidRPr="0063248C">
              <w:rPr>
                <w:rFonts w:cs="宋体"/>
                <w:sz w:val="18"/>
                <w:szCs w:val="18"/>
              </w:rPr>
              <w:t>12,501,547.38</w:t>
            </w:r>
          </w:p>
        </w:tc>
        <w:tc>
          <w:tcPr>
            <w:tcW w:w="877" w:type="dxa"/>
            <w:tcBorders>
              <w:top w:val="single" w:sz="2" w:space="0" w:color="auto"/>
              <w:left w:val="single" w:sz="2" w:space="0" w:color="auto"/>
              <w:bottom w:val="single" w:sz="2" w:space="0" w:color="auto"/>
              <w:right w:val="single" w:sz="2" w:space="0" w:color="auto"/>
            </w:tcBorders>
            <w:vAlign w:val="center"/>
          </w:tcPr>
          <w:p w14:paraId="1B5D6853" w14:textId="77777777" w:rsidR="007B3DB2" w:rsidRPr="0063248C" w:rsidRDefault="00000000">
            <w:pPr>
              <w:spacing w:line="240" w:lineRule="exact"/>
              <w:jc w:val="right"/>
              <w:rPr>
                <w:rFonts w:cs="宋体"/>
                <w:sz w:val="18"/>
                <w:szCs w:val="18"/>
              </w:rPr>
            </w:pPr>
            <w:r w:rsidRPr="0063248C">
              <w:rPr>
                <w:rFonts w:cs="宋体"/>
                <w:sz w:val="18"/>
                <w:szCs w:val="18"/>
              </w:rPr>
              <w:t>9.45%</w:t>
            </w:r>
          </w:p>
        </w:tc>
        <w:tc>
          <w:tcPr>
            <w:tcW w:w="876" w:type="dxa"/>
            <w:tcBorders>
              <w:top w:val="single" w:sz="2" w:space="0" w:color="auto"/>
              <w:left w:val="single" w:sz="2" w:space="0" w:color="auto"/>
              <w:bottom w:val="single" w:sz="2" w:space="0" w:color="auto"/>
              <w:right w:val="single" w:sz="2" w:space="0" w:color="auto"/>
            </w:tcBorders>
            <w:vAlign w:val="center"/>
          </w:tcPr>
          <w:p w14:paraId="6977F4D8" w14:textId="77777777" w:rsidR="007B3DB2" w:rsidRPr="0063248C" w:rsidRDefault="00000000">
            <w:pPr>
              <w:spacing w:line="240" w:lineRule="exact"/>
              <w:jc w:val="right"/>
              <w:rPr>
                <w:rFonts w:cs="宋体"/>
                <w:sz w:val="18"/>
                <w:szCs w:val="18"/>
              </w:rPr>
            </w:pPr>
            <w:r w:rsidRPr="0063248C">
              <w:rPr>
                <w:rFonts w:cs="宋体"/>
                <w:sz w:val="18"/>
                <w:szCs w:val="18"/>
              </w:rPr>
              <w:t>119,829,616.73</w:t>
            </w:r>
          </w:p>
        </w:tc>
        <w:tc>
          <w:tcPr>
            <w:tcW w:w="876" w:type="dxa"/>
            <w:tcBorders>
              <w:top w:val="single" w:sz="2" w:space="0" w:color="auto"/>
              <w:left w:val="single" w:sz="2" w:space="0" w:color="auto"/>
              <w:bottom w:val="single" w:sz="2" w:space="0" w:color="auto"/>
              <w:right w:val="single" w:sz="2" w:space="0" w:color="auto"/>
            </w:tcBorders>
            <w:vAlign w:val="center"/>
          </w:tcPr>
          <w:p w14:paraId="39F8E141" w14:textId="77777777" w:rsidR="007B3DB2" w:rsidRPr="0063248C" w:rsidRDefault="00000000">
            <w:pPr>
              <w:spacing w:line="240" w:lineRule="exact"/>
              <w:jc w:val="right"/>
              <w:rPr>
                <w:rFonts w:cs="宋体"/>
                <w:sz w:val="18"/>
                <w:szCs w:val="18"/>
              </w:rPr>
            </w:pPr>
            <w:r w:rsidRPr="0063248C">
              <w:rPr>
                <w:rFonts w:cs="宋体"/>
                <w:sz w:val="18"/>
                <w:szCs w:val="18"/>
              </w:rPr>
              <w:t>128,341,083.72</w:t>
            </w:r>
          </w:p>
        </w:tc>
        <w:tc>
          <w:tcPr>
            <w:tcW w:w="877" w:type="dxa"/>
            <w:tcBorders>
              <w:top w:val="single" w:sz="2" w:space="0" w:color="auto"/>
              <w:left w:val="single" w:sz="2" w:space="0" w:color="auto"/>
              <w:bottom w:val="single" w:sz="2" w:space="0" w:color="auto"/>
              <w:right w:val="single" w:sz="2" w:space="0" w:color="auto"/>
            </w:tcBorders>
            <w:vAlign w:val="center"/>
          </w:tcPr>
          <w:p w14:paraId="1BE64BD7" w14:textId="77777777" w:rsidR="007B3DB2" w:rsidRPr="0063248C" w:rsidRDefault="00000000">
            <w:pPr>
              <w:spacing w:line="240" w:lineRule="exact"/>
              <w:jc w:val="right"/>
              <w:rPr>
                <w:rFonts w:cs="宋体"/>
                <w:sz w:val="18"/>
                <w:szCs w:val="18"/>
              </w:rPr>
            </w:pPr>
            <w:r w:rsidRPr="0063248C">
              <w:rPr>
                <w:rFonts w:cs="宋体"/>
                <w:sz w:val="18"/>
                <w:szCs w:val="18"/>
              </w:rPr>
              <w:t>28.79%</w:t>
            </w:r>
          </w:p>
        </w:tc>
        <w:tc>
          <w:tcPr>
            <w:tcW w:w="876" w:type="dxa"/>
            <w:tcBorders>
              <w:top w:val="single" w:sz="2" w:space="0" w:color="auto"/>
              <w:left w:val="single" w:sz="2" w:space="0" w:color="auto"/>
              <w:bottom w:val="single" w:sz="2" w:space="0" w:color="auto"/>
              <w:right w:val="single" w:sz="2" w:space="0" w:color="auto"/>
            </w:tcBorders>
            <w:vAlign w:val="center"/>
          </w:tcPr>
          <w:p w14:paraId="6CF826AF" w14:textId="77777777" w:rsidR="007B3DB2" w:rsidRPr="0063248C" w:rsidRDefault="00000000">
            <w:pPr>
              <w:spacing w:line="240" w:lineRule="exact"/>
              <w:jc w:val="right"/>
              <w:rPr>
                <w:rFonts w:cs="宋体"/>
                <w:sz w:val="18"/>
                <w:szCs w:val="18"/>
              </w:rPr>
            </w:pPr>
            <w:r w:rsidRPr="0063248C">
              <w:rPr>
                <w:rFonts w:cs="宋体"/>
                <w:sz w:val="18"/>
                <w:szCs w:val="18"/>
              </w:rPr>
              <w:t>12,501,547.38</w:t>
            </w:r>
          </w:p>
        </w:tc>
        <w:tc>
          <w:tcPr>
            <w:tcW w:w="877" w:type="dxa"/>
            <w:tcBorders>
              <w:top w:val="single" w:sz="2" w:space="0" w:color="auto"/>
              <w:left w:val="single" w:sz="2" w:space="0" w:color="auto"/>
              <w:bottom w:val="single" w:sz="2" w:space="0" w:color="auto"/>
              <w:right w:val="single" w:sz="2" w:space="0" w:color="auto"/>
            </w:tcBorders>
            <w:vAlign w:val="center"/>
          </w:tcPr>
          <w:p w14:paraId="06F0EE88" w14:textId="77777777" w:rsidR="007B3DB2" w:rsidRPr="0063248C" w:rsidRDefault="00000000">
            <w:pPr>
              <w:spacing w:line="240" w:lineRule="exact"/>
              <w:jc w:val="right"/>
              <w:rPr>
                <w:rFonts w:cs="宋体"/>
                <w:sz w:val="18"/>
                <w:szCs w:val="18"/>
              </w:rPr>
            </w:pPr>
            <w:r w:rsidRPr="0063248C">
              <w:rPr>
                <w:rFonts w:cs="宋体"/>
                <w:sz w:val="18"/>
                <w:szCs w:val="18"/>
              </w:rPr>
              <w:t>9.74%</w:t>
            </w:r>
          </w:p>
        </w:tc>
        <w:tc>
          <w:tcPr>
            <w:tcW w:w="876" w:type="dxa"/>
            <w:tcBorders>
              <w:top w:val="single" w:sz="2" w:space="0" w:color="auto"/>
              <w:left w:val="single" w:sz="2" w:space="0" w:color="auto"/>
              <w:bottom w:val="single" w:sz="2" w:space="0" w:color="auto"/>
              <w:right w:val="single" w:sz="2" w:space="0" w:color="auto"/>
            </w:tcBorders>
            <w:vAlign w:val="center"/>
          </w:tcPr>
          <w:p w14:paraId="63FB7AB2" w14:textId="77777777" w:rsidR="007B3DB2" w:rsidRPr="0063248C" w:rsidRDefault="00000000">
            <w:pPr>
              <w:spacing w:line="240" w:lineRule="exact"/>
              <w:jc w:val="right"/>
              <w:rPr>
                <w:rFonts w:cs="宋体"/>
                <w:sz w:val="18"/>
                <w:szCs w:val="18"/>
              </w:rPr>
            </w:pPr>
            <w:r w:rsidRPr="0063248C">
              <w:rPr>
                <w:rFonts w:cs="宋体"/>
                <w:sz w:val="18"/>
                <w:szCs w:val="18"/>
              </w:rPr>
              <w:t>115,839,536.34</w:t>
            </w:r>
          </w:p>
        </w:tc>
      </w:tr>
      <w:tr w:rsidR="007B3DB2" w:rsidRPr="0063248C" w14:paraId="1671C3C9" w14:textId="77777777" w:rsidTr="00831EF5">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091219F1" w14:textId="77777777" w:rsidR="007B3DB2" w:rsidRPr="0063248C" w:rsidRDefault="00000000">
            <w:pPr>
              <w:spacing w:line="240" w:lineRule="exact"/>
              <w:rPr>
                <w:rFonts w:cs="宋体"/>
                <w:sz w:val="18"/>
                <w:szCs w:val="18"/>
              </w:rPr>
            </w:pPr>
            <w:proofErr w:type="gramStart"/>
            <w:r w:rsidRPr="0063248C">
              <w:rPr>
                <w:rFonts w:cs="宋体"/>
                <w:sz w:val="18"/>
                <w:szCs w:val="18"/>
              </w:rPr>
              <w:t>账</w:t>
            </w:r>
            <w:proofErr w:type="gramEnd"/>
            <w:r w:rsidRPr="0063248C">
              <w:rPr>
                <w:rFonts w:cs="宋体"/>
                <w:sz w:val="18"/>
                <w:szCs w:val="18"/>
              </w:rPr>
              <w:t>龄组合</w:t>
            </w:r>
          </w:p>
        </w:tc>
        <w:tc>
          <w:tcPr>
            <w:tcW w:w="1059" w:type="dxa"/>
            <w:tcBorders>
              <w:top w:val="single" w:sz="2" w:space="0" w:color="auto"/>
              <w:left w:val="single" w:sz="2" w:space="0" w:color="auto"/>
              <w:bottom w:val="single" w:sz="2" w:space="0" w:color="auto"/>
              <w:right w:val="single" w:sz="2" w:space="0" w:color="auto"/>
            </w:tcBorders>
            <w:vAlign w:val="center"/>
          </w:tcPr>
          <w:p w14:paraId="1679D638" w14:textId="77777777" w:rsidR="007B3DB2" w:rsidRPr="0063248C" w:rsidRDefault="00000000">
            <w:pPr>
              <w:spacing w:line="240" w:lineRule="exact"/>
              <w:jc w:val="right"/>
              <w:rPr>
                <w:rFonts w:cs="宋体"/>
                <w:sz w:val="18"/>
                <w:szCs w:val="18"/>
              </w:rPr>
            </w:pPr>
            <w:r w:rsidRPr="0063248C">
              <w:rPr>
                <w:rFonts w:cs="宋体"/>
                <w:sz w:val="18"/>
                <w:szCs w:val="18"/>
              </w:rPr>
              <w:t>224,593,104.88</w:t>
            </w:r>
          </w:p>
        </w:tc>
        <w:tc>
          <w:tcPr>
            <w:tcW w:w="694" w:type="dxa"/>
            <w:tcBorders>
              <w:top w:val="single" w:sz="2" w:space="0" w:color="auto"/>
              <w:left w:val="single" w:sz="2" w:space="0" w:color="auto"/>
              <w:bottom w:val="single" w:sz="2" w:space="0" w:color="auto"/>
              <w:right w:val="single" w:sz="2" w:space="0" w:color="auto"/>
            </w:tcBorders>
            <w:vAlign w:val="center"/>
          </w:tcPr>
          <w:p w14:paraId="5B1BE780" w14:textId="77777777" w:rsidR="007B3DB2" w:rsidRPr="0063248C" w:rsidRDefault="00000000">
            <w:pPr>
              <w:spacing w:line="240" w:lineRule="exact"/>
              <w:jc w:val="right"/>
              <w:rPr>
                <w:rFonts w:cs="宋体"/>
                <w:sz w:val="18"/>
                <w:szCs w:val="18"/>
              </w:rPr>
            </w:pPr>
            <w:r w:rsidRPr="0063248C">
              <w:rPr>
                <w:rFonts w:cs="宋体"/>
                <w:sz w:val="18"/>
                <w:szCs w:val="18"/>
              </w:rPr>
              <w:t>61.68%</w:t>
            </w:r>
          </w:p>
        </w:tc>
        <w:tc>
          <w:tcPr>
            <w:tcW w:w="876" w:type="dxa"/>
            <w:tcBorders>
              <w:top w:val="single" w:sz="2" w:space="0" w:color="auto"/>
              <w:left w:val="single" w:sz="2" w:space="0" w:color="auto"/>
              <w:bottom w:val="single" w:sz="2" w:space="0" w:color="auto"/>
              <w:right w:val="single" w:sz="2" w:space="0" w:color="auto"/>
            </w:tcBorders>
            <w:vAlign w:val="center"/>
          </w:tcPr>
          <w:p w14:paraId="588D0C70" w14:textId="77777777" w:rsidR="007B3DB2" w:rsidRPr="0063248C" w:rsidRDefault="00000000">
            <w:pPr>
              <w:spacing w:line="240" w:lineRule="exact"/>
              <w:jc w:val="right"/>
              <w:rPr>
                <w:rFonts w:cs="宋体"/>
                <w:sz w:val="18"/>
                <w:szCs w:val="18"/>
              </w:rPr>
            </w:pPr>
            <w:r w:rsidRPr="0063248C">
              <w:rPr>
                <w:rFonts w:cs="宋体"/>
                <w:sz w:val="18"/>
                <w:szCs w:val="18"/>
              </w:rPr>
              <w:t>5,837,247.45</w:t>
            </w:r>
          </w:p>
        </w:tc>
        <w:tc>
          <w:tcPr>
            <w:tcW w:w="877" w:type="dxa"/>
            <w:tcBorders>
              <w:top w:val="single" w:sz="2" w:space="0" w:color="auto"/>
              <w:left w:val="single" w:sz="2" w:space="0" w:color="auto"/>
              <w:bottom w:val="single" w:sz="2" w:space="0" w:color="auto"/>
              <w:right w:val="single" w:sz="2" w:space="0" w:color="auto"/>
            </w:tcBorders>
            <w:vAlign w:val="center"/>
          </w:tcPr>
          <w:p w14:paraId="362316F4" w14:textId="77777777" w:rsidR="007B3DB2" w:rsidRPr="0063248C" w:rsidRDefault="00000000">
            <w:pPr>
              <w:spacing w:line="240" w:lineRule="exact"/>
              <w:jc w:val="right"/>
              <w:rPr>
                <w:rFonts w:cs="宋体"/>
                <w:sz w:val="18"/>
                <w:szCs w:val="18"/>
              </w:rPr>
            </w:pPr>
            <w:r w:rsidRPr="0063248C">
              <w:rPr>
                <w:rFonts w:cs="宋体"/>
                <w:sz w:val="18"/>
                <w:szCs w:val="18"/>
              </w:rPr>
              <w:t>2.60%</w:t>
            </w:r>
          </w:p>
        </w:tc>
        <w:tc>
          <w:tcPr>
            <w:tcW w:w="876" w:type="dxa"/>
            <w:tcBorders>
              <w:top w:val="single" w:sz="2" w:space="0" w:color="auto"/>
              <w:left w:val="single" w:sz="2" w:space="0" w:color="auto"/>
              <w:bottom w:val="single" w:sz="2" w:space="0" w:color="auto"/>
              <w:right w:val="single" w:sz="2" w:space="0" w:color="auto"/>
            </w:tcBorders>
            <w:vAlign w:val="center"/>
          </w:tcPr>
          <w:p w14:paraId="7B34688D" w14:textId="77777777" w:rsidR="007B3DB2" w:rsidRPr="0063248C" w:rsidRDefault="00000000">
            <w:pPr>
              <w:spacing w:line="240" w:lineRule="exact"/>
              <w:jc w:val="right"/>
              <w:rPr>
                <w:rFonts w:cs="宋体"/>
                <w:sz w:val="18"/>
                <w:szCs w:val="18"/>
              </w:rPr>
            </w:pPr>
            <w:r w:rsidRPr="0063248C">
              <w:rPr>
                <w:rFonts w:cs="宋体"/>
                <w:sz w:val="18"/>
                <w:szCs w:val="18"/>
              </w:rPr>
              <w:t>218,755,857.43</w:t>
            </w:r>
          </w:p>
        </w:tc>
        <w:tc>
          <w:tcPr>
            <w:tcW w:w="876" w:type="dxa"/>
            <w:tcBorders>
              <w:top w:val="single" w:sz="2" w:space="0" w:color="auto"/>
              <w:left w:val="single" w:sz="2" w:space="0" w:color="auto"/>
              <w:bottom w:val="single" w:sz="2" w:space="0" w:color="auto"/>
              <w:right w:val="single" w:sz="2" w:space="0" w:color="auto"/>
            </w:tcBorders>
            <w:vAlign w:val="center"/>
          </w:tcPr>
          <w:p w14:paraId="249BE83A" w14:textId="77777777" w:rsidR="007B3DB2" w:rsidRPr="0063248C" w:rsidRDefault="00000000">
            <w:pPr>
              <w:spacing w:line="240" w:lineRule="exact"/>
              <w:jc w:val="right"/>
              <w:rPr>
                <w:rFonts w:cs="宋体"/>
                <w:sz w:val="18"/>
                <w:szCs w:val="18"/>
              </w:rPr>
            </w:pPr>
            <w:r w:rsidRPr="0063248C">
              <w:rPr>
                <w:rFonts w:cs="宋体"/>
                <w:sz w:val="18"/>
                <w:szCs w:val="18"/>
              </w:rPr>
              <w:t>309,766,300.55</w:t>
            </w:r>
          </w:p>
        </w:tc>
        <w:tc>
          <w:tcPr>
            <w:tcW w:w="877" w:type="dxa"/>
            <w:tcBorders>
              <w:top w:val="single" w:sz="2" w:space="0" w:color="auto"/>
              <w:left w:val="single" w:sz="2" w:space="0" w:color="auto"/>
              <w:bottom w:val="single" w:sz="2" w:space="0" w:color="auto"/>
              <w:right w:val="single" w:sz="2" w:space="0" w:color="auto"/>
            </w:tcBorders>
            <w:vAlign w:val="center"/>
          </w:tcPr>
          <w:p w14:paraId="0C28CE6B" w14:textId="77777777" w:rsidR="007B3DB2" w:rsidRPr="0063248C" w:rsidRDefault="00000000">
            <w:pPr>
              <w:spacing w:line="240" w:lineRule="exact"/>
              <w:jc w:val="right"/>
              <w:rPr>
                <w:rFonts w:cs="宋体"/>
                <w:sz w:val="18"/>
                <w:szCs w:val="18"/>
              </w:rPr>
            </w:pPr>
            <w:r w:rsidRPr="0063248C">
              <w:rPr>
                <w:rFonts w:cs="宋体"/>
                <w:sz w:val="18"/>
                <w:szCs w:val="18"/>
              </w:rPr>
              <w:t>69.49%</w:t>
            </w:r>
          </w:p>
        </w:tc>
        <w:tc>
          <w:tcPr>
            <w:tcW w:w="876" w:type="dxa"/>
            <w:tcBorders>
              <w:top w:val="single" w:sz="2" w:space="0" w:color="auto"/>
              <w:left w:val="single" w:sz="2" w:space="0" w:color="auto"/>
              <w:bottom w:val="single" w:sz="2" w:space="0" w:color="auto"/>
              <w:right w:val="single" w:sz="2" w:space="0" w:color="auto"/>
            </w:tcBorders>
            <w:vAlign w:val="center"/>
          </w:tcPr>
          <w:p w14:paraId="14838E14" w14:textId="77777777" w:rsidR="007B3DB2" w:rsidRPr="0063248C" w:rsidRDefault="00000000">
            <w:pPr>
              <w:spacing w:line="240" w:lineRule="exact"/>
              <w:jc w:val="right"/>
              <w:rPr>
                <w:rFonts w:cs="宋体"/>
                <w:sz w:val="18"/>
                <w:szCs w:val="18"/>
              </w:rPr>
            </w:pPr>
            <w:r w:rsidRPr="0063248C">
              <w:rPr>
                <w:rFonts w:cs="宋体"/>
                <w:sz w:val="18"/>
                <w:szCs w:val="18"/>
              </w:rPr>
              <w:t>7,446,903.04</w:t>
            </w:r>
          </w:p>
        </w:tc>
        <w:tc>
          <w:tcPr>
            <w:tcW w:w="877" w:type="dxa"/>
            <w:tcBorders>
              <w:top w:val="single" w:sz="2" w:space="0" w:color="auto"/>
              <w:left w:val="single" w:sz="2" w:space="0" w:color="auto"/>
              <w:bottom w:val="single" w:sz="2" w:space="0" w:color="auto"/>
              <w:right w:val="single" w:sz="2" w:space="0" w:color="auto"/>
            </w:tcBorders>
            <w:vAlign w:val="center"/>
          </w:tcPr>
          <w:p w14:paraId="15EE5961" w14:textId="77777777" w:rsidR="007B3DB2" w:rsidRPr="0063248C" w:rsidRDefault="00000000">
            <w:pPr>
              <w:spacing w:line="240" w:lineRule="exact"/>
              <w:jc w:val="right"/>
              <w:rPr>
                <w:rFonts w:cs="宋体"/>
                <w:sz w:val="18"/>
                <w:szCs w:val="18"/>
              </w:rPr>
            </w:pPr>
            <w:r w:rsidRPr="0063248C">
              <w:rPr>
                <w:rFonts w:cs="宋体"/>
                <w:sz w:val="18"/>
                <w:szCs w:val="18"/>
              </w:rPr>
              <w:t>2.40%</w:t>
            </w:r>
          </w:p>
        </w:tc>
        <w:tc>
          <w:tcPr>
            <w:tcW w:w="876" w:type="dxa"/>
            <w:tcBorders>
              <w:top w:val="single" w:sz="2" w:space="0" w:color="auto"/>
              <w:left w:val="single" w:sz="2" w:space="0" w:color="auto"/>
              <w:bottom w:val="single" w:sz="2" w:space="0" w:color="auto"/>
              <w:right w:val="single" w:sz="2" w:space="0" w:color="auto"/>
            </w:tcBorders>
            <w:vAlign w:val="center"/>
          </w:tcPr>
          <w:p w14:paraId="73E795FB" w14:textId="77777777" w:rsidR="007B3DB2" w:rsidRPr="0063248C" w:rsidRDefault="00000000">
            <w:pPr>
              <w:spacing w:line="240" w:lineRule="exact"/>
              <w:jc w:val="right"/>
              <w:rPr>
                <w:rFonts w:cs="宋体"/>
                <w:sz w:val="18"/>
                <w:szCs w:val="18"/>
              </w:rPr>
            </w:pPr>
            <w:r w:rsidRPr="0063248C">
              <w:rPr>
                <w:rFonts w:cs="宋体"/>
                <w:sz w:val="18"/>
                <w:szCs w:val="18"/>
              </w:rPr>
              <w:t>302,319,397.51</w:t>
            </w:r>
          </w:p>
        </w:tc>
      </w:tr>
      <w:tr w:rsidR="007B3DB2" w:rsidRPr="0063248C" w14:paraId="1FDC6C36" w14:textId="77777777" w:rsidTr="00831EF5">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2570A467"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059" w:type="dxa"/>
            <w:tcBorders>
              <w:top w:val="single" w:sz="2" w:space="0" w:color="auto"/>
              <w:left w:val="single" w:sz="2" w:space="0" w:color="auto"/>
              <w:bottom w:val="single" w:sz="2" w:space="0" w:color="auto"/>
              <w:right w:val="single" w:sz="2" w:space="0" w:color="auto"/>
            </w:tcBorders>
            <w:vAlign w:val="center"/>
          </w:tcPr>
          <w:p w14:paraId="6D5FC79A" w14:textId="77777777" w:rsidR="007B3DB2" w:rsidRPr="0063248C" w:rsidRDefault="00000000">
            <w:pPr>
              <w:spacing w:line="240" w:lineRule="exact"/>
              <w:jc w:val="right"/>
              <w:rPr>
                <w:rFonts w:cs="宋体"/>
                <w:sz w:val="18"/>
                <w:szCs w:val="18"/>
              </w:rPr>
            </w:pPr>
            <w:r w:rsidRPr="0063248C">
              <w:rPr>
                <w:rFonts w:cs="宋体"/>
                <w:sz w:val="18"/>
                <w:szCs w:val="18"/>
              </w:rPr>
              <w:t>364,119,617.46</w:t>
            </w:r>
          </w:p>
        </w:tc>
        <w:tc>
          <w:tcPr>
            <w:tcW w:w="694" w:type="dxa"/>
            <w:tcBorders>
              <w:top w:val="single" w:sz="2" w:space="0" w:color="auto"/>
              <w:left w:val="single" w:sz="2" w:space="0" w:color="auto"/>
              <w:bottom w:val="single" w:sz="2" w:space="0" w:color="auto"/>
              <w:right w:val="single" w:sz="2" w:space="0" w:color="auto"/>
            </w:tcBorders>
            <w:vAlign w:val="center"/>
          </w:tcPr>
          <w:p w14:paraId="0E794407"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5D33755E" w14:textId="77777777" w:rsidR="007B3DB2" w:rsidRPr="0063248C" w:rsidRDefault="00000000">
            <w:pPr>
              <w:spacing w:line="240" w:lineRule="exact"/>
              <w:jc w:val="right"/>
              <w:rPr>
                <w:rFonts w:cs="宋体"/>
                <w:sz w:val="18"/>
                <w:szCs w:val="18"/>
              </w:rPr>
            </w:pPr>
            <w:r w:rsidRPr="0063248C">
              <w:rPr>
                <w:rFonts w:cs="宋体"/>
                <w:sz w:val="18"/>
                <w:szCs w:val="18"/>
              </w:rPr>
              <w:t>25,534,143.30</w:t>
            </w:r>
          </w:p>
        </w:tc>
        <w:tc>
          <w:tcPr>
            <w:tcW w:w="877" w:type="dxa"/>
            <w:tcBorders>
              <w:top w:val="single" w:sz="2" w:space="0" w:color="auto"/>
              <w:left w:val="single" w:sz="2" w:space="0" w:color="auto"/>
              <w:bottom w:val="single" w:sz="2" w:space="0" w:color="auto"/>
              <w:right w:val="single" w:sz="2" w:space="0" w:color="auto"/>
            </w:tcBorders>
            <w:vAlign w:val="center"/>
          </w:tcPr>
          <w:p w14:paraId="1A2A732A" w14:textId="77777777" w:rsidR="007B3DB2" w:rsidRPr="0063248C" w:rsidRDefault="00000000">
            <w:pPr>
              <w:spacing w:line="240" w:lineRule="exact"/>
              <w:jc w:val="right"/>
              <w:rPr>
                <w:rFonts w:cs="宋体"/>
                <w:sz w:val="18"/>
                <w:szCs w:val="18"/>
              </w:rPr>
            </w:pPr>
            <w:r w:rsidRPr="0063248C">
              <w:rPr>
                <w:rFonts w:cs="宋体"/>
                <w:sz w:val="18"/>
                <w:szCs w:val="18"/>
              </w:rPr>
              <w:t>7.01%</w:t>
            </w:r>
          </w:p>
        </w:tc>
        <w:tc>
          <w:tcPr>
            <w:tcW w:w="876" w:type="dxa"/>
            <w:tcBorders>
              <w:top w:val="single" w:sz="2" w:space="0" w:color="auto"/>
              <w:left w:val="single" w:sz="2" w:space="0" w:color="auto"/>
              <w:bottom w:val="single" w:sz="2" w:space="0" w:color="auto"/>
              <w:right w:val="single" w:sz="2" w:space="0" w:color="auto"/>
            </w:tcBorders>
            <w:vAlign w:val="center"/>
          </w:tcPr>
          <w:p w14:paraId="6990C7D4" w14:textId="77777777" w:rsidR="007B3DB2" w:rsidRPr="0063248C" w:rsidRDefault="00000000">
            <w:pPr>
              <w:spacing w:line="240" w:lineRule="exact"/>
              <w:jc w:val="right"/>
              <w:rPr>
                <w:rFonts w:cs="宋体"/>
                <w:sz w:val="18"/>
                <w:szCs w:val="18"/>
              </w:rPr>
            </w:pPr>
            <w:r w:rsidRPr="0063248C">
              <w:rPr>
                <w:rFonts w:cs="宋体"/>
                <w:sz w:val="18"/>
                <w:szCs w:val="18"/>
              </w:rPr>
              <w:t>338,585,474.16</w:t>
            </w:r>
          </w:p>
        </w:tc>
        <w:tc>
          <w:tcPr>
            <w:tcW w:w="876" w:type="dxa"/>
            <w:tcBorders>
              <w:top w:val="single" w:sz="2" w:space="0" w:color="auto"/>
              <w:left w:val="single" w:sz="2" w:space="0" w:color="auto"/>
              <w:bottom w:val="single" w:sz="2" w:space="0" w:color="auto"/>
              <w:right w:val="single" w:sz="2" w:space="0" w:color="auto"/>
            </w:tcBorders>
            <w:vAlign w:val="center"/>
          </w:tcPr>
          <w:p w14:paraId="724F0B58" w14:textId="77777777" w:rsidR="007B3DB2" w:rsidRPr="0063248C" w:rsidRDefault="00000000">
            <w:pPr>
              <w:spacing w:line="240" w:lineRule="exact"/>
              <w:jc w:val="right"/>
              <w:rPr>
                <w:rFonts w:cs="宋体"/>
                <w:sz w:val="18"/>
                <w:szCs w:val="18"/>
              </w:rPr>
            </w:pPr>
            <w:r w:rsidRPr="0063248C">
              <w:rPr>
                <w:rFonts w:cs="宋体"/>
                <w:sz w:val="18"/>
                <w:szCs w:val="18"/>
              </w:rPr>
              <w:t>445,754,208.26</w:t>
            </w:r>
          </w:p>
        </w:tc>
        <w:tc>
          <w:tcPr>
            <w:tcW w:w="877" w:type="dxa"/>
            <w:tcBorders>
              <w:top w:val="single" w:sz="2" w:space="0" w:color="auto"/>
              <w:left w:val="single" w:sz="2" w:space="0" w:color="auto"/>
              <w:bottom w:val="single" w:sz="2" w:space="0" w:color="auto"/>
              <w:right w:val="single" w:sz="2" w:space="0" w:color="auto"/>
            </w:tcBorders>
            <w:vAlign w:val="center"/>
          </w:tcPr>
          <w:p w14:paraId="5D732E6C"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26C8BE07" w14:textId="77777777" w:rsidR="007B3DB2" w:rsidRPr="0063248C" w:rsidRDefault="00000000">
            <w:pPr>
              <w:spacing w:line="240" w:lineRule="exact"/>
              <w:jc w:val="right"/>
              <w:rPr>
                <w:rFonts w:cs="宋体"/>
                <w:sz w:val="18"/>
                <w:szCs w:val="18"/>
              </w:rPr>
            </w:pPr>
            <w:r w:rsidRPr="0063248C">
              <w:rPr>
                <w:rFonts w:cs="宋体"/>
                <w:sz w:val="18"/>
                <w:szCs w:val="18"/>
              </w:rPr>
              <w:t>27,595,274.41</w:t>
            </w:r>
          </w:p>
        </w:tc>
        <w:tc>
          <w:tcPr>
            <w:tcW w:w="877" w:type="dxa"/>
            <w:tcBorders>
              <w:top w:val="single" w:sz="2" w:space="0" w:color="auto"/>
              <w:left w:val="single" w:sz="2" w:space="0" w:color="auto"/>
              <w:bottom w:val="single" w:sz="2" w:space="0" w:color="auto"/>
              <w:right w:val="single" w:sz="2" w:space="0" w:color="auto"/>
            </w:tcBorders>
            <w:vAlign w:val="center"/>
          </w:tcPr>
          <w:p w14:paraId="7E2ECF62" w14:textId="77777777" w:rsidR="007B3DB2" w:rsidRPr="0063248C" w:rsidRDefault="00000000">
            <w:pPr>
              <w:spacing w:line="240" w:lineRule="exact"/>
              <w:jc w:val="right"/>
              <w:rPr>
                <w:rFonts w:cs="宋体"/>
                <w:sz w:val="18"/>
                <w:szCs w:val="18"/>
              </w:rPr>
            </w:pPr>
            <w:r w:rsidRPr="0063248C">
              <w:rPr>
                <w:rFonts w:cs="宋体"/>
                <w:sz w:val="18"/>
                <w:szCs w:val="18"/>
              </w:rPr>
              <w:t>6.19%</w:t>
            </w:r>
          </w:p>
        </w:tc>
        <w:tc>
          <w:tcPr>
            <w:tcW w:w="876" w:type="dxa"/>
            <w:tcBorders>
              <w:top w:val="single" w:sz="2" w:space="0" w:color="auto"/>
              <w:left w:val="single" w:sz="2" w:space="0" w:color="auto"/>
              <w:bottom w:val="single" w:sz="2" w:space="0" w:color="auto"/>
              <w:right w:val="single" w:sz="2" w:space="0" w:color="auto"/>
            </w:tcBorders>
            <w:vAlign w:val="center"/>
          </w:tcPr>
          <w:p w14:paraId="64D6CF52" w14:textId="77777777" w:rsidR="007B3DB2" w:rsidRPr="0063248C" w:rsidRDefault="00000000">
            <w:pPr>
              <w:spacing w:line="240" w:lineRule="exact"/>
              <w:jc w:val="right"/>
              <w:rPr>
                <w:rFonts w:cs="宋体"/>
                <w:sz w:val="18"/>
                <w:szCs w:val="18"/>
              </w:rPr>
            </w:pPr>
            <w:r w:rsidRPr="0063248C">
              <w:rPr>
                <w:rFonts w:cs="宋体"/>
                <w:sz w:val="18"/>
                <w:szCs w:val="18"/>
              </w:rPr>
              <w:t>418,158,933.85</w:t>
            </w:r>
          </w:p>
        </w:tc>
      </w:tr>
    </w:tbl>
    <w:p w14:paraId="66300AEA" w14:textId="77777777" w:rsidR="007B3DB2" w:rsidRPr="0063248C" w:rsidRDefault="00000000">
      <w:pPr>
        <w:spacing w:before="100" w:after="100" w:line="240" w:lineRule="exact"/>
        <w:rPr>
          <w:rFonts w:cs="宋体"/>
          <w:sz w:val="18"/>
          <w:szCs w:val="18"/>
        </w:rPr>
      </w:pPr>
      <w:r w:rsidRPr="0063248C">
        <w:rPr>
          <w:rFonts w:cs="宋体"/>
          <w:sz w:val="18"/>
          <w:szCs w:val="18"/>
        </w:rPr>
        <w:t>按单项计提坏账准备类别名称：</w:t>
      </w:r>
      <w:r w:rsidRPr="0063248C">
        <w:rPr>
          <w:rFonts w:cs="宋体"/>
          <w:sz w:val="18"/>
          <w:szCs w:val="18"/>
        </w:rPr>
        <w:t>0</w:t>
      </w:r>
    </w:p>
    <w:p w14:paraId="5C1F8ECB" w14:textId="77777777" w:rsidR="007B3DB2" w:rsidRPr="0063248C" w:rsidRDefault="00000000">
      <w:pPr>
        <w:spacing w:before="120" w:after="120" w:line="240" w:lineRule="exact"/>
        <w:jc w:val="right"/>
        <w:rPr>
          <w:rFonts w:cs="宋体"/>
          <w:sz w:val="18"/>
          <w:szCs w:val="18"/>
        </w:rPr>
      </w:pPr>
      <w:r w:rsidRPr="0063248C">
        <w:rPr>
          <w:rFonts w:cs="宋体"/>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13B77A9B"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1B5EF24" w14:textId="77777777" w:rsidR="007B3DB2" w:rsidRPr="0063248C" w:rsidRDefault="00000000">
            <w:pPr>
              <w:spacing w:before="40" w:after="40" w:line="240" w:lineRule="exact"/>
              <w:jc w:val="center"/>
              <w:rPr>
                <w:rFonts w:cs="宋体"/>
                <w:sz w:val="18"/>
                <w:szCs w:val="18"/>
              </w:rPr>
            </w:pPr>
            <w:r w:rsidRPr="0063248C">
              <w:rPr>
                <w:rFonts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BA41968"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16FA91C"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6761FCE3"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0E74136"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2BD713C"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8ADE29C"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1DB81D8"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D110906"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193DE95"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0CEC4D6"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计提理由</w:t>
            </w:r>
          </w:p>
        </w:tc>
      </w:tr>
      <w:tr w:rsidR="007B3DB2" w:rsidRPr="0063248C" w14:paraId="39D3740D"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52F84AE" w14:textId="77777777" w:rsidR="007B3DB2" w:rsidRPr="0063248C" w:rsidRDefault="00000000">
            <w:pPr>
              <w:spacing w:line="240" w:lineRule="exact"/>
              <w:rPr>
                <w:rFonts w:cs="宋体"/>
                <w:sz w:val="18"/>
                <w:szCs w:val="18"/>
              </w:rPr>
            </w:pPr>
            <w:r w:rsidRPr="0063248C">
              <w:rPr>
                <w:rFonts w:cs="宋体"/>
                <w:sz w:val="18"/>
                <w:szCs w:val="18"/>
              </w:rPr>
              <w:t>4-6</w:t>
            </w:r>
            <w:r w:rsidRPr="0063248C">
              <w:rPr>
                <w:rFonts w:cs="宋体"/>
                <w:sz w:val="18"/>
                <w:szCs w:val="18"/>
              </w:rPr>
              <w:t>月</w:t>
            </w:r>
          </w:p>
        </w:tc>
        <w:tc>
          <w:tcPr>
            <w:tcW w:w="1377" w:type="dxa"/>
            <w:tcBorders>
              <w:top w:val="single" w:sz="2" w:space="0" w:color="auto"/>
              <w:left w:val="single" w:sz="2" w:space="0" w:color="auto"/>
              <w:bottom w:val="single" w:sz="2" w:space="0" w:color="auto"/>
              <w:right w:val="single" w:sz="2" w:space="0" w:color="auto"/>
            </w:tcBorders>
            <w:vAlign w:val="center"/>
          </w:tcPr>
          <w:p w14:paraId="7B01D67B" w14:textId="77777777" w:rsidR="007B3DB2" w:rsidRPr="0063248C" w:rsidRDefault="00000000">
            <w:pPr>
              <w:spacing w:line="240" w:lineRule="exact"/>
              <w:jc w:val="right"/>
              <w:rPr>
                <w:rFonts w:cs="宋体"/>
                <w:sz w:val="18"/>
                <w:szCs w:val="18"/>
              </w:rPr>
            </w:pPr>
            <w:r w:rsidRPr="0063248C">
              <w:rPr>
                <w:rFonts w:cs="宋体"/>
                <w:sz w:val="18"/>
                <w:szCs w:val="18"/>
              </w:rPr>
              <w:t>446,786.30</w:t>
            </w:r>
          </w:p>
        </w:tc>
        <w:tc>
          <w:tcPr>
            <w:tcW w:w="1377" w:type="dxa"/>
            <w:tcBorders>
              <w:top w:val="single" w:sz="2" w:space="0" w:color="auto"/>
              <w:left w:val="single" w:sz="2" w:space="0" w:color="auto"/>
              <w:bottom w:val="single" w:sz="2" w:space="0" w:color="auto"/>
              <w:right w:val="single" w:sz="2" w:space="0" w:color="auto"/>
            </w:tcBorders>
            <w:vAlign w:val="center"/>
          </w:tcPr>
          <w:p w14:paraId="108E33A2" w14:textId="77777777" w:rsidR="007B3DB2" w:rsidRPr="0063248C" w:rsidRDefault="00000000">
            <w:pPr>
              <w:spacing w:line="240" w:lineRule="exact"/>
              <w:jc w:val="right"/>
              <w:rPr>
                <w:rFonts w:cs="宋体"/>
                <w:sz w:val="18"/>
                <w:szCs w:val="18"/>
              </w:rPr>
            </w:pPr>
            <w:r w:rsidRPr="0063248C">
              <w:rPr>
                <w:rFonts w:cs="宋体"/>
                <w:sz w:val="18"/>
                <w:szCs w:val="18"/>
              </w:rPr>
              <w:t>446,786.30</w:t>
            </w:r>
          </w:p>
        </w:tc>
        <w:tc>
          <w:tcPr>
            <w:tcW w:w="1377" w:type="dxa"/>
            <w:tcBorders>
              <w:top w:val="single" w:sz="2" w:space="0" w:color="auto"/>
              <w:left w:val="single" w:sz="2" w:space="0" w:color="auto"/>
              <w:bottom w:val="single" w:sz="2" w:space="0" w:color="auto"/>
              <w:right w:val="single" w:sz="2" w:space="0" w:color="auto"/>
            </w:tcBorders>
            <w:vAlign w:val="center"/>
          </w:tcPr>
          <w:p w14:paraId="3A5F869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BA7C22"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39102C"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62E5083" w14:textId="77777777" w:rsidR="007B3DB2" w:rsidRPr="0063248C" w:rsidRDefault="007B3DB2">
            <w:pPr>
              <w:spacing w:line="240" w:lineRule="exact"/>
              <w:rPr>
                <w:rFonts w:cs="宋体"/>
                <w:sz w:val="18"/>
                <w:szCs w:val="18"/>
              </w:rPr>
            </w:pPr>
          </w:p>
        </w:tc>
      </w:tr>
      <w:tr w:rsidR="007B3DB2" w:rsidRPr="0063248C" w14:paraId="1A1950D7"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017F4FD" w14:textId="77777777" w:rsidR="007B3DB2" w:rsidRPr="0063248C" w:rsidRDefault="00000000">
            <w:pPr>
              <w:spacing w:line="240" w:lineRule="exact"/>
              <w:rPr>
                <w:rFonts w:cs="宋体"/>
                <w:sz w:val="18"/>
                <w:szCs w:val="18"/>
              </w:rPr>
            </w:pPr>
            <w:r w:rsidRPr="0063248C">
              <w:rPr>
                <w:rFonts w:cs="宋体"/>
                <w:sz w:val="18"/>
                <w:szCs w:val="18"/>
              </w:rPr>
              <w:t>10-12</w:t>
            </w:r>
            <w:r w:rsidRPr="0063248C">
              <w:rPr>
                <w:rFonts w:cs="宋体"/>
                <w:sz w:val="18"/>
                <w:szCs w:val="18"/>
              </w:rPr>
              <w:t>月</w:t>
            </w:r>
          </w:p>
        </w:tc>
        <w:tc>
          <w:tcPr>
            <w:tcW w:w="1377" w:type="dxa"/>
            <w:tcBorders>
              <w:top w:val="single" w:sz="2" w:space="0" w:color="auto"/>
              <w:left w:val="single" w:sz="2" w:space="0" w:color="auto"/>
              <w:bottom w:val="single" w:sz="2" w:space="0" w:color="auto"/>
              <w:right w:val="single" w:sz="2" w:space="0" w:color="auto"/>
            </w:tcBorders>
            <w:vAlign w:val="center"/>
          </w:tcPr>
          <w:p w14:paraId="321E2E5B" w14:textId="77777777" w:rsidR="007B3DB2" w:rsidRPr="0063248C" w:rsidRDefault="00000000">
            <w:pPr>
              <w:spacing w:line="240" w:lineRule="exact"/>
              <w:jc w:val="right"/>
              <w:rPr>
                <w:rFonts w:cs="宋体"/>
                <w:sz w:val="18"/>
                <w:szCs w:val="18"/>
              </w:rPr>
            </w:pPr>
            <w:r w:rsidRPr="0063248C">
              <w:rPr>
                <w:rFonts w:cs="宋体"/>
                <w:sz w:val="18"/>
                <w:szCs w:val="18"/>
              </w:rPr>
              <w:t>127,198.11</w:t>
            </w:r>
          </w:p>
        </w:tc>
        <w:tc>
          <w:tcPr>
            <w:tcW w:w="1377" w:type="dxa"/>
            <w:tcBorders>
              <w:top w:val="single" w:sz="2" w:space="0" w:color="auto"/>
              <w:left w:val="single" w:sz="2" w:space="0" w:color="auto"/>
              <w:bottom w:val="single" w:sz="2" w:space="0" w:color="auto"/>
              <w:right w:val="single" w:sz="2" w:space="0" w:color="auto"/>
            </w:tcBorders>
            <w:vAlign w:val="center"/>
          </w:tcPr>
          <w:p w14:paraId="4AE5257D" w14:textId="77777777" w:rsidR="007B3DB2" w:rsidRPr="0063248C" w:rsidRDefault="00000000">
            <w:pPr>
              <w:spacing w:line="240" w:lineRule="exact"/>
              <w:jc w:val="right"/>
              <w:rPr>
                <w:rFonts w:cs="宋体"/>
                <w:sz w:val="18"/>
                <w:szCs w:val="18"/>
              </w:rPr>
            </w:pPr>
            <w:r w:rsidRPr="0063248C">
              <w:rPr>
                <w:rFonts w:cs="宋体"/>
                <w:sz w:val="18"/>
                <w:szCs w:val="18"/>
              </w:rPr>
              <w:t>127,198.11</w:t>
            </w:r>
          </w:p>
        </w:tc>
        <w:tc>
          <w:tcPr>
            <w:tcW w:w="1377" w:type="dxa"/>
            <w:tcBorders>
              <w:top w:val="single" w:sz="2" w:space="0" w:color="auto"/>
              <w:left w:val="single" w:sz="2" w:space="0" w:color="auto"/>
              <w:bottom w:val="single" w:sz="2" w:space="0" w:color="auto"/>
              <w:right w:val="single" w:sz="2" w:space="0" w:color="auto"/>
            </w:tcBorders>
            <w:vAlign w:val="center"/>
          </w:tcPr>
          <w:p w14:paraId="53DBF803"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C66F7F"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B01DE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77D454" w14:textId="77777777" w:rsidR="007B3DB2" w:rsidRPr="0063248C" w:rsidRDefault="007B3DB2">
            <w:pPr>
              <w:spacing w:line="240" w:lineRule="exact"/>
              <w:rPr>
                <w:rFonts w:cs="宋体"/>
                <w:sz w:val="18"/>
                <w:szCs w:val="18"/>
              </w:rPr>
            </w:pPr>
          </w:p>
        </w:tc>
      </w:tr>
      <w:tr w:rsidR="007B3DB2" w:rsidRPr="0063248C" w14:paraId="2EDB3DA3"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83F1608" w14:textId="77777777" w:rsidR="007B3DB2" w:rsidRPr="0063248C" w:rsidRDefault="00000000">
            <w:pPr>
              <w:spacing w:line="240" w:lineRule="exact"/>
              <w:rPr>
                <w:rFonts w:cs="宋体"/>
                <w:sz w:val="18"/>
                <w:szCs w:val="18"/>
              </w:rPr>
            </w:pPr>
            <w:r w:rsidRPr="0063248C">
              <w:rPr>
                <w:rFonts w:cs="宋体"/>
                <w:sz w:val="18"/>
                <w:szCs w:val="18"/>
              </w:rPr>
              <w:t>1-2</w:t>
            </w:r>
            <w:r w:rsidRPr="0063248C">
              <w:rPr>
                <w:rFonts w:cs="宋体"/>
                <w:sz w:val="18"/>
                <w:szCs w:val="18"/>
              </w:rPr>
              <w:t>年</w:t>
            </w:r>
          </w:p>
        </w:tc>
        <w:tc>
          <w:tcPr>
            <w:tcW w:w="1377" w:type="dxa"/>
            <w:tcBorders>
              <w:top w:val="single" w:sz="2" w:space="0" w:color="auto"/>
              <w:left w:val="single" w:sz="2" w:space="0" w:color="auto"/>
              <w:bottom w:val="single" w:sz="2" w:space="0" w:color="auto"/>
              <w:right w:val="single" w:sz="2" w:space="0" w:color="auto"/>
            </w:tcBorders>
            <w:vAlign w:val="center"/>
          </w:tcPr>
          <w:p w14:paraId="073D0727" w14:textId="77777777" w:rsidR="007B3DB2" w:rsidRPr="0063248C" w:rsidRDefault="00000000">
            <w:pPr>
              <w:spacing w:line="240" w:lineRule="exact"/>
              <w:jc w:val="right"/>
              <w:rPr>
                <w:rFonts w:cs="宋体"/>
                <w:sz w:val="18"/>
                <w:szCs w:val="18"/>
              </w:rPr>
            </w:pPr>
            <w:r w:rsidRPr="0063248C">
              <w:rPr>
                <w:rFonts w:cs="宋体"/>
                <w:sz w:val="18"/>
                <w:szCs w:val="18"/>
              </w:rPr>
              <w:t>7,071,135.36</w:t>
            </w:r>
          </w:p>
        </w:tc>
        <w:tc>
          <w:tcPr>
            <w:tcW w:w="1377" w:type="dxa"/>
            <w:tcBorders>
              <w:top w:val="single" w:sz="2" w:space="0" w:color="auto"/>
              <w:left w:val="single" w:sz="2" w:space="0" w:color="auto"/>
              <w:bottom w:val="single" w:sz="2" w:space="0" w:color="auto"/>
              <w:right w:val="single" w:sz="2" w:space="0" w:color="auto"/>
            </w:tcBorders>
            <w:vAlign w:val="center"/>
          </w:tcPr>
          <w:p w14:paraId="4B481944" w14:textId="77777777" w:rsidR="007B3DB2" w:rsidRPr="0063248C" w:rsidRDefault="00000000">
            <w:pPr>
              <w:spacing w:line="240" w:lineRule="exact"/>
              <w:jc w:val="right"/>
              <w:rPr>
                <w:rFonts w:cs="宋体"/>
                <w:sz w:val="18"/>
                <w:szCs w:val="18"/>
              </w:rPr>
            </w:pPr>
            <w:r w:rsidRPr="0063248C">
              <w:rPr>
                <w:rFonts w:cs="宋体"/>
                <w:sz w:val="18"/>
                <w:szCs w:val="18"/>
              </w:rPr>
              <w:t>7,071,135.36</w:t>
            </w:r>
          </w:p>
        </w:tc>
        <w:tc>
          <w:tcPr>
            <w:tcW w:w="1377" w:type="dxa"/>
            <w:tcBorders>
              <w:top w:val="single" w:sz="2" w:space="0" w:color="auto"/>
              <w:left w:val="single" w:sz="2" w:space="0" w:color="auto"/>
              <w:bottom w:val="single" w:sz="2" w:space="0" w:color="auto"/>
              <w:right w:val="single" w:sz="2" w:space="0" w:color="auto"/>
            </w:tcBorders>
            <w:vAlign w:val="center"/>
          </w:tcPr>
          <w:p w14:paraId="27FE2517" w14:textId="77777777" w:rsidR="007B3DB2" w:rsidRPr="0063248C" w:rsidRDefault="00000000">
            <w:pPr>
              <w:spacing w:line="240" w:lineRule="exact"/>
              <w:jc w:val="right"/>
              <w:rPr>
                <w:rFonts w:cs="宋体"/>
                <w:sz w:val="18"/>
                <w:szCs w:val="18"/>
              </w:rPr>
            </w:pPr>
            <w:r w:rsidRPr="0063248C">
              <w:rPr>
                <w:rFonts w:cs="宋体"/>
                <w:sz w:val="18"/>
                <w:szCs w:val="18"/>
              </w:rPr>
              <w:t>7,118,272.22</w:t>
            </w:r>
          </w:p>
        </w:tc>
        <w:tc>
          <w:tcPr>
            <w:tcW w:w="1377" w:type="dxa"/>
            <w:tcBorders>
              <w:top w:val="single" w:sz="2" w:space="0" w:color="auto"/>
              <w:left w:val="single" w:sz="2" w:space="0" w:color="auto"/>
              <w:bottom w:val="single" w:sz="2" w:space="0" w:color="auto"/>
              <w:right w:val="single" w:sz="2" w:space="0" w:color="auto"/>
            </w:tcBorders>
            <w:vAlign w:val="center"/>
          </w:tcPr>
          <w:p w14:paraId="5BE19F99" w14:textId="77777777" w:rsidR="007B3DB2" w:rsidRPr="0063248C" w:rsidRDefault="00000000">
            <w:pPr>
              <w:spacing w:line="240" w:lineRule="exact"/>
              <w:jc w:val="right"/>
              <w:rPr>
                <w:rFonts w:cs="宋体"/>
                <w:sz w:val="18"/>
                <w:szCs w:val="18"/>
              </w:rPr>
            </w:pPr>
            <w:r w:rsidRPr="0063248C">
              <w:rPr>
                <w:rFonts w:cs="宋体"/>
                <w:sz w:val="18"/>
                <w:szCs w:val="18"/>
              </w:rPr>
              <w:t>7,118,272.22</w:t>
            </w:r>
          </w:p>
        </w:tc>
        <w:tc>
          <w:tcPr>
            <w:tcW w:w="1377" w:type="dxa"/>
            <w:tcBorders>
              <w:top w:val="single" w:sz="2" w:space="0" w:color="auto"/>
              <w:left w:val="single" w:sz="2" w:space="0" w:color="auto"/>
              <w:bottom w:val="single" w:sz="2" w:space="0" w:color="auto"/>
              <w:right w:val="single" w:sz="2" w:space="0" w:color="auto"/>
            </w:tcBorders>
            <w:vAlign w:val="center"/>
          </w:tcPr>
          <w:p w14:paraId="79B48BEB"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1E68A052" w14:textId="77777777" w:rsidR="007B3DB2" w:rsidRPr="0063248C" w:rsidRDefault="00000000">
            <w:pPr>
              <w:spacing w:line="240" w:lineRule="exact"/>
              <w:rPr>
                <w:rFonts w:cs="宋体"/>
                <w:sz w:val="18"/>
                <w:szCs w:val="18"/>
              </w:rPr>
            </w:pPr>
            <w:r w:rsidRPr="0063248C">
              <w:rPr>
                <w:rFonts w:cs="宋体"/>
                <w:sz w:val="18"/>
                <w:szCs w:val="18"/>
              </w:rPr>
              <w:t>客户经营出现问题，无力偿还债务</w:t>
            </w:r>
          </w:p>
        </w:tc>
      </w:tr>
      <w:tr w:rsidR="007B3DB2" w:rsidRPr="0063248C" w14:paraId="4BF434B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BD85382" w14:textId="77777777" w:rsidR="007B3DB2" w:rsidRPr="0063248C" w:rsidRDefault="00000000">
            <w:pPr>
              <w:spacing w:line="240" w:lineRule="exact"/>
              <w:rPr>
                <w:rFonts w:cs="宋体"/>
                <w:sz w:val="18"/>
                <w:szCs w:val="18"/>
              </w:rPr>
            </w:pPr>
            <w:r w:rsidRPr="0063248C">
              <w:rPr>
                <w:rFonts w:cs="宋体"/>
                <w:sz w:val="18"/>
                <w:szCs w:val="18"/>
              </w:rPr>
              <w:t>2-3</w:t>
            </w:r>
            <w:r w:rsidRPr="0063248C">
              <w:rPr>
                <w:rFonts w:cs="宋体"/>
                <w:sz w:val="18"/>
                <w:szCs w:val="18"/>
              </w:rPr>
              <w:t>年</w:t>
            </w:r>
          </w:p>
        </w:tc>
        <w:tc>
          <w:tcPr>
            <w:tcW w:w="1377" w:type="dxa"/>
            <w:tcBorders>
              <w:top w:val="single" w:sz="2" w:space="0" w:color="auto"/>
              <w:left w:val="single" w:sz="2" w:space="0" w:color="auto"/>
              <w:bottom w:val="single" w:sz="2" w:space="0" w:color="auto"/>
              <w:right w:val="single" w:sz="2" w:space="0" w:color="auto"/>
            </w:tcBorders>
            <w:vAlign w:val="center"/>
          </w:tcPr>
          <w:p w14:paraId="25086C08" w14:textId="77777777" w:rsidR="007B3DB2" w:rsidRPr="0063248C" w:rsidRDefault="00000000">
            <w:pPr>
              <w:spacing w:line="240" w:lineRule="exact"/>
              <w:jc w:val="right"/>
              <w:rPr>
                <w:rFonts w:cs="宋体"/>
                <w:sz w:val="18"/>
                <w:szCs w:val="18"/>
              </w:rPr>
            </w:pPr>
            <w:r w:rsidRPr="0063248C">
              <w:rPr>
                <w:rFonts w:cs="宋体"/>
                <w:sz w:val="18"/>
                <w:szCs w:val="18"/>
              </w:rPr>
              <w:t>1,704.22</w:t>
            </w:r>
          </w:p>
        </w:tc>
        <w:tc>
          <w:tcPr>
            <w:tcW w:w="1377" w:type="dxa"/>
            <w:tcBorders>
              <w:top w:val="single" w:sz="2" w:space="0" w:color="auto"/>
              <w:left w:val="single" w:sz="2" w:space="0" w:color="auto"/>
              <w:bottom w:val="single" w:sz="2" w:space="0" w:color="auto"/>
              <w:right w:val="single" w:sz="2" w:space="0" w:color="auto"/>
            </w:tcBorders>
            <w:vAlign w:val="center"/>
          </w:tcPr>
          <w:p w14:paraId="4F254586" w14:textId="77777777" w:rsidR="007B3DB2" w:rsidRPr="0063248C" w:rsidRDefault="00000000">
            <w:pPr>
              <w:spacing w:line="240" w:lineRule="exact"/>
              <w:jc w:val="right"/>
              <w:rPr>
                <w:rFonts w:cs="宋体"/>
                <w:sz w:val="18"/>
                <w:szCs w:val="18"/>
              </w:rPr>
            </w:pPr>
            <w:r w:rsidRPr="0063248C">
              <w:rPr>
                <w:rFonts w:cs="宋体"/>
                <w:sz w:val="18"/>
                <w:szCs w:val="18"/>
              </w:rPr>
              <w:t>1,704.22</w:t>
            </w:r>
          </w:p>
        </w:tc>
        <w:tc>
          <w:tcPr>
            <w:tcW w:w="1377" w:type="dxa"/>
            <w:tcBorders>
              <w:top w:val="single" w:sz="2" w:space="0" w:color="auto"/>
              <w:left w:val="single" w:sz="2" w:space="0" w:color="auto"/>
              <w:bottom w:val="single" w:sz="2" w:space="0" w:color="auto"/>
              <w:right w:val="single" w:sz="2" w:space="0" w:color="auto"/>
            </w:tcBorders>
            <w:vAlign w:val="center"/>
          </w:tcPr>
          <w:p w14:paraId="63E8FE9E" w14:textId="77777777" w:rsidR="007B3DB2" w:rsidRPr="0063248C" w:rsidRDefault="00000000">
            <w:pPr>
              <w:spacing w:line="240" w:lineRule="exact"/>
              <w:jc w:val="right"/>
              <w:rPr>
                <w:rFonts w:cs="宋体"/>
                <w:sz w:val="18"/>
                <w:szCs w:val="18"/>
              </w:rPr>
            </w:pPr>
            <w:r w:rsidRPr="0063248C">
              <w:rPr>
                <w:rFonts w:cs="宋体"/>
                <w:sz w:val="18"/>
                <w:szCs w:val="18"/>
              </w:rPr>
              <w:t>77,076.25</w:t>
            </w:r>
          </w:p>
        </w:tc>
        <w:tc>
          <w:tcPr>
            <w:tcW w:w="1377" w:type="dxa"/>
            <w:tcBorders>
              <w:top w:val="single" w:sz="2" w:space="0" w:color="auto"/>
              <w:left w:val="single" w:sz="2" w:space="0" w:color="auto"/>
              <w:bottom w:val="single" w:sz="2" w:space="0" w:color="auto"/>
              <w:right w:val="single" w:sz="2" w:space="0" w:color="auto"/>
            </w:tcBorders>
            <w:vAlign w:val="center"/>
          </w:tcPr>
          <w:p w14:paraId="7C7CE489" w14:textId="77777777" w:rsidR="007B3DB2" w:rsidRPr="0063248C" w:rsidRDefault="00000000">
            <w:pPr>
              <w:spacing w:line="240" w:lineRule="exact"/>
              <w:jc w:val="right"/>
              <w:rPr>
                <w:rFonts w:cs="宋体"/>
                <w:sz w:val="18"/>
                <w:szCs w:val="18"/>
              </w:rPr>
            </w:pPr>
            <w:r w:rsidRPr="0063248C">
              <w:rPr>
                <w:rFonts w:cs="宋体"/>
                <w:sz w:val="18"/>
                <w:szCs w:val="18"/>
              </w:rPr>
              <w:t>77,076.25</w:t>
            </w:r>
          </w:p>
        </w:tc>
        <w:tc>
          <w:tcPr>
            <w:tcW w:w="1377" w:type="dxa"/>
            <w:tcBorders>
              <w:top w:val="single" w:sz="2" w:space="0" w:color="auto"/>
              <w:left w:val="single" w:sz="2" w:space="0" w:color="auto"/>
              <w:bottom w:val="single" w:sz="2" w:space="0" w:color="auto"/>
              <w:right w:val="single" w:sz="2" w:space="0" w:color="auto"/>
            </w:tcBorders>
            <w:vAlign w:val="center"/>
          </w:tcPr>
          <w:p w14:paraId="5E58669C" w14:textId="77777777" w:rsidR="007B3DB2" w:rsidRPr="0063248C" w:rsidRDefault="00000000">
            <w:pPr>
              <w:spacing w:line="240" w:lineRule="exact"/>
              <w:jc w:val="right"/>
              <w:rPr>
                <w:rFonts w:cs="宋体"/>
                <w:sz w:val="18"/>
                <w:szCs w:val="18"/>
              </w:rPr>
            </w:pPr>
            <w:r w:rsidRPr="0063248C">
              <w:rPr>
                <w:rFonts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00655ED8" w14:textId="77777777" w:rsidR="007B3DB2" w:rsidRPr="0063248C" w:rsidRDefault="00000000">
            <w:pPr>
              <w:spacing w:line="240" w:lineRule="exact"/>
              <w:rPr>
                <w:rFonts w:cs="宋体"/>
                <w:sz w:val="18"/>
                <w:szCs w:val="18"/>
              </w:rPr>
            </w:pPr>
            <w:r w:rsidRPr="0063248C">
              <w:rPr>
                <w:rFonts w:cs="宋体"/>
                <w:sz w:val="18"/>
                <w:szCs w:val="18"/>
              </w:rPr>
              <w:t>客户经营出现问题，无力偿还债务</w:t>
            </w:r>
          </w:p>
        </w:tc>
      </w:tr>
      <w:tr w:rsidR="007B3DB2" w:rsidRPr="0063248C" w14:paraId="4BBA2DC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2977625"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379C68F8" w14:textId="77777777" w:rsidR="007B3DB2" w:rsidRPr="0063248C" w:rsidRDefault="00000000">
            <w:pPr>
              <w:spacing w:line="240" w:lineRule="exact"/>
              <w:jc w:val="right"/>
              <w:rPr>
                <w:rFonts w:cs="宋体"/>
                <w:sz w:val="18"/>
                <w:szCs w:val="18"/>
              </w:rPr>
            </w:pPr>
            <w:r w:rsidRPr="0063248C">
              <w:rPr>
                <w:rFonts w:cs="宋体"/>
                <w:sz w:val="18"/>
                <w:szCs w:val="18"/>
              </w:rPr>
              <w:t>7,646,823.99</w:t>
            </w:r>
          </w:p>
        </w:tc>
        <w:tc>
          <w:tcPr>
            <w:tcW w:w="1377" w:type="dxa"/>
            <w:tcBorders>
              <w:top w:val="single" w:sz="2" w:space="0" w:color="auto"/>
              <w:left w:val="single" w:sz="2" w:space="0" w:color="auto"/>
              <w:bottom w:val="single" w:sz="2" w:space="0" w:color="auto"/>
              <w:right w:val="single" w:sz="2" w:space="0" w:color="auto"/>
            </w:tcBorders>
            <w:vAlign w:val="center"/>
          </w:tcPr>
          <w:p w14:paraId="0673D1EE" w14:textId="77777777" w:rsidR="007B3DB2" w:rsidRPr="0063248C" w:rsidRDefault="00000000">
            <w:pPr>
              <w:spacing w:line="240" w:lineRule="exact"/>
              <w:jc w:val="right"/>
              <w:rPr>
                <w:rFonts w:cs="宋体"/>
                <w:sz w:val="18"/>
                <w:szCs w:val="18"/>
              </w:rPr>
            </w:pPr>
            <w:r w:rsidRPr="0063248C">
              <w:rPr>
                <w:rFonts w:cs="宋体"/>
                <w:sz w:val="18"/>
                <w:szCs w:val="18"/>
              </w:rPr>
              <w:t>7,646,823.99</w:t>
            </w:r>
          </w:p>
        </w:tc>
        <w:tc>
          <w:tcPr>
            <w:tcW w:w="1377" w:type="dxa"/>
            <w:tcBorders>
              <w:top w:val="single" w:sz="2" w:space="0" w:color="auto"/>
              <w:left w:val="single" w:sz="2" w:space="0" w:color="auto"/>
              <w:bottom w:val="single" w:sz="2" w:space="0" w:color="auto"/>
              <w:right w:val="single" w:sz="2" w:space="0" w:color="auto"/>
            </w:tcBorders>
            <w:vAlign w:val="center"/>
          </w:tcPr>
          <w:p w14:paraId="24495727" w14:textId="77777777" w:rsidR="007B3DB2" w:rsidRPr="0063248C" w:rsidRDefault="00000000">
            <w:pPr>
              <w:spacing w:line="240" w:lineRule="exact"/>
              <w:jc w:val="right"/>
              <w:rPr>
                <w:rFonts w:cs="宋体"/>
                <w:sz w:val="18"/>
                <w:szCs w:val="18"/>
              </w:rPr>
            </w:pPr>
            <w:r w:rsidRPr="0063248C">
              <w:rPr>
                <w:rFonts w:cs="宋体"/>
                <w:sz w:val="18"/>
                <w:szCs w:val="18"/>
              </w:rPr>
              <w:t>7,195,348.47</w:t>
            </w:r>
          </w:p>
        </w:tc>
        <w:tc>
          <w:tcPr>
            <w:tcW w:w="1377" w:type="dxa"/>
            <w:tcBorders>
              <w:top w:val="single" w:sz="2" w:space="0" w:color="auto"/>
              <w:left w:val="single" w:sz="2" w:space="0" w:color="auto"/>
              <w:bottom w:val="single" w:sz="2" w:space="0" w:color="auto"/>
              <w:right w:val="single" w:sz="2" w:space="0" w:color="auto"/>
            </w:tcBorders>
            <w:vAlign w:val="center"/>
          </w:tcPr>
          <w:p w14:paraId="2CA135C8" w14:textId="77777777" w:rsidR="007B3DB2" w:rsidRPr="0063248C" w:rsidRDefault="00000000">
            <w:pPr>
              <w:spacing w:line="240" w:lineRule="exact"/>
              <w:jc w:val="right"/>
              <w:rPr>
                <w:rFonts w:cs="宋体"/>
                <w:sz w:val="18"/>
                <w:szCs w:val="18"/>
              </w:rPr>
            </w:pPr>
            <w:r w:rsidRPr="0063248C">
              <w:rPr>
                <w:rFonts w:cs="宋体"/>
                <w:sz w:val="18"/>
                <w:szCs w:val="18"/>
              </w:rPr>
              <w:t>7,195,348.47</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98FF7D"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B8E4356" w14:textId="77777777" w:rsidR="007B3DB2" w:rsidRPr="0063248C" w:rsidRDefault="007B3DB2"/>
        </w:tc>
      </w:tr>
    </w:tbl>
    <w:p w14:paraId="407B2F18" w14:textId="77777777" w:rsidR="007B3DB2" w:rsidRPr="0063248C" w:rsidRDefault="00000000">
      <w:pPr>
        <w:spacing w:before="100" w:after="100" w:line="240" w:lineRule="exact"/>
        <w:rPr>
          <w:rFonts w:cs="宋体"/>
          <w:sz w:val="18"/>
          <w:szCs w:val="18"/>
        </w:rPr>
      </w:pPr>
      <w:r w:rsidRPr="0063248C">
        <w:rPr>
          <w:rFonts w:cs="宋体"/>
          <w:sz w:val="18"/>
          <w:szCs w:val="18"/>
        </w:rPr>
        <w:t>按组合计提坏账准备类别名称：</w:t>
      </w:r>
    </w:p>
    <w:p w14:paraId="50CA729A"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28EB4C19"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19B5158" w14:textId="77777777" w:rsidR="007B3DB2" w:rsidRPr="0063248C" w:rsidRDefault="00000000">
            <w:pPr>
              <w:spacing w:before="40" w:after="40" w:line="240" w:lineRule="exact"/>
              <w:jc w:val="center"/>
              <w:rPr>
                <w:rFonts w:cs="宋体"/>
                <w:sz w:val="18"/>
                <w:szCs w:val="18"/>
              </w:rPr>
            </w:pPr>
            <w:r w:rsidRPr="0063248C">
              <w:rPr>
                <w:rFonts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E8C56D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4024E7D6"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5D3148D"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DC84B46"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7FCA568"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2624CB0"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计提比例</w:t>
            </w:r>
          </w:p>
        </w:tc>
      </w:tr>
      <w:tr w:rsidR="007B3DB2" w:rsidRPr="0063248C" w14:paraId="48FAFEB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2DEC5CC" w14:textId="77777777" w:rsidR="007B3DB2" w:rsidRPr="0063248C" w:rsidRDefault="00000000">
            <w:pPr>
              <w:spacing w:line="240" w:lineRule="exact"/>
              <w:rPr>
                <w:rFonts w:cs="宋体"/>
                <w:sz w:val="18"/>
                <w:szCs w:val="18"/>
              </w:rPr>
            </w:pPr>
            <w:r w:rsidRPr="0063248C">
              <w:rPr>
                <w:rFonts w:cs="宋体"/>
                <w:sz w:val="18"/>
                <w:szCs w:val="18"/>
              </w:rPr>
              <w:t>1-3</w:t>
            </w:r>
            <w:r w:rsidRPr="0063248C">
              <w:rPr>
                <w:rFonts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175700C6" w14:textId="77777777" w:rsidR="007B3DB2" w:rsidRPr="0063248C" w:rsidRDefault="00000000">
            <w:pPr>
              <w:spacing w:line="240" w:lineRule="exact"/>
              <w:jc w:val="right"/>
              <w:rPr>
                <w:rFonts w:cs="宋体"/>
                <w:sz w:val="18"/>
                <w:szCs w:val="18"/>
              </w:rPr>
            </w:pPr>
            <w:r w:rsidRPr="0063248C">
              <w:rPr>
                <w:rFonts w:cs="宋体"/>
                <w:sz w:val="18"/>
                <w:szCs w:val="18"/>
              </w:rPr>
              <w:t>185,710,785.28</w:t>
            </w:r>
          </w:p>
        </w:tc>
        <w:tc>
          <w:tcPr>
            <w:tcW w:w="2410" w:type="dxa"/>
            <w:tcBorders>
              <w:top w:val="single" w:sz="2" w:space="0" w:color="auto"/>
              <w:left w:val="single" w:sz="2" w:space="0" w:color="auto"/>
              <w:bottom w:val="single" w:sz="2" w:space="0" w:color="auto"/>
              <w:right w:val="single" w:sz="2" w:space="0" w:color="auto"/>
            </w:tcBorders>
            <w:vAlign w:val="center"/>
          </w:tcPr>
          <w:p w14:paraId="7FC5615A" w14:textId="77777777" w:rsidR="007B3DB2" w:rsidRPr="0063248C" w:rsidRDefault="00000000">
            <w:pPr>
              <w:spacing w:line="240" w:lineRule="exact"/>
              <w:jc w:val="right"/>
              <w:rPr>
                <w:rFonts w:cs="宋体"/>
                <w:sz w:val="18"/>
                <w:szCs w:val="18"/>
              </w:rPr>
            </w:pPr>
            <w:r w:rsidRPr="0063248C">
              <w:rPr>
                <w:rFonts w:cs="宋体"/>
                <w:sz w:val="18"/>
                <w:szCs w:val="18"/>
              </w:rPr>
              <w:t>4,178,270.69</w:t>
            </w:r>
          </w:p>
        </w:tc>
        <w:tc>
          <w:tcPr>
            <w:tcW w:w="2410" w:type="dxa"/>
            <w:tcBorders>
              <w:top w:val="single" w:sz="2" w:space="0" w:color="auto"/>
              <w:left w:val="single" w:sz="2" w:space="0" w:color="auto"/>
              <w:bottom w:val="single" w:sz="2" w:space="0" w:color="auto"/>
              <w:right w:val="single" w:sz="2" w:space="0" w:color="auto"/>
            </w:tcBorders>
            <w:vAlign w:val="center"/>
          </w:tcPr>
          <w:p w14:paraId="5234A717" w14:textId="77777777" w:rsidR="007B3DB2" w:rsidRPr="0063248C" w:rsidRDefault="00000000">
            <w:pPr>
              <w:spacing w:line="240" w:lineRule="exact"/>
              <w:jc w:val="right"/>
              <w:rPr>
                <w:rFonts w:cs="宋体"/>
                <w:sz w:val="18"/>
                <w:szCs w:val="18"/>
              </w:rPr>
            </w:pPr>
            <w:r w:rsidRPr="0063248C">
              <w:rPr>
                <w:rFonts w:cs="宋体"/>
                <w:sz w:val="18"/>
                <w:szCs w:val="18"/>
              </w:rPr>
              <w:t>2.25%</w:t>
            </w:r>
          </w:p>
        </w:tc>
      </w:tr>
      <w:tr w:rsidR="007B3DB2" w:rsidRPr="0063248C" w14:paraId="3929A8F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0097DE7" w14:textId="77777777" w:rsidR="007B3DB2" w:rsidRPr="0063248C" w:rsidRDefault="00000000">
            <w:pPr>
              <w:spacing w:line="240" w:lineRule="exact"/>
              <w:rPr>
                <w:rFonts w:cs="宋体"/>
                <w:sz w:val="18"/>
                <w:szCs w:val="18"/>
              </w:rPr>
            </w:pPr>
            <w:r w:rsidRPr="0063248C">
              <w:rPr>
                <w:rFonts w:cs="宋体"/>
                <w:sz w:val="18"/>
                <w:szCs w:val="18"/>
              </w:rPr>
              <w:t>4-6</w:t>
            </w:r>
            <w:r w:rsidRPr="0063248C">
              <w:rPr>
                <w:rFonts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672FEA32" w14:textId="77777777" w:rsidR="007B3DB2" w:rsidRPr="0063248C" w:rsidRDefault="00000000">
            <w:pPr>
              <w:spacing w:line="240" w:lineRule="exact"/>
              <w:jc w:val="right"/>
              <w:rPr>
                <w:rFonts w:cs="宋体"/>
                <w:sz w:val="18"/>
                <w:szCs w:val="18"/>
              </w:rPr>
            </w:pPr>
            <w:r w:rsidRPr="0063248C">
              <w:rPr>
                <w:rFonts w:cs="宋体"/>
                <w:sz w:val="18"/>
                <w:szCs w:val="18"/>
              </w:rPr>
              <w:t>20,107,173.01</w:t>
            </w:r>
          </w:p>
        </w:tc>
        <w:tc>
          <w:tcPr>
            <w:tcW w:w="2410" w:type="dxa"/>
            <w:tcBorders>
              <w:top w:val="single" w:sz="2" w:space="0" w:color="auto"/>
              <w:left w:val="single" w:sz="2" w:space="0" w:color="auto"/>
              <w:bottom w:val="single" w:sz="2" w:space="0" w:color="auto"/>
              <w:right w:val="single" w:sz="2" w:space="0" w:color="auto"/>
            </w:tcBorders>
            <w:vAlign w:val="center"/>
          </w:tcPr>
          <w:p w14:paraId="343873DB" w14:textId="77777777" w:rsidR="007B3DB2" w:rsidRPr="0063248C" w:rsidRDefault="00000000">
            <w:pPr>
              <w:spacing w:line="240" w:lineRule="exact"/>
              <w:jc w:val="right"/>
              <w:rPr>
                <w:rFonts w:cs="宋体"/>
                <w:sz w:val="18"/>
                <w:szCs w:val="18"/>
              </w:rPr>
            </w:pPr>
            <w:r w:rsidRPr="0063248C">
              <w:rPr>
                <w:rFonts w:cs="宋体"/>
                <w:sz w:val="18"/>
                <w:szCs w:val="18"/>
              </w:rPr>
              <w:t>442,126.62</w:t>
            </w:r>
          </w:p>
        </w:tc>
        <w:tc>
          <w:tcPr>
            <w:tcW w:w="2410" w:type="dxa"/>
            <w:tcBorders>
              <w:top w:val="single" w:sz="2" w:space="0" w:color="auto"/>
              <w:left w:val="single" w:sz="2" w:space="0" w:color="auto"/>
              <w:bottom w:val="single" w:sz="2" w:space="0" w:color="auto"/>
              <w:right w:val="single" w:sz="2" w:space="0" w:color="auto"/>
            </w:tcBorders>
            <w:vAlign w:val="center"/>
          </w:tcPr>
          <w:p w14:paraId="74C15D6A" w14:textId="77777777" w:rsidR="007B3DB2" w:rsidRPr="0063248C" w:rsidRDefault="00000000">
            <w:pPr>
              <w:spacing w:line="240" w:lineRule="exact"/>
              <w:jc w:val="right"/>
              <w:rPr>
                <w:rFonts w:cs="宋体"/>
                <w:sz w:val="18"/>
                <w:szCs w:val="18"/>
              </w:rPr>
            </w:pPr>
            <w:r w:rsidRPr="0063248C">
              <w:rPr>
                <w:rFonts w:cs="宋体"/>
                <w:sz w:val="18"/>
                <w:szCs w:val="18"/>
              </w:rPr>
              <w:t>2.25%</w:t>
            </w:r>
          </w:p>
        </w:tc>
      </w:tr>
      <w:tr w:rsidR="007B3DB2" w:rsidRPr="0063248C" w14:paraId="653797B2"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0E42DBBA" w14:textId="77777777" w:rsidR="007B3DB2" w:rsidRPr="0063248C" w:rsidRDefault="00000000">
            <w:pPr>
              <w:spacing w:line="240" w:lineRule="exact"/>
              <w:rPr>
                <w:rFonts w:cs="宋体"/>
                <w:sz w:val="18"/>
                <w:szCs w:val="18"/>
              </w:rPr>
            </w:pPr>
            <w:r w:rsidRPr="0063248C">
              <w:rPr>
                <w:rFonts w:cs="宋体"/>
                <w:sz w:val="18"/>
                <w:szCs w:val="18"/>
              </w:rPr>
              <w:t>7-9</w:t>
            </w:r>
            <w:r w:rsidRPr="0063248C">
              <w:rPr>
                <w:rFonts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35F42E8F" w14:textId="77777777" w:rsidR="007B3DB2" w:rsidRPr="0063248C" w:rsidRDefault="00000000">
            <w:pPr>
              <w:spacing w:line="240" w:lineRule="exact"/>
              <w:jc w:val="right"/>
              <w:rPr>
                <w:rFonts w:cs="宋体"/>
                <w:sz w:val="18"/>
                <w:szCs w:val="18"/>
              </w:rPr>
            </w:pPr>
            <w:r w:rsidRPr="0063248C">
              <w:rPr>
                <w:rFonts w:cs="宋体"/>
                <w:sz w:val="18"/>
                <w:szCs w:val="18"/>
              </w:rPr>
              <w:t>12,323,379.00</w:t>
            </w:r>
          </w:p>
        </w:tc>
        <w:tc>
          <w:tcPr>
            <w:tcW w:w="2410" w:type="dxa"/>
            <w:tcBorders>
              <w:top w:val="single" w:sz="2" w:space="0" w:color="auto"/>
              <w:left w:val="single" w:sz="2" w:space="0" w:color="auto"/>
              <w:bottom w:val="single" w:sz="2" w:space="0" w:color="auto"/>
              <w:right w:val="single" w:sz="2" w:space="0" w:color="auto"/>
            </w:tcBorders>
            <w:vAlign w:val="center"/>
          </w:tcPr>
          <w:p w14:paraId="73AB026E" w14:textId="77777777" w:rsidR="007B3DB2" w:rsidRPr="0063248C" w:rsidRDefault="00000000">
            <w:pPr>
              <w:spacing w:line="240" w:lineRule="exact"/>
              <w:jc w:val="right"/>
              <w:rPr>
                <w:rFonts w:cs="宋体"/>
                <w:sz w:val="18"/>
                <w:szCs w:val="18"/>
              </w:rPr>
            </w:pPr>
            <w:r w:rsidRPr="0063248C">
              <w:rPr>
                <w:rFonts w:cs="宋体"/>
                <w:sz w:val="18"/>
                <w:szCs w:val="18"/>
              </w:rPr>
              <w:t>276,961.03</w:t>
            </w:r>
          </w:p>
        </w:tc>
        <w:tc>
          <w:tcPr>
            <w:tcW w:w="2410" w:type="dxa"/>
            <w:tcBorders>
              <w:top w:val="single" w:sz="2" w:space="0" w:color="auto"/>
              <w:left w:val="single" w:sz="2" w:space="0" w:color="auto"/>
              <w:bottom w:val="single" w:sz="2" w:space="0" w:color="auto"/>
              <w:right w:val="single" w:sz="2" w:space="0" w:color="auto"/>
            </w:tcBorders>
            <w:vAlign w:val="center"/>
          </w:tcPr>
          <w:p w14:paraId="0289380A" w14:textId="77777777" w:rsidR="007B3DB2" w:rsidRPr="0063248C" w:rsidRDefault="00000000">
            <w:pPr>
              <w:spacing w:line="240" w:lineRule="exact"/>
              <w:jc w:val="right"/>
              <w:rPr>
                <w:rFonts w:cs="宋体"/>
                <w:sz w:val="18"/>
                <w:szCs w:val="18"/>
              </w:rPr>
            </w:pPr>
            <w:r w:rsidRPr="0063248C">
              <w:rPr>
                <w:rFonts w:cs="宋体"/>
                <w:sz w:val="18"/>
                <w:szCs w:val="18"/>
              </w:rPr>
              <w:t>2.25%</w:t>
            </w:r>
          </w:p>
        </w:tc>
      </w:tr>
      <w:tr w:rsidR="007B3DB2" w:rsidRPr="0063248C" w14:paraId="7C986474"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0C36D1F" w14:textId="77777777" w:rsidR="007B3DB2" w:rsidRPr="0063248C" w:rsidRDefault="00000000">
            <w:pPr>
              <w:spacing w:line="240" w:lineRule="exact"/>
              <w:rPr>
                <w:rFonts w:cs="宋体"/>
                <w:sz w:val="18"/>
                <w:szCs w:val="18"/>
              </w:rPr>
            </w:pPr>
            <w:r w:rsidRPr="0063248C">
              <w:rPr>
                <w:rFonts w:cs="宋体"/>
                <w:sz w:val="18"/>
                <w:szCs w:val="18"/>
              </w:rPr>
              <w:t>10-12</w:t>
            </w:r>
            <w:r w:rsidRPr="0063248C">
              <w:rPr>
                <w:rFonts w:cs="宋体"/>
                <w:sz w:val="18"/>
                <w:szCs w:val="18"/>
              </w:rPr>
              <w:t>月</w:t>
            </w:r>
          </w:p>
        </w:tc>
        <w:tc>
          <w:tcPr>
            <w:tcW w:w="2410" w:type="dxa"/>
            <w:tcBorders>
              <w:top w:val="single" w:sz="2" w:space="0" w:color="auto"/>
              <w:left w:val="single" w:sz="2" w:space="0" w:color="auto"/>
              <w:bottom w:val="single" w:sz="2" w:space="0" w:color="auto"/>
              <w:right w:val="single" w:sz="2" w:space="0" w:color="auto"/>
            </w:tcBorders>
            <w:vAlign w:val="center"/>
          </w:tcPr>
          <w:p w14:paraId="043E067F" w14:textId="77777777" w:rsidR="007B3DB2" w:rsidRPr="0063248C" w:rsidRDefault="00000000">
            <w:pPr>
              <w:spacing w:line="240" w:lineRule="exact"/>
              <w:jc w:val="right"/>
              <w:rPr>
                <w:rFonts w:cs="宋体"/>
                <w:sz w:val="18"/>
                <w:szCs w:val="18"/>
              </w:rPr>
            </w:pPr>
            <w:r w:rsidRPr="0063248C">
              <w:rPr>
                <w:rFonts w:cs="宋体"/>
                <w:sz w:val="18"/>
                <w:szCs w:val="18"/>
              </w:rPr>
              <w:t>3,142,189.99</w:t>
            </w:r>
          </w:p>
        </w:tc>
        <w:tc>
          <w:tcPr>
            <w:tcW w:w="2410" w:type="dxa"/>
            <w:tcBorders>
              <w:top w:val="single" w:sz="2" w:space="0" w:color="auto"/>
              <w:left w:val="single" w:sz="2" w:space="0" w:color="auto"/>
              <w:bottom w:val="single" w:sz="2" w:space="0" w:color="auto"/>
              <w:right w:val="single" w:sz="2" w:space="0" w:color="auto"/>
            </w:tcBorders>
            <w:vAlign w:val="center"/>
          </w:tcPr>
          <w:p w14:paraId="5A8BED82" w14:textId="77777777" w:rsidR="007B3DB2" w:rsidRPr="0063248C" w:rsidRDefault="00000000">
            <w:pPr>
              <w:spacing w:line="240" w:lineRule="exact"/>
              <w:jc w:val="right"/>
              <w:rPr>
                <w:rFonts w:cs="宋体"/>
                <w:sz w:val="18"/>
                <w:szCs w:val="18"/>
              </w:rPr>
            </w:pPr>
            <w:r w:rsidRPr="0063248C">
              <w:rPr>
                <w:rFonts w:cs="宋体"/>
                <w:sz w:val="18"/>
                <w:szCs w:val="18"/>
              </w:rPr>
              <w:t>70,699.27</w:t>
            </w:r>
          </w:p>
        </w:tc>
        <w:tc>
          <w:tcPr>
            <w:tcW w:w="2410" w:type="dxa"/>
            <w:tcBorders>
              <w:top w:val="single" w:sz="2" w:space="0" w:color="auto"/>
              <w:left w:val="single" w:sz="2" w:space="0" w:color="auto"/>
              <w:bottom w:val="single" w:sz="2" w:space="0" w:color="auto"/>
              <w:right w:val="single" w:sz="2" w:space="0" w:color="auto"/>
            </w:tcBorders>
            <w:vAlign w:val="center"/>
          </w:tcPr>
          <w:p w14:paraId="452376FB" w14:textId="77777777" w:rsidR="007B3DB2" w:rsidRPr="0063248C" w:rsidRDefault="00000000">
            <w:pPr>
              <w:spacing w:line="240" w:lineRule="exact"/>
              <w:jc w:val="right"/>
              <w:rPr>
                <w:rFonts w:cs="宋体"/>
                <w:sz w:val="18"/>
                <w:szCs w:val="18"/>
              </w:rPr>
            </w:pPr>
            <w:r w:rsidRPr="0063248C">
              <w:rPr>
                <w:rFonts w:cs="宋体"/>
                <w:sz w:val="18"/>
                <w:szCs w:val="18"/>
              </w:rPr>
              <w:t>2.25%</w:t>
            </w:r>
          </w:p>
        </w:tc>
      </w:tr>
      <w:tr w:rsidR="007B3DB2" w:rsidRPr="0063248C" w14:paraId="1577542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D52BE35" w14:textId="77777777" w:rsidR="007B3DB2" w:rsidRPr="0063248C" w:rsidRDefault="00000000">
            <w:pPr>
              <w:spacing w:line="240" w:lineRule="exact"/>
              <w:rPr>
                <w:rFonts w:cs="宋体"/>
                <w:sz w:val="18"/>
                <w:szCs w:val="18"/>
              </w:rPr>
            </w:pPr>
            <w:r w:rsidRPr="0063248C">
              <w:rPr>
                <w:rFonts w:cs="宋体"/>
                <w:sz w:val="18"/>
                <w:szCs w:val="18"/>
              </w:rPr>
              <w:t>1-2</w:t>
            </w:r>
            <w:r w:rsidRPr="0063248C">
              <w:rPr>
                <w:rFonts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6A57F20F" w14:textId="77777777" w:rsidR="007B3DB2" w:rsidRPr="0063248C" w:rsidRDefault="00000000">
            <w:pPr>
              <w:spacing w:line="240" w:lineRule="exact"/>
              <w:jc w:val="right"/>
              <w:rPr>
                <w:rFonts w:cs="宋体"/>
                <w:sz w:val="18"/>
                <w:szCs w:val="18"/>
              </w:rPr>
            </w:pPr>
            <w:r w:rsidRPr="0063248C">
              <w:rPr>
                <w:rFonts w:cs="宋体"/>
                <w:sz w:val="18"/>
                <w:szCs w:val="18"/>
              </w:rPr>
              <w:t>3,115,688.51</w:t>
            </w:r>
          </w:p>
        </w:tc>
        <w:tc>
          <w:tcPr>
            <w:tcW w:w="2410" w:type="dxa"/>
            <w:tcBorders>
              <w:top w:val="single" w:sz="2" w:space="0" w:color="auto"/>
              <w:left w:val="single" w:sz="2" w:space="0" w:color="auto"/>
              <w:bottom w:val="single" w:sz="2" w:space="0" w:color="auto"/>
              <w:right w:val="single" w:sz="2" w:space="0" w:color="auto"/>
            </w:tcBorders>
            <w:vAlign w:val="center"/>
          </w:tcPr>
          <w:p w14:paraId="4AEE1E90" w14:textId="77777777" w:rsidR="007B3DB2" w:rsidRPr="0063248C" w:rsidRDefault="00000000">
            <w:pPr>
              <w:spacing w:line="240" w:lineRule="exact"/>
              <w:jc w:val="right"/>
              <w:rPr>
                <w:rFonts w:cs="宋体"/>
                <w:sz w:val="18"/>
                <w:szCs w:val="18"/>
              </w:rPr>
            </w:pPr>
            <w:r w:rsidRPr="0063248C">
              <w:rPr>
                <w:rFonts w:cs="宋体"/>
                <w:sz w:val="18"/>
                <w:szCs w:val="18"/>
              </w:rPr>
              <w:t>771,645.63</w:t>
            </w:r>
          </w:p>
        </w:tc>
        <w:tc>
          <w:tcPr>
            <w:tcW w:w="2410" w:type="dxa"/>
            <w:tcBorders>
              <w:top w:val="single" w:sz="2" w:space="0" w:color="auto"/>
              <w:left w:val="single" w:sz="2" w:space="0" w:color="auto"/>
              <w:bottom w:val="single" w:sz="2" w:space="0" w:color="auto"/>
              <w:right w:val="single" w:sz="2" w:space="0" w:color="auto"/>
            </w:tcBorders>
            <w:vAlign w:val="center"/>
          </w:tcPr>
          <w:p w14:paraId="2C17507B" w14:textId="77777777" w:rsidR="007B3DB2" w:rsidRPr="0063248C" w:rsidRDefault="00000000">
            <w:pPr>
              <w:spacing w:line="240" w:lineRule="exact"/>
              <w:jc w:val="right"/>
              <w:rPr>
                <w:rFonts w:cs="宋体"/>
                <w:sz w:val="18"/>
                <w:szCs w:val="18"/>
              </w:rPr>
            </w:pPr>
            <w:r w:rsidRPr="0063248C">
              <w:rPr>
                <w:rFonts w:cs="宋体"/>
                <w:sz w:val="18"/>
                <w:szCs w:val="18"/>
              </w:rPr>
              <w:t>25.00%</w:t>
            </w:r>
          </w:p>
        </w:tc>
      </w:tr>
      <w:tr w:rsidR="007B3DB2" w:rsidRPr="0063248C" w14:paraId="2BC9E84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DE525DB" w14:textId="77777777" w:rsidR="007B3DB2" w:rsidRPr="0063248C" w:rsidRDefault="00000000">
            <w:pPr>
              <w:spacing w:line="240" w:lineRule="exact"/>
              <w:rPr>
                <w:rFonts w:cs="宋体"/>
                <w:sz w:val="18"/>
                <w:szCs w:val="18"/>
              </w:rPr>
            </w:pPr>
            <w:r w:rsidRPr="0063248C">
              <w:rPr>
                <w:rFonts w:cs="宋体"/>
                <w:sz w:val="18"/>
                <w:szCs w:val="18"/>
              </w:rPr>
              <w:t>2-3</w:t>
            </w:r>
            <w:r w:rsidRPr="0063248C">
              <w:rPr>
                <w:rFonts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7AE9FE6C" w14:textId="77777777" w:rsidR="007B3DB2" w:rsidRPr="0063248C" w:rsidRDefault="00000000">
            <w:pPr>
              <w:spacing w:line="240" w:lineRule="exact"/>
              <w:jc w:val="right"/>
              <w:rPr>
                <w:rFonts w:cs="宋体"/>
                <w:sz w:val="18"/>
                <w:szCs w:val="18"/>
              </w:rPr>
            </w:pPr>
            <w:r w:rsidRPr="0063248C">
              <w:rPr>
                <w:rFonts w:cs="宋体"/>
                <w:sz w:val="18"/>
                <w:szCs w:val="18"/>
              </w:rPr>
              <w:t>191,890.22</w:t>
            </w:r>
          </w:p>
        </w:tc>
        <w:tc>
          <w:tcPr>
            <w:tcW w:w="2410" w:type="dxa"/>
            <w:tcBorders>
              <w:top w:val="single" w:sz="2" w:space="0" w:color="auto"/>
              <w:left w:val="single" w:sz="2" w:space="0" w:color="auto"/>
              <w:bottom w:val="single" w:sz="2" w:space="0" w:color="auto"/>
              <w:right w:val="single" w:sz="2" w:space="0" w:color="auto"/>
            </w:tcBorders>
            <w:vAlign w:val="center"/>
          </w:tcPr>
          <w:p w14:paraId="7DD27A74" w14:textId="77777777" w:rsidR="007B3DB2" w:rsidRPr="0063248C" w:rsidRDefault="00000000">
            <w:pPr>
              <w:spacing w:line="240" w:lineRule="exact"/>
              <w:jc w:val="right"/>
              <w:rPr>
                <w:rFonts w:cs="宋体"/>
                <w:sz w:val="18"/>
                <w:szCs w:val="18"/>
              </w:rPr>
            </w:pPr>
            <w:r w:rsidRPr="0063248C">
              <w:rPr>
                <w:rFonts w:cs="宋体"/>
                <w:sz w:val="18"/>
                <w:szCs w:val="18"/>
              </w:rPr>
              <w:t>95,945.11</w:t>
            </w:r>
          </w:p>
        </w:tc>
        <w:tc>
          <w:tcPr>
            <w:tcW w:w="2410" w:type="dxa"/>
            <w:tcBorders>
              <w:top w:val="single" w:sz="2" w:space="0" w:color="auto"/>
              <w:left w:val="single" w:sz="2" w:space="0" w:color="auto"/>
              <w:bottom w:val="single" w:sz="2" w:space="0" w:color="auto"/>
              <w:right w:val="single" w:sz="2" w:space="0" w:color="auto"/>
            </w:tcBorders>
            <w:vAlign w:val="center"/>
          </w:tcPr>
          <w:p w14:paraId="0EB0B2D9" w14:textId="77777777" w:rsidR="007B3DB2" w:rsidRPr="0063248C" w:rsidRDefault="00000000">
            <w:pPr>
              <w:spacing w:line="240" w:lineRule="exact"/>
              <w:jc w:val="right"/>
              <w:rPr>
                <w:rFonts w:cs="宋体"/>
                <w:sz w:val="18"/>
                <w:szCs w:val="18"/>
              </w:rPr>
            </w:pPr>
            <w:r w:rsidRPr="0063248C">
              <w:rPr>
                <w:rFonts w:cs="宋体"/>
                <w:sz w:val="18"/>
                <w:szCs w:val="18"/>
              </w:rPr>
              <w:t>50.00%</w:t>
            </w:r>
          </w:p>
        </w:tc>
      </w:tr>
      <w:tr w:rsidR="007B3DB2" w:rsidRPr="0063248C" w14:paraId="1861CE8D"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BE1B806" w14:textId="77777777" w:rsidR="007B3DB2" w:rsidRPr="0063248C" w:rsidRDefault="00000000">
            <w:pPr>
              <w:spacing w:line="240" w:lineRule="exact"/>
              <w:rPr>
                <w:rFonts w:cs="宋体"/>
                <w:sz w:val="18"/>
                <w:szCs w:val="18"/>
              </w:rPr>
            </w:pPr>
            <w:r w:rsidRPr="0063248C">
              <w:rPr>
                <w:rFonts w:cs="宋体"/>
                <w:sz w:val="18"/>
                <w:szCs w:val="18"/>
              </w:rPr>
              <w:t>3-4</w:t>
            </w:r>
            <w:r w:rsidRPr="0063248C">
              <w:rPr>
                <w:rFonts w:cs="宋体"/>
                <w:sz w:val="18"/>
                <w:szCs w:val="18"/>
              </w:rPr>
              <w:t>年</w:t>
            </w:r>
          </w:p>
        </w:tc>
        <w:tc>
          <w:tcPr>
            <w:tcW w:w="2410" w:type="dxa"/>
            <w:tcBorders>
              <w:top w:val="single" w:sz="2" w:space="0" w:color="auto"/>
              <w:left w:val="single" w:sz="2" w:space="0" w:color="auto"/>
              <w:bottom w:val="single" w:sz="2" w:space="0" w:color="auto"/>
              <w:right w:val="single" w:sz="2" w:space="0" w:color="auto"/>
            </w:tcBorders>
            <w:vAlign w:val="center"/>
          </w:tcPr>
          <w:p w14:paraId="1D5DA728" w14:textId="77777777" w:rsidR="007B3DB2" w:rsidRPr="0063248C" w:rsidRDefault="00000000">
            <w:pPr>
              <w:spacing w:line="240" w:lineRule="exact"/>
              <w:jc w:val="right"/>
              <w:rPr>
                <w:rFonts w:cs="宋体"/>
                <w:sz w:val="18"/>
                <w:szCs w:val="18"/>
              </w:rPr>
            </w:pPr>
            <w:r w:rsidRPr="0063248C">
              <w:rPr>
                <w:rFonts w:cs="宋体"/>
                <w:sz w:val="18"/>
                <w:szCs w:val="18"/>
              </w:rPr>
              <w:t>1,998.87</w:t>
            </w:r>
          </w:p>
        </w:tc>
        <w:tc>
          <w:tcPr>
            <w:tcW w:w="2410" w:type="dxa"/>
            <w:tcBorders>
              <w:top w:val="single" w:sz="2" w:space="0" w:color="auto"/>
              <w:left w:val="single" w:sz="2" w:space="0" w:color="auto"/>
              <w:bottom w:val="single" w:sz="2" w:space="0" w:color="auto"/>
              <w:right w:val="single" w:sz="2" w:space="0" w:color="auto"/>
            </w:tcBorders>
            <w:vAlign w:val="center"/>
          </w:tcPr>
          <w:p w14:paraId="2CE26F71" w14:textId="77777777" w:rsidR="007B3DB2" w:rsidRPr="0063248C" w:rsidRDefault="00000000">
            <w:pPr>
              <w:spacing w:line="240" w:lineRule="exact"/>
              <w:jc w:val="right"/>
              <w:rPr>
                <w:rFonts w:cs="宋体"/>
                <w:sz w:val="18"/>
                <w:szCs w:val="18"/>
              </w:rPr>
            </w:pPr>
            <w:r w:rsidRPr="0063248C">
              <w:rPr>
                <w:rFonts w:cs="宋体"/>
                <w:sz w:val="18"/>
                <w:szCs w:val="18"/>
              </w:rPr>
              <w:t>1,599.10</w:t>
            </w:r>
          </w:p>
        </w:tc>
        <w:tc>
          <w:tcPr>
            <w:tcW w:w="2410" w:type="dxa"/>
            <w:tcBorders>
              <w:top w:val="single" w:sz="2" w:space="0" w:color="auto"/>
              <w:left w:val="single" w:sz="2" w:space="0" w:color="auto"/>
              <w:bottom w:val="single" w:sz="2" w:space="0" w:color="auto"/>
              <w:right w:val="single" w:sz="2" w:space="0" w:color="auto"/>
            </w:tcBorders>
            <w:vAlign w:val="center"/>
          </w:tcPr>
          <w:p w14:paraId="05DA0797" w14:textId="77777777" w:rsidR="007B3DB2" w:rsidRPr="0063248C" w:rsidRDefault="00000000">
            <w:pPr>
              <w:spacing w:line="240" w:lineRule="exact"/>
              <w:jc w:val="right"/>
              <w:rPr>
                <w:rFonts w:cs="宋体"/>
                <w:sz w:val="18"/>
                <w:szCs w:val="18"/>
              </w:rPr>
            </w:pPr>
            <w:r w:rsidRPr="0063248C">
              <w:rPr>
                <w:rFonts w:cs="宋体"/>
                <w:sz w:val="18"/>
                <w:szCs w:val="18"/>
              </w:rPr>
              <w:t>80.00%</w:t>
            </w:r>
          </w:p>
        </w:tc>
      </w:tr>
      <w:tr w:rsidR="007B3DB2" w:rsidRPr="0063248C" w14:paraId="458C018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3DAE84"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085D001B" w14:textId="77777777" w:rsidR="007B3DB2" w:rsidRPr="0063248C" w:rsidRDefault="00000000">
            <w:pPr>
              <w:spacing w:line="240" w:lineRule="exact"/>
              <w:jc w:val="right"/>
              <w:rPr>
                <w:rFonts w:cs="宋体"/>
                <w:sz w:val="18"/>
                <w:szCs w:val="18"/>
              </w:rPr>
            </w:pPr>
            <w:r w:rsidRPr="0063248C">
              <w:rPr>
                <w:rFonts w:cs="宋体"/>
                <w:sz w:val="18"/>
                <w:szCs w:val="18"/>
              </w:rPr>
              <w:t>224,593,104.88</w:t>
            </w:r>
          </w:p>
        </w:tc>
        <w:tc>
          <w:tcPr>
            <w:tcW w:w="2410" w:type="dxa"/>
            <w:tcBorders>
              <w:top w:val="single" w:sz="2" w:space="0" w:color="auto"/>
              <w:left w:val="single" w:sz="2" w:space="0" w:color="auto"/>
              <w:bottom w:val="single" w:sz="2" w:space="0" w:color="auto"/>
              <w:right w:val="single" w:sz="2" w:space="0" w:color="auto"/>
            </w:tcBorders>
            <w:vAlign w:val="center"/>
          </w:tcPr>
          <w:p w14:paraId="72D9D2EA" w14:textId="77777777" w:rsidR="007B3DB2" w:rsidRPr="0063248C" w:rsidRDefault="00000000">
            <w:pPr>
              <w:spacing w:line="240" w:lineRule="exact"/>
              <w:jc w:val="right"/>
              <w:rPr>
                <w:rFonts w:cs="宋体"/>
                <w:sz w:val="18"/>
                <w:szCs w:val="18"/>
              </w:rPr>
            </w:pPr>
            <w:r w:rsidRPr="0063248C">
              <w:rPr>
                <w:rFonts w:cs="宋体"/>
                <w:sz w:val="18"/>
                <w:szCs w:val="18"/>
              </w:rPr>
              <w:t>5,837,247.45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97D434F" w14:textId="77777777" w:rsidR="007B3DB2" w:rsidRPr="0063248C" w:rsidRDefault="007B3DB2"/>
        </w:tc>
      </w:tr>
    </w:tbl>
    <w:p w14:paraId="27241527" w14:textId="77777777" w:rsidR="007B3DB2" w:rsidRPr="0063248C" w:rsidRDefault="00000000">
      <w:pPr>
        <w:spacing w:before="100" w:after="100" w:line="240" w:lineRule="exact"/>
        <w:rPr>
          <w:rFonts w:cs="宋体"/>
          <w:sz w:val="18"/>
          <w:szCs w:val="18"/>
        </w:rPr>
      </w:pPr>
      <w:r w:rsidRPr="0063248C">
        <w:rPr>
          <w:rFonts w:cs="宋体"/>
          <w:sz w:val="18"/>
          <w:szCs w:val="18"/>
        </w:rPr>
        <w:t>确定该组合依据的说明：</w:t>
      </w:r>
    </w:p>
    <w:p w14:paraId="2E4C42F9" w14:textId="77777777" w:rsidR="00517D34" w:rsidRPr="0063248C" w:rsidRDefault="00000000">
      <w:pPr>
        <w:pStyle w:val="a3"/>
        <w:divId w:val="1577862589"/>
        <w:rPr>
          <w:rFonts w:ascii="Times New Roman" w:hAnsi="Times New Roman"/>
          <w:sz w:val="18"/>
          <w:szCs w:val="18"/>
        </w:rPr>
      </w:pPr>
      <w:r w:rsidRPr="0063248C">
        <w:rPr>
          <w:rFonts w:ascii="Times New Roman" w:hAnsi="Times New Roman" w:hint="eastAsia"/>
          <w:sz w:val="18"/>
          <w:szCs w:val="18"/>
        </w:rPr>
        <w:t>无</w:t>
      </w:r>
    </w:p>
    <w:p w14:paraId="3EB22113" w14:textId="77777777" w:rsidR="007B3DB2" w:rsidRPr="0063248C" w:rsidRDefault="00000000">
      <w:pPr>
        <w:spacing w:before="100" w:after="100" w:line="240" w:lineRule="exact"/>
        <w:rPr>
          <w:rFonts w:cs="宋体"/>
          <w:sz w:val="18"/>
          <w:szCs w:val="18"/>
        </w:rPr>
      </w:pPr>
      <w:r w:rsidRPr="0063248C">
        <w:rPr>
          <w:rFonts w:cs="宋体"/>
          <w:sz w:val="18"/>
          <w:szCs w:val="18"/>
        </w:rPr>
        <w:t>如是按照预期信用损失一般模型计提应收账款坏账准备：</w:t>
      </w:r>
    </w:p>
    <w:p w14:paraId="52ABAED7"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1F5F5F40" w14:textId="77777777" w:rsidR="007B3DB2" w:rsidRPr="0063248C" w:rsidRDefault="00000000">
      <w:pPr>
        <w:keepNext/>
        <w:keepLines/>
        <w:spacing w:before="300" w:after="300" w:line="280" w:lineRule="exact"/>
        <w:outlineLvl w:val="3"/>
        <w:rPr>
          <w:rFonts w:cs="宋体"/>
          <w:b/>
          <w:bCs/>
          <w:szCs w:val="21"/>
        </w:rPr>
      </w:pPr>
      <w:bookmarkStart w:id="524" w:name="_Toc989418"/>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本期计提、收回或转回的坏账准备情况</w:t>
      </w:r>
      <w:bookmarkEnd w:id="524"/>
    </w:p>
    <w:p w14:paraId="28D5D85E" w14:textId="77777777" w:rsidR="007B3DB2" w:rsidRPr="0063248C" w:rsidRDefault="00000000">
      <w:pPr>
        <w:spacing w:before="40" w:after="40" w:line="240" w:lineRule="exact"/>
        <w:rPr>
          <w:rFonts w:cs="宋体"/>
          <w:sz w:val="18"/>
          <w:szCs w:val="18"/>
        </w:rPr>
      </w:pPr>
      <w:r w:rsidRPr="0063248C">
        <w:rPr>
          <w:rFonts w:cs="宋体"/>
          <w:sz w:val="18"/>
          <w:szCs w:val="18"/>
        </w:rPr>
        <w:t>本期计提坏账准备情况：</w:t>
      </w:r>
    </w:p>
    <w:p w14:paraId="2EDA57E1"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3EFFD558"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96A2264" w14:textId="77777777" w:rsidR="007B3DB2" w:rsidRPr="0063248C" w:rsidRDefault="00000000">
            <w:pPr>
              <w:spacing w:before="40" w:after="40" w:line="240" w:lineRule="exact"/>
              <w:jc w:val="center"/>
              <w:rPr>
                <w:rFonts w:cs="宋体"/>
                <w:sz w:val="18"/>
                <w:szCs w:val="18"/>
              </w:rPr>
            </w:pPr>
            <w:r w:rsidRPr="0063248C">
              <w:rPr>
                <w:rFonts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7B60D07"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E1E8FF3"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5851EEA"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2DD6AB55"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7A85EBE" w14:textId="77777777" w:rsidR="007B3DB2" w:rsidRPr="0063248C" w:rsidRDefault="007B3DB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478DB2"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113A415"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98A78DE" w14:textId="77777777" w:rsidR="007B3DB2" w:rsidRPr="0063248C" w:rsidRDefault="00000000">
            <w:pPr>
              <w:spacing w:before="40" w:after="40" w:line="240" w:lineRule="exact"/>
              <w:jc w:val="center"/>
              <w:rPr>
                <w:rFonts w:cs="宋体"/>
                <w:sz w:val="18"/>
                <w:szCs w:val="18"/>
              </w:rPr>
            </w:pPr>
            <w:r w:rsidRPr="0063248C">
              <w:rPr>
                <w:rFonts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04BC22F" w14:textId="77777777" w:rsidR="007B3DB2" w:rsidRPr="0063248C" w:rsidRDefault="00000000">
            <w:pPr>
              <w:spacing w:before="40" w:after="40" w:line="240" w:lineRule="exact"/>
              <w:jc w:val="center"/>
              <w:rPr>
                <w:rFonts w:cs="宋体"/>
                <w:sz w:val="18"/>
                <w:szCs w:val="18"/>
              </w:rPr>
            </w:pPr>
            <w:r w:rsidRPr="0063248C">
              <w:rPr>
                <w:rFonts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565225E"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3E4712D" w14:textId="77777777" w:rsidR="007B3DB2" w:rsidRPr="0063248C" w:rsidRDefault="007B3DB2"/>
        </w:tc>
      </w:tr>
      <w:tr w:rsidR="007B3DB2" w:rsidRPr="0063248C" w14:paraId="68DAC308"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F77A982" w14:textId="77777777" w:rsidR="007B3DB2" w:rsidRPr="0063248C" w:rsidRDefault="00000000">
            <w:pPr>
              <w:spacing w:line="240" w:lineRule="exact"/>
              <w:rPr>
                <w:rFonts w:cs="宋体"/>
                <w:sz w:val="18"/>
                <w:szCs w:val="18"/>
              </w:rPr>
            </w:pPr>
            <w:r w:rsidRPr="0063248C">
              <w:rPr>
                <w:rFonts w:cs="宋体"/>
                <w:sz w:val="18"/>
                <w:szCs w:val="18"/>
              </w:rPr>
              <w:t>应收账款</w:t>
            </w:r>
          </w:p>
        </w:tc>
        <w:tc>
          <w:tcPr>
            <w:tcW w:w="1377" w:type="dxa"/>
            <w:tcBorders>
              <w:top w:val="single" w:sz="2" w:space="0" w:color="auto"/>
              <w:left w:val="single" w:sz="2" w:space="0" w:color="auto"/>
              <w:bottom w:val="single" w:sz="2" w:space="0" w:color="auto"/>
              <w:right w:val="single" w:sz="2" w:space="0" w:color="auto"/>
            </w:tcBorders>
            <w:vAlign w:val="center"/>
          </w:tcPr>
          <w:p w14:paraId="4CAE9A98" w14:textId="77777777" w:rsidR="007B3DB2" w:rsidRPr="0063248C" w:rsidRDefault="00000000">
            <w:pPr>
              <w:spacing w:line="240" w:lineRule="exact"/>
              <w:jc w:val="right"/>
              <w:rPr>
                <w:rFonts w:cs="宋体"/>
                <w:sz w:val="18"/>
                <w:szCs w:val="18"/>
              </w:rPr>
            </w:pPr>
            <w:r w:rsidRPr="0063248C">
              <w:rPr>
                <w:rFonts w:cs="宋体"/>
                <w:sz w:val="18"/>
                <w:szCs w:val="18"/>
              </w:rPr>
              <w:t>27,595,274.41</w:t>
            </w:r>
          </w:p>
        </w:tc>
        <w:tc>
          <w:tcPr>
            <w:tcW w:w="1377" w:type="dxa"/>
            <w:tcBorders>
              <w:top w:val="single" w:sz="2" w:space="0" w:color="auto"/>
              <w:left w:val="single" w:sz="2" w:space="0" w:color="auto"/>
              <w:bottom w:val="single" w:sz="2" w:space="0" w:color="auto"/>
              <w:right w:val="single" w:sz="2" w:space="0" w:color="auto"/>
            </w:tcBorders>
            <w:vAlign w:val="center"/>
          </w:tcPr>
          <w:p w14:paraId="616DA62A" w14:textId="77777777" w:rsidR="007B3DB2" w:rsidRPr="0063248C" w:rsidRDefault="00000000">
            <w:pPr>
              <w:spacing w:line="240" w:lineRule="exact"/>
              <w:jc w:val="right"/>
              <w:rPr>
                <w:rFonts w:cs="宋体"/>
                <w:sz w:val="18"/>
                <w:szCs w:val="18"/>
              </w:rPr>
            </w:pPr>
            <w:r w:rsidRPr="0063248C">
              <w:rPr>
                <w:rFonts w:cs="宋体"/>
                <w:sz w:val="18"/>
                <w:szCs w:val="18"/>
              </w:rPr>
              <w:t>-2,061,131.11</w:t>
            </w:r>
          </w:p>
        </w:tc>
        <w:tc>
          <w:tcPr>
            <w:tcW w:w="1377" w:type="dxa"/>
            <w:tcBorders>
              <w:top w:val="single" w:sz="2" w:space="0" w:color="auto"/>
              <w:left w:val="single" w:sz="2" w:space="0" w:color="auto"/>
              <w:bottom w:val="single" w:sz="2" w:space="0" w:color="auto"/>
              <w:right w:val="single" w:sz="2" w:space="0" w:color="auto"/>
            </w:tcBorders>
            <w:vAlign w:val="center"/>
          </w:tcPr>
          <w:p w14:paraId="468C7725"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5C390C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95B69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C8AEE0A" w14:textId="77777777" w:rsidR="007B3DB2" w:rsidRPr="0063248C" w:rsidRDefault="00000000">
            <w:pPr>
              <w:spacing w:line="240" w:lineRule="exact"/>
              <w:jc w:val="right"/>
              <w:rPr>
                <w:rFonts w:cs="宋体"/>
                <w:sz w:val="18"/>
                <w:szCs w:val="18"/>
              </w:rPr>
            </w:pPr>
            <w:r w:rsidRPr="0063248C">
              <w:rPr>
                <w:rFonts w:cs="宋体"/>
                <w:sz w:val="18"/>
                <w:szCs w:val="18"/>
              </w:rPr>
              <w:t>25,534,143.30</w:t>
            </w:r>
          </w:p>
        </w:tc>
      </w:tr>
      <w:tr w:rsidR="007B3DB2" w:rsidRPr="0063248C" w14:paraId="7A8C34F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B78FC19"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B6C1E07" w14:textId="77777777" w:rsidR="007B3DB2" w:rsidRPr="0063248C" w:rsidRDefault="00000000">
            <w:pPr>
              <w:spacing w:line="240" w:lineRule="exact"/>
              <w:jc w:val="right"/>
              <w:rPr>
                <w:rFonts w:cs="宋体"/>
                <w:sz w:val="18"/>
                <w:szCs w:val="18"/>
              </w:rPr>
            </w:pPr>
            <w:r w:rsidRPr="0063248C">
              <w:rPr>
                <w:rFonts w:cs="宋体"/>
                <w:sz w:val="18"/>
                <w:szCs w:val="18"/>
              </w:rPr>
              <w:t>27,595,274.41</w:t>
            </w:r>
          </w:p>
        </w:tc>
        <w:tc>
          <w:tcPr>
            <w:tcW w:w="1377" w:type="dxa"/>
            <w:tcBorders>
              <w:top w:val="single" w:sz="2" w:space="0" w:color="auto"/>
              <w:left w:val="single" w:sz="2" w:space="0" w:color="auto"/>
              <w:bottom w:val="single" w:sz="2" w:space="0" w:color="auto"/>
              <w:right w:val="single" w:sz="2" w:space="0" w:color="auto"/>
            </w:tcBorders>
            <w:vAlign w:val="center"/>
          </w:tcPr>
          <w:p w14:paraId="5DC8CF4D" w14:textId="77777777" w:rsidR="007B3DB2" w:rsidRPr="0063248C" w:rsidRDefault="00000000">
            <w:pPr>
              <w:spacing w:line="240" w:lineRule="exact"/>
              <w:jc w:val="right"/>
              <w:rPr>
                <w:rFonts w:cs="宋体"/>
                <w:sz w:val="18"/>
                <w:szCs w:val="18"/>
              </w:rPr>
            </w:pPr>
            <w:r w:rsidRPr="0063248C">
              <w:rPr>
                <w:rFonts w:cs="宋体"/>
                <w:sz w:val="18"/>
                <w:szCs w:val="18"/>
              </w:rPr>
              <w:t>-2,061,131.11</w:t>
            </w:r>
          </w:p>
        </w:tc>
        <w:tc>
          <w:tcPr>
            <w:tcW w:w="1377" w:type="dxa"/>
            <w:tcBorders>
              <w:top w:val="single" w:sz="2" w:space="0" w:color="auto"/>
              <w:left w:val="single" w:sz="2" w:space="0" w:color="auto"/>
              <w:bottom w:val="single" w:sz="2" w:space="0" w:color="auto"/>
              <w:right w:val="single" w:sz="2" w:space="0" w:color="auto"/>
            </w:tcBorders>
            <w:vAlign w:val="center"/>
          </w:tcPr>
          <w:p w14:paraId="7BC5B83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39818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82C016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3F682B" w14:textId="77777777" w:rsidR="007B3DB2" w:rsidRPr="0063248C" w:rsidRDefault="00000000">
            <w:pPr>
              <w:spacing w:line="240" w:lineRule="exact"/>
              <w:jc w:val="right"/>
              <w:rPr>
                <w:rFonts w:cs="宋体"/>
                <w:sz w:val="18"/>
                <w:szCs w:val="18"/>
              </w:rPr>
            </w:pPr>
            <w:r w:rsidRPr="0063248C">
              <w:rPr>
                <w:rFonts w:cs="宋体"/>
                <w:sz w:val="18"/>
                <w:szCs w:val="18"/>
              </w:rPr>
              <w:t>25,534,143.30</w:t>
            </w:r>
          </w:p>
        </w:tc>
      </w:tr>
    </w:tbl>
    <w:p w14:paraId="6FD84DE1" w14:textId="77777777" w:rsidR="007B3DB2" w:rsidRPr="0063248C" w:rsidRDefault="00000000">
      <w:pPr>
        <w:spacing w:before="100" w:after="100" w:line="240" w:lineRule="exact"/>
        <w:rPr>
          <w:rFonts w:cs="宋体"/>
          <w:sz w:val="18"/>
          <w:szCs w:val="18"/>
        </w:rPr>
      </w:pPr>
      <w:r w:rsidRPr="0063248C">
        <w:rPr>
          <w:rFonts w:cs="宋体"/>
          <w:sz w:val="18"/>
          <w:szCs w:val="18"/>
        </w:rPr>
        <w:t>其中本期坏账准备收回或转回金额重要的：</w:t>
      </w:r>
    </w:p>
    <w:p w14:paraId="1C6CDDA8" w14:textId="77777777" w:rsidR="00517D34" w:rsidRPr="0063248C" w:rsidRDefault="00000000">
      <w:pPr>
        <w:pStyle w:val="a3"/>
        <w:divId w:val="2047748951"/>
        <w:rPr>
          <w:rFonts w:ascii="Times New Roman" w:hAnsi="Times New Roman"/>
          <w:sz w:val="18"/>
          <w:szCs w:val="18"/>
        </w:rPr>
      </w:pPr>
      <w:r w:rsidRPr="0063248C">
        <w:rPr>
          <w:rFonts w:ascii="Times New Roman" w:hAnsi="Times New Roman" w:hint="eastAsia"/>
          <w:sz w:val="18"/>
          <w:szCs w:val="18"/>
        </w:rPr>
        <w:t>无</w:t>
      </w:r>
    </w:p>
    <w:p w14:paraId="17802683" w14:textId="77777777" w:rsidR="007B3DB2" w:rsidRPr="0063248C" w:rsidRDefault="00000000">
      <w:pPr>
        <w:keepNext/>
        <w:keepLines/>
        <w:spacing w:before="300" w:after="300" w:line="280" w:lineRule="exact"/>
        <w:outlineLvl w:val="3"/>
        <w:rPr>
          <w:rFonts w:cs="宋体"/>
          <w:b/>
          <w:bCs/>
          <w:szCs w:val="21"/>
        </w:rPr>
      </w:pPr>
      <w:bookmarkStart w:id="525" w:name="_Toc989419"/>
      <w:r w:rsidRPr="0063248C">
        <w:rPr>
          <w:rFonts w:cs="宋体"/>
          <w:b/>
          <w:bCs/>
          <w:szCs w:val="21"/>
        </w:rPr>
        <w:t>（</w:t>
      </w:r>
      <w:r w:rsidRPr="0063248C">
        <w:rPr>
          <w:rFonts w:cs="宋体"/>
          <w:b/>
          <w:bCs/>
          <w:szCs w:val="21"/>
        </w:rPr>
        <w:t>4</w:t>
      </w:r>
      <w:r w:rsidRPr="0063248C">
        <w:rPr>
          <w:rFonts w:cs="宋体"/>
          <w:b/>
          <w:bCs/>
          <w:szCs w:val="21"/>
        </w:rPr>
        <w:t>）</w:t>
      </w:r>
      <w:r w:rsidRPr="0063248C">
        <w:rPr>
          <w:rFonts w:cs="宋体"/>
          <w:b/>
          <w:bCs/>
          <w:szCs w:val="21"/>
        </w:rPr>
        <w:t xml:space="preserve"> </w:t>
      </w:r>
      <w:r w:rsidRPr="0063248C">
        <w:rPr>
          <w:rFonts w:cs="宋体"/>
          <w:b/>
          <w:bCs/>
          <w:szCs w:val="21"/>
        </w:rPr>
        <w:t>本期实际核销的应收账款情况</w:t>
      </w:r>
      <w:bookmarkEnd w:id="525"/>
    </w:p>
    <w:p w14:paraId="04A3CEF7" w14:textId="77777777" w:rsidR="00517D34" w:rsidRPr="0063248C" w:rsidRDefault="00000000">
      <w:pPr>
        <w:pStyle w:val="a3"/>
        <w:divId w:val="1103187246"/>
        <w:rPr>
          <w:rFonts w:ascii="Times New Roman" w:hAnsi="Times New Roman"/>
          <w:sz w:val="18"/>
          <w:szCs w:val="18"/>
        </w:rPr>
      </w:pPr>
      <w:r w:rsidRPr="0063248C">
        <w:rPr>
          <w:rFonts w:ascii="Times New Roman" w:hAnsi="Times New Roman" w:hint="eastAsia"/>
          <w:sz w:val="18"/>
          <w:szCs w:val="18"/>
        </w:rPr>
        <w:t>无</w:t>
      </w:r>
    </w:p>
    <w:p w14:paraId="1B477E5F" w14:textId="77777777" w:rsidR="007B3DB2" w:rsidRPr="0063248C" w:rsidRDefault="00000000">
      <w:pPr>
        <w:keepNext/>
        <w:keepLines/>
        <w:spacing w:before="300" w:after="300" w:line="280" w:lineRule="exact"/>
        <w:outlineLvl w:val="3"/>
        <w:rPr>
          <w:rFonts w:cs="宋体"/>
          <w:b/>
          <w:bCs/>
          <w:szCs w:val="21"/>
        </w:rPr>
      </w:pPr>
      <w:bookmarkStart w:id="526" w:name="_Toc989420"/>
      <w:r w:rsidRPr="0063248C">
        <w:rPr>
          <w:rFonts w:cs="宋体"/>
          <w:b/>
          <w:bCs/>
          <w:szCs w:val="21"/>
        </w:rPr>
        <w:lastRenderedPageBreak/>
        <w:t>（</w:t>
      </w:r>
      <w:r w:rsidRPr="0063248C">
        <w:rPr>
          <w:rFonts w:cs="宋体"/>
          <w:b/>
          <w:bCs/>
          <w:szCs w:val="21"/>
        </w:rPr>
        <w:t>5</w:t>
      </w:r>
      <w:r w:rsidRPr="0063248C">
        <w:rPr>
          <w:rFonts w:cs="宋体"/>
          <w:b/>
          <w:bCs/>
          <w:szCs w:val="21"/>
        </w:rPr>
        <w:t>）</w:t>
      </w:r>
      <w:r w:rsidRPr="0063248C">
        <w:rPr>
          <w:rFonts w:cs="宋体"/>
          <w:b/>
          <w:bCs/>
          <w:szCs w:val="21"/>
        </w:rPr>
        <w:t xml:space="preserve"> </w:t>
      </w:r>
      <w:r w:rsidRPr="0063248C">
        <w:rPr>
          <w:rFonts w:cs="宋体"/>
          <w:b/>
          <w:bCs/>
          <w:szCs w:val="21"/>
        </w:rPr>
        <w:t>按欠款方归集的期末余额前五名的应收账款和合同资产情况</w:t>
      </w:r>
      <w:bookmarkEnd w:id="526"/>
    </w:p>
    <w:p w14:paraId="20C7D589"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B3DB2" w:rsidRPr="0063248C" w14:paraId="1FC28ECA"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D57A623" w14:textId="77777777" w:rsidR="007B3DB2" w:rsidRPr="0063248C" w:rsidRDefault="00000000">
            <w:pPr>
              <w:spacing w:before="40" w:after="40" w:line="240" w:lineRule="exact"/>
              <w:jc w:val="center"/>
              <w:rPr>
                <w:rFonts w:cs="宋体"/>
                <w:sz w:val="18"/>
                <w:szCs w:val="18"/>
              </w:rPr>
            </w:pPr>
            <w:r w:rsidRPr="0063248C">
              <w:rPr>
                <w:rFonts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68D5D7E" w14:textId="77777777" w:rsidR="007B3DB2" w:rsidRPr="0063248C" w:rsidRDefault="00000000">
            <w:pPr>
              <w:spacing w:before="40" w:after="40" w:line="240" w:lineRule="exact"/>
              <w:jc w:val="center"/>
              <w:rPr>
                <w:rFonts w:cs="宋体"/>
                <w:sz w:val="18"/>
                <w:szCs w:val="18"/>
              </w:rPr>
            </w:pPr>
            <w:r w:rsidRPr="0063248C">
              <w:rPr>
                <w:rFonts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84856E8" w14:textId="77777777" w:rsidR="007B3DB2" w:rsidRPr="0063248C" w:rsidRDefault="00000000">
            <w:pPr>
              <w:spacing w:before="40" w:after="40" w:line="240" w:lineRule="exact"/>
              <w:jc w:val="center"/>
              <w:rPr>
                <w:rFonts w:cs="宋体"/>
                <w:sz w:val="18"/>
                <w:szCs w:val="18"/>
              </w:rPr>
            </w:pPr>
            <w:r w:rsidRPr="0063248C">
              <w:rPr>
                <w:rFonts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A3ADB99" w14:textId="77777777" w:rsidR="007B3DB2" w:rsidRPr="0063248C" w:rsidRDefault="00000000">
            <w:pPr>
              <w:spacing w:before="40" w:after="40" w:line="240" w:lineRule="exact"/>
              <w:jc w:val="center"/>
              <w:rPr>
                <w:rFonts w:cs="宋体"/>
                <w:sz w:val="18"/>
                <w:szCs w:val="18"/>
              </w:rPr>
            </w:pPr>
            <w:r w:rsidRPr="0063248C">
              <w:rPr>
                <w:rFonts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F0743D6" w14:textId="77777777" w:rsidR="007B3DB2" w:rsidRPr="0063248C" w:rsidRDefault="00000000">
            <w:pPr>
              <w:spacing w:before="40" w:after="40" w:line="240" w:lineRule="exact"/>
              <w:jc w:val="center"/>
              <w:rPr>
                <w:rFonts w:cs="宋体"/>
                <w:sz w:val="18"/>
                <w:szCs w:val="18"/>
              </w:rPr>
            </w:pPr>
            <w:r w:rsidRPr="0063248C">
              <w:rPr>
                <w:rFonts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4C25EFB" w14:textId="77777777" w:rsidR="007B3DB2" w:rsidRPr="0063248C" w:rsidRDefault="00000000">
            <w:pPr>
              <w:spacing w:before="40" w:after="40" w:line="240" w:lineRule="exact"/>
              <w:jc w:val="center"/>
              <w:rPr>
                <w:rFonts w:cs="宋体"/>
                <w:sz w:val="18"/>
                <w:szCs w:val="18"/>
              </w:rPr>
            </w:pPr>
            <w:r w:rsidRPr="0063248C">
              <w:rPr>
                <w:rFonts w:cs="宋体"/>
                <w:sz w:val="18"/>
                <w:szCs w:val="18"/>
              </w:rPr>
              <w:t>应收账款坏账准备和合同资产减值准备期末余额</w:t>
            </w:r>
          </w:p>
        </w:tc>
      </w:tr>
      <w:tr w:rsidR="007B3DB2" w:rsidRPr="0063248C" w14:paraId="46B9918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5EC996D"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A</w:t>
            </w:r>
          </w:p>
        </w:tc>
        <w:tc>
          <w:tcPr>
            <w:tcW w:w="1606" w:type="dxa"/>
            <w:tcBorders>
              <w:top w:val="single" w:sz="2" w:space="0" w:color="auto"/>
              <w:left w:val="single" w:sz="2" w:space="0" w:color="auto"/>
              <w:bottom w:val="single" w:sz="2" w:space="0" w:color="auto"/>
              <w:right w:val="single" w:sz="2" w:space="0" w:color="auto"/>
            </w:tcBorders>
            <w:vAlign w:val="center"/>
          </w:tcPr>
          <w:p w14:paraId="60C6AD5B" w14:textId="77777777" w:rsidR="007B3DB2" w:rsidRPr="0063248C" w:rsidRDefault="00000000">
            <w:pPr>
              <w:spacing w:line="240" w:lineRule="exact"/>
              <w:jc w:val="right"/>
              <w:rPr>
                <w:rFonts w:cs="宋体"/>
                <w:sz w:val="18"/>
                <w:szCs w:val="18"/>
              </w:rPr>
            </w:pPr>
            <w:r w:rsidRPr="0063248C">
              <w:rPr>
                <w:rFonts w:cs="宋体"/>
                <w:sz w:val="18"/>
                <w:szCs w:val="18"/>
              </w:rPr>
              <w:t>42,418,104.96</w:t>
            </w:r>
          </w:p>
        </w:tc>
        <w:tc>
          <w:tcPr>
            <w:tcW w:w="1606" w:type="dxa"/>
            <w:tcBorders>
              <w:top w:val="single" w:sz="2" w:space="0" w:color="auto"/>
              <w:left w:val="single" w:sz="2" w:space="0" w:color="auto"/>
              <w:bottom w:val="single" w:sz="2" w:space="0" w:color="auto"/>
              <w:right w:val="single" w:sz="2" w:space="0" w:color="auto"/>
            </w:tcBorders>
            <w:vAlign w:val="center"/>
          </w:tcPr>
          <w:p w14:paraId="40F57631"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3C4127D" w14:textId="77777777" w:rsidR="007B3DB2" w:rsidRPr="0063248C" w:rsidRDefault="00000000">
            <w:pPr>
              <w:spacing w:line="240" w:lineRule="exact"/>
              <w:jc w:val="right"/>
              <w:rPr>
                <w:rFonts w:cs="宋体"/>
                <w:sz w:val="18"/>
                <w:szCs w:val="18"/>
              </w:rPr>
            </w:pPr>
            <w:r w:rsidRPr="0063248C">
              <w:rPr>
                <w:rFonts w:cs="宋体"/>
                <w:sz w:val="18"/>
                <w:szCs w:val="18"/>
              </w:rPr>
              <w:t>42,418,104.96</w:t>
            </w:r>
          </w:p>
        </w:tc>
        <w:tc>
          <w:tcPr>
            <w:tcW w:w="1606" w:type="dxa"/>
            <w:tcBorders>
              <w:top w:val="single" w:sz="2" w:space="0" w:color="auto"/>
              <w:left w:val="single" w:sz="2" w:space="0" w:color="auto"/>
              <w:bottom w:val="single" w:sz="2" w:space="0" w:color="auto"/>
              <w:right w:val="single" w:sz="2" w:space="0" w:color="auto"/>
            </w:tcBorders>
            <w:vAlign w:val="center"/>
          </w:tcPr>
          <w:p w14:paraId="34061356" w14:textId="77777777" w:rsidR="007B3DB2" w:rsidRPr="0063248C" w:rsidRDefault="00000000">
            <w:pPr>
              <w:spacing w:line="240" w:lineRule="exact"/>
              <w:jc w:val="right"/>
              <w:rPr>
                <w:rFonts w:cs="宋体"/>
                <w:sz w:val="18"/>
                <w:szCs w:val="18"/>
              </w:rPr>
            </w:pPr>
            <w:r w:rsidRPr="0063248C">
              <w:rPr>
                <w:rFonts w:cs="宋体"/>
                <w:sz w:val="18"/>
                <w:szCs w:val="18"/>
              </w:rPr>
              <w:t>11.65%</w:t>
            </w:r>
          </w:p>
        </w:tc>
        <w:tc>
          <w:tcPr>
            <w:tcW w:w="1606" w:type="dxa"/>
            <w:tcBorders>
              <w:top w:val="single" w:sz="2" w:space="0" w:color="auto"/>
              <w:left w:val="single" w:sz="2" w:space="0" w:color="auto"/>
              <w:bottom w:val="single" w:sz="2" w:space="0" w:color="auto"/>
              <w:right w:val="single" w:sz="2" w:space="0" w:color="auto"/>
            </w:tcBorders>
            <w:vAlign w:val="center"/>
          </w:tcPr>
          <w:p w14:paraId="6820A07C" w14:textId="77777777" w:rsidR="007B3DB2" w:rsidRPr="0063248C" w:rsidRDefault="007B3DB2">
            <w:pPr>
              <w:spacing w:line="240" w:lineRule="exact"/>
              <w:jc w:val="right"/>
              <w:rPr>
                <w:rFonts w:cs="宋体"/>
                <w:sz w:val="18"/>
                <w:szCs w:val="18"/>
              </w:rPr>
            </w:pPr>
          </w:p>
        </w:tc>
      </w:tr>
      <w:tr w:rsidR="007B3DB2" w:rsidRPr="0063248C" w14:paraId="7D31E78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810079C"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B</w:t>
            </w:r>
          </w:p>
        </w:tc>
        <w:tc>
          <w:tcPr>
            <w:tcW w:w="1606" w:type="dxa"/>
            <w:tcBorders>
              <w:top w:val="single" w:sz="2" w:space="0" w:color="auto"/>
              <w:left w:val="single" w:sz="2" w:space="0" w:color="auto"/>
              <w:bottom w:val="single" w:sz="2" w:space="0" w:color="auto"/>
              <w:right w:val="single" w:sz="2" w:space="0" w:color="auto"/>
            </w:tcBorders>
            <w:vAlign w:val="center"/>
          </w:tcPr>
          <w:p w14:paraId="7A00CE46" w14:textId="77777777" w:rsidR="007B3DB2" w:rsidRPr="0063248C" w:rsidRDefault="00000000">
            <w:pPr>
              <w:spacing w:line="240" w:lineRule="exact"/>
              <w:jc w:val="right"/>
              <w:rPr>
                <w:rFonts w:cs="宋体"/>
                <w:sz w:val="18"/>
                <w:szCs w:val="18"/>
              </w:rPr>
            </w:pPr>
            <w:r w:rsidRPr="0063248C">
              <w:rPr>
                <w:rFonts w:cs="宋体"/>
                <w:sz w:val="18"/>
                <w:szCs w:val="18"/>
              </w:rPr>
              <w:t>41,129,028.88</w:t>
            </w:r>
          </w:p>
        </w:tc>
        <w:tc>
          <w:tcPr>
            <w:tcW w:w="1606" w:type="dxa"/>
            <w:tcBorders>
              <w:top w:val="single" w:sz="2" w:space="0" w:color="auto"/>
              <w:left w:val="single" w:sz="2" w:space="0" w:color="auto"/>
              <w:bottom w:val="single" w:sz="2" w:space="0" w:color="auto"/>
              <w:right w:val="single" w:sz="2" w:space="0" w:color="auto"/>
            </w:tcBorders>
            <w:vAlign w:val="center"/>
          </w:tcPr>
          <w:p w14:paraId="0BF65522"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42CBD04" w14:textId="77777777" w:rsidR="007B3DB2" w:rsidRPr="0063248C" w:rsidRDefault="00000000">
            <w:pPr>
              <w:spacing w:line="240" w:lineRule="exact"/>
              <w:jc w:val="right"/>
              <w:rPr>
                <w:rFonts w:cs="宋体"/>
                <w:sz w:val="18"/>
                <w:szCs w:val="18"/>
              </w:rPr>
            </w:pPr>
            <w:r w:rsidRPr="0063248C">
              <w:rPr>
                <w:rFonts w:cs="宋体"/>
                <w:sz w:val="18"/>
                <w:szCs w:val="18"/>
              </w:rPr>
              <w:t>41,129,028.88</w:t>
            </w:r>
          </w:p>
        </w:tc>
        <w:tc>
          <w:tcPr>
            <w:tcW w:w="1606" w:type="dxa"/>
            <w:tcBorders>
              <w:top w:val="single" w:sz="2" w:space="0" w:color="auto"/>
              <w:left w:val="single" w:sz="2" w:space="0" w:color="auto"/>
              <w:bottom w:val="single" w:sz="2" w:space="0" w:color="auto"/>
              <w:right w:val="single" w:sz="2" w:space="0" w:color="auto"/>
            </w:tcBorders>
            <w:vAlign w:val="center"/>
          </w:tcPr>
          <w:p w14:paraId="435BF6C1" w14:textId="77777777" w:rsidR="007B3DB2" w:rsidRPr="0063248C" w:rsidRDefault="00000000">
            <w:pPr>
              <w:spacing w:line="240" w:lineRule="exact"/>
              <w:jc w:val="right"/>
              <w:rPr>
                <w:rFonts w:cs="宋体"/>
                <w:sz w:val="18"/>
                <w:szCs w:val="18"/>
              </w:rPr>
            </w:pPr>
            <w:r w:rsidRPr="0063248C">
              <w:rPr>
                <w:rFonts w:cs="宋体"/>
                <w:sz w:val="18"/>
                <w:szCs w:val="18"/>
              </w:rPr>
              <w:t>11.30%</w:t>
            </w:r>
          </w:p>
        </w:tc>
        <w:tc>
          <w:tcPr>
            <w:tcW w:w="1606" w:type="dxa"/>
            <w:tcBorders>
              <w:top w:val="single" w:sz="2" w:space="0" w:color="auto"/>
              <w:left w:val="single" w:sz="2" w:space="0" w:color="auto"/>
              <w:bottom w:val="single" w:sz="2" w:space="0" w:color="auto"/>
              <w:right w:val="single" w:sz="2" w:space="0" w:color="auto"/>
            </w:tcBorders>
            <w:vAlign w:val="center"/>
          </w:tcPr>
          <w:p w14:paraId="3A161BB6" w14:textId="77777777" w:rsidR="007B3DB2" w:rsidRPr="0063248C" w:rsidRDefault="007B3DB2">
            <w:pPr>
              <w:spacing w:line="240" w:lineRule="exact"/>
              <w:jc w:val="right"/>
              <w:rPr>
                <w:rFonts w:cs="宋体"/>
                <w:sz w:val="18"/>
                <w:szCs w:val="18"/>
              </w:rPr>
            </w:pPr>
          </w:p>
        </w:tc>
      </w:tr>
      <w:tr w:rsidR="007B3DB2" w:rsidRPr="0063248C" w14:paraId="78D0577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E8C6B7A"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C</w:t>
            </w:r>
          </w:p>
        </w:tc>
        <w:tc>
          <w:tcPr>
            <w:tcW w:w="1606" w:type="dxa"/>
            <w:tcBorders>
              <w:top w:val="single" w:sz="2" w:space="0" w:color="auto"/>
              <w:left w:val="single" w:sz="2" w:space="0" w:color="auto"/>
              <w:bottom w:val="single" w:sz="2" w:space="0" w:color="auto"/>
              <w:right w:val="single" w:sz="2" w:space="0" w:color="auto"/>
            </w:tcBorders>
            <w:vAlign w:val="center"/>
          </w:tcPr>
          <w:p w14:paraId="6C041922" w14:textId="77777777" w:rsidR="007B3DB2" w:rsidRPr="0063248C" w:rsidRDefault="00000000">
            <w:pPr>
              <w:spacing w:line="240" w:lineRule="exact"/>
              <w:jc w:val="right"/>
              <w:rPr>
                <w:rFonts w:cs="宋体"/>
                <w:sz w:val="18"/>
                <w:szCs w:val="18"/>
              </w:rPr>
            </w:pPr>
            <w:r w:rsidRPr="0063248C">
              <w:rPr>
                <w:rFonts w:cs="宋体"/>
                <w:sz w:val="18"/>
                <w:szCs w:val="18"/>
              </w:rPr>
              <w:t>22,609,092.00</w:t>
            </w:r>
          </w:p>
        </w:tc>
        <w:tc>
          <w:tcPr>
            <w:tcW w:w="1606" w:type="dxa"/>
            <w:tcBorders>
              <w:top w:val="single" w:sz="2" w:space="0" w:color="auto"/>
              <w:left w:val="single" w:sz="2" w:space="0" w:color="auto"/>
              <w:bottom w:val="single" w:sz="2" w:space="0" w:color="auto"/>
              <w:right w:val="single" w:sz="2" w:space="0" w:color="auto"/>
            </w:tcBorders>
            <w:vAlign w:val="center"/>
          </w:tcPr>
          <w:p w14:paraId="74452A41"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C72F807" w14:textId="77777777" w:rsidR="007B3DB2" w:rsidRPr="0063248C" w:rsidRDefault="00000000">
            <w:pPr>
              <w:spacing w:line="240" w:lineRule="exact"/>
              <w:jc w:val="right"/>
              <w:rPr>
                <w:rFonts w:cs="宋体"/>
                <w:sz w:val="18"/>
                <w:szCs w:val="18"/>
              </w:rPr>
            </w:pPr>
            <w:r w:rsidRPr="0063248C">
              <w:rPr>
                <w:rFonts w:cs="宋体"/>
                <w:sz w:val="18"/>
                <w:szCs w:val="18"/>
              </w:rPr>
              <w:t>22,609,092.00</w:t>
            </w:r>
          </w:p>
        </w:tc>
        <w:tc>
          <w:tcPr>
            <w:tcW w:w="1606" w:type="dxa"/>
            <w:tcBorders>
              <w:top w:val="single" w:sz="2" w:space="0" w:color="auto"/>
              <w:left w:val="single" w:sz="2" w:space="0" w:color="auto"/>
              <w:bottom w:val="single" w:sz="2" w:space="0" w:color="auto"/>
              <w:right w:val="single" w:sz="2" w:space="0" w:color="auto"/>
            </w:tcBorders>
            <w:vAlign w:val="center"/>
          </w:tcPr>
          <w:p w14:paraId="01A1D420" w14:textId="77777777" w:rsidR="007B3DB2" w:rsidRPr="0063248C" w:rsidRDefault="00000000">
            <w:pPr>
              <w:spacing w:line="240" w:lineRule="exact"/>
              <w:jc w:val="right"/>
              <w:rPr>
                <w:rFonts w:cs="宋体"/>
                <w:sz w:val="18"/>
                <w:szCs w:val="18"/>
              </w:rPr>
            </w:pPr>
            <w:r w:rsidRPr="0063248C">
              <w:rPr>
                <w:rFonts w:cs="宋体"/>
                <w:sz w:val="18"/>
                <w:szCs w:val="18"/>
              </w:rPr>
              <w:t>6.21%</w:t>
            </w:r>
          </w:p>
        </w:tc>
        <w:tc>
          <w:tcPr>
            <w:tcW w:w="1606" w:type="dxa"/>
            <w:tcBorders>
              <w:top w:val="single" w:sz="2" w:space="0" w:color="auto"/>
              <w:left w:val="single" w:sz="2" w:space="0" w:color="auto"/>
              <w:bottom w:val="single" w:sz="2" w:space="0" w:color="auto"/>
              <w:right w:val="single" w:sz="2" w:space="0" w:color="auto"/>
            </w:tcBorders>
            <w:vAlign w:val="center"/>
          </w:tcPr>
          <w:p w14:paraId="38539037" w14:textId="77777777" w:rsidR="007B3DB2" w:rsidRPr="0063248C" w:rsidRDefault="00000000">
            <w:pPr>
              <w:spacing w:line="240" w:lineRule="exact"/>
              <w:jc w:val="right"/>
              <w:rPr>
                <w:rFonts w:cs="宋体"/>
                <w:sz w:val="18"/>
                <w:szCs w:val="18"/>
              </w:rPr>
            </w:pPr>
            <w:r w:rsidRPr="0063248C">
              <w:rPr>
                <w:rFonts w:cs="宋体"/>
                <w:sz w:val="18"/>
                <w:szCs w:val="18"/>
              </w:rPr>
              <w:t>508,704.57</w:t>
            </w:r>
          </w:p>
        </w:tc>
      </w:tr>
      <w:tr w:rsidR="007B3DB2" w:rsidRPr="0063248C" w14:paraId="112A102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BB91C9E"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D</w:t>
            </w:r>
          </w:p>
        </w:tc>
        <w:tc>
          <w:tcPr>
            <w:tcW w:w="1606" w:type="dxa"/>
            <w:tcBorders>
              <w:top w:val="single" w:sz="2" w:space="0" w:color="auto"/>
              <w:left w:val="single" w:sz="2" w:space="0" w:color="auto"/>
              <w:bottom w:val="single" w:sz="2" w:space="0" w:color="auto"/>
              <w:right w:val="single" w:sz="2" w:space="0" w:color="auto"/>
            </w:tcBorders>
            <w:vAlign w:val="center"/>
          </w:tcPr>
          <w:p w14:paraId="378BBAE2" w14:textId="77777777" w:rsidR="007B3DB2" w:rsidRPr="0063248C" w:rsidRDefault="00000000">
            <w:pPr>
              <w:spacing w:line="240" w:lineRule="exact"/>
              <w:jc w:val="right"/>
              <w:rPr>
                <w:rFonts w:cs="宋体"/>
                <w:sz w:val="18"/>
                <w:szCs w:val="18"/>
              </w:rPr>
            </w:pPr>
            <w:r w:rsidRPr="0063248C">
              <w:rPr>
                <w:rFonts w:cs="宋体"/>
                <w:sz w:val="18"/>
                <w:szCs w:val="18"/>
              </w:rPr>
              <w:t>22,089,966.73</w:t>
            </w:r>
          </w:p>
        </w:tc>
        <w:tc>
          <w:tcPr>
            <w:tcW w:w="1606" w:type="dxa"/>
            <w:tcBorders>
              <w:top w:val="single" w:sz="2" w:space="0" w:color="auto"/>
              <w:left w:val="single" w:sz="2" w:space="0" w:color="auto"/>
              <w:bottom w:val="single" w:sz="2" w:space="0" w:color="auto"/>
              <w:right w:val="single" w:sz="2" w:space="0" w:color="auto"/>
            </w:tcBorders>
            <w:vAlign w:val="center"/>
          </w:tcPr>
          <w:p w14:paraId="068D2FB8"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16C617C" w14:textId="77777777" w:rsidR="007B3DB2" w:rsidRPr="0063248C" w:rsidRDefault="00000000">
            <w:pPr>
              <w:spacing w:line="240" w:lineRule="exact"/>
              <w:jc w:val="right"/>
              <w:rPr>
                <w:rFonts w:cs="宋体"/>
                <w:sz w:val="18"/>
                <w:szCs w:val="18"/>
              </w:rPr>
            </w:pPr>
            <w:r w:rsidRPr="0063248C">
              <w:rPr>
                <w:rFonts w:cs="宋体"/>
                <w:sz w:val="18"/>
                <w:szCs w:val="18"/>
              </w:rPr>
              <w:t>22,089,966.73</w:t>
            </w:r>
          </w:p>
        </w:tc>
        <w:tc>
          <w:tcPr>
            <w:tcW w:w="1606" w:type="dxa"/>
            <w:tcBorders>
              <w:top w:val="single" w:sz="2" w:space="0" w:color="auto"/>
              <w:left w:val="single" w:sz="2" w:space="0" w:color="auto"/>
              <w:bottom w:val="single" w:sz="2" w:space="0" w:color="auto"/>
              <w:right w:val="single" w:sz="2" w:space="0" w:color="auto"/>
            </w:tcBorders>
            <w:vAlign w:val="center"/>
          </w:tcPr>
          <w:p w14:paraId="65E4C25D" w14:textId="77777777" w:rsidR="007B3DB2" w:rsidRPr="0063248C" w:rsidRDefault="00000000">
            <w:pPr>
              <w:spacing w:line="240" w:lineRule="exact"/>
              <w:jc w:val="right"/>
              <w:rPr>
                <w:rFonts w:cs="宋体"/>
                <w:sz w:val="18"/>
                <w:szCs w:val="18"/>
              </w:rPr>
            </w:pPr>
            <w:r w:rsidRPr="0063248C">
              <w:rPr>
                <w:rFonts w:cs="宋体"/>
                <w:sz w:val="18"/>
                <w:szCs w:val="18"/>
              </w:rPr>
              <w:t>6.07%</w:t>
            </w:r>
          </w:p>
        </w:tc>
        <w:tc>
          <w:tcPr>
            <w:tcW w:w="1606" w:type="dxa"/>
            <w:tcBorders>
              <w:top w:val="single" w:sz="2" w:space="0" w:color="auto"/>
              <w:left w:val="single" w:sz="2" w:space="0" w:color="auto"/>
              <w:bottom w:val="single" w:sz="2" w:space="0" w:color="auto"/>
              <w:right w:val="single" w:sz="2" w:space="0" w:color="auto"/>
            </w:tcBorders>
            <w:vAlign w:val="center"/>
          </w:tcPr>
          <w:p w14:paraId="14014E6B" w14:textId="77777777" w:rsidR="007B3DB2" w:rsidRPr="0063248C" w:rsidRDefault="00000000">
            <w:pPr>
              <w:spacing w:line="240" w:lineRule="exact"/>
              <w:jc w:val="right"/>
              <w:rPr>
                <w:rFonts w:cs="宋体"/>
                <w:sz w:val="18"/>
                <w:szCs w:val="18"/>
              </w:rPr>
            </w:pPr>
            <w:r w:rsidRPr="0063248C">
              <w:rPr>
                <w:rFonts w:cs="宋体"/>
                <w:sz w:val="18"/>
                <w:szCs w:val="18"/>
              </w:rPr>
              <w:t>497,024.25</w:t>
            </w:r>
          </w:p>
        </w:tc>
      </w:tr>
      <w:tr w:rsidR="007B3DB2" w:rsidRPr="0063248C" w14:paraId="075362B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5BB55C2" w14:textId="77777777" w:rsidR="007B3DB2" w:rsidRPr="0063248C" w:rsidRDefault="00000000">
            <w:pPr>
              <w:spacing w:line="240" w:lineRule="exact"/>
              <w:rPr>
                <w:rFonts w:cs="宋体"/>
                <w:sz w:val="18"/>
                <w:szCs w:val="18"/>
              </w:rPr>
            </w:pPr>
            <w:r w:rsidRPr="0063248C">
              <w:rPr>
                <w:rFonts w:cs="宋体"/>
                <w:sz w:val="18"/>
                <w:szCs w:val="18"/>
              </w:rPr>
              <w:t>客户</w:t>
            </w:r>
            <w:r w:rsidRPr="0063248C">
              <w:rPr>
                <w:rFonts w:cs="宋体"/>
                <w:sz w:val="18"/>
                <w:szCs w:val="18"/>
              </w:rPr>
              <w:t>E</w:t>
            </w:r>
          </w:p>
        </w:tc>
        <w:tc>
          <w:tcPr>
            <w:tcW w:w="1606" w:type="dxa"/>
            <w:tcBorders>
              <w:top w:val="single" w:sz="2" w:space="0" w:color="auto"/>
              <w:left w:val="single" w:sz="2" w:space="0" w:color="auto"/>
              <w:bottom w:val="single" w:sz="2" w:space="0" w:color="auto"/>
              <w:right w:val="single" w:sz="2" w:space="0" w:color="auto"/>
            </w:tcBorders>
            <w:vAlign w:val="center"/>
          </w:tcPr>
          <w:p w14:paraId="4ED5AAEC" w14:textId="77777777" w:rsidR="007B3DB2" w:rsidRPr="0063248C" w:rsidRDefault="00000000">
            <w:pPr>
              <w:spacing w:line="240" w:lineRule="exact"/>
              <w:jc w:val="right"/>
              <w:rPr>
                <w:rFonts w:cs="宋体"/>
                <w:sz w:val="18"/>
                <w:szCs w:val="18"/>
              </w:rPr>
            </w:pPr>
            <w:r w:rsidRPr="0063248C">
              <w:rPr>
                <w:rFonts w:cs="宋体"/>
                <w:sz w:val="18"/>
                <w:szCs w:val="18"/>
              </w:rPr>
              <w:t>18,387,246.12</w:t>
            </w:r>
          </w:p>
        </w:tc>
        <w:tc>
          <w:tcPr>
            <w:tcW w:w="1606" w:type="dxa"/>
            <w:tcBorders>
              <w:top w:val="single" w:sz="2" w:space="0" w:color="auto"/>
              <w:left w:val="single" w:sz="2" w:space="0" w:color="auto"/>
              <w:bottom w:val="single" w:sz="2" w:space="0" w:color="auto"/>
              <w:right w:val="single" w:sz="2" w:space="0" w:color="auto"/>
            </w:tcBorders>
            <w:vAlign w:val="center"/>
          </w:tcPr>
          <w:p w14:paraId="760B0975"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076B2A9" w14:textId="77777777" w:rsidR="007B3DB2" w:rsidRPr="0063248C" w:rsidRDefault="00000000">
            <w:pPr>
              <w:spacing w:line="240" w:lineRule="exact"/>
              <w:jc w:val="right"/>
              <w:rPr>
                <w:rFonts w:cs="宋体"/>
                <w:sz w:val="18"/>
                <w:szCs w:val="18"/>
              </w:rPr>
            </w:pPr>
            <w:r w:rsidRPr="0063248C">
              <w:rPr>
                <w:rFonts w:cs="宋体"/>
                <w:sz w:val="18"/>
                <w:szCs w:val="18"/>
              </w:rPr>
              <w:t>18,387,246.12</w:t>
            </w:r>
          </w:p>
        </w:tc>
        <w:tc>
          <w:tcPr>
            <w:tcW w:w="1606" w:type="dxa"/>
            <w:tcBorders>
              <w:top w:val="single" w:sz="2" w:space="0" w:color="auto"/>
              <w:left w:val="single" w:sz="2" w:space="0" w:color="auto"/>
              <w:bottom w:val="single" w:sz="2" w:space="0" w:color="auto"/>
              <w:right w:val="single" w:sz="2" w:space="0" w:color="auto"/>
            </w:tcBorders>
            <w:vAlign w:val="center"/>
          </w:tcPr>
          <w:p w14:paraId="04B0B944" w14:textId="77777777" w:rsidR="007B3DB2" w:rsidRPr="0063248C" w:rsidRDefault="00000000">
            <w:pPr>
              <w:spacing w:line="240" w:lineRule="exact"/>
              <w:jc w:val="right"/>
              <w:rPr>
                <w:rFonts w:cs="宋体"/>
                <w:sz w:val="18"/>
                <w:szCs w:val="18"/>
              </w:rPr>
            </w:pPr>
            <w:r w:rsidRPr="0063248C">
              <w:rPr>
                <w:rFonts w:cs="宋体"/>
                <w:sz w:val="18"/>
                <w:szCs w:val="18"/>
              </w:rPr>
              <w:t>5.05%</w:t>
            </w:r>
          </w:p>
        </w:tc>
        <w:tc>
          <w:tcPr>
            <w:tcW w:w="1606" w:type="dxa"/>
            <w:tcBorders>
              <w:top w:val="single" w:sz="2" w:space="0" w:color="auto"/>
              <w:left w:val="single" w:sz="2" w:space="0" w:color="auto"/>
              <w:bottom w:val="single" w:sz="2" w:space="0" w:color="auto"/>
              <w:right w:val="single" w:sz="2" w:space="0" w:color="auto"/>
            </w:tcBorders>
            <w:vAlign w:val="center"/>
          </w:tcPr>
          <w:p w14:paraId="0AC01E34" w14:textId="77777777" w:rsidR="007B3DB2" w:rsidRPr="0063248C" w:rsidRDefault="007B3DB2">
            <w:pPr>
              <w:spacing w:line="240" w:lineRule="exact"/>
              <w:jc w:val="right"/>
              <w:rPr>
                <w:rFonts w:cs="宋体"/>
                <w:sz w:val="18"/>
                <w:szCs w:val="18"/>
              </w:rPr>
            </w:pPr>
          </w:p>
        </w:tc>
      </w:tr>
      <w:tr w:rsidR="007B3DB2" w:rsidRPr="0063248C" w14:paraId="67ADF8B2"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4FEFEAB"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657CA715" w14:textId="77777777" w:rsidR="007B3DB2" w:rsidRPr="0063248C" w:rsidRDefault="00000000">
            <w:pPr>
              <w:spacing w:line="240" w:lineRule="exact"/>
              <w:jc w:val="right"/>
              <w:rPr>
                <w:rFonts w:cs="宋体"/>
                <w:sz w:val="18"/>
                <w:szCs w:val="18"/>
              </w:rPr>
            </w:pPr>
            <w:r w:rsidRPr="0063248C">
              <w:rPr>
                <w:rFonts w:cs="宋体"/>
                <w:sz w:val="18"/>
                <w:szCs w:val="18"/>
              </w:rPr>
              <w:t>146,633,438.69</w:t>
            </w:r>
          </w:p>
        </w:tc>
        <w:tc>
          <w:tcPr>
            <w:tcW w:w="1606" w:type="dxa"/>
            <w:tcBorders>
              <w:top w:val="single" w:sz="2" w:space="0" w:color="auto"/>
              <w:left w:val="single" w:sz="2" w:space="0" w:color="auto"/>
              <w:bottom w:val="single" w:sz="2" w:space="0" w:color="auto"/>
              <w:right w:val="single" w:sz="2" w:space="0" w:color="auto"/>
            </w:tcBorders>
            <w:vAlign w:val="center"/>
          </w:tcPr>
          <w:p w14:paraId="7A22BCF9" w14:textId="77777777" w:rsidR="007B3DB2" w:rsidRPr="0063248C" w:rsidRDefault="007B3DB2">
            <w:pPr>
              <w:spacing w:line="240" w:lineRule="exact"/>
              <w:jc w:val="right"/>
              <w:rPr>
                <w:rFonts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1B88F53" w14:textId="77777777" w:rsidR="007B3DB2" w:rsidRPr="0063248C" w:rsidRDefault="00000000">
            <w:pPr>
              <w:spacing w:line="240" w:lineRule="exact"/>
              <w:jc w:val="right"/>
              <w:rPr>
                <w:rFonts w:cs="宋体"/>
                <w:sz w:val="18"/>
                <w:szCs w:val="18"/>
              </w:rPr>
            </w:pPr>
            <w:r w:rsidRPr="0063248C">
              <w:rPr>
                <w:rFonts w:cs="宋体"/>
                <w:sz w:val="18"/>
                <w:szCs w:val="18"/>
              </w:rPr>
              <w:t>146,633,438.69</w:t>
            </w:r>
          </w:p>
        </w:tc>
        <w:tc>
          <w:tcPr>
            <w:tcW w:w="1606" w:type="dxa"/>
            <w:tcBorders>
              <w:top w:val="single" w:sz="2" w:space="0" w:color="auto"/>
              <w:left w:val="single" w:sz="2" w:space="0" w:color="auto"/>
              <w:bottom w:val="single" w:sz="2" w:space="0" w:color="auto"/>
              <w:right w:val="single" w:sz="2" w:space="0" w:color="auto"/>
            </w:tcBorders>
            <w:vAlign w:val="center"/>
          </w:tcPr>
          <w:p w14:paraId="405F2829" w14:textId="77777777" w:rsidR="007B3DB2" w:rsidRPr="0063248C" w:rsidRDefault="00000000">
            <w:pPr>
              <w:spacing w:line="240" w:lineRule="exact"/>
              <w:jc w:val="right"/>
              <w:rPr>
                <w:rFonts w:cs="宋体"/>
                <w:sz w:val="18"/>
                <w:szCs w:val="18"/>
              </w:rPr>
            </w:pPr>
            <w:r w:rsidRPr="0063248C">
              <w:rPr>
                <w:rFonts w:cs="宋体"/>
                <w:sz w:val="18"/>
                <w:szCs w:val="18"/>
              </w:rPr>
              <w:t>40.28%</w:t>
            </w:r>
          </w:p>
        </w:tc>
        <w:tc>
          <w:tcPr>
            <w:tcW w:w="1606" w:type="dxa"/>
            <w:tcBorders>
              <w:top w:val="single" w:sz="2" w:space="0" w:color="auto"/>
              <w:left w:val="single" w:sz="2" w:space="0" w:color="auto"/>
              <w:bottom w:val="single" w:sz="2" w:space="0" w:color="auto"/>
              <w:right w:val="single" w:sz="2" w:space="0" w:color="auto"/>
            </w:tcBorders>
            <w:vAlign w:val="center"/>
          </w:tcPr>
          <w:p w14:paraId="1D9491E6" w14:textId="77777777" w:rsidR="007B3DB2" w:rsidRPr="0063248C" w:rsidRDefault="00000000">
            <w:pPr>
              <w:spacing w:line="240" w:lineRule="exact"/>
              <w:jc w:val="right"/>
              <w:rPr>
                <w:rFonts w:cs="宋体"/>
                <w:sz w:val="18"/>
                <w:szCs w:val="18"/>
              </w:rPr>
            </w:pPr>
            <w:r w:rsidRPr="0063248C">
              <w:rPr>
                <w:rFonts w:cs="宋体"/>
                <w:sz w:val="18"/>
                <w:szCs w:val="18"/>
              </w:rPr>
              <w:t>1,005,728.82</w:t>
            </w:r>
          </w:p>
        </w:tc>
      </w:tr>
    </w:tbl>
    <w:p w14:paraId="182AC432" w14:textId="77777777" w:rsidR="007B3DB2" w:rsidRPr="0063248C" w:rsidRDefault="00000000">
      <w:pPr>
        <w:pStyle w:val="3"/>
        <w:spacing w:line="280" w:lineRule="exact"/>
        <w:jc w:val="left"/>
        <w:rPr>
          <w:rFonts w:cs="宋体"/>
          <w:b/>
          <w:bCs/>
        </w:rPr>
      </w:pPr>
      <w:bookmarkStart w:id="527" w:name="_Toc989421"/>
      <w:r w:rsidRPr="0063248C">
        <w:rPr>
          <w:rFonts w:cs="宋体"/>
          <w:b/>
          <w:bCs/>
        </w:rPr>
        <w:t>2</w:t>
      </w:r>
      <w:r w:rsidRPr="0063248C">
        <w:rPr>
          <w:rFonts w:cs="宋体"/>
          <w:b/>
          <w:bCs/>
        </w:rPr>
        <w:t>、其他应收款</w:t>
      </w:r>
      <w:bookmarkEnd w:id="527"/>
    </w:p>
    <w:p w14:paraId="3BB56B7C"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46D2E4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E94C2A"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1BB21C"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8CC79F"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273414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8FE08A" w14:textId="77777777" w:rsidR="007B3DB2" w:rsidRPr="0063248C" w:rsidRDefault="00000000">
            <w:pPr>
              <w:spacing w:before="40" w:after="40" w:line="240" w:lineRule="exact"/>
              <w:rPr>
                <w:rFonts w:cs="宋体"/>
                <w:sz w:val="18"/>
                <w:szCs w:val="18"/>
              </w:rPr>
            </w:pPr>
            <w:r w:rsidRPr="0063248C">
              <w:rPr>
                <w:rFonts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61A5C14F" w14:textId="77777777" w:rsidR="007B3DB2" w:rsidRPr="0063248C" w:rsidRDefault="00000000">
            <w:pPr>
              <w:spacing w:line="240" w:lineRule="exact"/>
              <w:jc w:val="right"/>
              <w:rPr>
                <w:rFonts w:cs="宋体"/>
                <w:sz w:val="18"/>
                <w:szCs w:val="18"/>
              </w:rPr>
            </w:pPr>
            <w:r w:rsidRPr="0063248C">
              <w:rPr>
                <w:rFonts w:cs="宋体"/>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2EF5CFDD" w14:textId="77777777" w:rsidR="007B3DB2" w:rsidRPr="0063248C" w:rsidRDefault="00000000">
            <w:pPr>
              <w:spacing w:line="240" w:lineRule="exact"/>
              <w:jc w:val="right"/>
              <w:rPr>
                <w:rFonts w:cs="宋体"/>
                <w:sz w:val="18"/>
                <w:szCs w:val="18"/>
              </w:rPr>
            </w:pPr>
            <w:r w:rsidRPr="0063248C">
              <w:rPr>
                <w:rFonts w:cs="宋体"/>
                <w:sz w:val="18"/>
                <w:szCs w:val="18"/>
              </w:rPr>
              <w:t>2,240,000.00</w:t>
            </w:r>
          </w:p>
        </w:tc>
      </w:tr>
      <w:tr w:rsidR="007B3DB2" w:rsidRPr="0063248C" w14:paraId="5C0AAF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0EA2D7" w14:textId="77777777" w:rsidR="007B3DB2" w:rsidRPr="0063248C" w:rsidRDefault="00000000">
            <w:pPr>
              <w:spacing w:before="40" w:after="40" w:line="240" w:lineRule="exact"/>
              <w:rPr>
                <w:rFonts w:cs="宋体"/>
                <w:sz w:val="18"/>
                <w:szCs w:val="18"/>
              </w:rPr>
            </w:pPr>
            <w:r w:rsidRPr="0063248C">
              <w:rPr>
                <w:rFonts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1089C596" w14:textId="77777777" w:rsidR="007B3DB2" w:rsidRPr="0063248C" w:rsidRDefault="00000000">
            <w:pPr>
              <w:spacing w:line="240" w:lineRule="exact"/>
              <w:jc w:val="right"/>
              <w:rPr>
                <w:rFonts w:cs="宋体"/>
                <w:sz w:val="18"/>
                <w:szCs w:val="18"/>
              </w:rPr>
            </w:pPr>
            <w:r w:rsidRPr="0063248C">
              <w:rPr>
                <w:rFonts w:cs="宋体"/>
                <w:sz w:val="18"/>
                <w:szCs w:val="18"/>
              </w:rPr>
              <w:t>468,150,109.95</w:t>
            </w:r>
          </w:p>
        </w:tc>
        <w:tc>
          <w:tcPr>
            <w:tcW w:w="3213" w:type="dxa"/>
            <w:tcBorders>
              <w:top w:val="single" w:sz="2" w:space="0" w:color="auto"/>
              <w:left w:val="single" w:sz="2" w:space="0" w:color="auto"/>
              <w:bottom w:val="single" w:sz="2" w:space="0" w:color="auto"/>
              <w:right w:val="single" w:sz="2" w:space="0" w:color="auto"/>
            </w:tcBorders>
            <w:vAlign w:val="center"/>
          </w:tcPr>
          <w:p w14:paraId="106DB6CE" w14:textId="77777777" w:rsidR="007B3DB2" w:rsidRPr="0063248C" w:rsidRDefault="00000000">
            <w:pPr>
              <w:spacing w:line="240" w:lineRule="exact"/>
              <w:jc w:val="right"/>
              <w:rPr>
                <w:rFonts w:cs="宋体"/>
                <w:sz w:val="18"/>
                <w:szCs w:val="18"/>
              </w:rPr>
            </w:pPr>
            <w:r w:rsidRPr="0063248C">
              <w:rPr>
                <w:rFonts w:cs="宋体"/>
                <w:sz w:val="18"/>
                <w:szCs w:val="18"/>
              </w:rPr>
              <w:t>515,367,684.10</w:t>
            </w:r>
          </w:p>
        </w:tc>
      </w:tr>
      <w:tr w:rsidR="007B3DB2" w:rsidRPr="0063248C" w14:paraId="1C3963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097F83"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46D9059" w14:textId="77777777" w:rsidR="007B3DB2" w:rsidRPr="0063248C" w:rsidRDefault="00000000">
            <w:pPr>
              <w:spacing w:line="240" w:lineRule="exact"/>
              <w:jc w:val="right"/>
              <w:rPr>
                <w:rFonts w:cs="宋体"/>
                <w:sz w:val="18"/>
                <w:szCs w:val="18"/>
              </w:rPr>
            </w:pPr>
            <w:r w:rsidRPr="0063248C">
              <w:rPr>
                <w:rFonts w:cs="宋体"/>
                <w:sz w:val="18"/>
                <w:szCs w:val="18"/>
              </w:rPr>
              <w:t>470,390,109.95</w:t>
            </w:r>
          </w:p>
        </w:tc>
        <w:tc>
          <w:tcPr>
            <w:tcW w:w="3213" w:type="dxa"/>
            <w:tcBorders>
              <w:top w:val="single" w:sz="2" w:space="0" w:color="auto"/>
              <w:left w:val="single" w:sz="2" w:space="0" w:color="auto"/>
              <w:bottom w:val="single" w:sz="2" w:space="0" w:color="auto"/>
              <w:right w:val="single" w:sz="2" w:space="0" w:color="auto"/>
            </w:tcBorders>
            <w:vAlign w:val="center"/>
          </w:tcPr>
          <w:p w14:paraId="7A474BF1" w14:textId="77777777" w:rsidR="007B3DB2" w:rsidRPr="0063248C" w:rsidRDefault="00000000">
            <w:pPr>
              <w:spacing w:line="240" w:lineRule="exact"/>
              <w:jc w:val="right"/>
              <w:rPr>
                <w:rFonts w:cs="宋体"/>
                <w:sz w:val="18"/>
                <w:szCs w:val="18"/>
              </w:rPr>
            </w:pPr>
            <w:r w:rsidRPr="0063248C">
              <w:rPr>
                <w:rFonts w:cs="宋体"/>
                <w:sz w:val="18"/>
                <w:szCs w:val="18"/>
              </w:rPr>
              <w:t>517,607,684.10</w:t>
            </w:r>
          </w:p>
        </w:tc>
      </w:tr>
    </w:tbl>
    <w:p w14:paraId="60B65DB4" w14:textId="77777777" w:rsidR="007B3DB2" w:rsidRPr="0063248C" w:rsidRDefault="00000000">
      <w:pPr>
        <w:keepNext/>
        <w:keepLines/>
        <w:spacing w:before="300" w:after="300" w:line="280" w:lineRule="exact"/>
        <w:outlineLvl w:val="3"/>
        <w:rPr>
          <w:rFonts w:cs="宋体"/>
          <w:b/>
          <w:bCs/>
          <w:sz w:val="18"/>
          <w:szCs w:val="18"/>
        </w:rPr>
      </w:pPr>
      <w:bookmarkStart w:id="528" w:name="_Toc989422"/>
      <w:r w:rsidRPr="0063248C">
        <w:rPr>
          <w:rFonts w:cs="宋体"/>
          <w:b/>
          <w:bCs/>
          <w:sz w:val="18"/>
          <w:szCs w:val="18"/>
        </w:rPr>
        <w:t>（</w:t>
      </w:r>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应收利息</w:t>
      </w:r>
      <w:bookmarkEnd w:id="528"/>
    </w:p>
    <w:p w14:paraId="4F359F00" w14:textId="77777777" w:rsidR="007B3DB2" w:rsidRPr="0063248C" w:rsidRDefault="00000000">
      <w:pPr>
        <w:keepNext/>
        <w:keepLines/>
        <w:spacing w:before="300" w:after="300" w:line="280" w:lineRule="exact"/>
        <w:outlineLvl w:val="4"/>
        <w:rPr>
          <w:rFonts w:cs="宋体"/>
          <w:b/>
          <w:bCs/>
          <w:sz w:val="18"/>
          <w:szCs w:val="18"/>
        </w:rPr>
      </w:pPr>
      <w:bookmarkStart w:id="529" w:name="_Toc989423"/>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应收利息分类</w:t>
      </w:r>
      <w:bookmarkEnd w:id="529"/>
    </w:p>
    <w:p w14:paraId="5BE2E8DE" w14:textId="77777777" w:rsidR="00E319D8" w:rsidRPr="0063248C" w:rsidRDefault="00E319D8" w:rsidP="00E319D8">
      <w:pPr>
        <w:pStyle w:val="a3"/>
        <w:rPr>
          <w:rFonts w:ascii="Times New Roman" w:hAnsi="Times New Roman"/>
          <w:sz w:val="18"/>
          <w:szCs w:val="18"/>
        </w:rPr>
      </w:pPr>
      <w:bookmarkStart w:id="530" w:name="_Toc989424"/>
      <w:r w:rsidRPr="0063248C">
        <w:rPr>
          <w:rFonts w:ascii="Times New Roman" w:hAnsi="Times New Roman" w:hint="eastAsia"/>
          <w:sz w:val="18"/>
          <w:szCs w:val="18"/>
        </w:rPr>
        <w:t>无</w:t>
      </w:r>
    </w:p>
    <w:p w14:paraId="6FA5FFCB" w14:textId="77777777" w:rsidR="007B3DB2" w:rsidRPr="0063248C" w:rsidRDefault="00000000">
      <w:pPr>
        <w:keepNext/>
        <w:keepLines/>
        <w:spacing w:before="300" w:after="300" w:line="280" w:lineRule="exact"/>
        <w:outlineLvl w:val="4"/>
        <w:rPr>
          <w:rFonts w:cs="宋体"/>
          <w:b/>
          <w:bCs/>
          <w:sz w:val="18"/>
          <w:szCs w:val="18"/>
        </w:rPr>
      </w:pP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重要逾期利息</w:t>
      </w:r>
      <w:bookmarkEnd w:id="530"/>
    </w:p>
    <w:p w14:paraId="5C04CAB7" w14:textId="77777777" w:rsidR="00517D34" w:rsidRPr="0063248C" w:rsidRDefault="00000000">
      <w:pPr>
        <w:pStyle w:val="a3"/>
        <w:divId w:val="250045367"/>
        <w:rPr>
          <w:rFonts w:ascii="Times New Roman" w:hAnsi="Times New Roman"/>
          <w:sz w:val="18"/>
          <w:szCs w:val="18"/>
        </w:rPr>
      </w:pPr>
      <w:r w:rsidRPr="0063248C">
        <w:rPr>
          <w:rFonts w:ascii="Times New Roman" w:hAnsi="Times New Roman" w:hint="eastAsia"/>
          <w:sz w:val="18"/>
          <w:szCs w:val="18"/>
        </w:rPr>
        <w:t>无</w:t>
      </w:r>
    </w:p>
    <w:p w14:paraId="3EE1C7DD" w14:textId="77777777" w:rsidR="007B3DB2" w:rsidRPr="0063248C" w:rsidRDefault="00000000">
      <w:pPr>
        <w:keepNext/>
        <w:keepLines/>
        <w:spacing w:before="300" w:after="300" w:line="280" w:lineRule="exact"/>
        <w:outlineLvl w:val="4"/>
        <w:rPr>
          <w:rFonts w:cs="宋体"/>
          <w:b/>
          <w:bCs/>
          <w:sz w:val="18"/>
          <w:szCs w:val="18"/>
        </w:rPr>
      </w:pPr>
      <w:bookmarkStart w:id="531" w:name="_Toc989425"/>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按坏账计提方法分类披露</w:t>
      </w:r>
      <w:bookmarkEnd w:id="531"/>
    </w:p>
    <w:p w14:paraId="76BD4D03"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5740633A" w14:textId="77777777" w:rsidR="007B3DB2" w:rsidRPr="0063248C" w:rsidRDefault="00000000">
      <w:pPr>
        <w:keepNext/>
        <w:keepLines/>
        <w:spacing w:before="300" w:after="300" w:line="280" w:lineRule="exact"/>
        <w:outlineLvl w:val="4"/>
        <w:rPr>
          <w:rFonts w:cs="宋体"/>
          <w:b/>
          <w:bCs/>
          <w:sz w:val="18"/>
          <w:szCs w:val="18"/>
        </w:rPr>
      </w:pPr>
      <w:bookmarkStart w:id="532" w:name="_Toc989426"/>
      <w:r w:rsidRPr="0063248C">
        <w:rPr>
          <w:rFonts w:cs="宋体"/>
          <w:b/>
          <w:bCs/>
          <w:sz w:val="18"/>
          <w:szCs w:val="18"/>
        </w:rPr>
        <w:t>4</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本期计提、收回或转回的坏账准备的情况</w:t>
      </w:r>
      <w:bookmarkEnd w:id="532"/>
    </w:p>
    <w:p w14:paraId="3D468977" w14:textId="77777777" w:rsidR="00517D34" w:rsidRPr="0063248C" w:rsidRDefault="00000000">
      <w:pPr>
        <w:pStyle w:val="a3"/>
        <w:divId w:val="450252019"/>
        <w:rPr>
          <w:rFonts w:ascii="Times New Roman" w:hAnsi="Times New Roman"/>
          <w:sz w:val="18"/>
          <w:szCs w:val="18"/>
        </w:rPr>
      </w:pPr>
      <w:r w:rsidRPr="0063248C">
        <w:rPr>
          <w:rFonts w:ascii="Times New Roman" w:hAnsi="Times New Roman" w:hint="eastAsia"/>
          <w:sz w:val="18"/>
          <w:szCs w:val="18"/>
        </w:rPr>
        <w:t>无</w:t>
      </w:r>
    </w:p>
    <w:p w14:paraId="56146A2E" w14:textId="77777777" w:rsidR="007B3DB2" w:rsidRPr="0063248C" w:rsidRDefault="00000000">
      <w:pPr>
        <w:keepNext/>
        <w:keepLines/>
        <w:spacing w:before="300" w:after="300" w:line="280" w:lineRule="exact"/>
        <w:outlineLvl w:val="4"/>
        <w:rPr>
          <w:rFonts w:cs="宋体"/>
          <w:b/>
          <w:bCs/>
          <w:sz w:val="18"/>
          <w:szCs w:val="18"/>
        </w:rPr>
      </w:pPr>
      <w:bookmarkStart w:id="533" w:name="_Toc989427"/>
      <w:r w:rsidRPr="0063248C">
        <w:rPr>
          <w:rFonts w:cs="宋体"/>
          <w:b/>
          <w:bCs/>
          <w:sz w:val="18"/>
          <w:szCs w:val="18"/>
        </w:rPr>
        <w:t>5</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本期实际核销的应收利息情况</w:t>
      </w:r>
      <w:bookmarkEnd w:id="533"/>
    </w:p>
    <w:p w14:paraId="6529FA8C" w14:textId="77777777" w:rsidR="00517D34" w:rsidRPr="0063248C" w:rsidRDefault="00000000">
      <w:pPr>
        <w:pStyle w:val="a3"/>
        <w:divId w:val="1155032113"/>
        <w:rPr>
          <w:rFonts w:ascii="Times New Roman" w:hAnsi="Times New Roman"/>
          <w:sz w:val="18"/>
          <w:szCs w:val="18"/>
        </w:rPr>
      </w:pPr>
      <w:r w:rsidRPr="0063248C">
        <w:rPr>
          <w:rFonts w:ascii="Times New Roman" w:hAnsi="Times New Roman" w:hint="eastAsia"/>
          <w:sz w:val="18"/>
          <w:szCs w:val="18"/>
        </w:rPr>
        <w:t>无</w:t>
      </w:r>
    </w:p>
    <w:p w14:paraId="167DC8A5" w14:textId="77777777" w:rsidR="007B3DB2" w:rsidRPr="0063248C" w:rsidRDefault="00000000">
      <w:pPr>
        <w:keepNext/>
        <w:keepLines/>
        <w:spacing w:before="300" w:after="300" w:line="280" w:lineRule="exact"/>
        <w:outlineLvl w:val="3"/>
        <w:rPr>
          <w:rFonts w:cs="宋体"/>
          <w:b/>
          <w:bCs/>
          <w:sz w:val="18"/>
          <w:szCs w:val="18"/>
        </w:rPr>
      </w:pPr>
      <w:bookmarkStart w:id="534" w:name="_Toc989428"/>
      <w:r w:rsidRPr="0063248C">
        <w:rPr>
          <w:rFonts w:cs="宋体"/>
          <w:b/>
          <w:bCs/>
          <w:sz w:val="18"/>
          <w:szCs w:val="18"/>
        </w:rPr>
        <w:t>（</w:t>
      </w:r>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应收股利</w:t>
      </w:r>
      <w:bookmarkEnd w:id="534"/>
    </w:p>
    <w:p w14:paraId="7287181D" w14:textId="77777777" w:rsidR="007B3DB2" w:rsidRPr="0063248C" w:rsidRDefault="00000000">
      <w:pPr>
        <w:keepNext/>
        <w:keepLines/>
        <w:spacing w:before="300" w:after="300" w:line="280" w:lineRule="exact"/>
        <w:outlineLvl w:val="4"/>
        <w:rPr>
          <w:rFonts w:cs="宋体"/>
          <w:b/>
          <w:bCs/>
          <w:sz w:val="18"/>
          <w:szCs w:val="18"/>
        </w:rPr>
      </w:pPr>
      <w:bookmarkStart w:id="535" w:name="_Toc989429"/>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应收股利分类</w:t>
      </w:r>
      <w:bookmarkEnd w:id="535"/>
    </w:p>
    <w:p w14:paraId="43B4F6E3"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06D966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70411A" w14:textId="77777777" w:rsidR="007B3DB2" w:rsidRPr="0063248C" w:rsidRDefault="00000000">
            <w:pPr>
              <w:spacing w:before="40" w:after="40" w:line="240" w:lineRule="exact"/>
              <w:jc w:val="center"/>
              <w:rPr>
                <w:rFonts w:cs="宋体"/>
                <w:sz w:val="18"/>
                <w:szCs w:val="18"/>
              </w:rPr>
            </w:pPr>
            <w:r w:rsidRPr="0063248C">
              <w:rPr>
                <w:rFonts w:cs="宋体"/>
                <w:sz w:val="18"/>
                <w:szCs w:val="18"/>
              </w:rPr>
              <w:lastRenderedPageBreak/>
              <w:t>项目</w:t>
            </w:r>
            <w:r w:rsidRPr="0063248C">
              <w:rPr>
                <w:rFonts w:cs="宋体"/>
                <w:sz w:val="18"/>
                <w:szCs w:val="18"/>
              </w:rPr>
              <w:t>(</w:t>
            </w:r>
            <w:r w:rsidRPr="0063248C">
              <w:rPr>
                <w:rFonts w:cs="宋体"/>
                <w:sz w:val="18"/>
                <w:szCs w:val="18"/>
              </w:rPr>
              <w:t>或被投资单位</w:t>
            </w:r>
            <w:r w:rsidRPr="0063248C">
              <w:rPr>
                <w:rFonts w:cs="宋体"/>
                <w:sz w:val="18"/>
                <w:szCs w:val="18"/>
              </w:rPr>
              <w:t>)</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7E45BB"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45F51F"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3EAC6CE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D2EC3FE" w14:textId="77777777" w:rsidR="007B3DB2" w:rsidRPr="0063248C" w:rsidRDefault="00000000">
            <w:pPr>
              <w:spacing w:line="240" w:lineRule="exact"/>
              <w:rPr>
                <w:rFonts w:cs="宋体"/>
                <w:sz w:val="18"/>
                <w:szCs w:val="18"/>
              </w:rPr>
            </w:pPr>
            <w:r w:rsidRPr="0063248C">
              <w:rPr>
                <w:rFonts w:cs="宋体"/>
                <w:sz w:val="18"/>
                <w:szCs w:val="18"/>
              </w:rPr>
              <w:t>蓬莱富龙肉食品有限公司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6621CB3A" w14:textId="77777777" w:rsidR="007B3DB2" w:rsidRPr="0063248C" w:rsidRDefault="00000000">
            <w:pPr>
              <w:spacing w:line="240" w:lineRule="exact"/>
              <w:jc w:val="right"/>
              <w:rPr>
                <w:rFonts w:cs="宋体"/>
                <w:sz w:val="18"/>
                <w:szCs w:val="18"/>
              </w:rPr>
            </w:pPr>
            <w:r w:rsidRPr="0063248C">
              <w:rPr>
                <w:rFonts w:cs="宋体"/>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397E55C0" w14:textId="77777777" w:rsidR="007B3DB2" w:rsidRPr="0063248C" w:rsidRDefault="00000000">
            <w:pPr>
              <w:spacing w:line="240" w:lineRule="exact"/>
              <w:jc w:val="right"/>
              <w:rPr>
                <w:rFonts w:cs="宋体"/>
                <w:sz w:val="18"/>
                <w:szCs w:val="18"/>
              </w:rPr>
            </w:pPr>
            <w:r w:rsidRPr="0063248C">
              <w:rPr>
                <w:rFonts w:cs="宋体"/>
                <w:sz w:val="18"/>
                <w:szCs w:val="18"/>
              </w:rPr>
              <w:t>2,240,000.00</w:t>
            </w:r>
          </w:p>
        </w:tc>
      </w:tr>
      <w:tr w:rsidR="007B3DB2" w:rsidRPr="0063248C" w14:paraId="6A0E88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D9F489"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F87352F" w14:textId="77777777" w:rsidR="007B3DB2" w:rsidRPr="0063248C" w:rsidRDefault="00000000">
            <w:pPr>
              <w:spacing w:line="240" w:lineRule="exact"/>
              <w:jc w:val="right"/>
              <w:rPr>
                <w:rFonts w:cs="宋体"/>
                <w:sz w:val="18"/>
                <w:szCs w:val="18"/>
              </w:rPr>
            </w:pPr>
            <w:r w:rsidRPr="0063248C">
              <w:rPr>
                <w:rFonts w:cs="宋体"/>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01105160" w14:textId="77777777" w:rsidR="007B3DB2" w:rsidRPr="0063248C" w:rsidRDefault="00000000">
            <w:pPr>
              <w:spacing w:line="240" w:lineRule="exact"/>
              <w:jc w:val="right"/>
              <w:rPr>
                <w:rFonts w:cs="宋体"/>
                <w:sz w:val="18"/>
                <w:szCs w:val="18"/>
              </w:rPr>
            </w:pPr>
            <w:r w:rsidRPr="0063248C">
              <w:rPr>
                <w:rFonts w:cs="宋体"/>
                <w:sz w:val="18"/>
                <w:szCs w:val="18"/>
              </w:rPr>
              <w:t>2,240,000.00</w:t>
            </w:r>
          </w:p>
        </w:tc>
      </w:tr>
    </w:tbl>
    <w:p w14:paraId="4AA0DC0E" w14:textId="77777777" w:rsidR="007B3DB2" w:rsidRPr="0063248C" w:rsidRDefault="00000000">
      <w:pPr>
        <w:keepNext/>
        <w:keepLines/>
        <w:spacing w:before="300" w:after="300" w:line="280" w:lineRule="exact"/>
        <w:outlineLvl w:val="4"/>
        <w:rPr>
          <w:rFonts w:cs="宋体"/>
          <w:b/>
          <w:bCs/>
          <w:sz w:val="18"/>
          <w:szCs w:val="18"/>
        </w:rPr>
      </w:pPr>
      <w:bookmarkStart w:id="536" w:name="_Toc989430"/>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重要的账龄超过</w:t>
      </w:r>
      <w:r w:rsidRPr="0063248C">
        <w:rPr>
          <w:rFonts w:cs="宋体"/>
          <w:b/>
          <w:bCs/>
          <w:sz w:val="18"/>
          <w:szCs w:val="18"/>
        </w:rPr>
        <w:t>1</w:t>
      </w:r>
      <w:r w:rsidRPr="0063248C">
        <w:rPr>
          <w:rFonts w:cs="宋体"/>
          <w:b/>
          <w:bCs/>
          <w:sz w:val="18"/>
          <w:szCs w:val="18"/>
        </w:rPr>
        <w:t>年的应收股利</w:t>
      </w:r>
      <w:bookmarkEnd w:id="536"/>
    </w:p>
    <w:p w14:paraId="2B0C62E4" w14:textId="77777777" w:rsidR="00E319D8" w:rsidRPr="0063248C" w:rsidRDefault="00E319D8" w:rsidP="00E319D8">
      <w:pPr>
        <w:pStyle w:val="a3"/>
        <w:rPr>
          <w:rFonts w:ascii="Times New Roman" w:hAnsi="Times New Roman"/>
          <w:sz w:val="18"/>
          <w:szCs w:val="18"/>
        </w:rPr>
      </w:pPr>
      <w:bookmarkStart w:id="537" w:name="_Toc989431"/>
      <w:r w:rsidRPr="0063248C">
        <w:rPr>
          <w:rFonts w:ascii="Times New Roman" w:hAnsi="Times New Roman" w:hint="eastAsia"/>
          <w:sz w:val="18"/>
          <w:szCs w:val="18"/>
        </w:rPr>
        <w:t>无</w:t>
      </w:r>
    </w:p>
    <w:p w14:paraId="39BFC316" w14:textId="77777777" w:rsidR="007B3DB2" w:rsidRPr="0063248C" w:rsidRDefault="00000000">
      <w:pPr>
        <w:keepNext/>
        <w:keepLines/>
        <w:spacing w:before="300" w:after="300" w:line="280" w:lineRule="exact"/>
        <w:outlineLvl w:val="4"/>
        <w:rPr>
          <w:rFonts w:cs="宋体"/>
          <w:b/>
          <w:bCs/>
          <w:sz w:val="18"/>
          <w:szCs w:val="18"/>
        </w:rPr>
      </w:pPr>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按坏账计提方法分类披露</w:t>
      </w:r>
      <w:bookmarkEnd w:id="537"/>
    </w:p>
    <w:p w14:paraId="0CAC06A6"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3E87D81C" w14:textId="77777777" w:rsidR="007B3DB2" w:rsidRPr="0063248C" w:rsidRDefault="00000000">
      <w:pPr>
        <w:keepNext/>
        <w:keepLines/>
        <w:spacing w:before="300" w:after="300" w:line="280" w:lineRule="exact"/>
        <w:outlineLvl w:val="4"/>
        <w:rPr>
          <w:rFonts w:cs="宋体"/>
          <w:b/>
          <w:bCs/>
          <w:sz w:val="18"/>
          <w:szCs w:val="18"/>
        </w:rPr>
      </w:pPr>
      <w:bookmarkStart w:id="538" w:name="_Toc989432"/>
      <w:r w:rsidRPr="0063248C">
        <w:rPr>
          <w:rFonts w:cs="宋体"/>
          <w:b/>
          <w:bCs/>
          <w:sz w:val="18"/>
          <w:szCs w:val="18"/>
        </w:rPr>
        <w:t>4</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本期计提、收回或转回的坏账准备的情况</w:t>
      </w:r>
      <w:bookmarkEnd w:id="538"/>
    </w:p>
    <w:p w14:paraId="761530E5" w14:textId="77777777" w:rsidR="00517D34" w:rsidRPr="0063248C" w:rsidRDefault="00000000">
      <w:pPr>
        <w:pStyle w:val="a3"/>
        <w:divId w:val="1292828849"/>
        <w:rPr>
          <w:rFonts w:ascii="Times New Roman" w:hAnsi="Times New Roman"/>
          <w:sz w:val="18"/>
          <w:szCs w:val="18"/>
        </w:rPr>
      </w:pPr>
      <w:r w:rsidRPr="0063248C">
        <w:rPr>
          <w:rFonts w:ascii="Times New Roman" w:hAnsi="Times New Roman" w:hint="eastAsia"/>
          <w:color w:val="333333"/>
          <w:sz w:val="18"/>
          <w:szCs w:val="18"/>
          <w:shd w:val="clear" w:color="auto" w:fill="FFFFFF"/>
        </w:rPr>
        <w:t>无</w:t>
      </w:r>
    </w:p>
    <w:p w14:paraId="2601AE84" w14:textId="77777777" w:rsidR="007B3DB2" w:rsidRPr="0063248C" w:rsidRDefault="00000000">
      <w:pPr>
        <w:keepNext/>
        <w:keepLines/>
        <w:spacing w:before="300" w:after="300" w:line="280" w:lineRule="exact"/>
        <w:outlineLvl w:val="4"/>
        <w:rPr>
          <w:rFonts w:cs="宋体"/>
          <w:b/>
          <w:bCs/>
          <w:sz w:val="18"/>
          <w:szCs w:val="18"/>
        </w:rPr>
      </w:pPr>
      <w:bookmarkStart w:id="539" w:name="_Toc989433"/>
      <w:r w:rsidRPr="0063248C">
        <w:rPr>
          <w:rFonts w:cs="宋体"/>
          <w:b/>
          <w:bCs/>
          <w:sz w:val="18"/>
          <w:szCs w:val="18"/>
        </w:rPr>
        <w:t>5</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本期实际核销的应收股利情况</w:t>
      </w:r>
      <w:bookmarkEnd w:id="539"/>
    </w:p>
    <w:p w14:paraId="3340BB33" w14:textId="77777777" w:rsidR="00517D34" w:rsidRPr="0063248C" w:rsidRDefault="00000000">
      <w:pPr>
        <w:pStyle w:val="a3"/>
        <w:divId w:val="103888882"/>
        <w:rPr>
          <w:rFonts w:ascii="Times New Roman" w:hAnsi="Times New Roman"/>
          <w:sz w:val="18"/>
          <w:szCs w:val="18"/>
        </w:rPr>
      </w:pPr>
      <w:r w:rsidRPr="0063248C">
        <w:rPr>
          <w:rFonts w:ascii="Times New Roman" w:hAnsi="Times New Roman" w:hint="eastAsia"/>
          <w:sz w:val="18"/>
          <w:szCs w:val="18"/>
        </w:rPr>
        <w:t>无</w:t>
      </w:r>
    </w:p>
    <w:p w14:paraId="555A5696" w14:textId="77777777" w:rsidR="007B3DB2" w:rsidRPr="0063248C" w:rsidRDefault="00000000">
      <w:pPr>
        <w:keepNext/>
        <w:keepLines/>
        <w:spacing w:before="300" w:after="300" w:line="280" w:lineRule="exact"/>
        <w:outlineLvl w:val="3"/>
        <w:rPr>
          <w:rFonts w:cs="宋体"/>
          <w:b/>
          <w:bCs/>
          <w:sz w:val="18"/>
          <w:szCs w:val="18"/>
        </w:rPr>
      </w:pPr>
      <w:bookmarkStart w:id="540" w:name="_Toc989434"/>
      <w:r w:rsidRPr="0063248C">
        <w:rPr>
          <w:rFonts w:cs="宋体"/>
          <w:b/>
          <w:bCs/>
          <w:sz w:val="18"/>
          <w:szCs w:val="18"/>
        </w:rPr>
        <w:t>（</w:t>
      </w:r>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其他应收款</w:t>
      </w:r>
      <w:bookmarkEnd w:id="540"/>
    </w:p>
    <w:p w14:paraId="05B8A824" w14:textId="77777777" w:rsidR="007B3DB2" w:rsidRPr="0063248C" w:rsidRDefault="00000000">
      <w:pPr>
        <w:keepNext/>
        <w:keepLines/>
        <w:spacing w:before="300" w:after="300" w:line="280" w:lineRule="exact"/>
        <w:outlineLvl w:val="4"/>
        <w:rPr>
          <w:rFonts w:cs="宋体"/>
          <w:b/>
          <w:bCs/>
          <w:sz w:val="18"/>
          <w:szCs w:val="18"/>
        </w:rPr>
      </w:pPr>
      <w:bookmarkStart w:id="541" w:name="_Toc989435"/>
      <w:r w:rsidRPr="0063248C">
        <w:rPr>
          <w:rFonts w:cs="宋体"/>
          <w:b/>
          <w:bCs/>
          <w:sz w:val="18"/>
          <w:szCs w:val="18"/>
        </w:rPr>
        <w:t>1</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其他应收款按款项性质分类情况</w:t>
      </w:r>
      <w:bookmarkEnd w:id="541"/>
    </w:p>
    <w:p w14:paraId="181712EB"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0BB5E7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3D90CB" w14:textId="77777777" w:rsidR="007B3DB2" w:rsidRPr="0063248C" w:rsidRDefault="00000000">
            <w:pPr>
              <w:spacing w:before="40" w:after="40" w:line="240" w:lineRule="exact"/>
              <w:jc w:val="center"/>
              <w:rPr>
                <w:rFonts w:cs="宋体"/>
                <w:sz w:val="18"/>
                <w:szCs w:val="18"/>
              </w:rPr>
            </w:pPr>
            <w:r w:rsidRPr="0063248C">
              <w:rPr>
                <w:rFonts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E8AA4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D8C979"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期初账面余额</w:t>
            </w:r>
          </w:p>
        </w:tc>
      </w:tr>
      <w:tr w:rsidR="007B3DB2" w:rsidRPr="0063248C" w14:paraId="56A25D4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C838F3C" w14:textId="77777777" w:rsidR="007B3DB2" w:rsidRPr="0063248C" w:rsidRDefault="00000000">
            <w:pPr>
              <w:spacing w:line="240" w:lineRule="exact"/>
              <w:rPr>
                <w:rFonts w:cs="宋体"/>
                <w:sz w:val="18"/>
                <w:szCs w:val="18"/>
              </w:rPr>
            </w:pPr>
            <w:r w:rsidRPr="0063248C">
              <w:rPr>
                <w:rFonts w:cs="宋体"/>
                <w:sz w:val="18"/>
                <w:szCs w:val="18"/>
              </w:rPr>
              <w:t>备用金借支</w:t>
            </w:r>
          </w:p>
        </w:tc>
        <w:tc>
          <w:tcPr>
            <w:tcW w:w="3213" w:type="dxa"/>
            <w:tcBorders>
              <w:top w:val="single" w:sz="2" w:space="0" w:color="auto"/>
              <w:left w:val="single" w:sz="2" w:space="0" w:color="auto"/>
              <w:bottom w:val="single" w:sz="2" w:space="0" w:color="auto"/>
              <w:right w:val="single" w:sz="2" w:space="0" w:color="auto"/>
            </w:tcBorders>
            <w:vAlign w:val="center"/>
          </w:tcPr>
          <w:p w14:paraId="3E1ACDC9" w14:textId="77777777" w:rsidR="007B3DB2" w:rsidRPr="0063248C" w:rsidRDefault="00000000">
            <w:pPr>
              <w:spacing w:line="240" w:lineRule="exact"/>
              <w:jc w:val="right"/>
              <w:rPr>
                <w:rFonts w:cs="宋体"/>
                <w:sz w:val="18"/>
                <w:szCs w:val="18"/>
              </w:rPr>
            </w:pPr>
            <w:r w:rsidRPr="0063248C">
              <w:rPr>
                <w:rFonts w:cs="宋体"/>
                <w:sz w:val="18"/>
                <w:szCs w:val="18"/>
              </w:rPr>
              <w:t>1,777,736.58</w:t>
            </w:r>
          </w:p>
        </w:tc>
        <w:tc>
          <w:tcPr>
            <w:tcW w:w="3213" w:type="dxa"/>
            <w:tcBorders>
              <w:top w:val="single" w:sz="2" w:space="0" w:color="auto"/>
              <w:left w:val="single" w:sz="2" w:space="0" w:color="auto"/>
              <w:bottom w:val="single" w:sz="2" w:space="0" w:color="auto"/>
              <w:right w:val="single" w:sz="2" w:space="0" w:color="auto"/>
            </w:tcBorders>
            <w:vAlign w:val="center"/>
          </w:tcPr>
          <w:p w14:paraId="25555B75" w14:textId="77777777" w:rsidR="007B3DB2" w:rsidRPr="0063248C" w:rsidRDefault="00000000">
            <w:pPr>
              <w:spacing w:line="240" w:lineRule="exact"/>
              <w:jc w:val="right"/>
              <w:rPr>
                <w:rFonts w:cs="宋体"/>
                <w:sz w:val="18"/>
                <w:szCs w:val="18"/>
              </w:rPr>
            </w:pPr>
            <w:r w:rsidRPr="0063248C">
              <w:rPr>
                <w:rFonts w:cs="宋体"/>
                <w:sz w:val="18"/>
                <w:szCs w:val="18"/>
              </w:rPr>
              <w:t>2,634,329.78</w:t>
            </w:r>
          </w:p>
        </w:tc>
      </w:tr>
      <w:tr w:rsidR="007B3DB2" w:rsidRPr="0063248C" w14:paraId="5D2BC8A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DE0B14D" w14:textId="77777777" w:rsidR="007B3DB2" w:rsidRPr="0063248C" w:rsidRDefault="00000000">
            <w:pPr>
              <w:spacing w:line="240" w:lineRule="exact"/>
              <w:rPr>
                <w:rFonts w:cs="宋体"/>
                <w:sz w:val="18"/>
                <w:szCs w:val="18"/>
              </w:rPr>
            </w:pPr>
            <w:r w:rsidRPr="0063248C">
              <w:rPr>
                <w:rFonts w:cs="宋体"/>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vAlign w:val="center"/>
          </w:tcPr>
          <w:p w14:paraId="1FFEA846" w14:textId="77777777" w:rsidR="007B3DB2" w:rsidRPr="0063248C" w:rsidRDefault="00000000">
            <w:pPr>
              <w:spacing w:line="240" w:lineRule="exact"/>
              <w:jc w:val="right"/>
              <w:rPr>
                <w:rFonts w:cs="宋体"/>
                <w:sz w:val="18"/>
                <w:szCs w:val="18"/>
              </w:rPr>
            </w:pPr>
            <w:r w:rsidRPr="0063248C">
              <w:rPr>
                <w:rFonts w:cs="宋体"/>
                <w:sz w:val="18"/>
                <w:szCs w:val="18"/>
              </w:rPr>
              <w:t>29,189,965.96</w:t>
            </w:r>
          </w:p>
        </w:tc>
        <w:tc>
          <w:tcPr>
            <w:tcW w:w="3213" w:type="dxa"/>
            <w:tcBorders>
              <w:top w:val="single" w:sz="2" w:space="0" w:color="auto"/>
              <w:left w:val="single" w:sz="2" w:space="0" w:color="auto"/>
              <w:bottom w:val="single" w:sz="2" w:space="0" w:color="auto"/>
              <w:right w:val="single" w:sz="2" w:space="0" w:color="auto"/>
            </w:tcBorders>
            <w:vAlign w:val="center"/>
          </w:tcPr>
          <w:p w14:paraId="078A3BFB" w14:textId="77777777" w:rsidR="007B3DB2" w:rsidRPr="0063248C" w:rsidRDefault="00000000">
            <w:pPr>
              <w:spacing w:line="240" w:lineRule="exact"/>
              <w:jc w:val="right"/>
              <w:rPr>
                <w:rFonts w:cs="宋体"/>
                <w:sz w:val="18"/>
                <w:szCs w:val="18"/>
              </w:rPr>
            </w:pPr>
            <w:r w:rsidRPr="0063248C">
              <w:rPr>
                <w:rFonts w:cs="宋体"/>
                <w:sz w:val="18"/>
                <w:szCs w:val="18"/>
              </w:rPr>
              <w:t>27,432,548.26</w:t>
            </w:r>
          </w:p>
        </w:tc>
      </w:tr>
      <w:tr w:rsidR="007B3DB2" w:rsidRPr="0063248C" w14:paraId="08309AD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3BD788B" w14:textId="77777777" w:rsidR="007B3DB2" w:rsidRPr="0063248C" w:rsidRDefault="00000000">
            <w:pPr>
              <w:spacing w:line="240" w:lineRule="exact"/>
              <w:rPr>
                <w:rFonts w:cs="宋体"/>
                <w:sz w:val="18"/>
                <w:szCs w:val="18"/>
              </w:rPr>
            </w:pPr>
            <w:r w:rsidRPr="0063248C">
              <w:rPr>
                <w:rFonts w:cs="宋体"/>
                <w:sz w:val="18"/>
                <w:szCs w:val="18"/>
              </w:rPr>
              <w:t>对关联公司的应收款项</w:t>
            </w:r>
          </w:p>
        </w:tc>
        <w:tc>
          <w:tcPr>
            <w:tcW w:w="3213" w:type="dxa"/>
            <w:tcBorders>
              <w:top w:val="single" w:sz="2" w:space="0" w:color="auto"/>
              <w:left w:val="single" w:sz="2" w:space="0" w:color="auto"/>
              <w:bottom w:val="single" w:sz="2" w:space="0" w:color="auto"/>
              <w:right w:val="single" w:sz="2" w:space="0" w:color="auto"/>
            </w:tcBorders>
            <w:vAlign w:val="center"/>
          </w:tcPr>
          <w:p w14:paraId="46C67072" w14:textId="77777777" w:rsidR="007B3DB2" w:rsidRPr="0063248C" w:rsidRDefault="00000000">
            <w:pPr>
              <w:spacing w:line="240" w:lineRule="exact"/>
              <w:jc w:val="right"/>
              <w:rPr>
                <w:rFonts w:cs="宋体"/>
                <w:sz w:val="18"/>
                <w:szCs w:val="18"/>
              </w:rPr>
            </w:pPr>
            <w:r w:rsidRPr="0063248C">
              <w:rPr>
                <w:rFonts w:cs="宋体"/>
                <w:sz w:val="18"/>
                <w:szCs w:val="18"/>
              </w:rPr>
              <w:t>1,014,886,200.00</w:t>
            </w:r>
          </w:p>
        </w:tc>
        <w:tc>
          <w:tcPr>
            <w:tcW w:w="3213" w:type="dxa"/>
            <w:tcBorders>
              <w:top w:val="single" w:sz="2" w:space="0" w:color="auto"/>
              <w:left w:val="single" w:sz="2" w:space="0" w:color="auto"/>
              <w:bottom w:val="single" w:sz="2" w:space="0" w:color="auto"/>
              <w:right w:val="single" w:sz="2" w:space="0" w:color="auto"/>
            </w:tcBorders>
            <w:vAlign w:val="center"/>
          </w:tcPr>
          <w:p w14:paraId="45D49A4F" w14:textId="77777777" w:rsidR="007B3DB2" w:rsidRPr="0063248C" w:rsidRDefault="00000000">
            <w:pPr>
              <w:spacing w:line="240" w:lineRule="exact"/>
              <w:jc w:val="right"/>
              <w:rPr>
                <w:rFonts w:cs="宋体"/>
                <w:sz w:val="18"/>
                <w:szCs w:val="18"/>
              </w:rPr>
            </w:pPr>
            <w:r w:rsidRPr="0063248C">
              <w:rPr>
                <w:rFonts w:cs="宋体"/>
                <w:sz w:val="18"/>
                <w:szCs w:val="18"/>
              </w:rPr>
              <w:t>1,116,824,311.18</w:t>
            </w:r>
          </w:p>
        </w:tc>
      </w:tr>
      <w:tr w:rsidR="007B3DB2" w:rsidRPr="0063248C" w14:paraId="3CF7E05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BB04720" w14:textId="77777777" w:rsidR="007B3DB2" w:rsidRPr="0063248C" w:rsidRDefault="00000000">
            <w:pPr>
              <w:spacing w:line="240" w:lineRule="exact"/>
              <w:rPr>
                <w:rFonts w:cs="宋体"/>
                <w:sz w:val="18"/>
                <w:szCs w:val="18"/>
              </w:rPr>
            </w:pPr>
            <w:r w:rsidRPr="0063248C">
              <w:rPr>
                <w:rFonts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44A5727D" w14:textId="77777777" w:rsidR="007B3DB2" w:rsidRPr="0063248C" w:rsidRDefault="00000000">
            <w:pPr>
              <w:spacing w:line="240" w:lineRule="exact"/>
              <w:jc w:val="right"/>
              <w:rPr>
                <w:rFonts w:cs="宋体"/>
                <w:sz w:val="18"/>
                <w:szCs w:val="18"/>
              </w:rPr>
            </w:pPr>
            <w:r w:rsidRPr="0063248C">
              <w:rPr>
                <w:rFonts w:cs="宋体"/>
                <w:sz w:val="18"/>
                <w:szCs w:val="18"/>
              </w:rPr>
              <w:t>5,741,609.37</w:t>
            </w:r>
          </w:p>
        </w:tc>
        <w:tc>
          <w:tcPr>
            <w:tcW w:w="3213" w:type="dxa"/>
            <w:tcBorders>
              <w:top w:val="single" w:sz="2" w:space="0" w:color="auto"/>
              <w:left w:val="single" w:sz="2" w:space="0" w:color="auto"/>
              <w:bottom w:val="single" w:sz="2" w:space="0" w:color="auto"/>
              <w:right w:val="single" w:sz="2" w:space="0" w:color="auto"/>
            </w:tcBorders>
            <w:vAlign w:val="center"/>
          </w:tcPr>
          <w:p w14:paraId="1A25F36A" w14:textId="77777777" w:rsidR="007B3DB2" w:rsidRPr="0063248C" w:rsidRDefault="00000000">
            <w:pPr>
              <w:spacing w:line="240" w:lineRule="exact"/>
              <w:jc w:val="right"/>
              <w:rPr>
                <w:rFonts w:cs="宋体"/>
                <w:sz w:val="18"/>
                <w:szCs w:val="18"/>
              </w:rPr>
            </w:pPr>
            <w:r w:rsidRPr="0063248C">
              <w:rPr>
                <w:rFonts w:cs="宋体"/>
                <w:sz w:val="18"/>
                <w:szCs w:val="18"/>
              </w:rPr>
              <w:t>8,391,946.17</w:t>
            </w:r>
          </w:p>
        </w:tc>
      </w:tr>
      <w:tr w:rsidR="007B3DB2" w:rsidRPr="0063248C" w14:paraId="085EF80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C66DB67" w14:textId="77777777" w:rsidR="007B3DB2" w:rsidRPr="0063248C" w:rsidRDefault="00000000">
            <w:pPr>
              <w:spacing w:line="240" w:lineRule="exact"/>
              <w:rPr>
                <w:rFonts w:cs="宋体"/>
                <w:sz w:val="18"/>
                <w:szCs w:val="18"/>
              </w:rPr>
            </w:pPr>
            <w:r w:rsidRPr="0063248C">
              <w:rPr>
                <w:rFonts w:cs="宋体"/>
                <w:sz w:val="18"/>
                <w:szCs w:val="18"/>
              </w:rPr>
              <w:t>减：坏账准备</w:t>
            </w:r>
          </w:p>
        </w:tc>
        <w:tc>
          <w:tcPr>
            <w:tcW w:w="3213" w:type="dxa"/>
            <w:tcBorders>
              <w:top w:val="single" w:sz="2" w:space="0" w:color="auto"/>
              <w:left w:val="single" w:sz="2" w:space="0" w:color="auto"/>
              <w:bottom w:val="single" w:sz="2" w:space="0" w:color="auto"/>
              <w:right w:val="single" w:sz="2" w:space="0" w:color="auto"/>
            </w:tcBorders>
            <w:vAlign w:val="center"/>
          </w:tcPr>
          <w:p w14:paraId="60FBB7D0" w14:textId="77777777" w:rsidR="007B3DB2" w:rsidRPr="0063248C" w:rsidRDefault="00000000">
            <w:pPr>
              <w:spacing w:line="240" w:lineRule="exact"/>
              <w:jc w:val="right"/>
              <w:rPr>
                <w:rFonts w:cs="宋体"/>
                <w:sz w:val="18"/>
                <w:szCs w:val="18"/>
              </w:rPr>
            </w:pPr>
            <w:r w:rsidRPr="0063248C">
              <w:rPr>
                <w:rFonts w:cs="宋体"/>
                <w:sz w:val="18"/>
                <w:szCs w:val="18"/>
              </w:rPr>
              <w:t>-583,445,401.96</w:t>
            </w:r>
          </w:p>
        </w:tc>
        <w:tc>
          <w:tcPr>
            <w:tcW w:w="3213" w:type="dxa"/>
            <w:tcBorders>
              <w:top w:val="single" w:sz="2" w:space="0" w:color="auto"/>
              <w:left w:val="single" w:sz="2" w:space="0" w:color="auto"/>
              <w:bottom w:val="single" w:sz="2" w:space="0" w:color="auto"/>
              <w:right w:val="single" w:sz="2" w:space="0" w:color="auto"/>
            </w:tcBorders>
            <w:vAlign w:val="center"/>
          </w:tcPr>
          <w:p w14:paraId="33C785A6" w14:textId="77777777" w:rsidR="007B3DB2" w:rsidRPr="0063248C" w:rsidRDefault="00000000">
            <w:pPr>
              <w:spacing w:line="240" w:lineRule="exact"/>
              <w:jc w:val="right"/>
              <w:rPr>
                <w:rFonts w:cs="宋体"/>
                <w:sz w:val="18"/>
                <w:szCs w:val="18"/>
              </w:rPr>
            </w:pPr>
            <w:r w:rsidRPr="0063248C">
              <w:rPr>
                <w:rFonts w:cs="宋体"/>
                <w:sz w:val="18"/>
                <w:szCs w:val="18"/>
              </w:rPr>
              <w:t>-639,915,451.29</w:t>
            </w:r>
          </w:p>
        </w:tc>
      </w:tr>
      <w:tr w:rsidR="007B3DB2" w:rsidRPr="0063248C" w14:paraId="0851C3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5E5D17"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52623CE" w14:textId="77777777" w:rsidR="007B3DB2" w:rsidRPr="0063248C" w:rsidRDefault="00000000">
            <w:pPr>
              <w:spacing w:line="240" w:lineRule="exact"/>
              <w:jc w:val="right"/>
              <w:rPr>
                <w:rFonts w:cs="宋体"/>
                <w:sz w:val="18"/>
                <w:szCs w:val="18"/>
              </w:rPr>
            </w:pPr>
            <w:r w:rsidRPr="0063248C">
              <w:rPr>
                <w:rFonts w:cs="宋体"/>
                <w:sz w:val="18"/>
                <w:szCs w:val="18"/>
              </w:rPr>
              <w:t>468,150,109.95</w:t>
            </w:r>
          </w:p>
        </w:tc>
        <w:tc>
          <w:tcPr>
            <w:tcW w:w="3213" w:type="dxa"/>
            <w:tcBorders>
              <w:top w:val="single" w:sz="2" w:space="0" w:color="auto"/>
              <w:left w:val="single" w:sz="2" w:space="0" w:color="auto"/>
              <w:bottom w:val="single" w:sz="2" w:space="0" w:color="auto"/>
              <w:right w:val="single" w:sz="2" w:space="0" w:color="auto"/>
            </w:tcBorders>
            <w:vAlign w:val="center"/>
          </w:tcPr>
          <w:p w14:paraId="6338779E" w14:textId="77777777" w:rsidR="007B3DB2" w:rsidRPr="0063248C" w:rsidRDefault="00000000">
            <w:pPr>
              <w:spacing w:line="240" w:lineRule="exact"/>
              <w:jc w:val="right"/>
              <w:rPr>
                <w:rFonts w:cs="宋体"/>
                <w:sz w:val="18"/>
                <w:szCs w:val="18"/>
              </w:rPr>
            </w:pPr>
            <w:r w:rsidRPr="0063248C">
              <w:rPr>
                <w:rFonts w:cs="宋体"/>
                <w:sz w:val="18"/>
                <w:szCs w:val="18"/>
              </w:rPr>
              <w:t>515,367,684.10</w:t>
            </w:r>
          </w:p>
        </w:tc>
      </w:tr>
    </w:tbl>
    <w:p w14:paraId="43D1CD1E" w14:textId="77777777" w:rsidR="007B3DB2" w:rsidRPr="0063248C" w:rsidRDefault="00000000">
      <w:pPr>
        <w:keepNext/>
        <w:keepLines/>
        <w:spacing w:before="300" w:after="300" w:line="280" w:lineRule="exact"/>
        <w:outlineLvl w:val="4"/>
        <w:rPr>
          <w:rFonts w:cs="宋体"/>
          <w:b/>
          <w:bCs/>
          <w:sz w:val="18"/>
          <w:szCs w:val="18"/>
        </w:rPr>
      </w:pPr>
      <w:bookmarkStart w:id="542" w:name="_Toc989436"/>
      <w:r w:rsidRPr="0063248C">
        <w:rPr>
          <w:rFonts w:cs="宋体"/>
          <w:b/>
          <w:bCs/>
          <w:sz w:val="18"/>
          <w:szCs w:val="18"/>
        </w:rPr>
        <w:t>2</w:t>
      </w:r>
      <w:r w:rsidRPr="0063248C">
        <w:rPr>
          <w:rFonts w:cs="宋体"/>
          <w:b/>
          <w:bCs/>
          <w:sz w:val="18"/>
          <w:szCs w:val="18"/>
        </w:rPr>
        <w:t>）</w:t>
      </w:r>
      <w:r w:rsidRPr="0063248C">
        <w:rPr>
          <w:rFonts w:cs="宋体"/>
          <w:b/>
          <w:bCs/>
          <w:sz w:val="18"/>
          <w:szCs w:val="18"/>
        </w:rPr>
        <w:t xml:space="preserve"> </w:t>
      </w:r>
      <w:proofErr w:type="gramStart"/>
      <w:r w:rsidRPr="0063248C">
        <w:rPr>
          <w:rFonts w:cs="宋体"/>
          <w:b/>
          <w:bCs/>
          <w:sz w:val="18"/>
          <w:szCs w:val="18"/>
        </w:rPr>
        <w:t>按账龄</w:t>
      </w:r>
      <w:proofErr w:type="gramEnd"/>
      <w:r w:rsidRPr="0063248C">
        <w:rPr>
          <w:rFonts w:cs="宋体"/>
          <w:b/>
          <w:bCs/>
          <w:sz w:val="18"/>
          <w:szCs w:val="18"/>
        </w:rPr>
        <w:t>披露</w:t>
      </w:r>
      <w:bookmarkEnd w:id="542"/>
    </w:p>
    <w:p w14:paraId="62B6C778"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080553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0F430D"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8C183F"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8B108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期初账面余额</w:t>
            </w:r>
          </w:p>
        </w:tc>
      </w:tr>
      <w:tr w:rsidR="007B3DB2" w:rsidRPr="0063248C" w14:paraId="0E9B01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61FEAA"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年以内（含</w:t>
            </w:r>
            <w:r w:rsidRPr="0063248C">
              <w:rPr>
                <w:rFonts w:cs="宋体"/>
                <w:sz w:val="18"/>
                <w:szCs w:val="18"/>
              </w:rPr>
              <w:t>1</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7D73A86E" w14:textId="77777777" w:rsidR="007B3DB2" w:rsidRPr="0063248C" w:rsidRDefault="00000000">
            <w:pPr>
              <w:spacing w:line="240" w:lineRule="exact"/>
              <w:jc w:val="right"/>
              <w:rPr>
                <w:rFonts w:cs="宋体"/>
                <w:sz w:val="18"/>
                <w:szCs w:val="18"/>
              </w:rPr>
            </w:pPr>
            <w:r w:rsidRPr="0063248C">
              <w:rPr>
                <w:rFonts w:cs="宋体"/>
                <w:sz w:val="18"/>
                <w:szCs w:val="18"/>
              </w:rPr>
              <w:t>364,024,746.23</w:t>
            </w:r>
          </w:p>
        </w:tc>
        <w:tc>
          <w:tcPr>
            <w:tcW w:w="3213" w:type="dxa"/>
            <w:tcBorders>
              <w:top w:val="single" w:sz="2" w:space="0" w:color="auto"/>
              <w:left w:val="single" w:sz="2" w:space="0" w:color="auto"/>
              <w:bottom w:val="single" w:sz="2" w:space="0" w:color="auto"/>
              <w:right w:val="single" w:sz="2" w:space="0" w:color="auto"/>
            </w:tcBorders>
            <w:vAlign w:val="center"/>
          </w:tcPr>
          <w:p w14:paraId="59117AA5" w14:textId="77777777" w:rsidR="007B3DB2" w:rsidRPr="0063248C" w:rsidRDefault="00000000">
            <w:pPr>
              <w:spacing w:line="240" w:lineRule="exact"/>
              <w:jc w:val="right"/>
              <w:rPr>
                <w:rFonts w:cs="宋体"/>
                <w:sz w:val="18"/>
                <w:szCs w:val="18"/>
              </w:rPr>
            </w:pPr>
            <w:r w:rsidRPr="0063248C">
              <w:rPr>
                <w:rFonts w:cs="宋体"/>
                <w:sz w:val="18"/>
                <w:szCs w:val="18"/>
              </w:rPr>
              <w:t>461,271,902.32</w:t>
            </w:r>
          </w:p>
        </w:tc>
      </w:tr>
      <w:tr w:rsidR="007B3DB2" w:rsidRPr="0063248C" w14:paraId="4375D6A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B8FCBBC" w14:textId="77777777" w:rsidR="007B3DB2" w:rsidRPr="0063248C" w:rsidRDefault="00000000">
            <w:pPr>
              <w:spacing w:line="240" w:lineRule="exact"/>
              <w:rPr>
                <w:rFonts w:cs="宋体"/>
                <w:sz w:val="18"/>
                <w:szCs w:val="18"/>
              </w:rPr>
            </w:pPr>
            <w:r w:rsidRPr="0063248C">
              <w:rPr>
                <w:rFonts w:cs="宋体"/>
                <w:sz w:val="18"/>
                <w:szCs w:val="18"/>
              </w:rPr>
              <w:t>1-3</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0687D6AC" w14:textId="77777777" w:rsidR="007B3DB2" w:rsidRPr="0063248C" w:rsidRDefault="00000000">
            <w:pPr>
              <w:spacing w:line="240" w:lineRule="exact"/>
              <w:jc w:val="right"/>
              <w:rPr>
                <w:rFonts w:cs="宋体"/>
                <w:sz w:val="18"/>
                <w:szCs w:val="18"/>
              </w:rPr>
            </w:pPr>
            <w:r w:rsidRPr="0063248C">
              <w:rPr>
                <w:rFonts w:cs="宋体"/>
                <w:sz w:val="18"/>
                <w:szCs w:val="18"/>
              </w:rPr>
              <w:t>27,387,363.77</w:t>
            </w:r>
          </w:p>
        </w:tc>
        <w:tc>
          <w:tcPr>
            <w:tcW w:w="3213" w:type="dxa"/>
            <w:tcBorders>
              <w:top w:val="single" w:sz="2" w:space="0" w:color="auto"/>
              <w:left w:val="single" w:sz="2" w:space="0" w:color="auto"/>
              <w:bottom w:val="single" w:sz="2" w:space="0" w:color="auto"/>
              <w:right w:val="single" w:sz="2" w:space="0" w:color="auto"/>
            </w:tcBorders>
            <w:vAlign w:val="center"/>
          </w:tcPr>
          <w:p w14:paraId="24434334" w14:textId="77777777" w:rsidR="007B3DB2" w:rsidRPr="0063248C" w:rsidRDefault="00000000">
            <w:pPr>
              <w:spacing w:line="240" w:lineRule="exact"/>
              <w:jc w:val="right"/>
              <w:rPr>
                <w:rFonts w:cs="宋体"/>
                <w:sz w:val="18"/>
                <w:szCs w:val="18"/>
              </w:rPr>
            </w:pPr>
            <w:r w:rsidRPr="0063248C">
              <w:rPr>
                <w:rFonts w:cs="宋体"/>
                <w:sz w:val="18"/>
                <w:szCs w:val="18"/>
              </w:rPr>
              <w:t>186,013,215.98</w:t>
            </w:r>
          </w:p>
        </w:tc>
      </w:tr>
      <w:tr w:rsidR="007B3DB2" w:rsidRPr="0063248C" w14:paraId="37CE9FB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AB826A0" w14:textId="77777777" w:rsidR="007B3DB2" w:rsidRPr="0063248C" w:rsidRDefault="00000000">
            <w:pPr>
              <w:spacing w:line="240" w:lineRule="exact"/>
              <w:rPr>
                <w:rFonts w:cs="宋体"/>
                <w:sz w:val="18"/>
                <w:szCs w:val="18"/>
              </w:rPr>
            </w:pPr>
            <w:r w:rsidRPr="0063248C">
              <w:rPr>
                <w:rFonts w:cs="宋体"/>
                <w:sz w:val="18"/>
                <w:szCs w:val="18"/>
              </w:rPr>
              <w:t>4-6</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25AE81D2" w14:textId="77777777" w:rsidR="007B3DB2" w:rsidRPr="0063248C" w:rsidRDefault="00000000">
            <w:pPr>
              <w:spacing w:line="240" w:lineRule="exact"/>
              <w:jc w:val="right"/>
              <w:rPr>
                <w:rFonts w:cs="宋体"/>
                <w:sz w:val="18"/>
                <w:szCs w:val="18"/>
              </w:rPr>
            </w:pPr>
            <w:r w:rsidRPr="0063248C">
              <w:rPr>
                <w:rFonts w:cs="宋体"/>
                <w:sz w:val="18"/>
                <w:szCs w:val="18"/>
              </w:rPr>
              <w:t>68,976,507.46</w:t>
            </w:r>
          </w:p>
        </w:tc>
        <w:tc>
          <w:tcPr>
            <w:tcW w:w="3213" w:type="dxa"/>
            <w:tcBorders>
              <w:top w:val="single" w:sz="2" w:space="0" w:color="auto"/>
              <w:left w:val="single" w:sz="2" w:space="0" w:color="auto"/>
              <w:bottom w:val="single" w:sz="2" w:space="0" w:color="auto"/>
              <w:right w:val="single" w:sz="2" w:space="0" w:color="auto"/>
            </w:tcBorders>
            <w:vAlign w:val="center"/>
          </w:tcPr>
          <w:p w14:paraId="32B729E2" w14:textId="77777777" w:rsidR="007B3DB2" w:rsidRPr="0063248C" w:rsidRDefault="00000000">
            <w:pPr>
              <w:spacing w:line="240" w:lineRule="exact"/>
              <w:jc w:val="right"/>
              <w:rPr>
                <w:rFonts w:cs="宋体"/>
                <w:sz w:val="18"/>
                <w:szCs w:val="18"/>
              </w:rPr>
            </w:pPr>
            <w:r w:rsidRPr="0063248C">
              <w:rPr>
                <w:rFonts w:cs="宋体"/>
                <w:sz w:val="18"/>
                <w:szCs w:val="18"/>
              </w:rPr>
              <w:t>86,604,589.79</w:t>
            </w:r>
          </w:p>
        </w:tc>
      </w:tr>
      <w:tr w:rsidR="007B3DB2" w:rsidRPr="0063248C" w14:paraId="7506872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CD1F671" w14:textId="77777777" w:rsidR="007B3DB2" w:rsidRPr="0063248C" w:rsidRDefault="00000000">
            <w:pPr>
              <w:spacing w:line="240" w:lineRule="exact"/>
              <w:rPr>
                <w:rFonts w:cs="宋体"/>
                <w:sz w:val="18"/>
                <w:szCs w:val="18"/>
              </w:rPr>
            </w:pPr>
            <w:r w:rsidRPr="0063248C">
              <w:rPr>
                <w:rFonts w:cs="宋体"/>
                <w:sz w:val="18"/>
                <w:szCs w:val="18"/>
              </w:rPr>
              <w:t>7-9</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6DE8010C" w14:textId="77777777" w:rsidR="007B3DB2" w:rsidRPr="0063248C" w:rsidRDefault="00000000">
            <w:pPr>
              <w:spacing w:line="240" w:lineRule="exact"/>
              <w:jc w:val="right"/>
              <w:rPr>
                <w:rFonts w:cs="宋体"/>
                <w:sz w:val="18"/>
                <w:szCs w:val="18"/>
              </w:rPr>
            </w:pPr>
            <w:r w:rsidRPr="0063248C">
              <w:rPr>
                <w:rFonts w:cs="宋体"/>
                <w:sz w:val="18"/>
                <w:szCs w:val="18"/>
              </w:rPr>
              <w:t>181,779,175.00</w:t>
            </w:r>
          </w:p>
        </w:tc>
        <w:tc>
          <w:tcPr>
            <w:tcW w:w="3213" w:type="dxa"/>
            <w:tcBorders>
              <w:top w:val="single" w:sz="2" w:space="0" w:color="auto"/>
              <w:left w:val="single" w:sz="2" w:space="0" w:color="auto"/>
              <w:bottom w:val="single" w:sz="2" w:space="0" w:color="auto"/>
              <w:right w:val="single" w:sz="2" w:space="0" w:color="auto"/>
            </w:tcBorders>
            <w:vAlign w:val="center"/>
          </w:tcPr>
          <w:p w14:paraId="787D2BCE" w14:textId="77777777" w:rsidR="007B3DB2" w:rsidRPr="0063248C" w:rsidRDefault="00000000">
            <w:pPr>
              <w:spacing w:line="240" w:lineRule="exact"/>
              <w:jc w:val="right"/>
              <w:rPr>
                <w:rFonts w:cs="宋体"/>
                <w:sz w:val="18"/>
                <w:szCs w:val="18"/>
              </w:rPr>
            </w:pPr>
            <w:r w:rsidRPr="0063248C">
              <w:rPr>
                <w:rFonts w:cs="宋体"/>
                <w:sz w:val="18"/>
                <w:szCs w:val="18"/>
              </w:rPr>
              <w:t>62,315,100.00</w:t>
            </w:r>
          </w:p>
        </w:tc>
      </w:tr>
      <w:tr w:rsidR="007B3DB2" w:rsidRPr="0063248C" w14:paraId="17D097F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67CC79B" w14:textId="77777777" w:rsidR="007B3DB2" w:rsidRPr="0063248C" w:rsidRDefault="00000000">
            <w:pPr>
              <w:spacing w:line="240" w:lineRule="exact"/>
              <w:rPr>
                <w:rFonts w:cs="宋体"/>
                <w:sz w:val="18"/>
                <w:szCs w:val="18"/>
              </w:rPr>
            </w:pPr>
            <w:r w:rsidRPr="0063248C">
              <w:rPr>
                <w:rFonts w:cs="宋体"/>
                <w:sz w:val="18"/>
                <w:szCs w:val="18"/>
              </w:rPr>
              <w:t>10-12</w:t>
            </w:r>
            <w:r w:rsidRPr="0063248C">
              <w:rPr>
                <w:rFonts w:cs="宋体"/>
                <w:sz w:val="18"/>
                <w:szCs w:val="18"/>
              </w:rPr>
              <w:t>月</w:t>
            </w:r>
          </w:p>
        </w:tc>
        <w:tc>
          <w:tcPr>
            <w:tcW w:w="3213" w:type="dxa"/>
            <w:tcBorders>
              <w:top w:val="single" w:sz="2" w:space="0" w:color="auto"/>
              <w:left w:val="single" w:sz="2" w:space="0" w:color="auto"/>
              <w:bottom w:val="single" w:sz="2" w:space="0" w:color="auto"/>
              <w:right w:val="single" w:sz="2" w:space="0" w:color="auto"/>
            </w:tcBorders>
            <w:vAlign w:val="center"/>
          </w:tcPr>
          <w:p w14:paraId="4C023B55" w14:textId="77777777" w:rsidR="007B3DB2" w:rsidRPr="0063248C" w:rsidRDefault="00000000">
            <w:pPr>
              <w:spacing w:line="240" w:lineRule="exact"/>
              <w:jc w:val="right"/>
              <w:rPr>
                <w:rFonts w:cs="宋体"/>
                <w:sz w:val="18"/>
                <w:szCs w:val="18"/>
              </w:rPr>
            </w:pPr>
            <w:r w:rsidRPr="0063248C">
              <w:rPr>
                <w:rFonts w:cs="宋体"/>
                <w:sz w:val="18"/>
                <w:szCs w:val="18"/>
              </w:rPr>
              <w:t>85,881,700.00</w:t>
            </w:r>
          </w:p>
        </w:tc>
        <w:tc>
          <w:tcPr>
            <w:tcW w:w="3213" w:type="dxa"/>
            <w:tcBorders>
              <w:top w:val="single" w:sz="2" w:space="0" w:color="auto"/>
              <w:left w:val="single" w:sz="2" w:space="0" w:color="auto"/>
              <w:bottom w:val="single" w:sz="2" w:space="0" w:color="auto"/>
              <w:right w:val="single" w:sz="2" w:space="0" w:color="auto"/>
            </w:tcBorders>
            <w:vAlign w:val="center"/>
          </w:tcPr>
          <w:p w14:paraId="0CAB044C" w14:textId="77777777" w:rsidR="007B3DB2" w:rsidRPr="0063248C" w:rsidRDefault="00000000">
            <w:pPr>
              <w:spacing w:line="240" w:lineRule="exact"/>
              <w:jc w:val="right"/>
              <w:rPr>
                <w:rFonts w:cs="宋体"/>
                <w:sz w:val="18"/>
                <w:szCs w:val="18"/>
              </w:rPr>
            </w:pPr>
            <w:r w:rsidRPr="0063248C">
              <w:rPr>
                <w:rFonts w:cs="宋体"/>
                <w:sz w:val="18"/>
                <w:szCs w:val="18"/>
              </w:rPr>
              <w:t>126,338,996.55</w:t>
            </w:r>
          </w:p>
        </w:tc>
      </w:tr>
      <w:tr w:rsidR="007B3DB2" w:rsidRPr="0063248C" w14:paraId="6B5C69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63066C" w14:textId="77777777" w:rsidR="007B3DB2" w:rsidRPr="0063248C" w:rsidRDefault="00000000">
            <w:pPr>
              <w:spacing w:before="40" w:after="40" w:line="240" w:lineRule="exact"/>
              <w:rPr>
                <w:rFonts w:cs="宋体"/>
                <w:sz w:val="18"/>
                <w:szCs w:val="18"/>
              </w:rPr>
            </w:pPr>
            <w:r w:rsidRPr="0063248C">
              <w:rPr>
                <w:rFonts w:cs="宋体"/>
                <w:sz w:val="18"/>
                <w:szCs w:val="18"/>
              </w:rPr>
              <w:t>1</w:t>
            </w:r>
            <w:r w:rsidRPr="0063248C">
              <w:rPr>
                <w:rFonts w:cs="宋体"/>
                <w:sz w:val="18"/>
                <w:szCs w:val="18"/>
              </w:rPr>
              <w:t>至</w:t>
            </w:r>
            <w:r w:rsidRPr="0063248C">
              <w:rPr>
                <w:rFonts w:cs="宋体"/>
                <w:sz w:val="18"/>
                <w:szCs w:val="18"/>
              </w:rPr>
              <w:t>2</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49FA2457" w14:textId="77777777" w:rsidR="007B3DB2" w:rsidRPr="0063248C" w:rsidRDefault="00000000">
            <w:pPr>
              <w:spacing w:line="240" w:lineRule="exact"/>
              <w:jc w:val="right"/>
              <w:rPr>
                <w:rFonts w:cs="宋体"/>
                <w:sz w:val="18"/>
                <w:szCs w:val="18"/>
              </w:rPr>
            </w:pPr>
            <w:r w:rsidRPr="0063248C">
              <w:rPr>
                <w:rFonts w:cs="宋体"/>
                <w:sz w:val="18"/>
                <w:szCs w:val="18"/>
              </w:rPr>
              <w:t>249,223,882.79</w:t>
            </w:r>
          </w:p>
        </w:tc>
        <w:tc>
          <w:tcPr>
            <w:tcW w:w="3213" w:type="dxa"/>
            <w:tcBorders>
              <w:top w:val="single" w:sz="2" w:space="0" w:color="auto"/>
              <w:left w:val="single" w:sz="2" w:space="0" w:color="auto"/>
              <w:bottom w:val="single" w:sz="2" w:space="0" w:color="auto"/>
              <w:right w:val="single" w:sz="2" w:space="0" w:color="auto"/>
            </w:tcBorders>
            <w:vAlign w:val="center"/>
          </w:tcPr>
          <w:p w14:paraId="1C5105E8" w14:textId="77777777" w:rsidR="007B3DB2" w:rsidRPr="0063248C" w:rsidRDefault="00000000">
            <w:pPr>
              <w:spacing w:line="240" w:lineRule="exact"/>
              <w:jc w:val="right"/>
              <w:rPr>
                <w:rFonts w:cs="宋体"/>
                <w:sz w:val="18"/>
                <w:szCs w:val="18"/>
              </w:rPr>
            </w:pPr>
            <w:r w:rsidRPr="0063248C">
              <w:rPr>
                <w:rFonts w:cs="宋体"/>
                <w:sz w:val="18"/>
                <w:szCs w:val="18"/>
              </w:rPr>
              <w:t>259,521,703.76</w:t>
            </w:r>
          </w:p>
        </w:tc>
      </w:tr>
      <w:tr w:rsidR="007B3DB2" w:rsidRPr="0063248C" w14:paraId="1D2A06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39D447" w14:textId="77777777" w:rsidR="007B3DB2" w:rsidRPr="0063248C" w:rsidRDefault="00000000">
            <w:pPr>
              <w:spacing w:before="40" w:after="40" w:line="240" w:lineRule="exact"/>
              <w:rPr>
                <w:rFonts w:cs="宋体"/>
                <w:sz w:val="18"/>
                <w:szCs w:val="18"/>
              </w:rPr>
            </w:pPr>
            <w:r w:rsidRPr="0063248C">
              <w:rPr>
                <w:rFonts w:cs="宋体"/>
                <w:sz w:val="18"/>
                <w:szCs w:val="18"/>
              </w:rPr>
              <w:t>2</w:t>
            </w:r>
            <w:r w:rsidRPr="0063248C">
              <w:rPr>
                <w:rFonts w:cs="宋体"/>
                <w:sz w:val="18"/>
                <w:szCs w:val="18"/>
              </w:rPr>
              <w:t>至</w:t>
            </w:r>
            <w:r w:rsidRPr="0063248C">
              <w:rPr>
                <w:rFonts w:cs="宋体"/>
                <w:sz w:val="18"/>
                <w:szCs w:val="18"/>
              </w:rPr>
              <w:t>3</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6C91981C" w14:textId="77777777" w:rsidR="007B3DB2" w:rsidRPr="0063248C" w:rsidRDefault="00000000">
            <w:pPr>
              <w:spacing w:line="240" w:lineRule="exact"/>
              <w:jc w:val="right"/>
              <w:rPr>
                <w:rFonts w:cs="宋体"/>
                <w:sz w:val="18"/>
                <w:szCs w:val="18"/>
              </w:rPr>
            </w:pPr>
            <w:r w:rsidRPr="0063248C">
              <w:rPr>
                <w:rFonts w:cs="宋体"/>
                <w:sz w:val="18"/>
                <w:szCs w:val="18"/>
              </w:rPr>
              <w:t>165,754,136.47</w:t>
            </w:r>
          </w:p>
        </w:tc>
        <w:tc>
          <w:tcPr>
            <w:tcW w:w="3213" w:type="dxa"/>
            <w:tcBorders>
              <w:top w:val="single" w:sz="2" w:space="0" w:color="auto"/>
              <w:left w:val="single" w:sz="2" w:space="0" w:color="auto"/>
              <w:bottom w:val="single" w:sz="2" w:space="0" w:color="auto"/>
              <w:right w:val="single" w:sz="2" w:space="0" w:color="auto"/>
            </w:tcBorders>
            <w:vAlign w:val="center"/>
          </w:tcPr>
          <w:p w14:paraId="28854EBA" w14:textId="77777777" w:rsidR="007B3DB2" w:rsidRPr="0063248C" w:rsidRDefault="00000000">
            <w:pPr>
              <w:spacing w:line="240" w:lineRule="exact"/>
              <w:jc w:val="right"/>
              <w:rPr>
                <w:rFonts w:cs="宋体"/>
                <w:sz w:val="18"/>
                <w:szCs w:val="18"/>
              </w:rPr>
            </w:pPr>
            <w:r w:rsidRPr="0063248C">
              <w:rPr>
                <w:rFonts w:cs="宋体"/>
                <w:sz w:val="18"/>
                <w:szCs w:val="18"/>
              </w:rPr>
              <w:t>247,030,724.79</w:t>
            </w:r>
          </w:p>
        </w:tc>
      </w:tr>
      <w:tr w:rsidR="007B3DB2" w:rsidRPr="0063248C" w14:paraId="3A1C0E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451055" w14:textId="77777777" w:rsidR="007B3DB2" w:rsidRPr="0063248C" w:rsidRDefault="00000000">
            <w:pPr>
              <w:spacing w:before="40" w:after="40" w:line="240" w:lineRule="exact"/>
              <w:rPr>
                <w:rFonts w:cs="宋体"/>
                <w:sz w:val="18"/>
                <w:szCs w:val="18"/>
              </w:rPr>
            </w:pPr>
            <w:r w:rsidRPr="0063248C">
              <w:rPr>
                <w:rFonts w:cs="宋体"/>
                <w:sz w:val="18"/>
                <w:szCs w:val="18"/>
              </w:rPr>
              <w:t>3</w:t>
            </w:r>
            <w:r w:rsidRPr="0063248C">
              <w:rPr>
                <w:rFonts w:cs="宋体"/>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24908870" w14:textId="77777777" w:rsidR="007B3DB2" w:rsidRPr="0063248C" w:rsidRDefault="00000000">
            <w:pPr>
              <w:spacing w:line="240" w:lineRule="exact"/>
              <w:jc w:val="right"/>
              <w:rPr>
                <w:rFonts w:cs="宋体"/>
                <w:sz w:val="18"/>
                <w:szCs w:val="18"/>
              </w:rPr>
            </w:pPr>
            <w:r w:rsidRPr="0063248C">
              <w:rPr>
                <w:rFonts w:cs="宋体"/>
                <w:sz w:val="18"/>
                <w:szCs w:val="18"/>
              </w:rPr>
              <w:t>272,592,746.42</w:t>
            </w:r>
          </w:p>
        </w:tc>
        <w:tc>
          <w:tcPr>
            <w:tcW w:w="3213" w:type="dxa"/>
            <w:tcBorders>
              <w:top w:val="single" w:sz="2" w:space="0" w:color="auto"/>
              <w:left w:val="single" w:sz="2" w:space="0" w:color="auto"/>
              <w:bottom w:val="single" w:sz="2" w:space="0" w:color="auto"/>
              <w:right w:val="single" w:sz="2" w:space="0" w:color="auto"/>
            </w:tcBorders>
            <w:vAlign w:val="center"/>
          </w:tcPr>
          <w:p w14:paraId="57CEF865" w14:textId="77777777" w:rsidR="007B3DB2" w:rsidRPr="0063248C" w:rsidRDefault="00000000">
            <w:pPr>
              <w:spacing w:line="240" w:lineRule="exact"/>
              <w:jc w:val="right"/>
              <w:rPr>
                <w:rFonts w:cs="宋体"/>
                <w:sz w:val="18"/>
                <w:szCs w:val="18"/>
              </w:rPr>
            </w:pPr>
            <w:r w:rsidRPr="0063248C">
              <w:rPr>
                <w:rFonts w:cs="宋体"/>
                <w:sz w:val="18"/>
                <w:szCs w:val="18"/>
              </w:rPr>
              <w:t>187,458,804.52</w:t>
            </w:r>
          </w:p>
        </w:tc>
      </w:tr>
      <w:tr w:rsidR="007B3DB2" w:rsidRPr="0063248C" w14:paraId="31DA98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526254"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3</w:t>
            </w:r>
            <w:r w:rsidRPr="0063248C">
              <w:rPr>
                <w:rFonts w:cs="宋体"/>
                <w:sz w:val="18"/>
                <w:szCs w:val="18"/>
              </w:rPr>
              <w:t>至</w:t>
            </w:r>
            <w:r w:rsidRPr="0063248C">
              <w:rPr>
                <w:rFonts w:cs="宋体"/>
                <w:sz w:val="18"/>
                <w:szCs w:val="18"/>
              </w:rPr>
              <w:t>4</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3093172B" w14:textId="77777777" w:rsidR="007B3DB2" w:rsidRPr="0063248C" w:rsidRDefault="00000000">
            <w:pPr>
              <w:spacing w:line="240" w:lineRule="exact"/>
              <w:jc w:val="right"/>
              <w:rPr>
                <w:rFonts w:cs="宋体"/>
                <w:sz w:val="18"/>
                <w:szCs w:val="18"/>
              </w:rPr>
            </w:pPr>
            <w:r w:rsidRPr="0063248C">
              <w:rPr>
                <w:rFonts w:cs="宋体"/>
                <w:sz w:val="18"/>
                <w:szCs w:val="18"/>
              </w:rPr>
              <w:t>112,409,447.90</w:t>
            </w:r>
          </w:p>
        </w:tc>
        <w:tc>
          <w:tcPr>
            <w:tcW w:w="3213" w:type="dxa"/>
            <w:tcBorders>
              <w:top w:val="single" w:sz="2" w:space="0" w:color="auto"/>
              <w:left w:val="single" w:sz="2" w:space="0" w:color="auto"/>
              <w:bottom w:val="single" w:sz="2" w:space="0" w:color="auto"/>
              <w:right w:val="single" w:sz="2" w:space="0" w:color="auto"/>
            </w:tcBorders>
            <w:vAlign w:val="center"/>
          </w:tcPr>
          <w:p w14:paraId="15ECA09E" w14:textId="77777777" w:rsidR="007B3DB2" w:rsidRPr="0063248C" w:rsidRDefault="00000000">
            <w:pPr>
              <w:spacing w:line="240" w:lineRule="exact"/>
              <w:jc w:val="right"/>
              <w:rPr>
                <w:rFonts w:cs="宋体"/>
                <w:sz w:val="18"/>
                <w:szCs w:val="18"/>
              </w:rPr>
            </w:pPr>
            <w:r w:rsidRPr="0063248C">
              <w:rPr>
                <w:rFonts w:cs="宋体"/>
                <w:sz w:val="18"/>
                <w:szCs w:val="18"/>
              </w:rPr>
              <w:t>159,103,406.00</w:t>
            </w:r>
          </w:p>
        </w:tc>
      </w:tr>
      <w:tr w:rsidR="007B3DB2" w:rsidRPr="0063248C" w14:paraId="7EBC55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1E1A0D"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4</w:t>
            </w:r>
            <w:r w:rsidRPr="0063248C">
              <w:rPr>
                <w:rFonts w:cs="宋体"/>
                <w:sz w:val="18"/>
                <w:szCs w:val="18"/>
              </w:rPr>
              <w:t>至</w:t>
            </w:r>
            <w:r w:rsidRPr="0063248C">
              <w:rPr>
                <w:rFonts w:cs="宋体"/>
                <w:sz w:val="18"/>
                <w:szCs w:val="18"/>
              </w:rPr>
              <w:t>5</w:t>
            </w:r>
            <w:r w:rsidRPr="0063248C">
              <w:rPr>
                <w:rFonts w:cs="宋体"/>
                <w:sz w:val="18"/>
                <w:szCs w:val="18"/>
              </w:rPr>
              <w:t>年</w:t>
            </w:r>
          </w:p>
        </w:tc>
        <w:tc>
          <w:tcPr>
            <w:tcW w:w="3213" w:type="dxa"/>
            <w:tcBorders>
              <w:top w:val="single" w:sz="2" w:space="0" w:color="auto"/>
              <w:left w:val="single" w:sz="2" w:space="0" w:color="auto"/>
              <w:bottom w:val="single" w:sz="2" w:space="0" w:color="auto"/>
              <w:right w:val="single" w:sz="2" w:space="0" w:color="auto"/>
            </w:tcBorders>
            <w:vAlign w:val="center"/>
          </w:tcPr>
          <w:p w14:paraId="5FDA3C16" w14:textId="77777777" w:rsidR="007B3DB2" w:rsidRPr="0063248C" w:rsidRDefault="00000000">
            <w:pPr>
              <w:spacing w:line="240" w:lineRule="exact"/>
              <w:jc w:val="right"/>
              <w:rPr>
                <w:rFonts w:cs="宋体"/>
                <w:sz w:val="18"/>
                <w:szCs w:val="18"/>
              </w:rPr>
            </w:pPr>
            <w:r w:rsidRPr="0063248C">
              <w:rPr>
                <w:rFonts w:cs="宋体"/>
                <w:sz w:val="18"/>
                <w:szCs w:val="18"/>
              </w:rPr>
              <w:t>159,758,672.50</w:t>
            </w:r>
          </w:p>
        </w:tc>
        <w:tc>
          <w:tcPr>
            <w:tcW w:w="3213" w:type="dxa"/>
            <w:tcBorders>
              <w:top w:val="single" w:sz="2" w:space="0" w:color="auto"/>
              <w:left w:val="single" w:sz="2" w:space="0" w:color="auto"/>
              <w:bottom w:val="single" w:sz="2" w:space="0" w:color="auto"/>
              <w:right w:val="single" w:sz="2" w:space="0" w:color="auto"/>
            </w:tcBorders>
            <w:vAlign w:val="center"/>
          </w:tcPr>
          <w:p w14:paraId="52401040" w14:textId="77777777" w:rsidR="007B3DB2" w:rsidRPr="0063248C" w:rsidRDefault="00000000">
            <w:pPr>
              <w:spacing w:line="240" w:lineRule="exact"/>
              <w:jc w:val="right"/>
              <w:rPr>
                <w:rFonts w:cs="宋体"/>
                <w:sz w:val="18"/>
                <w:szCs w:val="18"/>
              </w:rPr>
            </w:pPr>
            <w:r w:rsidRPr="0063248C">
              <w:rPr>
                <w:rFonts w:cs="宋体"/>
                <w:sz w:val="18"/>
                <w:szCs w:val="18"/>
              </w:rPr>
              <w:t>27,181,912.50</w:t>
            </w:r>
          </w:p>
        </w:tc>
      </w:tr>
      <w:tr w:rsidR="007B3DB2" w:rsidRPr="0063248C" w14:paraId="2C61C9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2A9DB9"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lastRenderedPageBreak/>
              <w:t>5</w:t>
            </w:r>
            <w:r w:rsidRPr="0063248C">
              <w:rPr>
                <w:rFonts w:cs="宋体"/>
                <w:sz w:val="18"/>
                <w:szCs w:val="18"/>
              </w:rPr>
              <w:t>年以上</w:t>
            </w:r>
          </w:p>
        </w:tc>
        <w:tc>
          <w:tcPr>
            <w:tcW w:w="3213" w:type="dxa"/>
            <w:tcBorders>
              <w:top w:val="single" w:sz="2" w:space="0" w:color="auto"/>
              <w:left w:val="single" w:sz="2" w:space="0" w:color="auto"/>
              <w:bottom w:val="single" w:sz="2" w:space="0" w:color="auto"/>
              <w:right w:val="single" w:sz="2" w:space="0" w:color="auto"/>
            </w:tcBorders>
            <w:vAlign w:val="center"/>
          </w:tcPr>
          <w:p w14:paraId="6FF18F28" w14:textId="77777777" w:rsidR="007B3DB2" w:rsidRPr="0063248C" w:rsidRDefault="00000000">
            <w:pPr>
              <w:spacing w:line="240" w:lineRule="exact"/>
              <w:jc w:val="right"/>
              <w:rPr>
                <w:rFonts w:cs="宋体"/>
                <w:sz w:val="18"/>
                <w:szCs w:val="18"/>
              </w:rPr>
            </w:pPr>
            <w:r w:rsidRPr="0063248C">
              <w:rPr>
                <w:rFonts w:cs="宋体"/>
                <w:sz w:val="18"/>
                <w:szCs w:val="18"/>
              </w:rPr>
              <w:t>424,626.02</w:t>
            </w:r>
          </w:p>
        </w:tc>
        <w:tc>
          <w:tcPr>
            <w:tcW w:w="3213" w:type="dxa"/>
            <w:tcBorders>
              <w:top w:val="single" w:sz="2" w:space="0" w:color="auto"/>
              <w:left w:val="single" w:sz="2" w:space="0" w:color="auto"/>
              <w:bottom w:val="single" w:sz="2" w:space="0" w:color="auto"/>
              <w:right w:val="single" w:sz="2" w:space="0" w:color="auto"/>
            </w:tcBorders>
            <w:vAlign w:val="center"/>
          </w:tcPr>
          <w:p w14:paraId="210DE047" w14:textId="77777777" w:rsidR="007B3DB2" w:rsidRPr="0063248C" w:rsidRDefault="00000000">
            <w:pPr>
              <w:spacing w:line="240" w:lineRule="exact"/>
              <w:jc w:val="right"/>
              <w:rPr>
                <w:rFonts w:cs="宋体"/>
                <w:sz w:val="18"/>
                <w:szCs w:val="18"/>
              </w:rPr>
            </w:pPr>
            <w:r w:rsidRPr="0063248C">
              <w:rPr>
                <w:rFonts w:cs="宋体"/>
                <w:sz w:val="18"/>
                <w:szCs w:val="18"/>
              </w:rPr>
              <w:t>1,173,486.02</w:t>
            </w:r>
          </w:p>
        </w:tc>
      </w:tr>
      <w:tr w:rsidR="007B3DB2" w:rsidRPr="0063248C" w14:paraId="66C199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7284B3"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A59A8CF" w14:textId="77777777" w:rsidR="007B3DB2" w:rsidRPr="0063248C" w:rsidRDefault="00000000">
            <w:pPr>
              <w:spacing w:line="240" w:lineRule="exact"/>
              <w:jc w:val="right"/>
              <w:rPr>
                <w:rFonts w:cs="宋体"/>
                <w:sz w:val="18"/>
                <w:szCs w:val="18"/>
              </w:rPr>
            </w:pPr>
            <w:r w:rsidRPr="0063248C">
              <w:rPr>
                <w:rFonts w:cs="宋体"/>
                <w:sz w:val="18"/>
                <w:szCs w:val="18"/>
              </w:rPr>
              <w:t>1,051,595,511.91</w:t>
            </w:r>
          </w:p>
        </w:tc>
        <w:tc>
          <w:tcPr>
            <w:tcW w:w="3213" w:type="dxa"/>
            <w:tcBorders>
              <w:top w:val="single" w:sz="2" w:space="0" w:color="auto"/>
              <w:left w:val="single" w:sz="2" w:space="0" w:color="auto"/>
              <w:bottom w:val="single" w:sz="2" w:space="0" w:color="auto"/>
              <w:right w:val="single" w:sz="2" w:space="0" w:color="auto"/>
            </w:tcBorders>
            <w:vAlign w:val="center"/>
          </w:tcPr>
          <w:p w14:paraId="6CADE89C" w14:textId="77777777" w:rsidR="007B3DB2" w:rsidRPr="0063248C" w:rsidRDefault="00000000">
            <w:pPr>
              <w:spacing w:line="240" w:lineRule="exact"/>
              <w:jc w:val="right"/>
              <w:rPr>
                <w:rFonts w:cs="宋体"/>
                <w:sz w:val="18"/>
                <w:szCs w:val="18"/>
              </w:rPr>
            </w:pPr>
            <w:r w:rsidRPr="0063248C">
              <w:rPr>
                <w:rFonts w:cs="宋体"/>
                <w:sz w:val="18"/>
                <w:szCs w:val="18"/>
              </w:rPr>
              <w:t>1,155,283,135.39</w:t>
            </w:r>
          </w:p>
        </w:tc>
      </w:tr>
    </w:tbl>
    <w:p w14:paraId="2C2E0581" w14:textId="77777777" w:rsidR="007B3DB2" w:rsidRPr="0063248C" w:rsidRDefault="00000000">
      <w:pPr>
        <w:keepNext/>
        <w:keepLines/>
        <w:spacing w:before="300" w:after="300" w:line="280" w:lineRule="exact"/>
        <w:outlineLvl w:val="4"/>
        <w:rPr>
          <w:rFonts w:cs="宋体"/>
          <w:b/>
          <w:bCs/>
          <w:sz w:val="18"/>
          <w:szCs w:val="18"/>
        </w:rPr>
      </w:pPr>
      <w:bookmarkStart w:id="543" w:name="_Toc989437"/>
      <w:r w:rsidRPr="0063248C">
        <w:rPr>
          <w:rFonts w:cs="宋体"/>
          <w:b/>
          <w:bCs/>
          <w:sz w:val="18"/>
          <w:szCs w:val="18"/>
        </w:rPr>
        <w:t>3</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按坏账计提方法分类披露</w:t>
      </w:r>
      <w:bookmarkEnd w:id="543"/>
    </w:p>
    <w:p w14:paraId="0D4ECE95" w14:textId="77777777" w:rsidR="007B3DB2" w:rsidRPr="0063248C" w:rsidRDefault="00000000">
      <w:pPr>
        <w:spacing w:before="100" w:after="100" w:line="240" w:lineRule="exact"/>
        <w:rPr>
          <w:rFonts w:cs="宋体"/>
          <w:sz w:val="18"/>
          <w:szCs w:val="18"/>
        </w:rPr>
      </w:pPr>
      <w:r w:rsidRPr="0063248C">
        <w:rPr>
          <w:rFonts w:cs="宋体"/>
          <w:sz w:val="18"/>
          <w:szCs w:val="18"/>
        </w:rPr>
        <w:t>按预期信用损失一般模型计提坏账准备：</w:t>
      </w:r>
    </w:p>
    <w:p w14:paraId="2357E733"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24EF6A40"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E4D446C"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46EC93" w14:textId="77777777" w:rsidR="007B3DB2" w:rsidRPr="0063248C" w:rsidRDefault="00000000">
            <w:pPr>
              <w:spacing w:before="40" w:after="40" w:line="240" w:lineRule="exact"/>
              <w:jc w:val="center"/>
              <w:rPr>
                <w:rFonts w:cs="宋体"/>
                <w:sz w:val="18"/>
                <w:szCs w:val="18"/>
              </w:rPr>
            </w:pPr>
            <w:r w:rsidRPr="0063248C">
              <w:rPr>
                <w:rFonts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CEEC1A8" w14:textId="77777777" w:rsidR="007B3DB2" w:rsidRPr="0063248C" w:rsidRDefault="00000000">
            <w:pPr>
              <w:spacing w:before="40" w:after="40" w:line="240" w:lineRule="exact"/>
              <w:jc w:val="center"/>
              <w:rPr>
                <w:rFonts w:cs="宋体"/>
                <w:sz w:val="18"/>
                <w:szCs w:val="18"/>
              </w:rPr>
            </w:pPr>
            <w:r w:rsidRPr="0063248C">
              <w:rPr>
                <w:rFonts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E88266B" w14:textId="77777777" w:rsidR="007B3DB2" w:rsidRPr="0063248C" w:rsidRDefault="00000000">
            <w:pPr>
              <w:spacing w:before="40" w:after="40" w:line="240" w:lineRule="exact"/>
              <w:jc w:val="center"/>
              <w:rPr>
                <w:rFonts w:cs="宋体"/>
                <w:sz w:val="18"/>
                <w:szCs w:val="18"/>
              </w:rPr>
            </w:pPr>
            <w:r w:rsidRPr="0063248C">
              <w:rPr>
                <w:rFonts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836AF4A" w14:textId="77777777" w:rsidR="007B3DB2" w:rsidRPr="0063248C" w:rsidRDefault="00000000">
            <w:pPr>
              <w:spacing w:before="40" w:after="40" w:line="240" w:lineRule="exact"/>
              <w:jc w:val="center"/>
              <w:rPr>
                <w:rFonts w:cs="宋体"/>
                <w:sz w:val="18"/>
                <w:szCs w:val="18"/>
              </w:rPr>
            </w:pPr>
            <w:r w:rsidRPr="0063248C">
              <w:rPr>
                <w:rFonts w:cs="宋体"/>
                <w:sz w:val="18"/>
                <w:szCs w:val="18"/>
              </w:rPr>
              <w:t>合计</w:t>
            </w:r>
          </w:p>
        </w:tc>
      </w:tr>
      <w:tr w:rsidR="007B3DB2" w:rsidRPr="0063248C" w14:paraId="45CB00CC"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FCBCDDA"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8A4EB4E" w14:textId="77777777" w:rsidR="007B3DB2" w:rsidRPr="0063248C" w:rsidRDefault="00000000">
            <w:pPr>
              <w:spacing w:before="40" w:after="40" w:line="240" w:lineRule="exact"/>
              <w:jc w:val="center"/>
              <w:rPr>
                <w:rFonts w:cs="宋体"/>
                <w:sz w:val="18"/>
                <w:szCs w:val="18"/>
              </w:rPr>
            </w:pPr>
            <w:r w:rsidRPr="0063248C">
              <w:rPr>
                <w:rFonts w:cs="宋体"/>
                <w:sz w:val="18"/>
                <w:szCs w:val="18"/>
              </w:rPr>
              <w:t>未来</w:t>
            </w:r>
            <w:r w:rsidRPr="0063248C">
              <w:rPr>
                <w:rFonts w:cs="宋体"/>
                <w:sz w:val="18"/>
                <w:szCs w:val="18"/>
              </w:rPr>
              <w:t>12</w:t>
            </w:r>
            <w:r w:rsidRPr="0063248C">
              <w:rPr>
                <w:rFonts w:cs="宋体"/>
                <w:sz w:val="18"/>
                <w:szCs w:val="18"/>
              </w:rPr>
              <w:t>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9E3D147" w14:textId="77777777" w:rsidR="007B3DB2" w:rsidRPr="0063248C" w:rsidRDefault="00000000">
            <w:pPr>
              <w:spacing w:before="40" w:after="40" w:line="240" w:lineRule="exact"/>
              <w:jc w:val="center"/>
              <w:rPr>
                <w:rFonts w:cs="宋体"/>
                <w:sz w:val="18"/>
                <w:szCs w:val="18"/>
              </w:rPr>
            </w:pPr>
            <w:r w:rsidRPr="0063248C">
              <w:rPr>
                <w:rFonts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3E03E47" w14:textId="77777777" w:rsidR="007B3DB2" w:rsidRPr="0063248C" w:rsidRDefault="00000000">
            <w:pPr>
              <w:spacing w:before="40" w:after="40" w:line="240" w:lineRule="exact"/>
              <w:jc w:val="center"/>
              <w:rPr>
                <w:rFonts w:cs="宋体"/>
                <w:sz w:val="18"/>
                <w:szCs w:val="18"/>
              </w:rPr>
            </w:pPr>
            <w:r w:rsidRPr="0063248C">
              <w:rPr>
                <w:rFonts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C1E715" w14:textId="77777777" w:rsidR="007B3DB2" w:rsidRPr="0063248C" w:rsidRDefault="007B3DB2"/>
        </w:tc>
      </w:tr>
      <w:tr w:rsidR="007B3DB2" w:rsidRPr="0063248C" w14:paraId="11A7FBD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7EA68BB" w14:textId="77777777" w:rsidR="007B3DB2" w:rsidRPr="0063248C" w:rsidRDefault="00000000">
            <w:pPr>
              <w:spacing w:before="40" w:after="40"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w:t>
            </w:r>
            <w:r w:rsidRPr="0063248C">
              <w:rPr>
                <w:rFonts w:cs="宋体"/>
                <w:sz w:val="18"/>
                <w:szCs w:val="18"/>
              </w:rPr>
              <w:t>月</w:t>
            </w:r>
            <w:r w:rsidRPr="0063248C">
              <w:rPr>
                <w:rFonts w:cs="宋体"/>
                <w:sz w:val="18"/>
                <w:szCs w:val="18"/>
              </w:rPr>
              <w:t>1</w:t>
            </w:r>
            <w:r w:rsidRPr="0063248C">
              <w:rPr>
                <w:rFonts w:cs="宋体"/>
                <w:sz w:val="18"/>
                <w:szCs w:val="18"/>
              </w:rPr>
              <w:t>日余额</w:t>
            </w:r>
          </w:p>
        </w:tc>
        <w:tc>
          <w:tcPr>
            <w:tcW w:w="1928" w:type="dxa"/>
            <w:tcBorders>
              <w:top w:val="single" w:sz="2" w:space="0" w:color="auto"/>
              <w:left w:val="single" w:sz="2" w:space="0" w:color="auto"/>
              <w:bottom w:val="single" w:sz="2" w:space="0" w:color="auto"/>
              <w:right w:val="single" w:sz="2" w:space="0" w:color="auto"/>
            </w:tcBorders>
            <w:vAlign w:val="center"/>
          </w:tcPr>
          <w:p w14:paraId="16C08083" w14:textId="77777777" w:rsidR="007B3DB2" w:rsidRPr="0063248C" w:rsidRDefault="00000000">
            <w:pPr>
              <w:spacing w:line="240" w:lineRule="exact"/>
              <w:jc w:val="right"/>
              <w:rPr>
                <w:rFonts w:cs="宋体"/>
                <w:sz w:val="18"/>
                <w:szCs w:val="18"/>
              </w:rPr>
            </w:pPr>
            <w:r w:rsidRPr="0063248C">
              <w:rPr>
                <w:rFonts w:cs="宋体"/>
                <w:sz w:val="18"/>
                <w:szCs w:val="18"/>
              </w:rPr>
              <w:t>7,671,140.11</w:t>
            </w:r>
          </w:p>
        </w:tc>
        <w:tc>
          <w:tcPr>
            <w:tcW w:w="1928" w:type="dxa"/>
            <w:tcBorders>
              <w:top w:val="single" w:sz="2" w:space="0" w:color="auto"/>
              <w:left w:val="single" w:sz="2" w:space="0" w:color="auto"/>
              <w:bottom w:val="single" w:sz="2" w:space="0" w:color="auto"/>
              <w:right w:val="single" w:sz="2" w:space="0" w:color="auto"/>
            </w:tcBorders>
            <w:vAlign w:val="center"/>
          </w:tcPr>
          <w:p w14:paraId="720EEC5E"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18EB6A1" w14:textId="77777777" w:rsidR="007B3DB2" w:rsidRPr="0063248C" w:rsidRDefault="00000000">
            <w:pPr>
              <w:spacing w:line="240" w:lineRule="exact"/>
              <w:jc w:val="right"/>
              <w:rPr>
                <w:rFonts w:cs="宋体"/>
                <w:sz w:val="18"/>
                <w:szCs w:val="18"/>
              </w:rPr>
            </w:pPr>
            <w:r w:rsidRPr="0063248C">
              <w:rPr>
                <w:rFonts w:cs="宋体"/>
                <w:sz w:val="18"/>
                <w:szCs w:val="18"/>
              </w:rPr>
              <w:t>632,244,311.18</w:t>
            </w:r>
          </w:p>
        </w:tc>
        <w:tc>
          <w:tcPr>
            <w:tcW w:w="1928" w:type="dxa"/>
            <w:tcBorders>
              <w:top w:val="single" w:sz="2" w:space="0" w:color="auto"/>
              <w:left w:val="single" w:sz="2" w:space="0" w:color="auto"/>
              <w:bottom w:val="single" w:sz="2" w:space="0" w:color="auto"/>
              <w:right w:val="single" w:sz="2" w:space="0" w:color="auto"/>
            </w:tcBorders>
            <w:vAlign w:val="center"/>
          </w:tcPr>
          <w:p w14:paraId="1B01084C" w14:textId="77777777" w:rsidR="007B3DB2" w:rsidRPr="0063248C" w:rsidRDefault="00000000">
            <w:pPr>
              <w:spacing w:line="240" w:lineRule="exact"/>
              <w:jc w:val="right"/>
              <w:rPr>
                <w:rFonts w:cs="宋体"/>
                <w:sz w:val="18"/>
                <w:szCs w:val="18"/>
              </w:rPr>
            </w:pPr>
            <w:r w:rsidRPr="0063248C">
              <w:rPr>
                <w:rFonts w:cs="宋体"/>
                <w:sz w:val="18"/>
                <w:szCs w:val="18"/>
              </w:rPr>
              <w:t>639,915,451.29</w:t>
            </w:r>
          </w:p>
        </w:tc>
      </w:tr>
      <w:tr w:rsidR="007B3DB2" w:rsidRPr="0063248C" w14:paraId="3B4D950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762639" w14:textId="77777777" w:rsidR="007B3DB2" w:rsidRPr="0063248C" w:rsidRDefault="00000000">
            <w:pPr>
              <w:spacing w:before="40" w:after="40"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1</w:t>
            </w:r>
            <w:r w:rsidRPr="0063248C">
              <w:rPr>
                <w:rFonts w:cs="宋体"/>
                <w:sz w:val="18"/>
                <w:szCs w:val="18"/>
              </w:rPr>
              <w:t>月</w:t>
            </w:r>
            <w:r w:rsidRPr="0063248C">
              <w:rPr>
                <w:rFonts w:cs="宋体"/>
                <w:sz w:val="18"/>
                <w:szCs w:val="18"/>
              </w:rPr>
              <w:t>1</w:t>
            </w:r>
            <w:r w:rsidRPr="0063248C">
              <w:rPr>
                <w:rFonts w:cs="宋体"/>
                <w:sz w:val="18"/>
                <w:szCs w:val="18"/>
              </w:rPr>
              <w:t>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3A549D9"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0EEE76"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DEFC9D"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F8DBB0C" w14:textId="77777777" w:rsidR="007B3DB2" w:rsidRPr="0063248C" w:rsidRDefault="007B3DB2"/>
        </w:tc>
      </w:tr>
      <w:tr w:rsidR="007B3DB2" w:rsidRPr="0063248C" w14:paraId="0397C63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A5BEE76" w14:textId="77777777" w:rsidR="007B3DB2" w:rsidRPr="0063248C" w:rsidRDefault="00000000">
            <w:pPr>
              <w:spacing w:before="40" w:after="40" w:line="240" w:lineRule="exact"/>
              <w:rPr>
                <w:rFonts w:cs="宋体"/>
                <w:sz w:val="18"/>
                <w:szCs w:val="18"/>
              </w:rPr>
            </w:pPr>
            <w:r w:rsidRPr="0063248C">
              <w:rPr>
                <w:rFonts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14:paraId="23D7FD6F" w14:textId="77777777" w:rsidR="007B3DB2" w:rsidRPr="0063248C" w:rsidRDefault="00000000">
            <w:pPr>
              <w:spacing w:line="240" w:lineRule="exact"/>
              <w:jc w:val="right"/>
              <w:rPr>
                <w:rFonts w:cs="宋体"/>
                <w:sz w:val="18"/>
                <w:szCs w:val="18"/>
              </w:rPr>
            </w:pPr>
            <w:r w:rsidRPr="0063248C">
              <w:rPr>
                <w:rFonts w:cs="宋体"/>
                <w:sz w:val="18"/>
                <w:szCs w:val="18"/>
              </w:rPr>
              <w:t>4,231,261.85</w:t>
            </w:r>
          </w:p>
        </w:tc>
        <w:tc>
          <w:tcPr>
            <w:tcW w:w="1928" w:type="dxa"/>
            <w:tcBorders>
              <w:top w:val="single" w:sz="2" w:space="0" w:color="auto"/>
              <w:left w:val="single" w:sz="2" w:space="0" w:color="auto"/>
              <w:bottom w:val="single" w:sz="2" w:space="0" w:color="auto"/>
              <w:right w:val="single" w:sz="2" w:space="0" w:color="auto"/>
            </w:tcBorders>
            <w:vAlign w:val="center"/>
          </w:tcPr>
          <w:p w14:paraId="302259A0"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0D521D9" w14:textId="77777777" w:rsidR="007B3DB2" w:rsidRPr="0063248C" w:rsidRDefault="00000000">
            <w:pPr>
              <w:spacing w:line="240" w:lineRule="exact"/>
              <w:jc w:val="right"/>
              <w:rPr>
                <w:rFonts w:cs="宋体"/>
                <w:sz w:val="18"/>
                <w:szCs w:val="18"/>
              </w:rPr>
            </w:pPr>
            <w:r w:rsidRPr="0063248C">
              <w:rPr>
                <w:rFonts w:cs="宋体"/>
                <w:sz w:val="18"/>
                <w:szCs w:val="18"/>
              </w:rPr>
              <w:t>-60,701,311.18</w:t>
            </w:r>
          </w:p>
        </w:tc>
        <w:tc>
          <w:tcPr>
            <w:tcW w:w="1928" w:type="dxa"/>
            <w:tcBorders>
              <w:top w:val="single" w:sz="2" w:space="0" w:color="auto"/>
              <w:left w:val="single" w:sz="2" w:space="0" w:color="auto"/>
              <w:bottom w:val="single" w:sz="2" w:space="0" w:color="auto"/>
              <w:right w:val="single" w:sz="2" w:space="0" w:color="auto"/>
            </w:tcBorders>
            <w:vAlign w:val="center"/>
          </w:tcPr>
          <w:p w14:paraId="7B8049AF" w14:textId="77777777" w:rsidR="007B3DB2" w:rsidRPr="0063248C" w:rsidRDefault="00000000">
            <w:pPr>
              <w:spacing w:line="240" w:lineRule="exact"/>
              <w:jc w:val="right"/>
              <w:rPr>
                <w:rFonts w:cs="宋体"/>
                <w:sz w:val="18"/>
                <w:szCs w:val="18"/>
              </w:rPr>
            </w:pPr>
            <w:r w:rsidRPr="0063248C">
              <w:rPr>
                <w:rFonts w:cs="宋体"/>
                <w:sz w:val="18"/>
                <w:szCs w:val="18"/>
              </w:rPr>
              <w:t>-56,470,049.33</w:t>
            </w:r>
          </w:p>
        </w:tc>
      </w:tr>
      <w:tr w:rsidR="007B3DB2" w:rsidRPr="0063248C" w14:paraId="3274CF3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9B3D4F" w14:textId="77777777" w:rsidR="007B3DB2" w:rsidRPr="0063248C" w:rsidRDefault="00000000">
            <w:pPr>
              <w:spacing w:before="40" w:after="40" w:line="240" w:lineRule="exact"/>
              <w:rPr>
                <w:rFonts w:cs="宋体"/>
                <w:sz w:val="18"/>
                <w:szCs w:val="18"/>
              </w:rPr>
            </w:pPr>
            <w:r w:rsidRPr="0063248C">
              <w:rPr>
                <w:rFonts w:cs="宋体"/>
                <w:sz w:val="18"/>
                <w:szCs w:val="18"/>
              </w:rPr>
              <w:t>2024</w:t>
            </w:r>
            <w:r w:rsidRPr="0063248C">
              <w:rPr>
                <w:rFonts w:cs="宋体"/>
                <w:sz w:val="18"/>
                <w:szCs w:val="18"/>
              </w:rPr>
              <w:t>年</w:t>
            </w:r>
            <w:r w:rsidRPr="0063248C">
              <w:rPr>
                <w:rFonts w:cs="宋体"/>
                <w:sz w:val="18"/>
                <w:szCs w:val="18"/>
              </w:rPr>
              <w:t>6</w:t>
            </w:r>
            <w:r w:rsidRPr="0063248C">
              <w:rPr>
                <w:rFonts w:cs="宋体"/>
                <w:sz w:val="18"/>
                <w:szCs w:val="18"/>
              </w:rPr>
              <w:t>月</w:t>
            </w:r>
            <w:r w:rsidRPr="0063248C">
              <w:rPr>
                <w:rFonts w:cs="宋体"/>
                <w:sz w:val="18"/>
                <w:szCs w:val="18"/>
              </w:rPr>
              <w:t>30</w:t>
            </w:r>
            <w:r w:rsidRPr="0063248C">
              <w:rPr>
                <w:rFonts w:cs="宋体"/>
                <w:sz w:val="18"/>
                <w:szCs w:val="18"/>
              </w:rPr>
              <w:t>日余额</w:t>
            </w:r>
          </w:p>
        </w:tc>
        <w:tc>
          <w:tcPr>
            <w:tcW w:w="1928" w:type="dxa"/>
            <w:tcBorders>
              <w:top w:val="single" w:sz="2" w:space="0" w:color="auto"/>
              <w:left w:val="single" w:sz="2" w:space="0" w:color="auto"/>
              <w:bottom w:val="single" w:sz="2" w:space="0" w:color="auto"/>
              <w:right w:val="single" w:sz="2" w:space="0" w:color="auto"/>
            </w:tcBorders>
            <w:vAlign w:val="center"/>
          </w:tcPr>
          <w:p w14:paraId="0E8BF50A" w14:textId="77777777" w:rsidR="007B3DB2" w:rsidRPr="0063248C" w:rsidRDefault="00000000">
            <w:pPr>
              <w:spacing w:line="240" w:lineRule="exact"/>
              <w:jc w:val="right"/>
              <w:rPr>
                <w:rFonts w:cs="宋体"/>
                <w:sz w:val="18"/>
                <w:szCs w:val="18"/>
              </w:rPr>
            </w:pPr>
            <w:r w:rsidRPr="0063248C">
              <w:rPr>
                <w:rFonts w:cs="宋体"/>
                <w:sz w:val="18"/>
                <w:szCs w:val="18"/>
              </w:rPr>
              <w:t>11,902,401.96</w:t>
            </w:r>
          </w:p>
        </w:tc>
        <w:tc>
          <w:tcPr>
            <w:tcW w:w="1928" w:type="dxa"/>
            <w:tcBorders>
              <w:top w:val="single" w:sz="2" w:space="0" w:color="auto"/>
              <w:left w:val="single" w:sz="2" w:space="0" w:color="auto"/>
              <w:bottom w:val="single" w:sz="2" w:space="0" w:color="auto"/>
              <w:right w:val="single" w:sz="2" w:space="0" w:color="auto"/>
            </w:tcBorders>
            <w:vAlign w:val="center"/>
          </w:tcPr>
          <w:p w14:paraId="2A44457E" w14:textId="77777777" w:rsidR="007B3DB2" w:rsidRPr="0063248C" w:rsidRDefault="007B3DB2">
            <w:pPr>
              <w:spacing w:line="240" w:lineRule="exact"/>
              <w:jc w:val="right"/>
              <w:rPr>
                <w:rFonts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82AC9D8" w14:textId="77777777" w:rsidR="007B3DB2" w:rsidRPr="0063248C" w:rsidRDefault="00000000">
            <w:pPr>
              <w:spacing w:line="240" w:lineRule="exact"/>
              <w:jc w:val="right"/>
              <w:rPr>
                <w:rFonts w:cs="宋体"/>
                <w:sz w:val="18"/>
                <w:szCs w:val="18"/>
              </w:rPr>
            </w:pPr>
            <w:r w:rsidRPr="0063248C">
              <w:rPr>
                <w:rFonts w:cs="宋体"/>
                <w:sz w:val="18"/>
                <w:szCs w:val="18"/>
              </w:rPr>
              <w:t>571,543,000.00</w:t>
            </w:r>
          </w:p>
        </w:tc>
        <w:tc>
          <w:tcPr>
            <w:tcW w:w="1928" w:type="dxa"/>
            <w:tcBorders>
              <w:top w:val="single" w:sz="2" w:space="0" w:color="auto"/>
              <w:left w:val="single" w:sz="2" w:space="0" w:color="auto"/>
              <w:bottom w:val="single" w:sz="2" w:space="0" w:color="auto"/>
              <w:right w:val="single" w:sz="2" w:space="0" w:color="auto"/>
            </w:tcBorders>
            <w:vAlign w:val="center"/>
          </w:tcPr>
          <w:p w14:paraId="3C8E197E" w14:textId="77777777" w:rsidR="007B3DB2" w:rsidRPr="0063248C" w:rsidRDefault="00000000">
            <w:pPr>
              <w:spacing w:line="240" w:lineRule="exact"/>
              <w:jc w:val="right"/>
              <w:rPr>
                <w:rFonts w:cs="宋体"/>
                <w:sz w:val="18"/>
                <w:szCs w:val="18"/>
              </w:rPr>
            </w:pPr>
            <w:r w:rsidRPr="0063248C">
              <w:rPr>
                <w:rFonts w:cs="宋体"/>
                <w:sz w:val="18"/>
                <w:szCs w:val="18"/>
              </w:rPr>
              <w:t>583,445,401.96</w:t>
            </w:r>
          </w:p>
        </w:tc>
      </w:tr>
    </w:tbl>
    <w:p w14:paraId="463D4B2A" w14:textId="77777777" w:rsidR="007B3DB2" w:rsidRPr="0063248C" w:rsidRDefault="00000000">
      <w:pPr>
        <w:spacing w:before="100" w:after="100" w:line="240" w:lineRule="exact"/>
        <w:rPr>
          <w:rFonts w:cs="宋体"/>
          <w:sz w:val="18"/>
          <w:szCs w:val="18"/>
        </w:rPr>
      </w:pPr>
      <w:r w:rsidRPr="0063248C">
        <w:rPr>
          <w:rFonts w:cs="宋体"/>
          <w:sz w:val="18"/>
          <w:szCs w:val="18"/>
        </w:rPr>
        <w:t>各阶段划分依据和坏账准备计提比例</w:t>
      </w:r>
    </w:p>
    <w:p w14:paraId="38796539" w14:textId="77777777" w:rsidR="00517D34" w:rsidRPr="0063248C" w:rsidRDefault="00000000">
      <w:pPr>
        <w:pStyle w:val="a3"/>
        <w:divId w:val="1483690876"/>
        <w:rPr>
          <w:rFonts w:ascii="Times New Roman" w:hAnsi="Times New Roman"/>
          <w:sz w:val="18"/>
          <w:szCs w:val="18"/>
        </w:rPr>
      </w:pPr>
      <w:r w:rsidRPr="0063248C">
        <w:rPr>
          <w:rFonts w:ascii="Times New Roman" w:hAnsi="Times New Roman" w:hint="eastAsia"/>
          <w:sz w:val="18"/>
          <w:szCs w:val="18"/>
        </w:rPr>
        <w:t>无</w:t>
      </w:r>
    </w:p>
    <w:p w14:paraId="242D02D1" w14:textId="77777777" w:rsidR="007B3DB2" w:rsidRPr="0063248C" w:rsidRDefault="00000000">
      <w:pPr>
        <w:spacing w:before="100" w:after="100" w:line="240" w:lineRule="exact"/>
        <w:rPr>
          <w:rFonts w:cs="宋体"/>
          <w:sz w:val="18"/>
          <w:szCs w:val="18"/>
        </w:rPr>
      </w:pPr>
      <w:r w:rsidRPr="0063248C">
        <w:rPr>
          <w:rFonts w:cs="宋体"/>
          <w:sz w:val="18"/>
          <w:szCs w:val="18"/>
        </w:rPr>
        <w:t>损失准备本期变动金额重大的账面余额变动情况</w:t>
      </w:r>
    </w:p>
    <w:p w14:paraId="6DD1CDDC" w14:textId="77777777" w:rsidR="007B3DB2" w:rsidRPr="0063248C" w:rsidRDefault="00000000">
      <w:pPr>
        <w:spacing w:before="100" w:after="10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4D36B22" w14:textId="77777777" w:rsidR="007B3DB2" w:rsidRPr="0063248C" w:rsidRDefault="00000000">
      <w:pPr>
        <w:keepNext/>
        <w:keepLines/>
        <w:spacing w:before="300" w:after="300" w:line="280" w:lineRule="exact"/>
        <w:outlineLvl w:val="4"/>
        <w:rPr>
          <w:rFonts w:cs="宋体"/>
          <w:b/>
          <w:bCs/>
          <w:sz w:val="18"/>
          <w:szCs w:val="18"/>
        </w:rPr>
      </w:pPr>
      <w:bookmarkStart w:id="544" w:name="_Toc989438"/>
      <w:r w:rsidRPr="0063248C">
        <w:rPr>
          <w:rFonts w:cs="宋体"/>
          <w:b/>
          <w:bCs/>
          <w:sz w:val="18"/>
          <w:szCs w:val="18"/>
        </w:rPr>
        <w:t>4</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本期计提、收回或转回的坏账准备情况</w:t>
      </w:r>
      <w:bookmarkEnd w:id="544"/>
    </w:p>
    <w:p w14:paraId="5DC1B4B7" w14:textId="77777777" w:rsidR="007B3DB2" w:rsidRPr="0063248C" w:rsidRDefault="00000000">
      <w:pPr>
        <w:spacing w:line="240" w:lineRule="exact"/>
        <w:rPr>
          <w:rFonts w:cs="宋体"/>
          <w:sz w:val="18"/>
          <w:szCs w:val="18"/>
        </w:rPr>
      </w:pPr>
      <w:r w:rsidRPr="0063248C">
        <w:rPr>
          <w:rFonts w:cs="宋体"/>
          <w:sz w:val="18"/>
          <w:szCs w:val="18"/>
        </w:rPr>
        <w:t>本期计提坏账准备情况：</w:t>
      </w:r>
    </w:p>
    <w:p w14:paraId="6B3EC79D"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B3DB2" w:rsidRPr="0063248C" w14:paraId="58AC5B8A"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27CCAE5" w14:textId="77777777" w:rsidR="007B3DB2" w:rsidRPr="0063248C" w:rsidRDefault="00000000">
            <w:pPr>
              <w:spacing w:before="40" w:after="40" w:line="240" w:lineRule="exact"/>
              <w:jc w:val="center"/>
              <w:rPr>
                <w:rFonts w:cs="宋体"/>
                <w:sz w:val="18"/>
                <w:szCs w:val="18"/>
              </w:rPr>
            </w:pPr>
            <w:r w:rsidRPr="0063248C">
              <w:rPr>
                <w:rFonts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8808C94"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69DFE5B"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33B4D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r>
      <w:tr w:rsidR="007B3DB2" w:rsidRPr="0063248C" w14:paraId="2E14E59B"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7409E03" w14:textId="77777777" w:rsidR="007B3DB2" w:rsidRPr="0063248C" w:rsidRDefault="007B3DB2"/>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4FAD3F9"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5A2CD1A"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1A32987" w14:textId="77777777" w:rsidR="007B3DB2" w:rsidRPr="0063248C" w:rsidRDefault="00000000">
            <w:pPr>
              <w:spacing w:before="40" w:after="40" w:line="240" w:lineRule="exact"/>
              <w:jc w:val="center"/>
              <w:rPr>
                <w:rFonts w:cs="宋体"/>
                <w:sz w:val="18"/>
                <w:szCs w:val="18"/>
              </w:rPr>
            </w:pPr>
            <w:r w:rsidRPr="0063248C">
              <w:rPr>
                <w:rFonts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B7CD3AC" w14:textId="77777777" w:rsidR="007B3DB2" w:rsidRPr="0063248C" w:rsidRDefault="00000000">
            <w:pPr>
              <w:spacing w:before="40" w:after="40" w:line="240" w:lineRule="exact"/>
              <w:jc w:val="center"/>
              <w:rPr>
                <w:rFonts w:cs="宋体"/>
                <w:sz w:val="18"/>
                <w:szCs w:val="18"/>
              </w:rPr>
            </w:pPr>
            <w:r w:rsidRPr="0063248C">
              <w:rPr>
                <w:rFonts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ED126BB"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C7A515" w14:textId="77777777" w:rsidR="007B3DB2" w:rsidRPr="0063248C" w:rsidRDefault="007B3DB2"/>
        </w:tc>
      </w:tr>
      <w:tr w:rsidR="007B3DB2" w:rsidRPr="0063248C" w14:paraId="577B811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2B93004" w14:textId="77777777" w:rsidR="007B3DB2" w:rsidRPr="0063248C" w:rsidRDefault="00000000">
            <w:pPr>
              <w:spacing w:line="240" w:lineRule="exact"/>
              <w:rPr>
                <w:rFonts w:cs="宋体"/>
                <w:sz w:val="18"/>
                <w:szCs w:val="18"/>
              </w:rPr>
            </w:pPr>
            <w:r w:rsidRPr="0063248C">
              <w:rPr>
                <w:rFonts w:cs="宋体"/>
                <w:sz w:val="18"/>
                <w:szCs w:val="18"/>
              </w:rPr>
              <w:t>其他应收款</w:t>
            </w:r>
          </w:p>
        </w:tc>
        <w:tc>
          <w:tcPr>
            <w:tcW w:w="1377" w:type="dxa"/>
            <w:tcBorders>
              <w:top w:val="single" w:sz="2" w:space="0" w:color="auto"/>
              <w:left w:val="single" w:sz="2" w:space="0" w:color="auto"/>
              <w:bottom w:val="single" w:sz="2" w:space="0" w:color="auto"/>
              <w:right w:val="single" w:sz="2" w:space="0" w:color="auto"/>
            </w:tcBorders>
            <w:vAlign w:val="center"/>
          </w:tcPr>
          <w:p w14:paraId="4573F8F2" w14:textId="77777777" w:rsidR="007B3DB2" w:rsidRPr="0063248C" w:rsidRDefault="00000000">
            <w:pPr>
              <w:spacing w:line="240" w:lineRule="exact"/>
              <w:jc w:val="right"/>
              <w:rPr>
                <w:rFonts w:cs="宋体"/>
                <w:sz w:val="18"/>
                <w:szCs w:val="18"/>
              </w:rPr>
            </w:pPr>
            <w:r w:rsidRPr="0063248C">
              <w:rPr>
                <w:rFonts w:cs="宋体"/>
                <w:sz w:val="18"/>
                <w:szCs w:val="18"/>
              </w:rPr>
              <w:t>639,915,451.29</w:t>
            </w:r>
          </w:p>
        </w:tc>
        <w:tc>
          <w:tcPr>
            <w:tcW w:w="1377" w:type="dxa"/>
            <w:tcBorders>
              <w:top w:val="single" w:sz="2" w:space="0" w:color="auto"/>
              <w:left w:val="single" w:sz="2" w:space="0" w:color="auto"/>
              <w:bottom w:val="single" w:sz="2" w:space="0" w:color="auto"/>
              <w:right w:val="single" w:sz="2" w:space="0" w:color="auto"/>
            </w:tcBorders>
            <w:vAlign w:val="center"/>
          </w:tcPr>
          <w:p w14:paraId="0D22408C" w14:textId="77777777" w:rsidR="007B3DB2" w:rsidRPr="0063248C" w:rsidRDefault="00000000">
            <w:pPr>
              <w:spacing w:line="240" w:lineRule="exact"/>
              <w:jc w:val="right"/>
              <w:rPr>
                <w:rFonts w:cs="宋体"/>
                <w:sz w:val="18"/>
                <w:szCs w:val="18"/>
              </w:rPr>
            </w:pPr>
            <w:r w:rsidRPr="0063248C">
              <w:rPr>
                <w:rFonts w:cs="宋体"/>
                <w:sz w:val="18"/>
                <w:szCs w:val="18"/>
              </w:rPr>
              <w:t>-56,470,049.33</w:t>
            </w:r>
          </w:p>
        </w:tc>
        <w:tc>
          <w:tcPr>
            <w:tcW w:w="1377" w:type="dxa"/>
            <w:tcBorders>
              <w:top w:val="single" w:sz="2" w:space="0" w:color="auto"/>
              <w:left w:val="single" w:sz="2" w:space="0" w:color="auto"/>
              <w:bottom w:val="single" w:sz="2" w:space="0" w:color="auto"/>
              <w:right w:val="single" w:sz="2" w:space="0" w:color="auto"/>
            </w:tcBorders>
            <w:vAlign w:val="center"/>
          </w:tcPr>
          <w:p w14:paraId="7612EC29"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EFACEA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6D72DA6"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FEDD46" w14:textId="77777777" w:rsidR="007B3DB2" w:rsidRPr="0063248C" w:rsidRDefault="00000000">
            <w:pPr>
              <w:spacing w:line="240" w:lineRule="exact"/>
              <w:jc w:val="right"/>
              <w:rPr>
                <w:rFonts w:cs="宋体"/>
                <w:sz w:val="18"/>
                <w:szCs w:val="18"/>
              </w:rPr>
            </w:pPr>
            <w:r w:rsidRPr="0063248C">
              <w:rPr>
                <w:rFonts w:cs="宋体"/>
                <w:sz w:val="18"/>
                <w:szCs w:val="18"/>
              </w:rPr>
              <w:t>583,445,401.96</w:t>
            </w:r>
          </w:p>
        </w:tc>
      </w:tr>
      <w:tr w:rsidR="007B3DB2" w:rsidRPr="0063248C" w14:paraId="3E0F3BCB"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147E8A"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0547418A" w14:textId="77777777" w:rsidR="007B3DB2" w:rsidRPr="0063248C" w:rsidRDefault="00000000">
            <w:pPr>
              <w:spacing w:line="240" w:lineRule="exact"/>
              <w:jc w:val="right"/>
              <w:rPr>
                <w:rFonts w:cs="宋体"/>
                <w:sz w:val="18"/>
                <w:szCs w:val="18"/>
              </w:rPr>
            </w:pPr>
            <w:r w:rsidRPr="0063248C">
              <w:rPr>
                <w:rFonts w:cs="宋体"/>
                <w:sz w:val="18"/>
                <w:szCs w:val="18"/>
              </w:rPr>
              <w:t>639,915,451.29</w:t>
            </w:r>
          </w:p>
        </w:tc>
        <w:tc>
          <w:tcPr>
            <w:tcW w:w="1377" w:type="dxa"/>
            <w:tcBorders>
              <w:top w:val="single" w:sz="2" w:space="0" w:color="auto"/>
              <w:left w:val="single" w:sz="2" w:space="0" w:color="auto"/>
              <w:bottom w:val="single" w:sz="2" w:space="0" w:color="auto"/>
              <w:right w:val="single" w:sz="2" w:space="0" w:color="auto"/>
            </w:tcBorders>
            <w:vAlign w:val="center"/>
          </w:tcPr>
          <w:p w14:paraId="19A9F09A" w14:textId="77777777" w:rsidR="007B3DB2" w:rsidRPr="0063248C" w:rsidRDefault="00000000">
            <w:pPr>
              <w:spacing w:line="240" w:lineRule="exact"/>
              <w:jc w:val="right"/>
              <w:rPr>
                <w:rFonts w:cs="宋体"/>
                <w:sz w:val="18"/>
                <w:szCs w:val="18"/>
              </w:rPr>
            </w:pPr>
            <w:r w:rsidRPr="0063248C">
              <w:rPr>
                <w:rFonts w:cs="宋体"/>
                <w:sz w:val="18"/>
                <w:szCs w:val="18"/>
              </w:rPr>
              <w:t>-56,470,049.33</w:t>
            </w:r>
          </w:p>
        </w:tc>
        <w:tc>
          <w:tcPr>
            <w:tcW w:w="1377" w:type="dxa"/>
            <w:tcBorders>
              <w:top w:val="single" w:sz="2" w:space="0" w:color="auto"/>
              <w:left w:val="single" w:sz="2" w:space="0" w:color="auto"/>
              <w:bottom w:val="single" w:sz="2" w:space="0" w:color="auto"/>
              <w:right w:val="single" w:sz="2" w:space="0" w:color="auto"/>
            </w:tcBorders>
            <w:vAlign w:val="center"/>
          </w:tcPr>
          <w:p w14:paraId="277FF088"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23B47CD"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73E7EBA" w14:textId="77777777" w:rsidR="007B3DB2" w:rsidRPr="0063248C" w:rsidRDefault="007B3DB2">
            <w:pPr>
              <w:spacing w:line="240" w:lineRule="exact"/>
              <w:jc w:val="right"/>
              <w:rPr>
                <w:rFonts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3909E21" w14:textId="77777777" w:rsidR="007B3DB2" w:rsidRPr="0063248C" w:rsidRDefault="00000000">
            <w:pPr>
              <w:spacing w:line="240" w:lineRule="exact"/>
              <w:jc w:val="right"/>
              <w:rPr>
                <w:rFonts w:cs="宋体"/>
                <w:sz w:val="18"/>
                <w:szCs w:val="18"/>
              </w:rPr>
            </w:pPr>
            <w:r w:rsidRPr="0063248C">
              <w:rPr>
                <w:rFonts w:cs="宋体"/>
                <w:sz w:val="18"/>
                <w:szCs w:val="18"/>
              </w:rPr>
              <w:t>583,445,401.96</w:t>
            </w:r>
          </w:p>
        </w:tc>
      </w:tr>
    </w:tbl>
    <w:p w14:paraId="6975B27C" w14:textId="77777777" w:rsidR="00517D34" w:rsidRPr="0063248C" w:rsidRDefault="00000000">
      <w:pPr>
        <w:pStyle w:val="a3"/>
        <w:divId w:val="1403983183"/>
        <w:rPr>
          <w:rFonts w:ascii="Times New Roman" w:hAnsi="Times New Roman"/>
          <w:sz w:val="18"/>
          <w:szCs w:val="18"/>
        </w:rPr>
      </w:pPr>
      <w:r w:rsidRPr="0063248C">
        <w:rPr>
          <w:rFonts w:ascii="Times New Roman" w:hAnsi="Times New Roman" w:hint="eastAsia"/>
          <w:sz w:val="18"/>
          <w:szCs w:val="18"/>
        </w:rPr>
        <w:t>无</w:t>
      </w:r>
    </w:p>
    <w:p w14:paraId="634D33C9" w14:textId="77777777" w:rsidR="007B3DB2" w:rsidRPr="0063248C" w:rsidRDefault="00000000">
      <w:pPr>
        <w:spacing w:before="100" w:after="40" w:line="240" w:lineRule="exact"/>
        <w:rPr>
          <w:rFonts w:cs="宋体"/>
          <w:sz w:val="18"/>
          <w:szCs w:val="18"/>
        </w:rPr>
      </w:pPr>
      <w:r w:rsidRPr="0063248C">
        <w:rPr>
          <w:rFonts w:cs="宋体"/>
          <w:sz w:val="18"/>
          <w:szCs w:val="18"/>
        </w:rPr>
        <w:t>其中本期坏账准备转回或收回金额重要的：</w:t>
      </w:r>
    </w:p>
    <w:p w14:paraId="3CB834AF" w14:textId="77777777" w:rsidR="00517D34" w:rsidRPr="0063248C" w:rsidRDefault="00000000">
      <w:pPr>
        <w:pStyle w:val="a3"/>
        <w:divId w:val="299924054"/>
        <w:rPr>
          <w:rFonts w:ascii="Times New Roman" w:hAnsi="Times New Roman"/>
          <w:sz w:val="18"/>
          <w:szCs w:val="18"/>
        </w:rPr>
      </w:pPr>
      <w:r w:rsidRPr="0063248C">
        <w:rPr>
          <w:rFonts w:ascii="Times New Roman" w:hAnsi="Times New Roman" w:hint="eastAsia"/>
          <w:sz w:val="18"/>
          <w:szCs w:val="18"/>
        </w:rPr>
        <w:t>无</w:t>
      </w:r>
    </w:p>
    <w:p w14:paraId="01C9E210" w14:textId="77777777" w:rsidR="007B3DB2" w:rsidRPr="0063248C" w:rsidRDefault="00000000">
      <w:pPr>
        <w:keepNext/>
        <w:keepLines/>
        <w:spacing w:before="300" w:after="300" w:line="280" w:lineRule="exact"/>
        <w:outlineLvl w:val="4"/>
        <w:rPr>
          <w:rFonts w:cs="宋体"/>
          <w:b/>
          <w:bCs/>
          <w:sz w:val="18"/>
          <w:szCs w:val="18"/>
        </w:rPr>
      </w:pPr>
      <w:bookmarkStart w:id="545" w:name="_Toc989439"/>
      <w:r w:rsidRPr="0063248C">
        <w:rPr>
          <w:rFonts w:cs="宋体"/>
          <w:b/>
          <w:bCs/>
          <w:sz w:val="18"/>
          <w:szCs w:val="18"/>
        </w:rPr>
        <w:t>5</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本期实际核销的其他应收款情况</w:t>
      </w:r>
      <w:bookmarkEnd w:id="545"/>
    </w:p>
    <w:p w14:paraId="3396C94B" w14:textId="77777777" w:rsidR="00517D34" w:rsidRPr="0063248C" w:rsidRDefault="00000000">
      <w:pPr>
        <w:pStyle w:val="a3"/>
        <w:divId w:val="1672104295"/>
        <w:rPr>
          <w:rFonts w:ascii="Times New Roman" w:hAnsi="Times New Roman"/>
          <w:sz w:val="18"/>
          <w:szCs w:val="18"/>
        </w:rPr>
      </w:pPr>
      <w:r w:rsidRPr="0063248C">
        <w:rPr>
          <w:rFonts w:ascii="Times New Roman" w:hAnsi="Times New Roman" w:hint="eastAsia"/>
          <w:sz w:val="18"/>
          <w:szCs w:val="18"/>
        </w:rPr>
        <w:t>无</w:t>
      </w:r>
    </w:p>
    <w:p w14:paraId="3AB5036F" w14:textId="77777777" w:rsidR="007B3DB2" w:rsidRPr="0063248C" w:rsidRDefault="00000000">
      <w:pPr>
        <w:keepNext/>
        <w:keepLines/>
        <w:spacing w:before="300" w:after="300" w:line="280" w:lineRule="exact"/>
        <w:outlineLvl w:val="4"/>
        <w:rPr>
          <w:rFonts w:cs="宋体"/>
          <w:b/>
          <w:bCs/>
          <w:sz w:val="18"/>
          <w:szCs w:val="18"/>
        </w:rPr>
      </w:pPr>
      <w:bookmarkStart w:id="546" w:name="_Toc989440"/>
      <w:r w:rsidRPr="0063248C">
        <w:rPr>
          <w:rFonts w:cs="宋体"/>
          <w:b/>
          <w:bCs/>
          <w:sz w:val="18"/>
          <w:szCs w:val="18"/>
        </w:rPr>
        <w:t>6</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按欠款方归集的期末余额前五名的其他应收款情况</w:t>
      </w:r>
      <w:bookmarkEnd w:id="546"/>
    </w:p>
    <w:p w14:paraId="4D519436"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B3DB2" w:rsidRPr="0063248C" w14:paraId="47E6AAC7"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DAFC21E" w14:textId="77777777" w:rsidR="007B3DB2" w:rsidRPr="0063248C" w:rsidRDefault="00000000">
            <w:pPr>
              <w:spacing w:before="40" w:after="40" w:line="240" w:lineRule="exact"/>
              <w:jc w:val="center"/>
              <w:rPr>
                <w:rFonts w:cs="宋体"/>
                <w:sz w:val="18"/>
                <w:szCs w:val="18"/>
              </w:rPr>
            </w:pPr>
            <w:r w:rsidRPr="0063248C">
              <w:rPr>
                <w:rFonts w:cs="宋体"/>
                <w:sz w:val="18"/>
                <w:szCs w:val="18"/>
              </w:rPr>
              <w:lastRenderedPageBreak/>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AB6E551" w14:textId="77777777" w:rsidR="007B3DB2" w:rsidRPr="0063248C" w:rsidRDefault="00000000">
            <w:pPr>
              <w:spacing w:before="40" w:after="40" w:line="240" w:lineRule="exact"/>
              <w:jc w:val="center"/>
              <w:rPr>
                <w:rFonts w:cs="宋体"/>
                <w:sz w:val="18"/>
                <w:szCs w:val="18"/>
              </w:rPr>
            </w:pPr>
            <w:r w:rsidRPr="0063248C">
              <w:rPr>
                <w:rFonts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5884E43"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92F2127"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017B395" w14:textId="77777777" w:rsidR="007B3DB2" w:rsidRPr="0063248C" w:rsidRDefault="00000000">
            <w:pPr>
              <w:spacing w:before="40" w:after="40" w:line="240" w:lineRule="exact"/>
              <w:jc w:val="center"/>
              <w:rPr>
                <w:rFonts w:cs="宋体"/>
                <w:sz w:val="18"/>
                <w:szCs w:val="18"/>
              </w:rPr>
            </w:pPr>
            <w:r w:rsidRPr="0063248C">
              <w:rPr>
                <w:rFonts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8510983" w14:textId="77777777" w:rsidR="007B3DB2" w:rsidRPr="0063248C" w:rsidRDefault="00000000">
            <w:pPr>
              <w:spacing w:before="40" w:after="40" w:line="240" w:lineRule="exact"/>
              <w:jc w:val="center"/>
              <w:rPr>
                <w:rFonts w:cs="宋体"/>
                <w:sz w:val="18"/>
                <w:szCs w:val="18"/>
              </w:rPr>
            </w:pPr>
            <w:r w:rsidRPr="0063248C">
              <w:rPr>
                <w:rFonts w:cs="宋体"/>
                <w:sz w:val="18"/>
                <w:szCs w:val="18"/>
              </w:rPr>
              <w:t>坏账准备期末余额</w:t>
            </w:r>
          </w:p>
        </w:tc>
      </w:tr>
      <w:tr w:rsidR="007B3DB2" w:rsidRPr="0063248C" w14:paraId="781CD06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73260A4" w14:textId="77777777" w:rsidR="007B3DB2" w:rsidRPr="0063248C" w:rsidRDefault="00000000">
            <w:pPr>
              <w:spacing w:line="240" w:lineRule="exact"/>
              <w:rPr>
                <w:rFonts w:cs="宋体"/>
                <w:sz w:val="18"/>
                <w:szCs w:val="18"/>
              </w:rPr>
            </w:pPr>
            <w:r w:rsidRPr="0063248C">
              <w:rPr>
                <w:rFonts w:cs="宋体"/>
                <w:sz w:val="18"/>
                <w:szCs w:val="18"/>
              </w:rPr>
              <w:t>青岛中和盛杰食品有限公司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2B2774D" w14:textId="77777777" w:rsidR="007B3DB2" w:rsidRPr="0063248C" w:rsidRDefault="00000000">
            <w:pPr>
              <w:spacing w:line="240" w:lineRule="exact"/>
              <w:rPr>
                <w:rFonts w:cs="宋体"/>
                <w:sz w:val="18"/>
                <w:szCs w:val="18"/>
              </w:rPr>
            </w:pPr>
            <w:r w:rsidRPr="0063248C">
              <w:rPr>
                <w:rFonts w:cs="宋体"/>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7397AB66" w14:textId="77777777" w:rsidR="007B3DB2" w:rsidRPr="0063248C" w:rsidRDefault="00000000">
            <w:pPr>
              <w:spacing w:line="240" w:lineRule="exact"/>
              <w:jc w:val="right"/>
              <w:rPr>
                <w:rFonts w:cs="宋体"/>
                <w:sz w:val="18"/>
                <w:szCs w:val="18"/>
              </w:rPr>
            </w:pPr>
            <w:r w:rsidRPr="0063248C">
              <w:rPr>
                <w:rFonts w:cs="宋体"/>
                <w:sz w:val="18"/>
                <w:szCs w:val="18"/>
              </w:rPr>
              <w:t>444,000,000.00</w:t>
            </w:r>
          </w:p>
        </w:tc>
        <w:tc>
          <w:tcPr>
            <w:tcW w:w="1606" w:type="dxa"/>
            <w:tcBorders>
              <w:top w:val="single" w:sz="2" w:space="0" w:color="auto"/>
              <w:left w:val="single" w:sz="2" w:space="0" w:color="auto"/>
              <w:bottom w:val="single" w:sz="2" w:space="0" w:color="auto"/>
              <w:right w:val="single" w:sz="2" w:space="0" w:color="auto"/>
            </w:tcBorders>
            <w:vAlign w:val="center"/>
          </w:tcPr>
          <w:p w14:paraId="1C974D83" w14:textId="77777777" w:rsidR="007B3DB2" w:rsidRPr="0063248C" w:rsidRDefault="00000000">
            <w:pPr>
              <w:spacing w:line="240" w:lineRule="exact"/>
              <w:rPr>
                <w:rFonts w:cs="宋体"/>
                <w:sz w:val="18"/>
                <w:szCs w:val="18"/>
              </w:rPr>
            </w:pPr>
            <w:r w:rsidRPr="0063248C">
              <w:rPr>
                <w:rFonts w:cs="宋体"/>
                <w:sz w:val="18"/>
                <w:szCs w:val="18"/>
              </w:rPr>
              <w:t>7-9</w:t>
            </w:r>
            <w:r w:rsidRPr="0063248C">
              <w:rPr>
                <w:rFonts w:cs="宋体"/>
                <w:sz w:val="18"/>
                <w:szCs w:val="18"/>
              </w:rPr>
              <w:t>月</w:t>
            </w:r>
            <w:r w:rsidRPr="0063248C">
              <w:rPr>
                <w:rFonts w:cs="宋体"/>
                <w:sz w:val="18"/>
                <w:szCs w:val="18"/>
              </w:rPr>
              <w:t>,1-2</w:t>
            </w:r>
            <w:r w:rsidRPr="0063248C">
              <w:rPr>
                <w:rFonts w:cs="宋体"/>
                <w:sz w:val="18"/>
                <w:szCs w:val="18"/>
              </w:rPr>
              <w:t>年，</w:t>
            </w:r>
            <w:r w:rsidRPr="0063248C">
              <w:rPr>
                <w:rFonts w:cs="宋体"/>
                <w:sz w:val="18"/>
                <w:szCs w:val="18"/>
              </w:rPr>
              <w:t>3</w:t>
            </w:r>
            <w:r w:rsidRPr="0063248C">
              <w:rPr>
                <w:rFonts w:cs="宋体"/>
                <w:sz w:val="18"/>
                <w:szCs w:val="18"/>
              </w:rPr>
              <w:t>年以上</w:t>
            </w:r>
          </w:p>
        </w:tc>
        <w:tc>
          <w:tcPr>
            <w:tcW w:w="1606" w:type="dxa"/>
            <w:tcBorders>
              <w:top w:val="single" w:sz="2" w:space="0" w:color="auto"/>
              <w:left w:val="single" w:sz="2" w:space="0" w:color="auto"/>
              <w:bottom w:val="single" w:sz="2" w:space="0" w:color="auto"/>
              <w:right w:val="single" w:sz="2" w:space="0" w:color="auto"/>
            </w:tcBorders>
            <w:vAlign w:val="center"/>
          </w:tcPr>
          <w:p w14:paraId="73854BF7" w14:textId="77777777" w:rsidR="007B3DB2" w:rsidRPr="0063248C" w:rsidRDefault="00000000">
            <w:pPr>
              <w:spacing w:line="240" w:lineRule="exact"/>
              <w:jc w:val="right"/>
              <w:rPr>
                <w:rFonts w:cs="宋体"/>
                <w:sz w:val="18"/>
                <w:szCs w:val="18"/>
              </w:rPr>
            </w:pPr>
            <w:r w:rsidRPr="0063248C">
              <w:rPr>
                <w:rFonts w:cs="宋体"/>
                <w:sz w:val="18"/>
                <w:szCs w:val="18"/>
              </w:rPr>
              <w:t>42.22%</w:t>
            </w:r>
          </w:p>
        </w:tc>
        <w:tc>
          <w:tcPr>
            <w:tcW w:w="1606" w:type="dxa"/>
            <w:tcBorders>
              <w:top w:val="single" w:sz="2" w:space="0" w:color="auto"/>
              <w:left w:val="single" w:sz="2" w:space="0" w:color="auto"/>
              <w:bottom w:val="single" w:sz="2" w:space="0" w:color="auto"/>
              <w:right w:val="single" w:sz="2" w:space="0" w:color="auto"/>
            </w:tcBorders>
            <w:vAlign w:val="center"/>
          </w:tcPr>
          <w:p w14:paraId="5BC03778" w14:textId="77777777" w:rsidR="007B3DB2" w:rsidRPr="0063248C" w:rsidRDefault="00000000">
            <w:pPr>
              <w:spacing w:line="240" w:lineRule="exact"/>
              <w:jc w:val="right"/>
              <w:rPr>
                <w:rFonts w:cs="宋体"/>
                <w:sz w:val="18"/>
                <w:szCs w:val="18"/>
              </w:rPr>
            </w:pPr>
            <w:r w:rsidRPr="0063248C">
              <w:rPr>
                <w:rFonts w:cs="宋体"/>
                <w:sz w:val="18"/>
                <w:szCs w:val="18"/>
              </w:rPr>
              <w:t>444,000,000.00</w:t>
            </w:r>
          </w:p>
        </w:tc>
      </w:tr>
      <w:tr w:rsidR="007B3DB2" w:rsidRPr="0063248C" w14:paraId="27EC0D5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4750400" w14:textId="77777777" w:rsidR="007B3DB2" w:rsidRPr="0063248C" w:rsidRDefault="00000000">
            <w:pPr>
              <w:spacing w:line="240" w:lineRule="exact"/>
              <w:rPr>
                <w:rFonts w:cs="宋体"/>
                <w:sz w:val="18"/>
                <w:szCs w:val="18"/>
              </w:rPr>
            </w:pPr>
            <w:r w:rsidRPr="0063248C">
              <w:rPr>
                <w:rFonts w:cs="宋体"/>
                <w:sz w:val="18"/>
                <w:szCs w:val="18"/>
              </w:rPr>
              <w:t>黑龙江龙大养殖有限公司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1827272E" w14:textId="77777777" w:rsidR="007B3DB2" w:rsidRPr="0063248C" w:rsidRDefault="00000000">
            <w:pPr>
              <w:spacing w:line="240" w:lineRule="exact"/>
              <w:rPr>
                <w:rFonts w:cs="宋体"/>
                <w:sz w:val="18"/>
                <w:szCs w:val="18"/>
              </w:rPr>
            </w:pPr>
            <w:r w:rsidRPr="0063248C">
              <w:rPr>
                <w:rFonts w:cs="宋体"/>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3116C583" w14:textId="77777777" w:rsidR="007B3DB2" w:rsidRPr="0063248C" w:rsidRDefault="00000000">
            <w:pPr>
              <w:spacing w:line="240" w:lineRule="exact"/>
              <w:jc w:val="right"/>
              <w:rPr>
                <w:rFonts w:cs="宋体"/>
                <w:sz w:val="18"/>
                <w:szCs w:val="18"/>
              </w:rPr>
            </w:pPr>
            <w:r w:rsidRPr="0063248C">
              <w:rPr>
                <w:rFonts w:cs="宋体"/>
                <w:sz w:val="18"/>
                <w:szCs w:val="18"/>
              </w:rPr>
              <w:t>125,160,000.00</w:t>
            </w:r>
          </w:p>
        </w:tc>
        <w:tc>
          <w:tcPr>
            <w:tcW w:w="1606" w:type="dxa"/>
            <w:tcBorders>
              <w:top w:val="single" w:sz="2" w:space="0" w:color="auto"/>
              <w:left w:val="single" w:sz="2" w:space="0" w:color="auto"/>
              <w:bottom w:val="single" w:sz="2" w:space="0" w:color="auto"/>
              <w:right w:val="single" w:sz="2" w:space="0" w:color="auto"/>
            </w:tcBorders>
            <w:vAlign w:val="center"/>
          </w:tcPr>
          <w:p w14:paraId="51A3F619" w14:textId="77777777" w:rsidR="007B3DB2" w:rsidRPr="0063248C" w:rsidRDefault="00000000">
            <w:pPr>
              <w:spacing w:line="240" w:lineRule="exact"/>
              <w:rPr>
                <w:rFonts w:cs="宋体"/>
                <w:sz w:val="18"/>
                <w:szCs w:val="18"/>
              </w:rPr>
            </w:pPr>
            <w:r w:rsidRPr="0063248C">
              <w:rPr>
                <w:rFonts w:cs="宋体"/>
                <w:sz w:val="18"/>
                <w:szCs w:val="18"/>
              </w:rPr>
              <w:t>4-6</w:t>
            </w:r>
            <w:r w:rsidRPr="0063248C">
              <w:rPr>
                <w:rFonts w:cs="宋体"/>
                <w:sz w:val="18"/>
                <w:szCs w:val="18"/>
              </w:rPr>
              <w:t>月，</w:t>
            </w:r>
            <w:r w:rsidRPr="0063248C">
              <w:rPr>
                <w:rFonts w:cs="宋体"/>
                <w:sz w:val="18"/>
                <w:szCs w:val="18"/>
              </w:rPr>
              <w:t>2-3</w:t>
            </w:r>
            <w:r w:rsidRPr="0063248C">
              <w:rPr>
                <w:rFonts w:cs="宋体"/>
                <w:sz w:val="18"/>
                <w:szCs w:val="18"/>
              </w:rPr>
              <w:t>年，</w:t>
            </w:r>
            <w:r w:rsidRPr="0063248C">
              <w:rPr>
                <w:rFonts w:cs="宋体"/>
                <w:sz w:val="18"/>
                <w:szCs w:val="18"/>
              </w:rPr>
              <w:t>3</w:t>
            </w:r>
            <w:r w:rsidRPr="0063248C">
              <w:rPr>
                <w:rFonts w:cs="宋体"/>
                <w:sz w:val="18"/>
                <w:szCs w:val="18"/>
              </w:rPr>
              <w:t>年以上</w:t>
            </w:r>
          </w:p>
        </w:tc>
        <w:tc>
          <w:tcPr>
            <w:tcW w:w="1606" w:type="dxa"/>
            <w:tcBorders>
              <w:top w:val="single" w:sz="2" w:space="0" w:color="auto"/>
              <w:left w:val="single" w:sz="2" w:space="0" w:color="auto"/>
              <w:bottom w:val="single" w:sz="2" w:space="0" w:color="auto"/>
              <w:right w:val="single" w:sz="2" w:space="0" w:color="auto"/>
            </w:tcBorders>
            <w:vAlign w:val="center"/>
          </w:tcPr>
          <w:p w14:paraId="1A25102D" w14:textId="77777777" w:rsidR="007B3DB2" w:rsidRPr="0063248C" w:rsidRDefault="00000000">
            <w:pPr>
              <w:spacing w:line="240" w:lineRule="exact"/>
              <w:jc w:val="right"/>
              <w:rPr>
                <w:rFonts w:cs="宋体"/>
                <w:sz w:val="18"/>
                <w:szCs w:val="18"/>
              </w:rPr>
            </w:pPr>
            <w:r w:rsidRPr="0063248C">
              <w:rPr>
                <w:rFonts w:cs="宋体"/>
                <w:sz w:val="18"/>
                <w:szCs w:val="18"/>
              </w:rPr>
              <w:t>11.90%</w:t>
            </w:r>
          </w:p>
        </w:tc>
        <w:tc>
          <w:tcPr>
            <w:tcW w:w="1606" w:type="dxa"/>
            <w:tcBorders>
              <w:top w:val="single" w:sz="2" w:space="0" w:color="auto"/>
              <w:left w:val="single" w:sz="2" w:space="0" w:color="auto"/>
              <w:bottom w:val="single" w:sz="2" w:space="0" w:color="auto"/>
              <w:right w:val="single" w:sz="2" w:space="0" w:color="auto"/>
            </w:tcBorders>
            <w:vAlign w:val="center"/>
          </w:tcPr>
          <w:p w14:paraId="1AEA41D3" w14:textId="77777777" w:rsidR="007B3DB2" w:rsidRPr="0063248C" w:rsidRDefault="007B3DB2">
            <w:pPr>
              <w:spacing w:line="240" w:lineRule="exact"/>
              <w:jc w:val="right"/>
              <w:rPr>
                <w:rFonts w:cs="宋体"/>
                <w:sz w:val="18"/>
                <w:szCs w:val="18"/>
              </w:rPr>
            </w:pPr>
          </w:p>
        </w:tc>
      </w:tr>
      <w:tr w:rsidR="007B3DB2" w:rsidRPr="0063248C" w14:paraId="7243321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5C8028B"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05165CBA" w14:textId="77777777" w:rsidR="007B3DB2" w:rsidRPr="0063248C" w:rsidRDefault="00000000">
            <w:pPr>
              <w:spacing w:line="240" w:lineRule="exact"/>
              <w:rPr>
                <w:rFonts w:cs="宋体"/>
                <w:sz w:val="18"/>
                <w:szCs w:val="18"/>
              </w:rPr>
            </w:pPr>
            <w:r w:rsidRPr="0063248C">
              <w:rPr>
                <w:rFonts w:cs="宋体"/>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45EFF0F6" w14:textId="77777777" w:rsidR="007B3DB2" w:rsidRPr="0063248C" w:rsidRDefault="00000000">
            <w:pPr>
              <w:spacing w:line="240" w:lineRule="exact"/>
              <w:jc w:val="right"/>
              <w:rPr>
                <w:rFonts w:cs="宋体"/>
                <w:sz w:val="18"/>
                <w:szCs w:val="18"/>
              </w:rPr>
            </w:pPr>
            <w:r w:rsidRPr="0063248C">
              <w:rPr>
                <w:rFonts w:cs="宋体"/>
                <w:sz w:val="18"/>
                <w:szCs w:val="18"/>
              </w:rPr>
              <w:t>110,370,000.00</w:t>
            </w:r>
          </w:p>
        </w:tc>
        <w:tc>
          <w:tcPr>
            <w:tcW w:w="1606" w:type="dxa"/>
            <w:tcBorders>
              <w:top w:val="single" w:sz="2" w:space="0" w:color="auto"/>
              <w:left w:val="single" w:sz="2" w:space="0" w:color="auto"/>
              <w:bottom w:val="single" w:sz="2" w:space="0" w:color="auto"/>
              <w:right w:val="single" w:sz="2" w:space="0" w:color="auto"/>
            </w:tcBorders>
            <w:vAlign w:val="center"/>
          </w:tcPr>
          <w:p w14:paraId="20FBD959" w14:textId="77777777" w:rsidR="007B3DB2" w:rsidRPr="0063248C" w:rsidRDefault="00000000">
            <w:pPr>
              <w:spacing w:line="240" w:lineRule="exact"/>
              <w:rPr>
                <w:rFonts w:cs="宋体"/>
                <w:sz w:val="18"/>
                <w:szCs w:val="18"/>
              </w:rPr>
            </w:pPr>
            <w:r w:rsidRPr="0063248C">
              <w:rPr>
                <w:rFonts w:cs="宋体"/>
                <w:sz w:val="18"/>
                <w:szCs w:val="18"/>
              </w:rPr>
              <w:t>1-3</w:t>
            </w:r>
            <w:r w:rsidRPr="0063248C">
              <w:rPr>
                <w:rFonts w:cs="宋体"/>
                <w:sz w:val="18"/>
                <w:szCs w:val="18"/>
              </w:rPr>
              <w:t>月，</w:t>
            </w:r>
            <w:r w:rsidRPr="0063248C">
              <w:rPr>
                <w:rFonts w:cs="宋体"/>
                <w:sz w:val="18"/>
                <w:szCs w:val="18"/>
              </w:rPr>
              <w:t>4-6</w:t>
            </w:r>
            <w:r w:rsidRPr="0063248C">
              <w:rPr>
                <w:rFonts w:cs="宋体"/>
                <w:sz w:val="18"/>
                <w:szCs w:val="18"/>
              </w:rPr>
              <w:t>月，</w:t>
            </w:r>
            <w:r w:rsidRPr="0063248C">
              <w:rPr>
                <w:rFonts w:cs="宋体"/>
                <w:sz w:val="18"/>
                <w:szCs w:val="18"/>
              </w:rPr>
              <w:t>7-9</w:t>
            </w:r>
            <w:r w:rsidRPr="0063248C">
              <w:rPr>
                <w:rFonts w:cs="宋体"/>
                <w:sz w:val="18"/>
                <w:szCs w:val="18"/>
              </w:rPr>
              <w:t>月，</w:t>
            </w:r>
            <w:r w:rsidRPr="0063248C">
              <w:rPr>
                <w:rFonts w:cs="宋体"/>
                <w:sz w:val="18"/>
                <w:szCs w:val="18"/>
              </w:rPr>
              <w:t>10-12</w:t>
            </w:r>
            <w:r w:rsidRPr="0063248C">
              <w:rPr>
                <w:rFonts w:cs="宋体"/>
                <w:sz w:val="18"/>
                <w:szCs w:val="18"/>
              </w:rPr>
              <w:t>月，</w:t>
            </w:r>
            <w:r w:rsidRPr="0063248C">
              <w:rPr>
                <w:rFonts w:cs="宋体"/>
                <w:sz w:val="18"/>
                <w:szCs w:val="18"/>
              </w:rPr>
              <w:t>1-2</w:t>
            </w:r>
            <w:r w:rsidRPr="0063248C">
              <w:rPr>
                <w:rFonts w:cs="宋体"/>
                <w:sz w:val="18"/>
                <w:szCs w:val="18"/>
              </w:rPr>
              <w:t>年，</w:t>
            </w:r>
            <w:r w:rsidRPr="0063248C">
              <w:rPr>
                <w:rFonts w:cs="宋体"/>
                <w:sz w:val="18"/>
                <w:szCs w:val="18"/>
              </w:rPr>
              <w:t>2-3</w:t>
            </w:r>
            <w:r w:rsidRPr="0063248C">
              <w:rPr>
                <w:rFonts w:cs="宋体"/>
                <w:sz w:val="18"/>
                <w:szCs w:val="18"/>
              </w:rPr>
              <w:t>年，</w:t>
            </w:r>
            <w:r w:rsidRPr="0063248C">
              <w:rPr>
                <w:rFonts w:cs="宋体"/>
                <w:sz w:val="18"/>
                <w:szCs w:val="18"/>
              </w:rPr>
              <w:t>3</w:t>
            </w:r>
            <w:r w:rsidRPr="0063248C">
              <w:rPr>
                <w:rFonts w:cs="宋体"/>
                <w:sz w:val="18"/>
                <w:szCs w:val="18"/>
              </w:rPr>
              <w:t>年以上</w:t>
            </w:r>
          </w:p>
        </w:tc>
        <w:tc>
          <w:tcPr>
            <w:tcW w:w="1606" w:type="dxa"/>
            <w:tcBorders>
              <w:top w:val="single" w:sz="2" w:space="0" w:color="auto"/>
              <w:left w:val="single" w:sz="2" w:space="0" w:color="auto"/>
              <w:bottom w:val="single" w:sz="2" w:space="0" w:color="auto"/>
              <w:right w:val="single" w:sz="2" w:space="0" w:color="auto"/>
            </w:tcBorders>
            <w:vAlign w:val="center"/>
          </w:tcPr>
          <w:p w14:paraId="78CDE5D9" w14:textId="77777777" w:rsidR="007B3DB2" w:rsidRPr="0063248C" w:rsidRDefault="00000000">
            <w:pPr>
              <w:spacing w:line="240" w:lineRule="exact"/>
              <w:jc w:val="right"/>
              <w:rPr>
                <w:rFonts w:cs="宋体"/>
                <w:sz w:val="18"/>
                <w:szCs w:val="18"/>
              </w:rPr>
            </w:pPr>
            <w:r w:rsidRPr="0063248C">
              <w:rPr>
                <w:rFonts w:cs="宋体"/>
                <w:sz w:val="18"/>
                <w:szCs w:val="18"/>
              </w:rPr>
              <w:t>10.50%</w:t>
            </w:r>
          </w:p>
        </w:tc>
        <w:tc>
          <w:tcPr>
            <w:tcW w:w="1606" w:type="dxa"/>
            <w:tcBorders>
              <w:top w:val="single" w:sz="2" w:space="0" w:color="auto"/>
              <w:left w:val="single" w:sz="2" w:space="0" w:color="auto"/>
              <w:bottom w:val="single" w:sz="2" w:space="0" w:color="auto"/>
              <w:right w:val="single" w:sz="2" w:space="0" w:color="auto"/>
            </w:tcBorders>
            <w:vAlign w:val="center"/>
          </w:tcPr>
          <w:p w14:paraId="0DF7B0B8" w14:textId="77777777" w:rsidR="007B3DB2" w:rsidRPr="0063248C" w:rsidRDefault="007B3DB2">
            <w:pPr>
              <w:spacing w:line="240" w:lineRule="exact"/>
              <w:jc w:val="right"/>
              <w:rPr>
                <w:rFonts w:cs="宋体"/>
                <w:sz w:val="18"/>
                <w:szCs w:val="18"/>
              </w:rPr>
            </w:pPr>
          </w:p>
        </w:tc>
      </w:tr>
      <w:tr w:rsidR="007B3DB2" w:rsidRPr="0063248C" w14:paraId="55DC17A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6E6C0B5" w14:textId="77777777" w:rsidR="007B3DB2" w:rsidRPr="0063248C" w:rsidRDefault="00000000">
            <w:pPr>
              <w:spacing w:line="240" w:lineRule="exact"/>
              <w:rPr>
                <w:rFonts w:cs="宋体"/>
                <w:sz w:val="18"/>
                <w:szCs w:val="18"/>
              </w:rPr>
            </w:pPr>
            <w:r w:rsidRPr="0063248C">
              <w:rPr>
                <w:rFonts w:cs="宋体"/>
                <w:sz w:val="18"/>
                <w:szCs w:val="18"/>
              </w:rPr>
              <w:t>巴中龙大肉食品有限公司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2D7B9388" w14:textId="77777777" w:rsidR="007B3DB2" w:rsidRPr="0063248C" w:rsidRDefault="00000000">
            <w:pPr>
              <w:spacing w:line="240" w:lineRule="exact"/>
              <w:rPr>
                <w:rFonts w:cs="宋体"/>
                <w:sz w:val="18"/>
                <w:szCs w:val="18"/>
              </w:rPr>
            </w:pPr>
            <w:r w:rsidRPr="0063248C">
              <w:rPr>
                <w:rFonts w:cs="宋体"/>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78D78F96" w14:textId="77777777" w:rsidR="007B3DB2" w:rsidRPr="0063248C" w:rsidRDefault="00000000">
            <w:pPr>
              <w:spacing w:line="240" w:lineRule="exact"/>
              <w:jc w:val="right"/>
              <w:rPr>
                <w:rFonts w:cs="宋体"/>
                <w:sz w:val="18"/>
                <w:szCs w:val="18"/>
              </w:rPr>
            </w:pPr>
            <w:r w:rsidRPr="0063248C">
              <w:rPr>
                <w:rFonts w:cs="宋体"/>
                <w:sz w:val="18"/>
                <w:szCs w:val="18"/>
              </w:rPr>
              <w:t>105,940,000.00</w:t>
            </w:r>
          </w:p>
        </w:tc>
        <w:tc>
          <w:tcPr>
            <w:tcW w:w="1606" w:type="dxa"/>
            <w:tcBorders>
              <w:top w:val="single" w:sz="2" w:space="0" w:color="auto"/>
              <w:left w:val="single" w:sz="2" w:space="0" w:color="auto"/>
              <w:bottom w:val="single" w:sz="2" w:space="0" w:color="auto"/>
              <w:right w:val="single" w:sz="2" w:space="0" w:color="auto"/>
            </w:tcBorders>
            <w:vAlign w:val="center"/>
          </w:tcPr>
          <w:p w14:paraId="00AC5CC4" w14:textId="77777777" w:rsidR="007B3DB2" w:rsidRPr="0063248C" w:rsidRDefault="00000000">
            <w:pPr>
              <w:spacing w:line="240" w:lineRule="exact"/>
              <w:rPr>
                <w:rFonts w:cs="宋体"/>
                <w:sz w:val="18"/>
                <w:szCs w:val="18"/>
              </w:rPr>
            </w:pPr>
            <w:r w:rsidRPr="0063248C">
              <w:rPr>
                <w:rFonts w:cs="宋体"/>
                <w:sz w:val="18"/>
                <w:szCs w:val="18"/>
              </w:rPr>
              <w:t>1-3</w:t>
            </w:r>
            <w:r w:rsidRPr="0063248C">
              <w:rPr>
                <w:rFonts w:cs="宋体"/>
                <w:sz w:val="18"/>
                <w:szCs w:val="18"/>
              </w:rPr>
              <w:t>月，</w:t>
            </w:r>
            <w:r w:rsidRPr="0063248C">
              <w:rPr>
                <w:rFonts w:cs="宋体"/>
                <w:sz w:val="18"/>
                <w:szCs w:val="18"/>
              </w:rPr>
              <w:t>4-6</w:t>
            </w:r>
            <w:r w:rsidRPr="0063248C">
              <w:rPr>
                <w:rFonts w:cs="宋体"/>
                <w:sz w:val="18"/>
                <w:szCs w:val="18"/>
              </w:rPr>
              <w:t>月，</w:t>
            </w:r>
            <w:r w:rsidRPr="0063248C">
              <w:rPr>
                <w:rFonts w:cs="宋体"/>
                <w:sz w:val="18"/>
                <w:szCs w:val="18"/>
              </w:rPr>
              <w:t>7-9</w:t>
            </w:r>
            <w:r w:rsidRPr="0063248C">
              <w:rPr>
                <w:rFonts w:cs="宋体"/>
                <w:sz w:val="18"/>
                <w:szCs w:val="18"/>
              </w:rPr>
              <w:t>月，</w:t>
            </w:r>
            <w:r w:rsidRPr="0063248C">
              <w:rPr>
                <w:rFonts w:cs="宋体"/>
                <w:sz w:val="18"/>
                <w:szCs w:val="18"/>
              </w:rPr>
              <w:t>10-12</w:t>
            </w:r>
            <w:r w:rsidRPr="0063248C">
              <w:rPr>
                <w:rFonts w:cs="宋体"/>
                <w:sz w:val="18"/>
                <w:szCs w:val="18"/>
              </w:rPr>
              <w:t>月，</w:t>
            </w:r>
            <w:r w:rsidRPr="0063248C">
              <w:rPr>
                <w:rFonts w:cs="宋体"/>
                <w:sz w:val="18"/>
                <w:szCs w:val="18"/>
              </w:rPr>
              <w:t>1-2</w:t>
            </w:r>
            <w:r w:rsidRPr="0063248C">
              <w:rPr>
                <w:rFonts w:cs="宋体"/>
                <w:sz w:val="18"/>
                <w:szCs w:val="18"/>
              </w:rPr>
              <w:t>年</w:t>
            </w:r>
          </w:p>
        </w:tc>
        <w:tc>
          <w:tcPr>
            <w:tcW w:w="1606" w:type="dxa"/>
            <w:tcBorders>
              <w:top w:val="single" w:sz="2" w:space="0" w:color="auto"/>
              <w:left w:val="single" w:sz="2" w:space="0" w:color="auto"/>
              <w:bottom w:val="single" w:sz="2" w:space="0" w:color="auto"/>
              <w:right w:val="single" w:sz="2" w:space="0" w:color="auto"/>
            </w:tcBorders>
            <w:vAlign w:val="center"/>
          </w:tcPr>
          <w:p w14:paraId="6F6F74A3" w14:textId="77777777" w:rsidR="007B3DB2" w:rsidRPr="0063248C" w:rsidRDefault="00000000">
            <w:pPr>
              <w:spacing w:line="240" w:lineRule="exact"/>
              <w:jc w:val="right"/>
              <w:rPr>
                <w:rFonts w:cs="宋体"/>
                <w:sz w:val="18"/>
                <w:szCs w:val="18"/>
              </w:rPr>
            </w:pPr>
            <w:r w:rsidRPr="0063248C">
              <w:rPr>
                <w:rFonts w:cs="宋体"/>
                <w:sz w:val="18"/>
                <w:szCs w:val="18"/>
              </w:rPr>
              <w:t>10.07%</w:t>
            </w:r>
          </w:p>
        </w:tc>
        <w:tc>
          <w:tcPr>
            <w:tcW w:w="1606" w:type="dxa"/>
            <w:tcBorders>
              <w:top w:val="single" w:sz="2" w:space="0" w:color="auto"/>
              <w:left w:val="single" w:sz="2" w:space="0" w:color="auto"/>
              <w:bottom w:val="single" w:sz="2" w:space="0" w:color="auto"/>
              <w:right w:val="single" w:sz="2" w:space="0" w:color="auto"/>
            </w:tcBorders>
            <w:vAlign w:val="center"/>
          </w:tcPr>
          <w:p w14:paraId="21DA7C37" w14:textId="77777777" w:rsidR="007B3DB2" w:rsidRPr="0063248C" w:rsidRDefault="007B3DB2">
            <w:pPr>
              <w:spacing w:line="240" w:lineRule="exact"/>
              <w:jc w:val="right"/>
              <w:rPr>
                <w:rFonts w:cs="宋体"/>
                <w:sz w:val="18"/>
                <w:szCs w:val="18"/>
              </w:rPr>
            </w:pPr>
          </w:p>
        </w:tc>
      </w:tr>
      <w:tr w:rsidR="007B3DB2" w:rsidRPr="0063248C" w14:paraId="65C2557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78555E9" w14:textId="77777777" w:rsidR="007B3DB2" w:rsidRPr="0063248C" w:rsidRDefault="00000000">
            <w:pPr>
              <w:spacing w:line="240" w:lineRule="exact"/>
              <w:rPr>
                <w:rFonts w:cs="宋体"/>
                <w:sz w:val="18"/>
                <w:szCs w:val="18"/>
              </w:rPr>
            </w:pPr>
            <w:r w:rsidRPr="0063248C">
              <w:rPr>
                <w:rFonts w:cs="宋体"/>
                <w:sz w:val="18"/>
                <w:szCs w:val="18"/>
              </w:rPr>
              <w:t>云南福照食品有限公司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513DB478" w14:textId="77777777" w:rsidR="007B3DB2" w:rsidRPr="0063248C" w:rsidRDefault="00000000">
            <w:pPr>
              <w:spacing w:line="240" w:lineRule="exact"/>
              <w:rPr>
                <w:rFonts w:cs="宋体"/>
                <w:sz w:val="18"/>
                <w:szCs w:val="18"/>
              </w:rPr>
            </w:pPr>
            <w:r w:rsidRPr="0063248C">
              <w:rPr>
                <w:rFonts w:cs="宋体"/>
                <w:sz w:val="18"/>
                <w:szCs w:val="18"/>
              </w:rPr>
              <w:t>应收关联方款项</w:t>
            </w:r>
          </w:p>
        </w:tc>
        <w:tc>
          <w:tcPr>
            <w:tcW w:w="1606" w:type="dxa"/>
            <w:tcBorders>
              <w:top w:val="single" w:sz="2" w:space="0" w:color="auto"/>
              <w:left w:val="single" w:sz="2" w:space="0" w:color="auto"/>
              <w:bottom w:val="single" w:sz="2" w:space="0" w:color="auto"/>
              <w:right w:val="single" w:sz="2" w:space="0" w:color="auto"/>
            </w:tcBorders>
            <w:vAlign w:val="center"/>
          </w:tcPr>
          <w:p w14:paraId="47413DEE" w14:textId="77777777" w:rsidR="007B3DB2" w:rsidRPr="0063248C" w:rsidRDefault="00000000">
            <w:pPr>
              <w:spacing w:line="240" w:lineRule="exact"/>
              <w:jc w:val="right"/>
              <w:rPr>
                <w:rFonts w:cs="宋体"/>
                <w:sz w:val="18"/>
                <w:szCs w:val="18"/>
              </w:rPr>
            </w:pPr>
            <w:r w:rsidRPr="0063248C">
              <w:rPr>
                <w:rFonts w:cs="宋体"/>
                <w:sz w:val="18"/>
                <w:szCs w:val="18"/>
              </w:rPr>
              <w:t>98,140,000.00</w:t>
            </w:r>
          </w:p>
        </w:tc>
        <w:tc>
          <w:tcPr>
            <w:tcW w:w="1606" w:type="dxa"/>
            <w:tcBorders>
              <w:top w:val="single" w:sz="2" w:space="0" w:color="auto"/>
              <w:left w:val="single" w:sz="2" w:space="0" w:color="auto"/>
              <w:bottom w:val="single" w:sz="2" w:space="0" w:color="auto"/>
              <w:right w:val="single" w:sz="2" w:space="0" w:color="auto"/>
            </w:tcBorders>
            <w:vAlign w:val="center"/>
          </w:tcPr>
          <w:p w14:paraId="2CF1A13D" w14:textId="77777777" w:rsidR="007B3DB2" w:rsidRPr="0063248C" w:rsidRDefault="00000000">
            <w:pPr>
              <w:spacing w:line="240" w:lineRule="exact"/>
              <w:rPr>
                <w:rFonts w:cs="宋体"/>
                <w:sz w:val="18"/>
                <w:szCs w:val="18"/>
              </w:rPr>
            </w:pPr>
            <w:r w:rsidRPr="0063248C">
              <w:rPr>
                <w:rFonts w:cs="宋体"/>
                <w:sz w:val="18"/>
                <w:szCs w:val="18"/>
              </w:rPr>
              <w:t>1-3</w:t>
            </w:r>
            <w:r w:rsidRPr="0063248C">
              <w:rPr>
                <w:rFonts w:cs="宋体"/>
                <w:sz w:val="18"/>
                <w:szCs w:val="18"/>
              </w:rPr>
              <w:t>月，</w:t>
            </w:r>
            <w:r w:rsidRPr="0063248C">
              <w:rPr>
                <w:rFonts w:cs="宋体"/>
                <w:sz w:val="18"/>
                <w:szCs w:val="18"/>
              </w:rPr>
              <w:t>2-3</w:t>
            </w:r>
            <w:r w:rsidRPr="0063248C">
              <w:rPr>
                <w:rFonts w:cs="宋体"/>
                <w:sz w:val="18"/>
                <w:szCs w:val="18"/>
              </w:rPr>
              <w:t>年，</w:t>
            </w:r>
            <w:r w:rsidRPr="0063248C">
              <w:rPr>
                <w:rFonts w:cs="宋体"/>
                <w:sz w:val="18"/>
                <w:szCs w:val="18"/>
              </w:rPr>
              <w:t>3</w:t>
            </w:r>
            <w:r w:rsidRPr="0063248C">
              <w:rPr>
                <w:rFonts w:cs="宋体"/>
                <w:sz w:val="18"/>
                <w:szCs w:val="18"/>
              </w:rPr>
              <w:t>年以上</w:t>
            </w:r>
          </w:p>
        </w:tc>
        <w:tc>
          <w:tcPr>
            <w:tcW w:w="1606" w:type="dxa"/>
            <w:tcBorders>
              <w:top w:val="single" w:sz="2" w:space="0" w:color="auto"/>
              <w:left w:val="single" w:sz="2" w:space="0" w:color="auto"/>
              <w:bottom w:val="single" w:sz="2" w:space="0" w:color="auto"/>
              <w:right w:val="single" w:sz="2" w:space="0" w:color="auto"/>
            </w:tcBorders>
            <w:vAlign w:val="center"/>
          </w:tcPr>
          <w:p w14:paraId="4CC36977" w14:textId="77777777" w:rsidR="007B3DB2" w:rsidRPr="0063248C" w:rsidRDefault="00000000">
            <w:pPr>
              <w:spacing w:line="240" w:lineRule="exact"/>
              <w:jc w:val="right"/>
              <w:rPr>
                <w:rFonts w:cs="宋体"/>
                <w:sz w:val="18"/>
                <w:szCs w:val="18"/>
              </w:rPr>
            </w:pPr>
            <w:r w:rsidRPr="0063248C">
              <w:rPr>
                <w:rFonts w:cs="宋体"/>
                <w:sz w:val="18"/>
                <w:szCs w:val="18"/>
              </w:rPr>
              <w:t>9.33%</w:t>
            </w:r>
          </w:p>
        </w:tc>
        <w:tc>
          <w:tcPr>
            <w:tcW w:w="1606" w:type="dxa"/>
            <w:tcBorders>
              <w:top w:val="single" w:sz="2" w:space="0" w:color="auto"/>
              <w:left w:val="single" w:sz="2" w:space="0" w:color="auto"/>
              <w:bottom w:val="single" w:sz="2" w:space="0" w:color="auto"/>
              <w:right w:val="single" w:sz="2" w:space="0" w:color="auto"/>
            </w:tcBorders>
            <w:vAlign w:val="center"/>
          </w:tcPr>
          <w:p w14:paraId="7FB1DEEE" w14:textId="77777777" w:rsidR="007B3DB2" w:rsidRPr="0063248C" w:rsidRDefault="00000000">
            <w:pPr>
              <w:spacing w:line="240" w:lineRule="exact"/>
              <w:jc w:val="right"/>
              <w:rPr>
                <w:rFonts w:cs="宋体"/>
                <w:sz w:val="18"/>
                <w:szCs w:val="18"/>
              </w:rPr>
            </w:pPr>
            <w:r w:rsidRPr="0063248C">
              <w:rPr>
                <w:rFonts w:cs="宋体"/>
                <w:sz w:val="18"/>
                <w:szCs w:val="18"/>
              </w:rPr>
              <w:t>98,140,000.00</w:t>
            </w:r>
          </w:p>
        </w:tc>
      </w:tr>
      <w:tr w:rsidR="007B3DB2" w:rsidRPr="0063248C" w14:paraId="0506EB53"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B55533A"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366BD39" w14:textId="77777777" w:rsidR="007B3DB2" w:rsidRPr="0063248C" w:rsidRDefault="007B3DB2"/>
        </w:tc>
        <w:tc>
          <w:tcPr>
            <w:tcW w:w="1606" w:type="dxa"/>
            <w:tcBorders>
              <w:top w:val="single" w:sz="2" w:space="0" w:color="auto"/>
              <w:left w:val="single" w:sz="2" w:space="0" w:color="auto"/>
              <w:bottom w:val="single" w:sz="2" w:space="0" w:color="auto"/>
              <w:right w:val="single" w:sz="2" w:space="0" w:color="auto"/>
            </w:tcBorders>
            <w:vAlign w:val="center"/>
          </w:tcPr>
          <w:p w14:paraId="577615F0" w14:textId="77777777" w:rsidR="007B3DB2" w:rsidRPr="0063248C" w:rsidRDefault="00000000">
            <w:pPr>
              <w:spacing w:line="240" w:lineRule="exact"/>
              <w:jc w:val="right"/>
              <w:rPr>
                <w:rFonts w:cs="宋体"/>
                <w:sz w:val="18"/>
                <w:szCs w:val="18"/>
              </w:rPr>
            </w:pPr>
            <w:r w:rsidRPr="0063248C">
              <w:rPr>
                <w:rFonts w:cs="宋体"/>
                <w:sz w:val="18"/>
                <w:szCs w:val="18"/>
              </w:rPr>
              <w:t>883,610,000.00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834770B" w14:textId="77777777" w:rsidR="007B3DB2" w:rsidRPr="0063248C" w:rsidRDefault="007B3DB2"/>
        </w:tc>
        <w:tc>
          <w:tcPr>
            <w:tcW w:w="1606" w:type="dxa"/>
            <w:tcBorders>
              <w:top w:val="single" w:sz="2" w:space="0" w:color="auto"/>
              <w:left w:val="single" w:sz="2" w:space="0" w:color="auto"/>
              <w:bottom w:val="single" w:sz="2" w:space="0" w:color="auto"/>
              <w:right w:val="single" w:sz="2" w:space="0" w:color="auto"/>
            </w:tcBorders>
            <w:vAlign w:val="center"/>
          </w:tcPr>
          <w:p w14:paraId="3FC7DF8D" w14:textId="77777777" w:rsidR="007B3DB2" w:rsidRPr="0063248C" w:rsidRDefault="00000000">
            <w:pPr>
              <w:spacing w:line="240" w:lineRule="exact"/>
              <w:jc w:val="right"/>
              <w:rPr>
                <w:rFonts w:cs="宋体"/>
                <w:sz w:val="18"/>
                <w:szCs w:val="18"/>
              </w:rPr>
            </w:pPr>
            <w:r w:rsidRPr="0063248C">
              <w:rPr>
                <w:rFonts w:cs="宋体"/>
                <w:sz w:val="18"/>
                <w:szCs w:val="18"/>
              </w:rPr>
              <w:t>84.02%</w:t>
            </w:r>
          </w:p>
        </w:tc>
        <w:tc>
          <w:tcPr>
            <w:tcW w:w="1606" w:type="dxa"/>
            <w:tcBorders>
              <w:top w:val="single" w:sz="2" w:space="0" w:color="auto"/>
              <w:left w:val="single" w:sz="2" w:space="0" w:color="auto"/>
              <w:bottom w:val="single" w:sz="2" w:space="0" w:color="auto"/>
              <w:right w:val="single" w:sz="2" w:space="0" w:color="auto"/>
            </w:tcBorders>
            <w:vAlign w:val="center"/>
          </w:tcPr>
          <w:p w14:paraId="71D7F60B" w14:textId="77777777" w:rsidR="007B3DB2" w:rsidRPr="0063248C" w:rsidRDefault="00000000">
            <w:pPr>
              <w:spacing w:line="240" w:lineRule="exact"/>
              <w:jc w:val="right"/>
              <w:rPr>
                <w:rFonts w:cs="宋体"/>
                <w:sz w:val="18"/>
                <w:szCs w:val="18"/>
              </w:rPr>
            </w:pPr>
            <w:r w:rsidRPr="0063248C">
              <w:rPr>
                <w:rFonts w:cs="宋体"/>
                <w:sz w:val="18"/>
                <w:szCs w:val="18"/>
              </w:rPr>
              <w:t>542,140,000.00</w:t>
            </w:r>
          </w:p>
        </w:tc>
      </w:tr>
    </w:tbl>
    <w:p w14:paraId="757E9535" w14:textId="77777777" w:rsidR="007B3DB2" w:rsidRPr="0063248C" w:rsidRDefault="00000000">
      <w:pPr>
        <w:keepNext/>
        <w:keepLines/>
        <w:spacing w:before="300" w:after="300" w:line="280" w:lineRule="exact"/>
        <w:outlineLvl w:val="4"/>
        <w:rPr>
          <w:rFonts w:cs="宋体"/>
          <w:b/>
          <w:bCs/>
          <w:sz w:val="18"/>
          <w:szCs w:val="18"/>
        </w:rPr>
      </w:pPr>
      <w:bookmarkStart w:id="547" w:name="_Toc989441"/>
      <w:r w:rsidRPr="0063248C">
        <w:rPr>
          <w:rFonts w:cs="宋体"/>
          <w:b/>
          <w:bCs/>
          <w:sz w:val="18"/>
          <w:szCs w:val="18"/>
        </w:rPr>
        <w:t>7</w:t>
      </w:r>
      <w:r w:rsidRPr="0063248C">
        <w:rPr>
          <w:rFonts w:cs="宋体"/>
          <w:b/>
          <w:bCs/>
          <w:sz w:val="18"/>
          <w:szCs w:val="18"/>
        </w:rPr>
        <w:t>）</w:t>
      </w:r>
      <w:r w:rsidRPr="0063248C">
        <w:rPr>
          <w:rFonts w:cs="宋体"/>
          <w:b/>
          <w:bCs/>
          <w:sz w:val="18"/>
          <w:szCs w:val="18"/>
        </w:rPr>
        <w:t xml:space="preserve"> </w:t>
      </w:r>
      <w:r w:rsidRPr="0063248C">
        <w:rPr>
          <w:rFonts w:cs="宋体"/>
          <w:b/>
          <w:bCs/>
          <w:sz w:val="18"/>
          <w:szCs w:val="18"/>
        </w:rPr>
        <w:t>因资金集中管理而列报于其他应收款</w:t>
      </w:r>
      <w:bookmarkEnd w:id="547"/>
    </w:p>
    <w:p w14:paraId="605A02C5" w14:textId="77777777" w:rsidR="00517D34" w:rsidRPr="0063248C" w:rsidRDefault="00000000">
      <w:pPr>
        <w:pStyle w:val="a3"/>
        <w:divId w:val="343945160"/>
        <w:rPr>
          <w:rFonts w:ascii="Times New Roman" w:hAnsi="Times New Roman"/>
          <w:sz w:val="18"/>
          <w:szCs w:val="18"/>
        </w:rPr>
      </w:pPr>
      <w:r w:rsidRPr="0063248C">
        <w:rPr>
          <w:rFonts w:ascii="Times New Roman" w:hAnsi="Times New Roman" w:hint="eastAsia"/>
          <w:sz w:val="18"/>
          <w:szCs w:val="18"/>
        </w:rPr>
        <w:t>无</w:t>
      </w:r>
    </w:p>
    <w:p w14:paraId="78293294" w14:textId="77777777" w:rsidR="007B3DB2" w:rsidRPr="0063248C" w:rsidRDefault="00000000">
      <w:pPr>
        <w:pStyle w:val="3"/>
        <w:spacing w:line="280" w:lineRule="exact"/>
        <w:jc w:val="left"/>
        <w:rPr>
          <w:rFonts w:cs="宋体"/>
          <w:b/>
          <w:bCs/>
        </w:rPr>
      </w:pPr>
      <w:bookmarkStart w:id="548" w:name="_Toc989442"/>
      <w:r w:rsidRPr="0063248C">
        <w:rPr>
          <w:rFonts w:cs="宋体"/>
          <w:b/>
          <w:bCs/>
        </w:rPr>
        <w:t>3</w:t>
      </w:r>
      <w:r w:rsidRPr="0063248C">
        <w:rPr>
          <w:rFonts w:cs="宋体"/>
          <w:b/>
          <w:bCs/>
        </w:rPr>
        <w:t>、长期股权投资</w:t>
      </w:r>
      <w:bookmarkEnd w:id="548"/>
    </w:p>
    <w:p w14:paraId="5F8650FF"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377"/>
        <w:gridCol w:w="1377"/>
        <w:gridCol w:w="1377"/>
        <w:gridCol w:w="1377"/>
        <w:gridCol w:w="1377"/>
        <w:gridCol w:w="1377"/>
        <w:gridCol w:w="1377"/>
      </w:tblGrid>
      <w:tr w:rsidR="007B3DB2" w:rsidRPr="0063248C" w14:paraId="03914B56" w14:textId="77777777" w:rsidTr="00831EF5">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DE42F1"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FBAFE8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3C2645D"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w:t>
            </w:r>
          </w:p>
        </w:tc>
      </w:tr>
      <w:tr w:rsidR="007B3DB2" w:rsidRPr="0063248C" w14:paraId="28F1440E" w14:textId="77777777" w:rsidTr="00831EF5">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803C5FB" w14:textId="77777777" w:rsidR="007B3DB2" w:rsidRPr="0063248C" w:rsidRDefault="007B3DB2"/>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3CF20AD"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C25554D"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F465D9D"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9822695"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10ECDBC"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FF79A90" w14:textId="77777777" w:rsidR="007B3DB2" w:rsidRPr="0063248C" w:rsidRDefault="00000000">
            <w:pPr>
              <w:spacing w:before="40" w:after="40" w:line="240" w:lineRule="exact"/>
              <w:jc w:val="center"/>
              <w:rPr>
                <w:rFonts w:cs="宋体"/>
                <w:sz w:val="18"/>
                <w:szCs w:val="18"/>
              </w:rPr>
            </w:pPr>
            <w:r w:rsidRPr="0063248C">
              <w:rPr>
                <w:rFonts w:cs="宋体"/>
                <w:sz w:val="18"/>
                <w:szCs w:val="18"/>
              </w:rPr>
              <w:t>账面价值</w:t>
            </w:r>
          </w:p>
        </w:tc>
      </w:tr>
      <w:tr w:rsidR="007B3DB2" w:rsidRPr="0063248C" w14:paraId="4D7386C4" w14:textId="77777777" w:rsidTr="00831EF5">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ACC9A56" w14:textId="77777777" w:rsidR="007B3DB2" w:rsidRPr="0063248C" w:rsidRDefault="00000000">
            <w:pPr>
              <w:spacing w:before="40" w:after="40" w:line="240" w:lineRule="exact"/>
              <w:rPr>
                <w:rFonts w:cs="宋体"/>
                <w:sz w:val="18"/>
                <w:szCs w:val="18"/>
              </w:rPr>
            </w:pPr>
            <w:r w:rsidRPr="0063248C">
              <w:rPr>
                <w:rFonts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14:paraId="2649B980" w14:textId="77777777" w:rsidR="007B3DB2" w:rsidRPr="0063248C" w:rsidRDefault="00000000">
            <w:pPr>
              <w:spacing w:line="240" w:lineRule="exact"/>
              <w:jc w:val="right"/>
              <w:rPr>
                <w:rFonts w:cs="宋体"/>
                <w:sz w:val="18"/>
                <w:szCs w:val="18"/>
              </w:rPr>
            </w:pPr>
            <w:r w:rsidRPr="0063248C">
              <w:rPr>
                <w:rFonts w:cs="宋体"/>
                <w:sz w:val="18"/>
                <w:szCs w:val="18"/>
              </w:rPr>
              <w:t>2,668,499,735.97</w:t>
            </w:r>
          </w:p>
        </w:tc>
        <w:tc>
          <w:tcPr>
            <w:tcW w:w="1377" w:type="dxa"/>
            <w:tcBorders>
              <w:top w:val="single" w:sz="2" w:space="0" w:color="auto"/>
              <w:left w:val="single" w:sz="2" w:space="0" w:color="auto"/>
              <w:bottom w:val="single" w:sz="2" w:space="0" w:color="auto"/>
              <w:right w:val="single" w:sz="2" w:space="0" w:color="auto"/>
            </w:tcBorders>
            <w:vAlign w:val="center"/>
          </w:tcPr>
          <w:p w14:paraId="755E1852" w14:textId="77777777" w:rsidR="007B3DB2" w:rsidRPr="0063248C" w:rsidRDefault="00000000">
            <w:pPr>
              <w:spacing w:line="240" w:lineRule="exact"/>
              <w:jc w:val="right"/>
              <w:rPr>
                <w:rFonts w:cs="宋体"/>
                <w:sz w:val="18"/>
                <w:szCs w:val="18"/>
              </w:rPr>
            </w:pPr>
            <w:r w:rsidRPr="0063248C">
              <w:rPr>
                <w:rFonts w:cs="宋体"/>
                <w:sz w:val="18"/>
                <w:szCs w:val="18"/>
              </w:rPr>
              <w:t>94,417,913.10</w:t>
            </w:r>
          </w:p>
        </w:tc>
        <w:tc>
          <w:tcPr>
            <w:tcW w:w="1377" w:type="dxa"/>
            <w:tcBorders>
              <w:top w:val="single" w:sz="2" w:space="0" w:color="auto"/>
              <w:left w:val="single" w:sz="2" w:space="0" w:color="auto"/>
              <w:bottom w:val="single" w:sz="2" w:space="0" w:color="auto"/>
              <w:right w:val="single" w:sz="2" w:space="0" w:color="auto"/>
            </w:tcBorders>
            <w:vAlign w:val="center"/>
          </w:tcPr>
          <w:p w14:paraId="35D8042A" w14:textId="77777777" w:rsidR="007B3DB2" w:rsidRPr="0063248C" w:rsidRDefault="00000000">
            <w:pPr>
              <w:spacing w:line="240" w:lineRule="exact"/>
              <w:jc w:val="right"/>
              <w:rPr>
                <w:rFonts w:cs="宋体"/>
                <w:sz w:val="18"/>
                <w:szCs w:val="18"/>
              </w:rPr>
            </w:pPr>
            <w:r w:rsidRPr="0063248C">
              <w:rPr>
                <w:rFonts w:cs="宋体"/>
                <w:sz w:val="18"/>
                <w:szCs w:val="18"/>
              </w:rPr>
              <w:t>2,574,081,822.87</w:t>
            </w:r>
          </w:p>
        </w:tc>
        <w:tc>
          <w:tcPr>
            <w:tcW w:w="1377" w:type="dxa"/>
            <w:tcBorders>
              <w:top w:val="single" w:sz="2" w:space="0" w:color="auto"/>
              <w:left w:val="single" w:sz="2" w:space="0" w:color="auto"/>
              <w:bottom w:val="single" w:sz="2" w:space="0" w:color="auto"/>
              <w:right w:val="single" w:sz="2" w:space="0" w:color="auto"/>
            </w:tcBorders>
            <w:vAlign w:val="center"/>
          </w:tcPr>
          <w:p w14:paraId="3B249B32" w14:textId="77777777" w:rsidR="007B3DB2" w:rsidRPr="0063248C" w:rsidRDefault="00000000">
            <w:pPr>
              <w:spacing w:line="240" w:lineRule="exact"/>
              <w:jc w:val="right"/>
              <w:rPr>
                <w:rFonts w:cs="宋体"/>
                <w:sz w:val="18"/>
                <w:szCs w:val="18"/>
              </w:rPr>
            </w:pPr>
            <w:r w:rsidRPr="0063248C">
              <w:rPr>
                <w:rFonts w:cs="宋体"/>
                <w:sz w:val="18"/>
                <w:szCs w:val="18"/>
              </w:rPr>
              <w:t>2,688,499,735.97</w:t>
            </w:r>
          </w:p>
        </w:tc>
        <w:tc>
          <w:tcPr>
            <w:tcW w:w="1377" w:type="dxa"/>
            <w:tcBorders>
              <w:top w:val="single" w:sz="2" w:space="0" w:color="auto"/>
              <w:left w:val="single" w:sz="2" w:space="0" w:color="auto"/>
              <w:bottom w:val="single" w:sz="2" w:space="0" w:color="auto"/>
              <w:right w:val="single" w:sz="2" w:space="0" w:color="auto"/>
            </w:tcBorders>
            <w:vAlign w:val="center"/>
          </w:tcPr>
          <w:p w14:paraId="0662A223" w14:textId="77777777" w:rsidR="007B3DB2" w:rsidRPr="0063248C" w:rsidRDefault="00000000">
            <w:pPr>
              <w:spacing w:line="240" w:lineRule="exact"/>
              <w:jc w:val="right"/>
              <w:rPr>
                <w:rFonts w:cs="宋体"/>
                <w:sz w:val="18"/>
                <w:szCs w:val="18"/>
              </w:rPr>
            </w:pPr>
            <w:r w:rsidRPr="0063248C">
              <w:rPr>
                <w:rFonts w:cs="宋体"/>
                <w:sz w:val="18"/>
                <w:szCs w:val="18"/>
              </w:rPr>
              <w:t>114,417,913.10</w:t>
            </w:r>
          </w:p>
        </w:tc>
        <w:tc>
          <w:tcPr>
            <w:tcW w:w="1377" w:type="dxa"/>
            <w:tcBorders>
              <w:top w:val="single" w:sz="2" w:space="0" w:color="auto"/>
              <w:left w:val="single" w:sz="2" w:space="0" w:color="auto"/>
              <w:bottom w:val="single" w:sz="2" w:space="0" w:color="auto"/>
              <w:right w:val="single" w:sz="2" w:space="0" w:color="auto"/>
            </w:tcBorders>
            <w:vAlign w:val="center"/>
          </w:tcPr>
          <w:p w14:paraId="10F2CB72" w14:textId="77777777" w:rsidR="007B3DB2" w:rsidRPr="0063248C" w:rsidRDefault="00000000">
            <w:pPr>
              <w:spacing w:line="240" w:lineRule="exact"/>
              <w:jc w:val="right"/>
              <w:rPr>
                <w:rFonts w:cs="宋体"/>
                <w:sz w:val="18"/>
                <w:szCs w:val="18"/>
              </w:rPr>
            </w:pPr>
            <w:r w:rsidRPr="0063248C">
              <w:rPr>
                <w:rFonts w:cs="宋体"/>
                <w:sz w:val="18"/>
                <w:szCs w:val="18"/>
              </w:rPr>
              <w:t>2,574,081,822.87</w:t>
            </w:r>
          </w:p>
        </w:tc>
      </w:tr>
      <w:tr w:rsidR="007B3DB2" w:rsidRPr="0063248C" w14:paraId="0B33E398" w14:textId="77777777" w:rsidTr="00831EF5">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405E970"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1D95E87" w14:textId="77777777" w:rsidR="007B3DB2" w:rsidRPr="0063248C" w:rsidRDefault="00000000">
            <w:pPr>
              <w:spacing w:line="240" w:lineRule="exact"/>
              <w:jc w:val="right"/>
              <w:rPr>
                <w:rFonts w:cs="宋体"/>
                <w:sz w:val="18"/>
                <w:szCs w:val="18"/>
              </w:rPr>
            </w:pPr>
            <w:r w:rsidRPr="0063248C">
              <w:rPr>
                <w:rFonts w:cs="宋体"/>
                <w:sz w:val="18"/>
                <w:szCs w:val="18"/>
              </w:rPr>
              <w:t>2,668,499,735.97</w:t>
            </w:r>
          </w:p>
        </w:tc>
        <w:tc>
          <w:tcPr>
            <w:tcW w:w="1377" w:type="dxa"/>
            <w:tcBorders>
              <w:top w:val="single" w:sz="2" w:space="0" w:color="auto"/>
              <w:left w:val="single" w:sz="2" w:space="0" w:color="auto"/>
              <w:bottom w:val="single" w:sz="2" w:space="0" w:color="auto"/>
              <w:right w:val="single" w:sz="2" w:space="0" w:color="auto"/>
            </w:tcBorders>
            <w:vAlign w:val="center"/>
          </w:tcPr>
          <w:p w14:paraId="1B0C5004" w14:textId="77777777" w:rsidR="007B3DB2" w:rsidRPr="0063248C" w:rsidRDefault="00000000">
            <w:pPr>
              <w:spacing w:line="240" w:lineRule="exact"/>
              <w:jc w:val="right"/>
              <w:rPr>
                <w:rFonts w:cs="宋体"/>
                <w:sz w:val="18"/>
                <w:szCs w:val="18"/>
              </w:rPr>
            </w:pPr>
            <w:r w:rsidRPr="0063248C">
              <w:rPr>
                <w:rFonts w:cs="宋体"/>
                <w:sz w:val="18"/>
                <w:szCs w:val="18"/>
              </w:rPr>
              <w:t>94,417,913.10</w:t>
            </w:r>
          </w:p>
        </w:tc>
        <w:tc>
          <w:tcPr>
            <w:tcW w:w="1377" w:type="dxa"/>
            <w:tcBorders>
              <w:top w:val="single" w:sz="2" w:space="0" w:color="auto"/>
              <w:left w:val="single" w:sz="2" w:space="0" w:color="auto"/>
              <w:bottom w:val="single" w:sz="2" w:space="0" w:color="auto"/>
              <w:right w:val="single" w:sz="2" w:space="0" w:color="auto"/>
            </w:tcBorders>
            <w:vAlign w:val="center"/>
          </w:tcPr>
          <w:p w14:paraId="42665D4E" w14:textId="77777777" w:rsidR="007B3DB2" w:rsidRPr="0063248C" w:rsidRDefault="00000000">
            <w:pPr>
              <w:spacing w:line="240" w:lineRule="exact"/>
              <w:jc w:val="right"/>
              <w:rPr>
                <w:rFonts w:cs="宋体"/>
                <w:sz w:val="18"/>
                <w:szCs w:val="18"/>
              </w:rPr>
            </w:pPr>
            <w:r w:rsidRPr="0063248C">
              <w:rPr>
                <w:rFonts w:cs="宋体"/>
                <w:sz w:val="18"/>
                <w:szCs w:val="18"/>
              </w:rPr>
              <w:t>2,574,081,822.87</w:t>
            </w:r>
          </w:p>
        </w:tc>
        <w:tc>
          <w:tcPr>
            <w:tcW w:w="1377" w:type="dxa"/>
            <w:tcBorders>
              <w:top w:val="single" w:sz="2" w:space="0" w:color="auto"/>
              <w:left w:val="single" w:sz="2" w:space="0" w:color="auto"/>
              <w:bottom w:val="single" w:sz="2" w:space="0" w:color="auto"/>
              <w:right w:val="single" w:sz="2" w:space="0" w:color="auto"/>
            </w:tcBorders>
            <w:vAlign w:val="center"/>
          </w:tcPr>
          <w:p w14:paraId="6C16477C" w14:textId="77777777" w:rsidR="007B3DB2" w:rsidRPr="0063248C" w:rsidRDefault="00000000">
            <w:pPr>
              <w:spacing w:line="240" w:lineRule="exact"/>
              <w:jc w:val="right"/>
              <w:rPr>
                <w:rFonts w:cs="宋体"/>
                <w:sz w:val="18"/>
                <w:szCs w:val="18"/>
              </w:rPr>
            </w:pPr>
            <w:r w:rsidRPr="0063248C">
              <w:rPr>
                <w:rFonts w:cs="宋体"/>
                <w:sz w:val="18"/>
                <w:szCs w:val="18"/>
              </w:rPr>
              <w:t>2,688,499,735.97</w:t>
            </w:r>
          </w:p>
        </w:tc>
        <w:tc>
          <w:tcPr>
            <w:tcW w:w="1377" w:type="dxa"/>
            <w:tcBorders>
              <w:top w:val="single" w:sz="2" w:space="0" w:color="auto"/>
              <w:left w:val="single" w:sz="2" w:space="0" w:color="auto"/>
              <w:bottom w:val="single" w:sz="2" w:space="0" w:color="auto"/>
              <w:right w:val="single" w:sz="2" w:space="0" w:color="auto"/>
            </w:tcBorders>
            <w:vAlign w:val="center"/>
          </w:tcPr>
          <w:p w14:paraId="2DC14B32" w14:textId="77777777" w:rsidR="007B3DB2" w:rsidRPr="0063248C" w:rsidRDefault="00000000">
            <w:pPr>
              <w:spacing w:line="240" w:lineRule="exact"/>
              <w:jc w:val="right"/>
              <w:rPr>
                <w:rFonts w:cs="宋体"/>
                <w:sz w:val="18"/>
                <w:szCs w:val="18"/>
              </w:rPr>
            </w:pPr>
            <w:r w:rsidRPr="0063248C">
              <w:rPr>
                <w:rFonts w:cs="宋体"/>
                <w:sz w:val="18"/>
                <w:szCs w:val="18"/>
              </w:rPr>
              <w:t>114,417,913.10</w:t>
            </w:r>
          </w:p>
        </w:tc>
        <w:tc>
          <w:tcPr>
            <w:tcW w:w="1377" w:type="dxa"/>
            <w:tcBorders>
              <w:top w:val="single" w:sz="2" w:space="0" w:color="auto"/>
              <w:left w:val="single" w:sz="2" w:space="0" w:color="auto"/>
              <w:bottom w:val="single" w:sz="2" w:space="0" w:color="auto"/>
              <w:right w:val="single" w:sz="2" w:space="0" w:color="auto"/>
            </w:tcBorders>
            <w:vAlign w:val="center"/>
          </w:tcPr>
          <w:p w14:paraId="6B6E8D69" w14:textId="77777777" w:rsidR="007B3DB2" w:rsidRPr="0063248C" w:rsidRDefault="00000000">
            <w:pPr>
              <w:spacing w:line="240" w:lineRule="exact"/>
              <w:jc w:val="right"/>
              <w:rPr>
                <w:rFonts w:cs="宋体"/>
                <w:sz w:val="18"/>
                <w:szCs w:val="18"/>
              </w:rPr>
            </w:pPr>
            <w:r w:rsidRPr="0063248C">
              <w:rPr>
                <w:rFonts w:cs="宋体"/>
                <w:sz w:val="18"/>
                <w:szCs w:val="18"/>
              </w:rPr>
              <w:t>2,574,081,822.87</w:t>
            </w:r>
          </w:p>
        </w:tc>
      </w:tr>
    </w:tbl>
    <w:p w14:paraId="60AEE7CD" w14:textId="77777777" w:rsidR="007B3DB2" w:rsidRPr="0063248C" w:rsidRDefault="00000000">
      <w:pPr>
        <w:keepNext/>
        <w:keepLines/>
        <w:spacing w:before="300" w:after="300" w:line="280" w:lineRule="exact"/>
        <w:outlineLvl w:val="3"/>
        <w:rPr>
          <w:rFonts w:cs="宋体"/>
          <w:b/>
          <w:bCs/>
          <w:szCs w:val="21"/>
        </w:rPr>
      </w:pPr>
      <w:bookmarkStart w:id="549" w:name="_Toc989443"/>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对子公司投资</w:t>
      </w:r>
      <w:bookmarkEnd w:id="549"/>
    </w:p>
    <w:p w14:paraId="30FF9C68"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000" w:firstRow="0" w:lastRow="0" w:firstColumn="0" w:lastColumn="0" w:noHBand="0" w:noVBand="0"/>
      </w:tblPr>
      <w:tblGrid>
        <w:gridCol w:w="1071"/>
        <w:gridCol w:w="1071"/>
        <w:gridCol w:w="1071"/>
        <w:gridCol w:w="847"/>
        <w:gridCol w:w="1276"/>
        <w:gridCol w:w="1276"/>
        <w:gridCol w:w="567"/>
        <w:gridCol w:w="1275"/>
        <w:gridCol w:w="1185"/>
      </w:tblGrid>
      <w:tr w:rsidR="007B3DB2" w:rsidRPr="0063248C" w14:paraId="5CFD57ED" w14:textId="77777777" w:rsidTr="00FA083A">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202210" w14:textId="77777777" w:rsidR="007B3DB2" w:rsidRPr="0063248C" w:rsidRDefault="00000000">
            <w:pPr>
              <w:spacing w:before="40" w:after="40" w:line="240" w:lineRule="exact"/>
              <w:jc w:val="center"/>
              <w:rPr>
                <w:rFonts w:cs="宋体"/>
                <w:sz w:val="18"/>
                <w:szCs w:val="18"/>
              </w:rPr>
            </w:pPr>
            <w:r w:rsidRPr="0063248C">
              <w:rPr>
                <w:rFonts w:cs="宋体"/>
                <w:sz w:val="18"/>
                <w:szCs w:val="18"/>
              </w:rPr>
              <w:t>被投资单位</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C7A950" w14:textId="77777777" w:rsidR="007B3DB2" w:rsidRPr="0063248C" w:rsidRDefault="00000000">
            <w:pPr>
              <w:spacing w:before="40" w:after="40" w:line="240" w:lineRule="exact"/>
              <w:jc w:val="center"/>
              <w:rPr>
                <w:rFonts w:cs="宋体"/>
                <w:sz w:val="18"/>
                <w:szCs w:val="18"/>
              </w:rPr>
            </w:pPr>
            <w:r w:rsidRPr="0063248C">
              <w:rPr>
                <w:rFonts w:cs="宋体"/>
                <w:sz w:val="18"/>
                <w:szCs w:val="18"/>
              </w:rPr>
              <w:t>期初余额（账面价值）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6B73250"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减值准备期初余额</w:t>
            </w:r>
          </w:p>
        </w:tc>
        <w:tc>
          <w:tcPr>
            <w:tcW w:w="396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D11EF24"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本期增减变动</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4102E3E" w14:textId="77777777" w:rsidR="007B3DB2" w:rsidRPr="0063248C" w:rsidRDefault="00000000">
            <w:pPr>
              <w:spacing w:before="40" w:after="40" w:line="240" w:lineRule="exact"/>
              <w:jc w:val="center"/>
              <w:rPr>
                <w:rFonts w:cs="宋体"/>
                <w:sz w:val="18"/>
                <w:szCs w:val="18"/>
              </w:rPr>
            </w:pPr>
            <w:r w:rsidRPr="0063248C">
              <w:rPr>
                <w:rFonts w:cs="宋体"/>
                <w:sz w:val="18"/>
                <w:szCs w:val="18"/>
              </w:rPr>
              <w:t>期末余额（账面价值）</w:t>
            </w:r>
          </w:p>
        </w:tc>
        <w:tc>
          <w:tcPr>
            <w:tcW w:w="118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BCAC53B"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减值准备期末余额</w:t>
            </w:r>
          </w:p>
        </w:tc>
      </w:tr>
      <w:tr w:rsidR="007B3DB2" w:rsidRPr="0063248C" w14:paraId="2112C02C" w14:textId="77777777" w:rsidTr="00FA083A">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E2303B9" w14:textId="77777777" w:rsidR="007B3DB2" w:rsidRPr="0063248C" w:rsidRDefault="007B3DB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052CE3D" w14:textId="77777777" w:rsidR="007B3DB2" w:rsidRPr="0063248C" w:rsidRDefault="007B3DB2"/>
        </w:tc>
        <w:tc>
          <w:tcPr>
            <w:tcW w:w="1071" w:type="dxa"/>
            <w:vMerge/>
            <w:tcBorders>
              <w:top w:val="single" w:sz="2" w:space="0" w:color="auto"/>
              <w:left w:val="single" w:sz="2" w:space="0" w:color="auto"/>
              <w:bottom w:val="single" w:sz="2" w:space="0" w:color="auto"/>
              <w:right w:val="single" w:sz="2" w:space="0" w:color="auto"/>
            </w:tcBorders>
            <w:vAlign w:val="center"/>
          </w:tcPr>
          <w:p w14:paraId="23BEC1B8" w14:textId="77777777" w:rsidR="007B3DB2" w:rsidRPr="0063248C" w:rsidRDefault="007B3DB2"/>
        </w:tc>
        <w:tc>
          <w:tcPr>
            <w:tcW w:w="847" w:type="dxa"/>
            <w:tcBorders>
              <w:top w:val="single" w:sz="2" w:space="0" w:color="auto"/>
              <w:left w:val="single" w:sz="2" w:space="0" w:color="auto"/>
              <w:bottom w:val="single" w:sz="2" w:space="0" w:color="auto"/>
              <w:right w:val="single" w:sz="2" w:space="0" w:color="auto"/>
            </w:tcBorders>
            <w:shd w:val="clear" w:color="auto" w:fill="D3D3D3"/>
            <w:vAlign w:val="center"/>
          </w:tcPr>
          <w:p w14:paraId="681A753A" w14:textId="77777777" w:rsidR="007B3DB2" w:rsidRPr="0063248C" w:rsidRDefault="00000000">
            <w:pPr>
              <w:spacing w:before="40" w:after="40" w:line="240" w:lineRule="exact"/>
              <w:jc w:val="center"/>
              <w:rPr>
                <w:rFonts w:cs="宋体"/>
                <w:sz w:val="18"/>
                <w:szCs w:val="18"/>
              </w:rPr>
            </w:pPr>
            <w:r w:rsidRPr="0063248C">
              <w:rPr>
                <w:rFonts w:cs="宋体"/>
                <w:sz w:val="18"/>
                <w:szCs w:val="18"/>
              </w:rPr>
              <w:t>追加投资</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A10138D" w14:textId="77777777" w:rsidR="007B3DB2" w:rsidRPr="0063248C" w:rsidRDefault="00000000">
            <w:pPr>
              <w:spacing w:before="40" w:after="40" w:line="240" w:lineRule="exact"/>
              <w:jc w:val="center"/>
              <w:rPr>
                <w:rFonts w:cs="宋体"/>
                <w:sz w:val="18"/>
                <w:szCs w:val="18"/>
              </w:rPr>
            </w:pPr>
            <w:r w:rsidRPr="0063248C">
              <w:rPr>
                <w:rFonts w:cs="宋体"/>
                <w:sz w:val="18"/>
                <w:szCs w:val="18"/>
              </w:rPr>
              <w:t>减少投资</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35CAEE20" w14:textId="77777777" w:rsidR="007B3DB2" w:rsidRPr="0063248C" w:rsidRDefault="00000000">
            <w:pPr>
              <w:spacing w:before="40" w:after="40" w:line="240" w:lineRule="exact"/>
              <w:jc w:val="center"/>
              <w:rPr>
                <w:rFonts w:cs="宋体"/>
                <w:sz w:val="18"/>
                <w:szCs w:val="18"/>
              </w:rPr>
            </w:pPr>
            <w:r w:rsidRPr="0063248C">
              <w:rPr>
                <w:rFonts w:cs="宋体"/>
                <w:sz w:val="18"/>
                <w:szCs w:val="18"/>
              </w:rPr>
              <w:t>计提减值准备</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451E1CAA" w14:textId="77777777" w:rsidR="007B3DB2" w:rsidRPr="0063248C" w:rsidRDefault="00000000">
            <w:pPr>
              <w:spacing w:before="40" w:after="40" w:line="240" w:lineRule="exact"/>
              <w:jc w:val="center"/>
              <w:rPr>
                <w:rFonts w:cs="宋体"/>
                <w:sz w:val="18"/>
                <w:szCs w:val="18"/>
              </w:rPr>
            </w:pPr>
            <w:r w:rsidRPr="0063248C">
              <w:rPr>
                <w:rFonts w:cs="宋体"/>
                <w:sz w:val="18"/>
                <w:szCs w:val="18"/>
              </w:rPr>
              <w:t>其他</w:t>
            </w:r>
          </w:p>
        </w:tc>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3E73D6" w14:textId="77777777" w:rsidR="007B3DB2" w:rsidRPr="0063248C" w:rsidRDefault="007B3DB2"/>
        </w:tc>
        <w:tc>
          <w:tcPr>
            <w:tcW w:w="118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EE9690" w14:textId="77777777" w:rsidR="007B3DB2" w:rsidRPr="0063248C" w:rsidRDefault="007B3DB2"/>
        </w:tc>
      </w:tr>
      <w:tr w:rsidR="007B3DB2" w:rsidRPr="0063248C" w14:paraId="18FA153B"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76311C1" w14:textId="77777777" w:rsidR="007B3DB2" w:rsidRPr="0063248C" w:rsidRDefault="00000000">
            <w:pPr>
              <w:spacing w:line="240" w:lineRule="exact"/>
              <w:rPr>
                <w:rFonts w:cs="宋体"/>
                <w:sz w:val="18"/>
                <w:szCs w:val="18"/>
              </w:rPr>
            </w:pPr>
            <w:r w:rsidRPr="0063248C">
              <w:rPr>
                <w:rFonts w:cs="宋体"/>
                <w:sz w:val="18"/>
                <w:szCs w:val="18"/>
              </w:rPr>
              <w:t>河南龙大牧原肉食品有限公司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EACF4AD" w14:textId="77777777" w:rsidR="007B3DB2" w:rsidRPr="0063248C" w:rsidRDefault="00000000">
            <w:pPr>
              <w:spacing w:line="240" w:lineRule="exact"/>
              <w:jc w:val="right"/>
              <w:rPr>
                <w:rFonts w:cs="宋体"/>
                <w:sz w:val="18"/>
                <w:szCs w:val="18"/>
              </w:rPr>
            </w:pPr>
            <w:r w:rsidRPr="0063248C">
              <w:rPr>
                <w:rFonts w:cs="宋体"/>
                <w:sz w:val="18"/>
                <w:szCs w:val="18"/>
              </w:rPr>
              <w:t>90,000,000.00</w:t>
            </w:r>
          </w:p>
        </w:tc>
        <w:tc>
          <w:tcPr>
            <w:tcW w:w="1071" w:type="dxa"/>
            <w:tcBorders>
              <w:top w:val="single" w:sz="2" w:space="0" w:color="auto"/>
              <w:left w:val="single" w:sz="2" w:space="0" w:color="auto"/>
              <w:bottom w:val="single" w:sz="2" w:space="0" w:color="auto"/>
              <w:right w:val="single" w:sz="2" w:space="0" w:color="auto"/>
            </w:tcBorders>
            <w:vAlign w:val="center"/>
          </w:tcPr>
          <w:p w14:paraId="2C336957"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4B5CF5F0"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853CF07"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23A2D63"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CEC13BF"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7BE45A1" w14:textId="77777777" w:rsidR="007B3DB2" w:rsidRPr="0063248C" w:rsidRDefault="00000000">
            <w:pPr>
              <w:spacing w:line="240" w:lineRule="exact"/>
              <w:jc w:val="right"/>
              <w:rPr>
                <w:rFonts w:cs="宋体"/>
                <w:sz w:val="18"/>
                <w:szCs w:val="18"/>
              </w:rPr>
            </w:pPr>
            <w:r w:rsidRPr="0063248C">
              <w:rPr>
                <w:rFonts w:cs="宋体"/>
                <w:sz w:val="18"/>
                <w:szCs w:val="18"/>
              </w:rPr>
              <w:t>90,000,000.00</w:t>
            </w:r>
          </w:p>
        </w:tc>
        <w:tc>
          <w:tcPr>
            <w:tcW w:w="1185" w:type="dxa"/>
            <w:tcBorders>
              <w:top w:val="single" w:sz="2" w:space="0" w:color="auto"/>
              <w:left w:val="single" w:sz="2" w:space="0" w:color="auto"/>
              <w:bottom w:val="single" w:sz="2" w:space="0" w:color="auto"/>
              <w:right w:val="single" w:sz="2" w:space="0" w:color="auto"/>
            </w:tcBorders>
            <w:vAlign w:val="center"/>
          </w:tcPr>
          <w:p w14:paraId="4981F0A7" w14:textId="77777777" w:rsidR="007B3DB2" w:rsidRPr="0063248C" w:rsidRDefault="007B3DB2">
            <w:pPr>
              <w:spacing w:line="240" w:lineRule="exact"/>
              <w:jc w:val="right"/>
              <w:rPr>
                <w:rFonts w:cs="宋体"/>
                <w:sz w:val="18"/>
                <w:szCs w:val="18"/>
              </w:rPr>
            </w:pPr>
          </w:p>
        </w:tc>
      </w:tr>
      <w:tr w:rsidR="007B3DB2" w:rsidRPr="0063248C" w14:paraId="59B25D8B"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D0D34C0" w14:textId="77777777" w:rsidR="007B3DB2" w:rsidRPr="0063248C" w:rsidRDefault="00000000">
            <w:pPr>
              <w:spacing w:line="240" w:lineRule="exact"/>
              <w:rPr>
                <w:rFonts w:cs="宋体"/>
                <w:sz w:val="18"/>
                <w:szCs w:val="18"/>
              </w:rPr>
            </w:pPr>
            <w:r w:rsidRPr="0063248C">
              <w:rPr>
                <w:rFonts w:cs="宋体"/>
                <w:sz w:val="18"/>
                <w:szCs w:val="18"/>
              </w:rPr>
              <w:t>聊城龙大肉食品有限公司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EAD8C0F" w14:textId="77777777" w:rsidR="007B3DB2" w:rsidRPr="0063248C" w:rsidRDefault="00000000">
            <w:pPr>
              <w:spacing w:line="240" w:lineRule="exact"/>
              <w:jc w:val="right"/>
              <w:rPr>
                <w:rFonts w:cs="宋体"/>
                <w:sz w:val="18"/>
                <w:szCs w:val="18"/>
              </w:rPr>
            </w:pPr>
            <w:r w:rsidRPr="0063248C">
              <w:rPr>
                <w:rFonts w:cs="宋体"/>
                <w:sz w:val="18"/>
                <w:szCs w:val="18"/>
              </w:rPr>
              <w:t>50,344,000.00</w:t>
            </w:r>
          </w:p>
        </w:tc>
        <w:tc>
          <w:tcPr>
            <w:tcW w:w="1071" w:type="dxa"/>
            <w:tcBorders>
              <w:top w:val="single" w:sz="2" w:space="0" w:color="auto"/>
              <w:left w:val="single" w:sz="2" w:space="0" w:color="auto"/>
              <w:bottom w:val="single" w:sz="2" w:space="0" w:color="auto"/>
              <w:right w:val="single" w:sz="2" w:space="0" w:color="auto"/>
            </w:tcBorders>
            <w:vAlign w:val="center"/>
          </w:tcPr>
          <w:p w14:paraId="32E2DAEA"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43F51714"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C832C77"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F4D8EAC"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D67343A"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B4B6373" w14:textId="77777777" w:rsidR="007B3DB2" w:rsidRPr="0063248C" w:rsidRDefault="00000000">
            <w:pPr>
              <w:spacing w:line="240" w:lineRule="exact"/>
              <w:jc w:val="right"/>
              <w:rPr>
                <w:rFonts w:cs="宋体"/>
                <w:sz w:val="18"/>
                <w:szCs w:val="18"/>
              </w:rPr>
            </w:pPr>
            <w:r w:rsidRPr="0063248C">
              <w:rPr>
                <w:rFonts w:cs="宋体"/>
                <w:sz w:val="18"/>
                <w:szCs w:val="18"/>
              </w:rPr>
              <w:t>50,344,000.00</w:t>
            </w:r>
          </w:p>
        </w:tc>
        <w:tc>
          <w:tcPr>
            <w:tcW w:w="1185" w:type="dxa"/>
            <w:tcBorders>
              <w:top w:val="single" w:sz="2" w:space="0" w:color="auto"/>
              <w:left w:val="single" w:sz="2" w:space="0" w:color="auto"/>
              <w:bottom w:val="single" w:sz="2" w:space="0" w:color="auto"/>
              <w:right w:val="single" w:sz="2" w:space="0" w:color="auto"/>
            </w:tcBorders>
            <w:vAlign w:val="center"/>
          </w:tcPr>
          <w:p w14:paraId="3632E61B" w14:textId="77777777" w:rsidR="007B3DB2" w:rsidRPr="0063248C" w:rsidRDefault="007B3DB2">
            <w:pPr>
              <w:spacing w:line="240" w:lineRule="exact"/>
              <w:jc w:val="right"/>
              <w:rPr>
                <w:rFonts w:cs="宋体"/>
                <w:sz w:val="18"/>
                <w:szCs w:val="18"/>
              </w:rPr>
            </w:pPr>
          </w:p>
        </w:tc>
      </w:tr>
      <w:tr w:rsidR="007B3DB2" w:rsidRPr="0063248C" w14:paraId="2E147B44"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ABB7F21" w14:textId="77777777" w:rsidR="007B3DB2" w:rsidRPr="0063248C" w:rsidRDefault="00000000">
            <w:pPr>
              <w:spacing w:line="240" w:lineRule="exact"/>
              <w:rPr>
                <w:rFonts w:cs="宋体"/>
                <w:sz w:val="18"/>
                <w:szCs w:val="18"/>
              </w:rPr>
            </w:pPr>
            <w:r w:rsidRPr="0063248C">
              <w:rPr>
                <w:rFonts w:cs="宋体"/>
                <w:sz w:val="18"/>
                <w:szCs w:val="18"/>
              </w:rPr>
              <w:t>烟台龙大养殖有限公司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7608E276" w14:textId="77777777" w:rsidR="007B3DB2" w:rsidRPr="0063248C" w:rsidRDefault="00000000">
            <w:pPr>
              <w:spacing w:line="240" w:lineRule="exact"/>
              <w:jc w:val="right"/>
              <w:rPr>
                <w:rFonts w:cs="宋体"/>
                <w:sz w:val="18"/>
                <w:szCs w:val="18"/>
              </w:rPr>
            </w:pPr>
            <w:r w:rsidRPr="0063248C">
              <w:rPr>
                <w:rFonts w:cs="宋体"/>
                <w:sz w:val="18"/>
                <w:szCs w:val="18"/>
              </w:rPr>
              <w:t>487,592,475.50</w:t>
            </w:r>
          </w:p>
        </w:tc>
        <w:tc>
          <w:tcPr>
            <w:tcW w:w="1071" w:type="dxa"/>
            <w:tcBorders>
              <w:top w:val="single" w:sz="2" w:space="0" w:color="auto"/>
              <w:left w:val="single" w:sz="2" w:space="0" w:color="auto"/>
              <w:bottom w:val="single" w:sz="2" w:space="0" w:color="auto"/>
              <w:right w:val="single" w:sz="2" w:space="0" w:color="auto"/>
            </w:tcBorders>
            <w:vAlign w:val="center"/>
          </w:tcPr>
          <w:p w14:paraId="4DE4C207"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5BF45571"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77EB428"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2D22FC8"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47FEFE9"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B2398D5" w14:textId="77777777" w:rsidR="007B3DB2" w:rsidRPr="0063248C" w:rsidRDefault="00000000">
            <w:pPr>
              <w:spacing w:line="240" w:lineRule="exact"/>
              <w:jc w:val="right"/>
              <w:rPr>
                <w:rFonts w:cs="宋体"/>
                <w:sz w:val="18"/>
                <w:szCs w:val="18"/>
              </w:rPr>
            </w:pPr>
            <w:r w:rsidRPr="0063248C">
              <w:rPr>
                <w:rFonts w:cs="宋体"/>
                <w:sz w:val="18"/>
                <w:szCs w:val="18"/>
              </w:rPr>
              <w:t>487,592,475.50</w:t>
            </w:r>
          </w:p>
        </w:tc>
        <w:tc>
          <w:tcPr>
            <w:tcW w:w="1185" w:type="dxa"/>
            <w:tcBorders>
              <w:top w:val="single" w:sz="2" w:space="0" w:color="auto"/>
              <w:left w:val="single" w:sz="2" w:space="0" w:color="auto"/>
              <w:bottom w:val="single" w:sz="2" w:space="0" w:color="auto"/>
              <w:right w:val="single" w:sz="2" w:space="0" w:color="auto"/>
            </w:tcBorders>
            <w:vAlign w:val="center"/>
          </w:tcPr>
          <w:p w14:paraId="0FAAFF65" w14:textId="77777777" w:rsidR="007B3DB2" w:rsidRPr="0063248C" w:rsidRDefault="007B3DB2">
            <w:pPr>
              <w:spacing w:line="240" w:lineRule="exact"/>
              <w:jc w:val="right"/>
              <w:rPr>
                <w:rFonts w:cs="宋体"/>
                <w:sz w:val="18"/>
                <w:szCs w:val="18"/>
              </w:rPr>
            </w:pPr>
          </w:p>
        </w:tc>
      </w:tr>
      <w:tr w:rsidR="007B3DB2" w:rsidRPr="0063248C" w14:paraId="55C678B3"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2C9B4AC" w14:textId="77777777" w:rsidR="007B3DB2" w:rsidRPr="0063248C" w:rsidRDefault="00000000">
            <w:pPr>
              <w:spacing w:line="240" w:lineRule="exact"/>
              <w:rPr>
                <w:rFonts w:cs="宋体"/>
                <w:sz w:val="18"/>
                <w:szCs w:val="18"/>
              </w:rPr>
            </w:pPr>
            <w:proofErr w:type="gramStart"/>
            <w:r w:rsidRPr="0063248C">
              <w:rPr>
                <w:rFonts w:cs="宋体"/>
                <w:sz w:val="18"/>
                <w:szCs w:val="18"/>
              </w:rPr>
              <w:t>莒</w:t>
            </w:r>
            <w:proofErr w:type="gramEnd"/>
            <w:r w:rsidRPr="0063248C">
              <w:rPr>
                <w:rFonts w:cs="宋体"/>
                <w:sz w:val="18"/>
                <w:szCs w:val="18"/>
              </w:rPr>
              <w:t>南龙大肉食品有限公司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6F250392" w14:textId="77777777" w:rsidR="007B3DB2" w:rsidRPr="0063248C" w:rsidRDefault="007B3DB2">
            <w:pPr>
              <w:spacing w:line="240" w:lineRule="exact"/>
              <w:jc w:val="right"/>
              <w:rPr>
                <w:rFonts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A06F71D"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847" w:type="dxa"/>
            <w:tcBorders>
              <w:top w:val="single" w:sz="2" w:space="0" w:color="auto"/>
              <w:left w:val="single" w:sz="2" w:space="0" w:color="auto"/>
              <w:bottom w:val="single" w:sz="2" w:space="0" w:color="auto"/>
              <w:right w:val="single" w:sz="2" w:space="0" w:color="auto"/>
            </w:tcBorders>
            <w:vAlign w:val="center"/>
          </w:tcPr>
          <w:p w14:paraId="78431622"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0B50745"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1276" w:type="dxa"/>
            <w:tcBorders>
              <w:top w:val="single" w:sz="2" w:space="0" w:color="auto"/>
              <w:left w:val="single" w:sz="2" w:space="0" w:color="auto"/>
              <w:bottom w:val="single" w:sz="2" w:space="0" w:color="auto"/>
              <w:right w:val="single" w:sz="2" w:space="0" w:color="auto"/>
            </w:tcBorders>
            <w:vAlign w:val="center"/>
          </w:tcPr>
          <w:p w14:paraId="7BE4B1B6"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567" w:type="dxa"/>
            <w:tcBorders>
              <w:top w:val="single" w:sz="2" w:space="0" w:color="auto"/>
              <w:left w:val="single" w:sz="2" w:space="0" w:color="auto"/>
              <w:bottom w:val="single" w:sz="2" w:space="0" w:color="auto"/>
              <w:right w:val="single" w:sz="2" w:space="0" w:color="auto"/>
            </w:tcBorders>
            <w:vAlign w:val="center"/>
          </w:tcPr>
          <w:p w14:paraId="0F82968B"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FD61D0D"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185" w:type="dxa"/>
            <w:tcBorders>
              <w:top w:val="single" w:sz="2" w:space="0" w:color="auto"/>
              <w:left w:val="single" w:sz="2" w:space="0" w:color="auto"/>
              <w:bottom w:val="single" w:sz="2" w:space="0" w:color="auto"/>
              <w:right w:val="single" w:sz="2" w:space="0" w:color="auto"/>
            </w:tcBorders>
            <w:vAlign w:val="center"/>
          </w:tcPr>
          <w:p w14:paraId="74254B4B" w14:textId="77777777" w:rsidR="007B3DB2" w:rsidRPr="0063248C" w:rsidRDefault="00000000">
            <w:pPr>
              <w:spacing w:line="240" w:lineRule="exact"/>
              <w:jc w:val="right"/>
              <w:rPr>
                <w:rFonts w:cs="宋体"/>
                <w:sz w:val="18"/>
                <w:szCs w:val="18"/>
              </w:rPr>
            </w:pPr>
            <w:r w:rsidRPr="0063248C">
              <w:rPr>
                <w:rFonts w:cs="宋体"/>
                <w:sz w:val="18"/>
                <w:szCs w:val="18"/>
              </w:rPr>
              <w:t>0.00</w:t>
            </w:r>
          </w:p>
        </w:tc>
      </w:tr>
      <w:tr w:rsidR="007B3DB2" w:rsidRPr="0063248C" w14:paraId="0849E92D"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A115FFE" w14:textId="77777777" w:rsidR="007B3DB2" w:rsidRPr="0063248C" w:rsidRDefault="00000000">
            <w:pPr>
              <w:spacing w:line="240" w:lineRule="exact"/>
              <w:rPr>
                <w:rFonts w:cs="宋体"/>
                <w:sz w:val="18"/>
                <w:szCs w:val="18"/>
              </w:rPr>
            </w:pPr>
            <w:r w:rsidRPr="0063248C">
              <w:rPr>
                <w:rFonts w:cs="宋体"/>
                <w:sz w:val="18"/>
                <w:szCs w:val="18"/>
              </w:rPr>
              <w:t>蓬莱富龙肉食品有限公司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79C5B81" w14:textId="77777777" w:rsidR="007B3DB2" w:rsidRPr="0063248C" w:rsidRDefault="00000000">
            <w:pPr>
              <w:spacing w:line="240" w:lineRule="exact"/>
              <w:jc w:val="right"/>
              <w:rPr>
                <w:rFonts w:cs="宋体"/>
                <w:sz w:val="18"/>
                <w:szCs w:val="18"/>
              </w:rPr>
            </w:pPr>
            <w:r w:rsidRPr="0063248C">
              <w:rPr>
                <w:rFonts w:cs="宋体"/>
                <w:sz w:val="18"/>
                <w:szCs w:val="18"/>
              </w:rPr>
              <w:t>8,000,000.00</w:t>
            </w:r>
          </w:p>
        </w:tc>
        <w:tc>
          <w:tcPr>
            <w:tcW w:w="1071" w:type="dxa"/>
            <w:tcBorders>
              <w:top w:val="single" w:sz="2" w:space="0" w:color="auto"/>
              <w:left w:val="single" w:sz="2" w:space="0" w:color="auto"/>
              <w:bottom w:val="single" w:sz="2" w:space="0" w:color="auto"/>
              <w:right w:val="single" w:sz="2" w:space="0" w:color="auto"/>
            </w:tcBorders>
            <w:vAlign w:val="center"/>
          </w:tcPr>
          <w:p w14:paraId="546F4199"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4B346D56"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5536584"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B6A5AA9"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A24D9D7"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2C5DBC9" w14:textId="77777777" w:rsidR="007B3DB2" w:rsidRPr="0063248C" w:rsidRDefault="00000000">
            <w:pPr>
              <w:spacing w:line="240" w:lineRule="exact"/>
              <w:jc w:val="right"/>
              <w:rPr>
                <w:rFonts w:cs="宋体"/>
                <w:sz w:val="18"/>
                <w:szCs w:val="18"/>
              </w:rPr>
            </w:pPr>
            <w:r w:rsidRPr="0063248C">
              <w:rPr>
                <w:rFonts w:cs="宋体"/>
                <w:sz w:val="18"/>
                <w:szCs w:val="18"/>
              </w:rPr>
              <w:t>8,000,000.00</w:t>
            </w:r>
          </w:p>
        </w:tc>
        <w:tc>
          <w:tcPr>
            <w:tcW w:w="1185" w:type="dxa"/>
            <w:tcBorders>
              <w:top w:val="single" w:sz="2" w:space="0" w:color="auto"/>
              <w:left w:val="single" w:sz="2" w:space="0" w:color="auto"/>
              <w:bottom w:val="single" w:sz="2" w:space="0" w:color="auto"/>
              <w:right w:val="single" w:sz="2" w:space="0" w:color="auto"/>
            </w:tcBorders>
            <w:vAlign w:val="center"/>
          </w:tcPr>
          <w:p w14:paraId="4B8D56DB" w14:textId="77777777" w:rsidR="007B3DB2" w:rsidRPr="0063248C" w:rsidRDefault="007B3DB2">
            <w:pPr>
              <w:spacing w:line="240" w:lineRule="exact"/>
              <w:jc w:val="right"/>
              <w:rPr>
                <w:rFonts w:cs="宋体"/>
                <w:sz w:val="18"/>
                <w:szCs w:val="18"/>
              </w:rPr>
            </w:pPr>
          </w:p>
        </w:tc>
      </w:tr>
      <w:tr w:rsidR="007B3DB2" w:rsidRPr="0063248C" w14:paraId="1A53720C"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683201E" w14:textId="77777777" w:rsidR="007B3DB2" w:rsidRPr="0063248C" w:rsidRDefault="00000000">
            <w:pPr>
              <w:spacing w:line="240" w:lineRule="exact"/>
              <w:rPr>
                <w:rFonts w:cs="宋体"/>
                <w:sz w:val="18"/>
                <w:szCs w:val="18"/>
              </w:rPr>
            </w:pPr>
            <w:r w:rsidRPr="0063248C">
              <w:rPr>
                <w:rFonts w:cs="宋体"/>
                <w:sz w:val="18"/>
                <w:szCs w:val="18"/>
              </w:rPr>
              <w:t>潍坊振</w:t>
            </w:r>
            <w:proofErr w:type="gramStart"/>
            <w:r w:rsidRPr="0063248C">
              <w:rPr>
                <w:rFonts w:cs="宋体"/>
                <w:sz w:val="18"/>
                <w:szCs w:val="18"/>
              </w:rPr>
              <w:t>祥</w:t>
            </w:r>
            <w:proofErr w:type="gramEnd"/>
            <w:r w:rsidRPr="0063248C">
              <w:rPr>
                <w:rFonts w:cs="宋体"/>
                <w:sz w:val="18"/>
                <w:szCs w:val="18"/>
              </w:rPr>
              <w:t>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F73DE4A" w14:textId="77777777" w:rsidR="007B3DB2" w:rsidRPr="0063248C" w:rsidRDefault="00000000">
            <w:pPr>
              <w:spacing w:line="240" w:lineRule="exact"/>
              <w:jc w:val="right"/>
              <w:rPr>
                <w:rFonts w:cs="宋体"/>
                <w:sz w:val="18"/>
                <w:szCs w:val="18"/>
              </w:rPr>
            </w:pPr>
            <w:r w:rsidRPr="0063248C">
              <w:rPr>
                <w:rFonts w:cs="宋体"/>
                <w:sz w:val="18"/>
                <w:szCs w:val="18"/>
              </w:rPr>
              <w:t>121,690,300.00</w:t>
            </w:r>
          </w:p>
        </w:tc>
        <w:tc>
          <w:tcPr>
            <w:tcW w:w="1071" w:type="dxa"/>
            <w:tcBorders>
              <w:top w:val="single" w:sz="2" w:space="0" w:color="auto"/>
              <w:left w:val="single" w:sz="2" w:space="0" w:color="auto"/>
              <w:bottom w:val="single" w:sz="2" w:space="0" w:color="auto"/>
              <w:right w:val="single" w:sz="2" w:space="0" w:color="auto"/>
            </w:tcBorders>
            <w:vAlign w:val="center"/>
          </w:tcPr>
          <w:p w14:paraId="5B2389FC"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7D715EDC"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15127B8"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16D72D2"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EDAA5DF"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51A6193" w14:textId="77777777" w:rsidR="007B3DB2" w:rsidRPr="0063248C" w:rsidRDefault="00000000">
            <w:pPr>
              <w:spacing w:line="240" w:lineRule="exact"/>
              <w:jc w:val="right"/>
              <w:rPr>
                <w:rFonts w:cs="宋体"/>
                <w:sz w:val="18"/>
                <w:szCs w:val="18"/>
              </w:rPr>
            </w:pPr>
            <w:r w:rsidRPr="0063248C">
              <w:rPr>
                <w:rFonts w:cs="宋体"/>
                <w:sz w:val="18"/>
                <w:szCs w:val="18"/>
              </w:rPr>
              <w:t>121,690,300.00</w:t>
            </w:r>
          </w:p>
        </w:tc>
        <w:tc>
          <w:tcPr>
            <w:tcW w:w="1185" w:type="dxa"/>
            <w:tcBorders>
              <w:top w:val="single" w:sz="2" w:space="0" w:color="auto"/>
              <w:left w:val="single" w:sz="2" w:space="0" w:color="auto"/>
              <w:bottom w:val="single" w:sz="2" w:space="0" w:color="auto"/>
              <w:right w:val="single" w:sz="2" w:space="0" w:color="auto"/>
            </w:tcBorders>
            <w:vAlign w:val="center"/>
          </w:tcPr>
          <w:p w14:paraId="001E0286" w14:textId="77777777" w:rsidR="007B3DB2" w:rsidRPr="0063248C" w:rsidRDefault="007B3DB2">
            <w:pPr>
              <w:spacing w:line="240" w:lineRule="exact"/>
              <w:jc w:val="right"/>
              <w:rPr>
                <w:rFonts w:cs="宋体"/>
                <w:sz w:val="18"/>
                <w:szCs w:val="18"/>
              </w:rPr>
            </w:pPr>
          </w:p>
        </w:tc>
      </w:tr>
      <w:tr w:rsidR="007B3DB2" w:rsidRPr="0063248C" w14:paraId="312BA1A6"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E4B0603" w14:textId="77777777" w:rsidR="007B3DB2" w:rsidRPr="0063248C" w:rsidRDefault="00000000">
            <w:pPr>
              <w:spacing w:line="240" w:lineRule="exact"/>
              <w:rPr>
                <w:rFonts w:cs="宋体"/>
                <w:sz w:val="18"/>
                <w:szCs w:val="18"/>
              </w:rPr>
            </w:pPr>
            <w:r w:rsidRPr="0063248C">
              <w:rPr>
                <w:rFonts w:cs="宋体"/>
                <w:sz w:val="18"/>
                <w:szCs w:val="18"/>
              </w:rPr>
              <w:lastRenderedPageBreak/>
              <w:t>莱阳龙瑞食品有限公司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6F326627"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1071" w:type="dxa"/>
            <w:tcBorders>
              <w:top w:val="single" w:sz="2" w:space="0" w:color="auto"/>
              <w:left w:val="single" w:sz="2" w:space="0" w:color="auto"/>
              <w:bottom w:val="single" w:sz="2" w:space="0" w:color="auto"/>
              <w:right w:val="single" w:sz="2" w:space="0" w:color="auto"/>
            </w:tcBorders>
            <w:vAlign w:val="center"/>
          </w:tcPr>
          <w:p w14:paraId="7B85D9FC"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590899A6"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9FB4DF2"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8EA122E"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6C863AD"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0A4AC28"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1185" w:type="dxa"/>
            <w:tcBorders>
              <w:top w:val="single" w:sz="2" w:space="0" w:color="auto"/>
              <w:left w:val="single" w:sz="2" w:space="0" w:color="auto"/>
              <w:bottom w:val="single" w:sz="2" w:space="0" w:color="auto"/>
              <w:right w:val="single" w:sz="2" w:space="0" w:color="auto"/>
            </w:tcBorders>
            <w:vAlign w:val="center"/>
          </w:tcPr>
          <w:p w14:paraId="186D38E0" w14:textId="77777777" w:rsidR="007B3DB2" w:rsidRPr="0063248C" w:rsidRDefault="007B3DB2">
            <w:pPr>
              <w:spacing w:line="240" w:lineRule="exact"/>
              <w:jc w:val="right"/>
              <w:rPr>
                <w:rFonts w:cs="宋体"/>
                <w:sz w:val="18"/>
                <w:szCs w:val="18"/>
              </w:rPr>
            </w:pPr>
          </w:p>
        </w:tc>
      </w:tr>
      <w:tr w:rsidR="007B3DB2" w:rsidRPr="0063248C" w14:paraId="77D71BAA"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1E52096" w14:textId="77777777" w:rsidR="007B3DB2" w:rsidRPr="0063248C" w:rsidRDefault="00000000">
            <w:pPr>
              <w:spacing w:line="240" w:lineRule="exact"/>
              <w:rPr>
                <w:rFonts w:cs="宋体"/>
                <w:sz w:val="18"/>
                <w:szCs w:val="18"/>
              </w:rPr>
            </w:pPr>
            <w:r w:rsidRPr="0063248C">
              <w:rPr>
                <w:rFonts w:cs="宋体"/>
                <w:sz w:val="18"/>
                <w:szCs w:val="18"/>
              </w:rPr>
              <w:t>青岛中和盛杰食品有限公司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7E201F09"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3153A8E9" w14:textId="77777777" w:rsidR="007B3DB2" w:rsidRPr="0063248C" w:rsidRDefault="00000000">
            <w:pPr>
              <w:spacing w:line="240" w:lineRule="exact"/>
              <w:jc w:val="right"/>
              <w:rPr>
                <w:rFonts w:cs="宋体"/>
                <w:sz w:val="18"/>
                <w:szCs w:val="18"/>
              </w:rPr>
            </w:pPr>
            <w:r w:rsidRPr="0063248C">
              <w:rPr>
                <w:rFonts w:cs="宋体"/>
                <w:sz w:val="18"/>
                <w:szCs w:val="18"/>
              </w:rPr>
              <w:t>10,200,000.00</w:t>
            </w:r>
          </w:p>
        </w:tc>
        <w:tc>
          <w:tcPr>
            <w:tcW w:w="847" w:type="dxa"/>
            <w:tcBorders>
              <w:top w:val="single" w:sz="2" w:space="0" w:color="auto"/>
              <w:left w:val="single" w:sz="2" w:space="0" w:color="auto"/>
              <w:bottom w:val="single" w:sz="2" w:space="0" w:color="auto"/>
              <w:right w:val="single" w:sz="2" w:space="0" w:color="auto"/>
            </w:tcBorders>
            <w:vAlign w:val="center"/>
          </w:tcPr>
          <w:p w14:paraId="7183CA3C"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7F24699"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48B3D83"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CC3B3F0"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ADAE6DC"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185" w:type="dxa"/>
            <w:tcBorders>
              <w:top w:val="single" w:sz="2" w:space="0" w:color="auto"/>
              <w:left w:val="single" w:sz="2" w:space="0" w:color="auto"/>
              <w:bottom w:val="single" w:sz="2" w:space="0" w:color="auto"/>
              <w:right w:val="single" w:sz="2" w:space="0" w:color="auto"/>
            </w:tcBorders>
            <w:vAlign w:val="center"/>
          </w:tcPr>
          <w:p w14:paraId="3AD77CAF" w14:textId="77777777" w:rsidR="007B3DB2" w:rsidRPr="0063248C" w:rsidRDefault="00000000">
            <w:pPr>
              <w:spacing w:line="240" w:lineRule="exact"/>
              <w:jc w:val="right"/>
              <w:rPr>
                <w:rFonts w:cs="宋体"/>
                <w:sz w:val="18"/>
                <w:szCs w:val="18"/>
              </w:rPr>
            </w:pPr>
            <w:r w:rsidRPr="0063248C">
              <w:rPr>
                <w:rFonts w:cs="宋体"/>
                <w:sz w:val="18"/>
                <w:szCs w:val="18"/>
              </w:rPr>
              <w:t>10,200,000.00</w:t>
            </w:r>
          </w:p>
        </w:tc>
      </w:tr>
      <w:tr w:rsidR="007B3DB2" w:rsidRPr="0063248C" w14:paraId="43FFABEA"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24D3DA6" w14:textId="77777777" w:rsidR="007B3DB2" w:rsidRPr="0063248C" w:rsidRDefault="00000000">
            <w:pPr>
              <w:spacing w:line="240" w:lineRule="exact"/>
              <w:rPr>
                <w:rFonts w:cs="宋体"/>
                <w:sz w:val="18"/>
                <w:szCs w:val="18"/>
              </w:rPr>
            </w:pPr>
            <w:r w:rsidRPr="0063248C">
              <w:rPr>
                <w:rFonts w:cs="宋体"/>
                <w:sz w:val="18"/>
                <w:szCs w:val="18"/>
              </w:rPr>
              <w:t>烟台杰科检测服务有限公司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842CA91" w14:textId="77777777" w:rsidR="007B3DB2" w:rsidRPr="0063248C" w:rsidRDefault="00000000">
            <w:pPr>
              <w:spacing w:line="240" w:lineRule="exact"/>
              <w:jc w:val="right"/>
              <w:rPr>
                <w:rFonts w:cs="宋体"/>
                <w:sz w:val="18"/>
                <w:szCs w:val="18"/>
              </w:rPr>
            </w:pPr>
            <w:r w:rsidRPr="0063248C">
              <w:rPr>
                <w:rFonts w:cs="宋体"/>
                <w:sz w:val="18"/>
                <w:szCs w:val="18"/>
              </w:rPr>
              <w:t>6,263,038.91</w:t>
            </w:r>
          </w:p>
        </w:tc>
        <w:tc>
          <w:tcPr>
            <w:tcW w:w="1071" w:type="dxa"/>
            <w:tcBorders>
              <w:top w:val="single" w:sz="2" w:space="0" w:color="auto"/>
              <w:left w:val="single" w:sz="2" w:space="0" w:color="auto"/>
              <w:bottom w:val="single" w:sz="2" w:space="0" w:color="auto"/>
              <w:right w:val="single" w:sz="2" w:space="0" w:color="auto"/>
            </w:tcBorders>
            <w:vAlign w:val="center"/>
          </w:tcPr>
          <w:p w14:paraId="7561FE87"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4B6E89C9"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AA8D0E3"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96291BE"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57E1AD7"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1D86466" w14:textId="77777777" w:rsidR="007B3DB2" w:rsidRPr="0063248C" w:rsidRDefault="00000000">
            <w:pPr>
              <w:spacing w:line="240" w:lineRule="exact"/>
              <w:jc w:val="right"/>
              <w:rPr>
                <w:rFonts w:cs="宋体"/>
                <w:sz w:val="18"/>
                <w:szCs w:val="18"/>
              </w:rPr>
            </w:pPr>
            <w:r w:rsidRPr="0063248C">
              <w:rPr>
                <w:rFonts w:cs="宋体"/>
                <w:sz w:val="18"/>
                <w:szCs w:val="18"/>
              </w:rPr>
              <w:t>6,263,038.91</w:t>
            </w:r>
          </w:p>
        </w:tc>
        <w:tc>
          <w:tcPr>
            <w:tcW w:w="1185" w:type="dxa"/>
            <w:tcBorders>
              <w:top w:val="single" w:sz="2" w:space="0" w:color="auto"/>
              <w:left w:val="single" w:sz="2" w:space="0" w:color="auto"/>
              <w:bottom w:val="single" w:sz="2" w:space="0" w:color="auto"/>
              <w:right w:val="single" w:sz="2" w:space="0" w:color="auto"/>
            </w:tcBorders>
            <w:vAlign w:val="center"/>
          </w:tcPr>
          <w:p w14:paraId="75908307" w14:textId="77777777" w:rsidR="007B3DB2" w:rsidRPr="0063248C" w:rsidRDefault="007B3DB2">
            <w:pPr>
              <w:spacing w:line="240" w:lineRule="exact"/>
              <w:jc w:val="right"/>
              <w:rPr>
                <w:rFonts w:cs="宋体"/>
                <w:sz w:val="18"/>
                <w:szCs w:val="18"/>
              </w:rPr>
            </w:pPr>
          </w:p>
        </w:tc>
      </w:tr>
      <w:tr w:rsidR="007B3DB2" w:rsidRPr="0063248C" w14:paraId="5C30A6D8"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272F9F6" w14:textId="77777777" w:rsidR="007B3DB2" w:rsidRPr="0063248C" w:rsidRDefault="00000000">
            <w:pPr>
              <w:spacing w:line="240" w:lineRule="exact"/>
              <w:rPr>
                <w:rFonts w:cs="宋体"/>
                <w:sz w:val="18"/>
                <w:szCs w:val="18"/>
              </w:rPr>
            </w:pPr>
            <w:r w:rsidRPr="0063248C">
              <w:rPr>
                <w:rFonts w:cs="宋体"/>
                <w:sz w:val="18"/>
                <w:szCs w:val="18"/>
              </w:rPr>
              <w:t>山东龙大生猪产品工程技术研究有限公司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FEC36EC" w14:textId="77777777" w:rsidR="007B3DB2" w:rsidRPr="0063248C" w:rsidRDefault="00000000">
            <w:pPr>
              <w:spacing w:line="240" w:lineRule="exact"/>
              <w:jc w:val="right"/>
              <w:rPr>
                <w:rFonts w:cs="宋体"/>
                <w:sz w:val="18"/>
                <w:szCs w:val="18"/>
              </w:rPr>
            </w:pPr>
            <w:r w:rsidRPr="0063248C">
              <w:rPr>
                <w:rFonts w:cs="宋体"/>
                <w:sz w:val="18"/>
                <w:szCs w:val="18"/>
              </w:rPr>
              <w:t>15,000,000.00</w:t>
            </w:r>
          </w:p>
        </w:tc>
        <w:tc>
          <w:tcPr>
            <w:tcW w:w="1071" w:type="dxa"/>
            <w:tcBorders>
              <w:top w:val="single" w:sz="2" w:space="0" w:color="auto"/>
              <w:left w:val="single" w:sz="2" w:space="0" w:color="auto"/>
              <w:bottom w:val="single" w:sz="2" w:space="0" w:color="auto"/>
              <w:right w:val="single" w:sz="2" w:space="0" w:color="auto"/>
            </w:tcBorders>
            <w:vAlign w:val="center"/>
          </w:tcPr>
          <w:p w14:paraId="3403CC6F"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10C689DB"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BA34DA2"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2E606BC"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D9D2DB1"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1EEBF82" w14:textId="77777777" w:rsidR="007B3DB2" w:rsidRPr="0063248C" w:rsidRDefault="00000000">
            <w:pPr>
              <w:spacing w:line="240" w:lineRule="exact"/>
              <w:jc w:val="right"/>
              <w:rPr>
                <w:rFonts w:cs="宋体"/>
                <w:sz w:val="18"/>
                <w:szCs w:val="18"/>
              </w:rPr>
            </w:pPr>
            <w:r w:rsidRPr="0063248C">
              <w:rPr>
                <w:rFonts w:cs="宋体"/>
                <w:sz w:val="18"/>
                <w:szCs w:val="18"/>
              </w:rPr>
              <w:t>15,000,000.00</w:t>
            </w:r>
          </w:p>
        </w:tc>
        <w:tc>
          <w:tcPr>
            <w:tcW w:w="1185" w:type="dxa"/>
            <w:tcBorders>
              <w:top w:val="single" w:sz="2" w:space="0" w:color="auto"/>
              <w:left w:val="single" w:sz="2" w:space="0" w:color="auto"/>
              <w:bottom w:val="single" w:sz="2" w:space="0" w:color="auto"/>
              <w:right w:val="single" w:sz="2" w:space="0" w:color="auto"/>
            </w:tcBorders>
            <w:vAlign w:val="center"/>
          </w:tcPr>
          <w:p w14:paraId="4F35C0C2" w14:textId="77777777" w:rsidR="007B3DB2" w:rsidRPr="0063248C" w:rsidRDefault="007B3DB2">
            <w:pPr>
              <w:spacing w:line="240" w:lineRule="exact"/>
              <w:jc w:val="right"/>
              <w:rPr>
                <w:rFonts w:cs="宋体"/>
                <w:sz w:val="18"/>
                <w:szCs w:val="18"/>
              </w:rPr>
            </w:pPr>
          </w:p>
        </w:tc>
      </w:tr>
      <w:tr w:rsidR="007B3DB2" w:rsidRPr="0063248C" w14:paraId="699E799C"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17D9A8A" w14:textId="77777777" w:rsidR="007B3DB2" w:rsidRPr="0063248C" w:rsidRDefault="00000000">
            <w:pPr>
              <w:spacing w:line="240" w:lineRule="exact"/>
              <w:rPr>
                <w:rFonts w:cs="宋体"/>
                <w:sz w:val="18"/>
                <w:szCs w:val="18"/>
              </w:rPr>
            </w:pPr>
            <w:r w:rsidRPr="0063248C">
              <w:rPr>
                <w:rFonts w:cs="宋体"/>
                <w:sz w:val="18"/>
                <w:szCs w:val="18"/>
              </w:rPr>
              <w:t>北京快厨帮科技有限公司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A9E7374" w14:textId="77777777" w:rsidR="007B3DB2" w:rsidRPr="0063248C" w:rsidRDefault="00000000">
            <w:pPr>
              <w:spacing w:line="240" w:lineRule="exact"/>
              <w:jc w:val="right"/>
              <w:rPr>
                <w:rFonts w:cs="宋体"/>
                <w:sz w:val="18"/>
                <w:szCs w:val="18"/>
              </w:rPr>
            </w:pPr>
            <w:r w:rsidRPr="0063248C">
              <w:rPr>
                <w:rFonts w:cs="宋体"/>
                <w:sz w:val="18"/>
                <w:szCs w:val="18"/>
              </w:rPr>
              <w:t>2,668,010.96</w:t>
            </w:r>
          </w:p>
        </w:tc>
        <w:tc>
          <w:tcPr>
            <w:tcW w:w="1071" w:type="dxa"/>
            <w:tcBorders>
              <w:top w:val="single" w:sz="2" w:space="0" w:color="auto"/>
              <w:left w:val="single" w:sz="2" w:space="0" w:color="auto"/>
              <w:bottom w:val="single" w:sz="2" w:space="0" w:color="auto"/>
              <w:right w:val="single" w:sz="2" w:space="0" w:color="auto"/>
            </w:tcBorders>
            <w:vAlign w:val="center"/>
          </w:tcPr>
          <w:p w14:paraId="0BC00262" w14:textId="77777777" w:rsidR="007B3DB2" w:rsidRPr="0063248C" w:rsidRDefault="00000000">
            <w:pPr>
              <w:spacing w:line="240" w:lineRule="exact"/>
              <w:jc w:val="right"/>
              <w:rPr>
                <w:rFonts w:cs="宋体"/>
                <w:sz w:val="18"/>
                <w:szCs w:val="18"/>
              </w:rPr>
            </w:pPr>
            <w:r w:rsidRPr="0063248C">
              <w:rPr>
                <w:rFonts w:cs="宋体"/>
                <w:sz w:val="18"/>
                <w:szCs w:val="18"/>
              </w:rPr>
              <w:t>10,331,989.04</w:t>
            </w:r>
          </w:p>
        </w:tc>
        <w:tc>
          <w:tcPr>
            <w:tcW w:w="847" w:type="dxa"/>
            <w:tcBorders>
              <w:top w:val="single" w:sz="2" w:space="0" w:color="auto"/>
              <w:left w:val="single" w:sz="2" w:space="0" w:color="auto"/>
              <w:bottom w:val="single" w:sz="2" w:space="0" w:color="auto"/>
              <w:right w:val="single" w:sz="2" w:space="0" w:color="auto"/>
            </w:tcBorders>
            <w:vAlign w:val="center"/>
          </w:tcPr>
          <w:p w14:paraId="602829E3"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FDBE3D2"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1BFE0E2"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922FFAA"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EB6F420" w14:textId="77777777" w:rsidR="007B3DB2" w:rsidRPr="0063248C" w:rsidRDefault="00000000">
            <w:pPr>
              <w:spacing w:line="240" w:lineRule="exact"/>
              <w:jc w:val="right"/>
              <w:rPr>
                <w:rFonts w:cs="宋体"/>
                <w:sz w:val="18"/>
                <w:szCs w:val="18"/>
              </w:rPr>
            </w:pPr>
            <w:r w:rsidRPr="0063248C">
              <w:rPr>
                <w:rFonts w:cs="宋体"/>
                <w:sz w:val="18"/>
                <w:szCs w:val="18"/>
              </w:rPr>
              <w:t>2,668,010.96</w:t>
            </w:r>
          </w:p>
        </w:tc>
        <w:tc>
          <w:tcPr>
            <w:tcW w:w="1185" w:type="dxa"/>
            <w:tcBorders>
              <w:top w:val="single" w:sz="2" w:space="0" w:color="auto"/>
              <w:left w:val="single" w:sz="2" w:space="0" w:color="auto"/>
              <w:bottom w:val="single" w:sz="2" w:space="0" w:color="auto"/>
              <w:right w:val="single" w:sz="2" w:space="0" w:color="auto"/>
            </w:tcBorders>
            <w:vAlign w:val="center"/>
          </w:tcPr>
          <w:p w14:paraId="0BC04186" w14:textId="77777777" w:rsidR="007B3DB2" w:rsidRPr="0063248C" w:rsidRDefault="00000000">
            <w:pPr>
              <w:spacing w:line="240" w:lineRule="exact"/>
              <w:jc w:val="right"/>
              <w:rPr>
                <w:rFonts w:cs="宋体"/>
                <w:sz w:val="18"/>
                <w:szCs w:val="18"/>
              </w:rPr>
            </w:pPr>
            <w:r w:rsidRPr="0063248C">
              <w:rPr>
                <w:rFonts w:cs="宋体"/>
                <w:sz w:val="18"/>
                <w:szCs w:val="18"/>
              </w:rPr>
              <w:t>10,331,989.04</w:t>
            </w:r>
          </w:p>
        </w:tc>
      </w:tr>
      <w:tr w:rsidR="007B3DB2" w:rsidRPr="0063248C" w14:paraId="1446C483"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FAC3DE5" w14:textId="77777777" w:rsidR="007B3DB2" w:rsidRPr="0063248C" w:rsidRDefault="00000000">
            <w:pPr>
              <w:spacing w:line="240" w:lineRule="exact"/>
              <w:rPr>
                <w:rFonts w:cs="宋体"/>
                <w:sz w:val="18"/>
                <w:szCs w:val="18"/>
              </w:rPr>
            </w:pPr>
            <w:r w:rsidRPr="0063248C">
              <w:rPr>
                <w:rFonts w:cs="宋体"/>
                <w:sz w:val="18"/>
                <w:szCs w:val="18"/>
              </w:rPr>
              <w:t>云南福照食品有限公司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DCF6D6F"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69A5FCE2" w14:textId="77777777" w:rsidR="007B3DB2" w:rsidRPr="0063248C" w:rsidRDefault="00000000">
            <w:pPr>
              <w:spacing w:line="240" w:lineRule="exact"/>
              <w:jc w:val="right"/>
              <w:rPr>
                <w:rFonts w:cs="宋体"/>
                <w:sz w:val="18"/>
                <w:szCs w:val="18"/>
              </w:rPr>
            </w:pPr>
            <w:r w:rsidRPr="0063248C">
              <w:rPr>
                <w:rFonts w:cs="宋体"/>
                <w:sz w:val="18"/>
                <w:szCs w:val="18"/>
              </w:rPr>
              <w:t>10,200,000.00</w:t>
            </w:r>
          </w:p>
        </w:tc>
        <w:tc>
          <w:tcPr>
            <w:tcW w:w="847" w:type="dxa"/>
            <w:tcBorders>
              <w:top w:val="single" w:sz="2" w:space="0" w:color="auto"/>
              <w:left w:val="single" w:sz="2" w:space="0" w:color="auto"/>
              <w:bottom w:val="single" w:sz="2" w:space="0" w:color="auto"/>
              <w:right w:val="single" w:sz="2" w:space="0" w:color="auto"/>
            </w:tcBorders>
            <w:vAlign w:val="center"/>
          </w:tcPr>
          <w:p w14:paraId="1FE367D5"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2132846"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3FCF3B9"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A1EE86E"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0EC7B734"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185" w:type="dxa"/>
            <w:tcBorders>
              <w:top w:val="single" w:sz="2" w:space="0" w:color="auto"/>
              <w:left w:val="single" w:sz="2" w:space="0" w:color="auto"/>
              <w:bottom w:val="single" w:sz="2" w:space="0" w:color="auto"/>
              <w:right w:val="single" w:sz="2" w:space="0" w:color="auto"/>
            </w:tcBorders>
            <w:vAlign w:val="center"/>
          </w:tcPr>
          <w:p w14:paraId="1ECC0775" w14:textId="77777777" w:rsidR="007B3DB2" w:rsidRPr="0063248C" w:rsidRDefault="00000000">
            <w:pPr>
              <w:spacing w:line="240" w:lineRule="exact"/>
              <w:jc w:val="right"/>
              <w:rPr>
                <w:rFonts w:cs="宋体"/>
                <w:sz w:val="18"/>
                <w:szCs w:val="18"/>
              </w:rPr>
            </w:pPr>
            <w:r w:rsidRPr="0063248C">
              <w:rPr>
                <w:rFonts w:cs="宋体"/>
                <w:sz w:val="18"/>
                <w:szCs w:val="18"/>
              </w:rPr>
              <w:t>10,200,000.00</w:t>
            </w:r>
          </w:p>
        </w:tc>
      </w:tr>
      <w:tr w:rsidR="007B3DB2" w:rsidRPr="0063248C" w14:paraId="60F4AF95"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9ED811F" w14:textId="77777777" w:rsidR="007B3DB2" w:rsidRPr="0063248C" w:rsidRDefault="00000000">
            <w:pPr>
              <w:spacing w:line="240" w:lineRule="exact"/>
              <w:rPr>
                <w:rFonts w:cs="宋体"/>
                <w:sz w:val="18"/>
                <w:szCs w:val="18"/>
              </w:rPr>
            </w:pPr>
            <w:r w:rsidRPr="0063248C">
              <w:rPr>
                <w:rFonts w:cs="宋体"/>
                <w:sz w:val="18"/>
                <w:szCs w:val="18"/>
              </w:rPr>
              <w:t>烟台龙大饲料有限公司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277F708F" w14:textId="77777777" w:rsidR="007B3DB2" w:rsidRPr="0063248C" w:rsidRDefault="00000000">
            <w:pPr>
              <w:spacing w:line="240" w:lineRule="exact"/>
              <w:jc w:val="right"/>
              <w:rPr>
                <w:rFonts w:cs="宋体"/>
                <w:sz w:val="18"/>
                <w:szCs w:val="18"/>
              </w:rPr>
            </w:pPr>
            <w:r w:rsidRPr="0063248C">
              <w:rPr>
                <w:rFonts w:cs="宋体"/>
                <w:sz w:val="18"/>
                <w:szCs w:val="18"/>
              </w:rPr>
              <w:t>56,000,000.00</w:t>
            </w:r>
          </w:p>
        </w:tc>
        <w:tc>
          <w:tcPr>
            <w:tcW w:w="1071" w:type="dxa"/>
            <w:tcBorders>
              <w:top w:val="single" w:sz="2" w:space="0" w:color="auto"/>
              <w:left w:val="single" w:sz="2" w:space="0" w:color="auto"/>
              <w:bottom w:val="single" w:sz="2" w:space="0" w:color="auto"/>
              <w:right w:val="single" w:sz="2" w:space="0" w:color="auto"/>
            </w:tcBorders>
            <w:vAlign w:val="center"/>
          </w:tcPr>
          <w:p w14:paraId="5F0DDFCF"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324FFB71"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16DDF77"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F22A1A9"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EA0AA88"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4BB10F3" w14:textId="77777777" w:rsidR="007B3DB2" w:rsidRPr="0063248C" w:rsidRDefault="00000000">
            <w:pPr>
              <w:spacing w:line="240" w:lineRule="exact"/>
              <w:jc w:val="right"/>
              <w:rPr>
                <w:rFonts w:cs="宋体"/>
                <w:sz w:val="18"/>
                <w:szCs w:val="18"/>
              </w:rPr>
            </w:pPr>
            <w:r w:rsidRPr="0063248C">
              <w:rPr>
                <w:rFonts w:cs="宋体"/>
                <w:sz w:val="18"/>
                <w:szCs w:val="18"/>
              </w:rPr>
              <w:t>56,000,000.00</w:t>
            </w:r>
          </w:p>
        </w:tc>
        <w:tc>
          <w:tcPr>
            <w:tcW w:w="1185" w:type="dxa"/>
            <w:tcBorders>
              <w:top w:val="single" w:sz="2" w:space="0" w:color="auto"/>
              <w:left w:val="single" w:sz="2" w:space="0" w:color="auto"/>
              <w:bottom w:val="single" w:sz="2" w:space="0" w:color="auto"/>
              <w:right w:val="single" w:sz="2" w:space="0" w:color="auto"/>
            </w:tcBorders>
            <w:vAlign w:val="center"/>
          </w:tcPr>
          <w:p w14:paraId="2786298C" w14:textId="77777777" w:rsidR="007B3DB2" w:rsidRPr="0063248C" w:rsidRDefault="007B3DB2">
            <w:pPr>
              <w:spacing w:line="240" w:lineRule="exact"/>
              <w:jc w:val="right"/>
              <w:rPr>
                <w:rFonts w:cs="宋体"/>
                <w:sz w:val="18"/>
                <w:szCs w:val="18"/>
              </w:rPr>
            </w:pPr>
          </w:p>
        </w:tc>
      </w:tr>
      <w:tr w:rsidR="007B3DB2" w:rsidRPr="0063248C" w14:paraId="787C6E6C"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600CB29" w14:textId="77777777" w:rsidR="007B3DB2" w:rsidRPr="0063248C" w:rsidRDefault="00000000">
            <w:pPr>
              <w:spacing w:line="240" w:lineRule="exact"/>
              <w:rPr>
                <w:rFonts w:cs="宋体"/>
                <w:sz w:val="18"/>
                <w:szCs w:val="18"/>
              </w:rPr>
            </w:pPr>
            <w:proofErr w:type="gramStart"/>
            <w:r w:rsidRPr="0063248C">
              <w:rPr>
                <w:rFonts w:cs="宋体"/>
                <w:sz w:val="18"/>
                <w:szCs w:val="18"/>
              </w:rPr>
              <w:t>通辽金泉食品</w:t>
            </w:r>
            <w:proofErr w:type="gramEnd"/>
            <w:r w:rsidRPr="0063248C">
              <w:rPr>
                <w:rFonts w:cs="宋体"/>
                <w:sz w:val="18"/>
                <w:szCs w:val="18"/>
              </w:rPr>
              <w:t>有限责任公司</w:t>
            </w:r>
          </w:p>
        </w:tc>
        <w:tc>
          <w:tcPr>
            <w:tcW w:w="1071" w:type="dxa"/>
            <w:tcBorders>
              <w:top w:val="single" w:sz="2" w:space="0" w:color="auto"/>
              <w:left w:val="single" w:sz="2" w:space="0" w:color="auto"/>
              <w:bottom w:val="single" w:sz="2" w:space="0" w:color="auto"/>
              <w:right w:val="single" w:sz="2" w:space="0" w:color="auto"/>
            </w:tcBorders>
            <w:vAlign w:val="center"/>
          </w:tcPr>
          <w:p w14:paraId="077EAA2E"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215368BA" w14:textId="77777777" w:rsidR="007B3DB2" w:rsidRPr="0063248C" w:rsidRDefault="00000000">
            <w:pPr>
              <w:spacing w:line="240" w:lineRule="exact"/>
              <w:jc w:val="right"/>
              <w:rPr>
                <w:rFonts w:cs="宋体"/>
                <w:sz w:val="18"/>
                <w:szCs w:val="18"/>
              </w:rPr>
            </w:pPr>
            <w:r w:rsidRPr="0063248C">
              <w:rPr>
                <w:rFonts w:cs="宋体"/>
                <w:sz w:val="18"/>
                <w:szCs w:val="18"/>
              </w:rPr>
              <w:t>35,000,700.00</w:t>
            </w:r>
          </w:p>
        </w:tc>
        <w:tc>
          <w:tcPr>
            <w:tcW w:w="847" w:type="dxa"/>
            <w:tcBorders>
              <w:top w:val="single" w:sz="2" w:space="0" w:color="auto"/>
              <w:left w:val="single" w:sz="2" w:space="0" w:color="auto"/>
              <w:bottom w:val="single" w:sz="2" w:space="0" w:color="auto"/>
              <w:right w:val="single" w:sz="2" w:space="0" w:color="auto"/>
            </w:tcBorders>
            <w:vAlign w:val="center"/>
          </w:tcPr>
          <w:p w14:paraId="17E55C06"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5080B59"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0A845E0"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28D7578"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47E0674B"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185" w:type="dxa"/>
            <w:tcBorders>
              <w:top w:val="single" w:sz="2" w:space="0" w:color="auto"/>
              <w:left w:val="single" w:sz="2" w:space="0" w:color="auto"/>
              <w:bottom w:val="single" w:sz="2" w:space="0" w:color="auto"/>
              <w:right w:val="single" w:sz="2" w:space="0" w:color="auto"/>
            </w:tcBorders>
            <w:vAlign w:val="center"/>
          </w:tcPr>
          <w:p w14:paraId="06E774E7" w14:textId="77777777" w:rsidR="007B3DB2" w:rsidRPr="0063248C" w:rsidRDefault="00000000">
            <w:pPr>
              <w:spacing w:line="240" w:lineRule="exact"/>
              <w:jc w:val="right"/>
              <w:rPr>
                <w:rFonts w:cs="宋体"/>
                <w:sz w:val="18"/>
                <w:szCs w:val="18"/>
              </w:rPr>
            </w:pPr>
            <w:r w:rsidRPr="0063248C">
              <w:rPr>
                <w:rFonts w:cs="宋体"/>
                <w:sz w:val="18"/>
                <w:szCs w:val="18"/>
              </w:rPr>
              <w:t>35,000,700.00</w:t>
            </w:r>
          </w:p>
        </w:tc>
      </w:tr>
      <w:tr w:rsidR="007B3DB2" w:rsidRPr="0063248C" w14:paraId="3D59DF6E"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8A52164" w14:textId="77777777" w:rsidR="007B3DB2" w:rsidRPr="0063248C" w:rsidRDefault="00000000">
            <w:pPr>
              <w:spacing w:line="240" w:lineRule="exact"/>
              <w:rPr>
                <w:rFonts w:cs="宋体"/>
                <w:sz w:val="18"/>
                <w:szCs w:val="18"/>
              </w:rPr>
            </w:pPr>
            <w:r w:rsidRPr="0063248C">
              <w:rPr>
                <w:rFonts w:cs="宋体"/>
                <w:sz w:val="18"/>
                <w:szCs w:val="18"/>
              </w:rPr>
              <w:t>黑龙江龙大养殖有限公司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1FED26B" w14:textId="77777777" w:rsidR="007B3DB2" w:rsidRPr="0063248C" w:rsidRDefault="00000000">
            <w:pPr>
              <w:spacing w:line="240" w:lineRule="exact"/>
              <w:jc w:val="right"/>
              <w:rPr>
                <w:rFonts w:cs="宋体"/>
                <w:sz w:val="18"/>
                <w:szCs w:val="18"/>
              </w:rPr>
            </w:pPr>
            <w:r w:rsidRPr="0063248C">
              <w:rPr>
                <w:rFonts w:cs="宋体"/>
                <w:sz w:val="18"/>
                <w:szCs w:val="18"/>
              </w:rPr>
              <w:t>1,074,609,221.56</w:t>
            </w:r>
          </w:p>
        </w:tc>
        <w:tc>
          <w:tcPr>
            <w:tcW w:w="1071" w:type="dxa"/>
            <w:tcBorders>
              <w:top w:val="single" w:sz="2" w:space="0" w:color="auto"/>
              <w:left w:val="single" w:sz="2" w:space="0" w:color="auto"/>
              <w:bottom w:val="single" w:sz="2" w:space="0" w:color="auto"/>
              <w:right w:val="single" w:sz="2" w:space="0" w:color="auto"/>
            </w:tcBorders>
            <w:vAlign w:val="center"/>
          </w:tcPr>
          <w:p w14:paraId="37DB2B96"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6E23F5BA"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496D169"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8EC9843"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79A2A92"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405FC98D" w14:textId="77777777" w:rsidR="007B3DB2" w:rsidRPr="0063248C" w:rsidRDefault="00000000">
            <w:pPr>
              <w:spacing w:line="240" w:lineRule="exact"/>
              <w:jc w:val="right"/>
              <w:rPr>
                <w:rFonts w:cs="宋体"/>
                <w:sz w:val="18"/>
                <w:szCs w:val="18"/>
              </w:rPr>
            </w:pPr>
            <w:r w:rsidRPr="0063248C">
              <w:rPr>
                <w:rFonts w:cs="宋体"/>
                <w:sz w:val="18"/>
                <w:szCs w:val="18"/>
              </w:rPr>
              <w:t>1,074,609,221.56</w:t>
            </w:r>
          </w:p>
        </w:tc>
        <w:tc>
          <w:tcPr>
            <w:tcW w:w="1185" w:type="dxa"/>
            <w:tcBorders>
              <w:top w:val="single" w:sz="2" w:space="0" w:color="auto"/>
              <w:left w:val="single" w:sz="2" w:space="0" w:color="auto"/>
              <w:bottom w:val="single" w:sz="2" w:space="0" w:color="auto"/>
              <w:right w:val="single" w:sz="2" w:space="0" w:color="auto"/>
            </w:tcBorders>
            <w:vAlign w:val="center"/>
          </w:tcPr>
          <w:p w14:paraId="35C40E00" w14:textId="77777777" w:rsidR="007B3DB2" w:rsidRPr="0063248C" w:rsidRDefault="007B3DB2">
            <w:pPr>
              <w:spacing w:line="240" w:lineRule="exact"/>
              <w:jc w:val="right"/>
              <w:rPr>
                <w:rFonts w:cs="宋体"/>
                <w:sz w:val="18"/>
                <w:szCs w:val="18"/>
              </w:rPr>
            </w:pPr>
          </w:p>
        </w:tc>
      </w:tr>
      <w:tr w:rsidR="007B3DB2" w:rsidRPr="0063248C" w14:paraId="74EA9ABF"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BDD591A" w14:textId="77777777" w:rsidR="007B3DB2" w:rsidRPr="0063248C" w:rsidRDefault="00000000">
            <w:pPr>
              <w:spacing w:line="240" w:lineRule="exact"/>
              <w:rPr>
                <w:rFonts w:cs="宋体"/>
                <w:sz w:val="18"/>
                <w:szCs w:val="18"/>
              </w:rPr>
            </w:pPr>
            <w:r w:rsidRPr="0063248C">
              <w:rPr>
                <w:rFonts w:cs="宋体"/>
                <w:sz w:val="18"/>
                <w:szCs w:val="18"/>
              </w:rPr>
              <w:t>江苏龙大沁侬食品有限公司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5B001A1" w14:textId="77777777" w:rsidR="007B3DB2" w:rsidRPr="0063248C" w:rsidRDefault="00000000">
            <w:pPr>
              <w:spacing w:line="240" w:lineRule="exact"/>
              <w:jc w:val="right"/>
              <w:rPr>
                <w:rFonts w:cs="宋体"/>
                <w:sz w:val="18"/>
                <w:szCs w:val="18"/>
              </w:rPr>
            </w:pPr>
            <w:r w:rsidRPr="0063248C">
              <w:rPr>
                <w:rFonts w:cs="宋体"/>
                <w:sz w:val="18"/>
                <w:szCs w:val="18"/>
              </w:rPr>
              <w:t>170,600,000.00</w:t>
            </w:r>
          </w:p>
        </w:tc>
        <w:tc>
          <w:tcPr>
            <w:tcW w:w="1071" w:type="dxa"/>
            <w:tcBorders>
              <w:top w:val="single" w:sz="2" w:space="0" w:color="auto"/>
              <w:left w:val="single" w:sz="2" w:space="0" w:color="auto"/>
              <w:bottom w:val="single" w:sz="2" w:space="0" w:color="auto"/>
              <w:right w:val="single" w:sz="2" w:space="0" w:color="auto"/>
            </w:tcBorders>
            <w:vAlign w:val="center"/>
          </w:tcPr>
          <w:p w14:paraId="3C3B4665"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4908606A"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167A689"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06CC26A"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76B44E2"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93E6CE9" w14:textId="77777777" w:rsidR="007B3DB2" w:rsidRPr="0063248C" w:rsidRDefault="00000000">
            <w:pPr>
              <w:spacing w:line="240" w:lineRule="exact"/>
              <w:jc w:val="right"/>
              <w:rPr>
                <w:rFonts w:cs="宋体"/>
                <w:sz w:val="18"/>
                <w:szCs w:val="18"/>
              </w:rPr>
            </w:pPr>
            <w:r w:rsidRPr="0063248C">
              <w:rPr>
                <w:rFonts w:cs="宋体"/>
                <w:sz w:val="18"/>
                <w:szCs w:val="18"/>
              </w:rPr>
              <w:t>170,600,000.00</w:t>
            </w:r>
          </w:p>
        </w:tc>
        <w:tc>
          <w:tcPr>
            <w:tcW w:w="1185" w:type="dxa"/>
            <w:tcBorders>
              <w:top w:val="single" w:sz="2" w:space="0" w:color="auto"/>
              <w:left w:val="single" w:sz="2" w:space="0" w:color="auto"/>
              <w:bottom w:val="single" w:sz="2" w:space="0" w:color="auto"/>
              <w:right w:val="single" w:sz="2" w:space="0" w:color="auto"/>
            </w:tcBorders>
            <w:vAlign w:val="center"/>
          </w:tcPr>
          <w:p w14:paraId="6AE52C8A" w14:textId="77777777" w:rsidR="007B3DB2" w:rsidRPr="0063248C" w:rsidRDefault="007B3DB2">
            <w:pPr>
              <w:spacing w:line="240" w:lineRule="exact"/>
              <w:jc w:val="right"/>
              <w:rPr>
                <w:rFonts w:cs="宋体"/>
                <w:sz w:val="18"/>
                <w:szCs w:val="18"/>
              </w:rPr>
            </w:pPr>
          </w:p>
        </w:tc>
      </w:tr>
      <w:tr w:rsidR="007B3DB2" w:rsidRPr="0063248C" w14:paraId="10232B1C"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73F91E3" w14:textId="77777777" w:rsidR="007B3DB2" w:rsidRPr="0063248C" w:rsidRDefault="00000000">
            <w:pPr>
              <w:spacing w:line="240" w:lineRule="exact"/>
              <w:rPr>
                <w:rFonts w:cs="宋体"/>
                <w:sz w:val="18"/>
                <w:szCs w:val="18"/>
              </w:rPr>
            </w:pPr>
            <w:r w:rsidRPr="0063248C">
              <w:rPr>
                <w:rFonts w:cs="宋体"/>
                <w:sz w:val="18"/>
                <w:szCs w:val="18"/>
              </w:rPr>
              <w:t>山东龙大美食贸易有限公司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CCC9F17" w14:textId="77777777" w:rsidR="007B3DB2" w:rsidRPr="0063248C" w:rsidRDefault="00000000">
            <w:pPr>
              <w:spacing w:line="240" w:lineRule="exact"/>
              <w:jc w:val="right"/>
              <w:rPr>
                <w:rFonts w:cs="宋体"/>
                <w:sz w:val="18"/>
                <w:szCs w:val="18"/>
              </w:rPr>
            </w:pPr>
            <w:r w:rsidRPr="0063248C">
              <w:rPr>
                <w:rFonts w:cs="宋体"/>
                <w:sz w:val="18"/>
                <w:szCs w:val="18"/>
              </w:rPr>
              <w:t>11,314,775.94</w:t>
            </w:r>
          </w:p>
        </w:tc>
        <w:tc>
          <w:tcPr>
            <w:tcW w:w="1071" w:type="dxa"/>
            <w:tcBorders>
              <w:top w:val="single" w:sz="2" w:space="0" w:color="auto"/>
              <w:left w:val="single" w:sz="2" w:space="0" w:color="auto"/>
              <w:bottom w:val="single" w:sz="2" w:space="0" w:color="auto"/>
              <w:right w:val="single" w:sz="2" w:space="0" w:color="auto"/>
            </w:tcBorders>
            <w:vAlign w:val="center"/>
          </w:tcPr>
          <w:p w14:paraId="20FFDEDE" w14:textId="77777777" w:rsidR="007B3DB2" w:rsidRPr="0063248C" w:rsidRDefault="00000000">
            <w:pPr>
              <w:spacing w:line="240" w:lineRule="exact"/>
              <w:jc w:val="right"/>
              <w:rPr>
                <w:rFonts w:cs="宋体"/>
                <w:sz w:val="18"/>
                <w:szCs w:val="18"/>
              </w:rPr>
            </w:pPr>
            <w:r w:rsidRPr="0063248C">
              <w:rPr>
                <w:rFonts w:cs="宋体"/>
                <w:sz w:val="18"/>
                <w:szCs w:val="18"/>
              </w:rPr>
              <w:t>8,685,224.06</w:t>
            </w:r>
          </w:p>
        </w:tc>
        <w:tc>
          <w:tcPr>
            <w:tcW w:w="847" w:type="dxa"/>
            <w:tcBorders>
              <w:top w:val="single" w:sz="2" w:space="0" w:color="auto"/>
              <w:left w:val="single" w:sz="2" w:space="0" w:color="auto"/>
              <w:bottom w:val="single" w:sz="2" w:space="0" w:color="auto"/>
              <w:right w:val="single" w:sz="2" w:space="0" w:color="auto"/>
            </w:tcBorders>
            <w:vAlign w:val="center"/>
          </w:tcPr>
          <w:p w14:paraId="1315B641"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2FD99A7"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5FC84CC"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37F3385"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1E82BA4" w14:textId="77777777" w:rsidR="007B3DB2" w:rsidRPr="0063248C" w:rsidRDefault="00000000">
            <w:pPr>
              <w:spacing w:line="240" w:lineRule="exact"/>
              <w:jc w:val="right"/>
              <w:rPr>
                <w:rFonts w:cs="宋体"/>
                <w:sz w:val="18"/>
                <w:szCs w:val="18"/>
              </w:rPr>
            </w:pPr>
            <w:r w:rsidRPr="0063248C">
              <w:rPr>
                <w:rFonts w:cs="宋体"/>
                <w:sz w:val="18"/>
                <w:szCs w:val="18"/>
              </w:rPr>
              <w:t>11,314,775.94</w:t>
            </w:r>
          </w:p>
        </w:tc>
        <w:tc>
          <w:tcPr>
            <w:tcW w:w="1185" w:type="dxa"/>
            <w:tcBorders>
              <w:top w:val="single" w:sz="2" w:space="0" w:color="auto"/>
              <w:left w:val="single" w:sz="2" w:space="0" w:color="auto"/>
              <w:bottom w:val="single" w:sz="2" w:space="0" w:color="auto"/>
              <w:right w:val="single" w:sz="2" w:space="0" w:color="auto"/>
            </w:tcBorders>
            <w:vAlign w:val="center"/>
          </w:tcPr>
          <w:p w14:paraId="12DF0082" w14:textId="77777777" w:rsidR="007B3DB2" w:rsidRPr="0063248C" w:rsidRDefault="00000000">
            <w:pPr>
              <w:spacing w:line="240" w:lineRule="exact"/>
              <w:jc w:val="right"/>
              <w:rPr>
                <w:rFonts w:cs="宋体"/>
                <w:sz w:val="18"/>
                <w:szCs w:val="18"/>
              </w:rPr>
            </w:pPr>
            <w:r w:rsidRPr="0063248C">
              <w:rPr>
                <w:rFonts w:cs="宋体"/>
                <w:sz w:val="18"/>
                <w:szCs w:val="18"/>
              </w:rPr>
              <w:t>8,685,224.06</w:t>
            </w:r>
          </w:p>
        </w:tc>
      </w:tr>
      <w:tr w:rsidR="007B3DB2" w:rsidRPr="0063248C" w14:paraId="24524B2B"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0398745" w14:textId="77777777" w:rsidR="007B3DB2" w:rsidRPr="0063248C" w:rsidRDefault="00000000">
            <w:pPr>
              <w:spacing w:line="240" w:lineRule="exact"/>
              <w:rPr>
                <w:rFonts w:cs="宋体"/>
                <w:sz w:val="18"/>
                <w:szCs w:val="18"/>
              </w:rPr>
            </w:pPr>
            <w:r w:rsidRPr="0063248C">
              <w:rPr>
                <w:rFonts w:cs="宋体"/>
                <w:sz w:val="18"/>
                <w:szCs w:val="18"/>
              </w:rPr>
              <w:t>青岛龙大管理咨询服务有限公司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2A074174"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14:paraId="7366BB61"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472F79F0"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365D637"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4D7B047"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1928BC2"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E083D9C"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185" w:type="dxa"/>
            <w:tcBorders>
              <w:top w:val="single" w:sz="2" w:space="0" w:color="auto"/>
              <w:left w:val="single" w:sz="2" w:space="0" w:color="auto"/>
              <w:bottom w:val="single" w:sz="2" w:space="0" w:color="auto"/>
              <w:right w:val="single" w:sz="2" w:space="0" w:color="auto"/>
            </w:tcBorders>
            <w:vAlign w:val="center"/>
          </w:tcPr>
          <w:p w14:paraId="5D3062FC" w14:textId="77777777" w:rsidR="007B3DB2" w:rsidRPr="0063248C" w:rsidRDefault="007B3DB2">
            <w:pPr>
              <w:spacing w:line="240" w:lineRule="exact"/>
              <w:jc w:val="right"/>
              <w:rPr>
                <w:rFonts w:cs="宋体"/>
                <w:sz w:val="18"/>
                <w:szCs w:val="18"/>
              </w:rPr>
            </w:pPr>
          </w:p>
        </w:tc>
      </w:tr>
      <w:tr w:rsidR="007B3DB2" w:rsidRPr="0063248C" w14:paraId="2A1107F9"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41A8080" w14:textId="77777777" w:rsidR="007B3DB2" w:rsidRPr="0063248C" w:rsidRDefault="00000000">
            <w:pPr>
              <w:spacing w:line="240" w:lineRule="exact"/>
              <w:rPr>
                <w:rFonts w:cs="宋体"/>
                <w:sz w:val="18"/>
                <w:szCs w:val="18"/>
              </w:rPr>
            </w:pPr>
            <w:r w:rsidRPr="0063248C">
              <w:rPr>
                <w:rFonts w:cs="宋体"/>
                <w:sz w:val="18"/>
                <w:szCs w:val="18"/>
              </w:rPr>
              <w:t>湖北龙大肉食品有限公司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7C053BE"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78595E10"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847" w:type="dxa"/>
            <w:tcBorders>
              <w:top w:val="single" w:sz="2" w:space="0" w:color="auto"/>
              <w:left w:val="single" w:sz="2" w:space="0" w:color="auto"/>
              <w:bottom w:val="single" w:sz="2" w:space="0" w:color="auto"/>
              <w:right w:val="single" w:sz="2" w:space="0" w:color="auto"/>
            </w:tcBorders>
            <w:vAlign w:val="center"/>
          </w:tcPr>
          <w:p w14:paraId="177A74F1"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FE4EF08"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CB2E990"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6B7031F"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05FF6C85" w14:textId="77777777" w:rsidR="007B3DB2" w:rsidRPr="0063248C" w:rsidRDefault="00000000">
            <w:pPr>
              <w:spacing w:line="240" w:lineRule="exact"/>
              <w:jc w:val="right"/>
              <w:rPr>
                <w:rFonts w:cs="宋体"/>
                <w:sz w:val="18"/>
                <w:szCs w:val="18"/>
              </w:rPr>
            </w:pPr>
            <w:r w:rsidRPr="0063248C">
              <w:rPr>
                <w:rFonts w:cs="宋体"/>
                <w:sz w:val="18"/>
                <w:szCs w:val="18"/>
              </w:rPr>
              <w:t>0.00</w:t>
            </w:r>
          </w:p>
        </w:tc>
        <w:tc>
          <w:tcPr>
            <w:tcW w:w="1185" w:type="dxa"/>
            <w:tcBorders>
              <w:top w:val="single" w:sz="2" w:space="0" w:color="auto"/>
              <w:left w:val="single" w:sz="2" w:space="0" w:color="auto"/>
              <w:bottom w:val="single" w:sz="2" w:space="0" w:color="auto"/>
              <w:right w:val="single" w:sz="2" w:space="0" w:color="auto"/>
            </w:tcBorders>
            <w:vAlign w:val="center"/>
          </w:tcPr>
          <w:p w14:paraId="32F2DCE5"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r>
      <w:tr w:rsidR="007B3DB2" w:rsidRPr="0063248C" w14:paraId="73F7329F"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A6B9992" w14:textId="77777777" w:rsidR="007B3DB2" w:rsidRPr="0063248C" w:rsidRDefault="00000000">
            <w:pPr>
              <w:spacing w:line="240" w:lineRule="exact"/>
              <w:rPr>
                <w:rFonts w:cs="宋体"/>
                <w:sz w:val="18"/>
                <w:szCs w:val="18"/>
              </w:rPr>
            </w:pPr>
            <w:r w:rsidRPr="0063248C">
              <w:rPr>
                <w:rFonts w:cs="宋体"/>
                <w:sz w:val="18"/>
                <w:szCs w:val="18"/>
              </w:rPr>
              <w:t>成都龙大肉食品有限公司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CEF6622" w14:textId="77777777" w:rsidR="007B3DB2" w:rsidRPr="0063248C" w:rsidRDefault="00000000">
            <w:pPr>
              <w:spacing w:line="240" w:lineRule="exact"/>
              <w:jc w:val="right"/>
              <w:rPr>
                <w:rFonts w:cs="宋体"/>
                <w:sz w:val="18"/>
                <w:szCs w:val="18"/>
              </w:rPr>
            </w:pPr>
            <w:r w:rsidRPr="0063248C">
              <w:rPr>
                <w:rFonts w:cs="宋体"/>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14:paraId="472DF600"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49433B10"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33D9F38"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E11E8FB"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023C384"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7109318" w14:textId="77777777" w:rsidR="007B3DB2" w:rsidRPr="0063248C" w:rsidRDefault="00000000">
            <w:pPr>
              <w:spacing w:line="240" w:lineRule="exact"/>
              <w:jc w:val="right"/>
              <w:rPr>
                <w:rFonts w:cs="宋体"/>
                <w:sz w:val="18"/>
                <w:szCs w:val="18"/>
              </w:rPr>
            </w:pPr>
            <w:r w:rsidRPr="0063248C">
              <w:rPr>
                <w:rFonts w:cs="宋体"/>
                <w:sz w:val="18"/>
                <w:szCs w:val="18"/>
              </w:rPr>
              <w:t>40,000,000.00</w:t>
            </w:r>
          </w:p>
        </w:tc>
        <w:tc>
          <w:tcPr>
            <w:tcW w:w="1185" w:type="dxa"/>
            <w:tcBorders>
              <w:top w:val="single" w:sz="2" w:space="0" w:color="auto"/>
              <w:left w:val="single" w:sz="2" w:space="0" w:color="auto"/>
              <w:bottom w:val="single" w:sz="2" w:space="0" w:color="auto"/>
              <w:right w:val="single" w:sz="2" w:space="0" w:color="auto"/>
            </w:tcBorders>
            <w:vAlign w:val="center"/>
          </w:tcPr>
          <w:p w14:paraId="41E7C82D" w14:textId="77777777" w:rsidR="007B3DB2" w:rsidRPr="0063248C" w:rsidRDefault="007B3DB2">
            <w:pPr>
              <w:spacing w:line="240" w:lineRule="exact"/>
              <w:jc w:val="right"/>
              <w:rPr>
                <w:rFonts w:cs="宋体"/>
                <w:sz w:val="18"/>
                <w:szCs w:val="18"/>
              </w:rPr>
            </w:pPr>
          </w:p>
        </w:tc>
      </w:tr>
      <w:tr w:rsidR="007B3DB2" w:rsidRPr="0063248C" w14:paraId="39C0BA4E"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D5DFA84" w14:textId="77777777" w:rsidR="007B3DB2" w:rsidRPr="0063248C" w:rsidRDefault="00000000">
            <w:pPr>
              <w:spacing w:line="240" w:lineRule="exact"/>
              <w:rPr>
                <w:rFonts w:cs="宋体"/>
                <w:sz w:val="18"/>
                <w:szCs w:val="18"/>
              </w:rPr>
            </w:pPr>
            <w:r w:rsidRPr="0063248C">
              <w:rPr>
                <w:rFonts w:cs="宋体"/>
                <w:sz w:val="18"/>
                <w:szCs w:val="18"/>
              </w:rPr>
              <w:t>黑龙江龙大肉食品有限公司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960846D" w14:textId="77777777" w:rsidR="007B3DB2" w:rsidRPr="0063248C" w:rsidRDefault="00000000">
            <w:pPr>
              <w:spacing w:line="240" w:lineRule="exact"/>
              <w:jc w:val="right"/>
              <w:rPr>
                <w:rFonts w:cs="宋体"/>
                <w:sz w:val="18"/>
                <w:szCs w:val="18"/>
              </w:rPr>
            </w:pPr>
            <w:r w:rsidRPr="0063248C">
              <w:rPr>
                <w:rFonts w:cs="宋体"/>
                <w:sz w:val="18"/>
                <w:szCs w:val="18"/>
              </w:rPr>
              <w:t>100,000,000.00</w:t>
            </w:r>
          </w:p>
        </w:tc>
        <w:tc>
          <w:tcPr>
            <w:tcW w:w="1071" w:type="dxa"/>
            <w:tcBorders>
              <w:top w:val="single" w:sz="2" w:space="0" w:color="auto"/>
              <w:left w:val="single" w:sz="2" w:space="0" w:color="auto"/>
              <w:bottom w:val="single" w:sz="2" w:space="0" w:color="auto"/>
              <w:right w:val="single" w:sz="2" w:space="0" w:color="auto"/>
            </w:tcBorders>
            <w:vAlign w:val="center"/>
          </w:tcPr>
          <w:p w14:paraId="16C527C9"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249409DC"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E4B0D78"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050988D"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EF9188A"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52F2C45" w14:textId="77777777" w:rsidR="007B3DB2" w:rsidRPr="0063248C" w:rsidRDefault="00000000">
            <w:pPr>
              <w:spacing w:line="240" w:lineRule="exact"/>
              <w:jc w:val="right"/>
              <w:rPr>
                <w:rFonts w:cs="宋体"/>
                <w:sz w:val="18"/>
                <w:szCs w:val="18"/>
              </w:rPr>
            </w:pPr>
            <w:r w:rsidRPr="0063248C">
              <w:rPr>
                <w:rFonts w:cs="宋体"/>
                <w:sz w:val="18"/>
                <w:szCs w:val="18"/>
              </w:rPr>
              <w:t>100,000,000.00</w:t>
            </w:r>
          </w:p>
        </w:tc>
        <w:tc>
          <w:tcPr>
            <w:tcW w:w="1185" w:type="dxa"/>
            <w:tcBorders>
              <w:top w:val="single" w:sz="2" w:space="0" w:color="auto"/>
              <w:left w:val="single" w:sz="2" w:space="0" w:color="auto"/>
              <w:bottom w:val="single" w:sz="2" w:space="0" w:color="auto"/>
              <w:right w:val="single" w:sz="2" w:space="0" w:color="auto"/>
            </w:tcBorders>
            <w:vAlign w:val="center"/>
          </w:tcPr>
          <w:p w14:paraId="1DC21588" w14:textId="77777777" w:rsidR="007B3DB2" w:rsidRPr="0063248C" w:rsidRDefault="007B3DB2">
            <w:pPr>
              <w:spacing w:line="240" w:lineRule="exact"/>
              <w:jc w:val="right"/>
              <w:rPr>
                <w:rFonts w:cs="宋体"/>
                <w:sz w:val="18"/>
                <w:szCs w:val="18"/>
              </w:rPr>
            </w:pPr>
          </w:p>
        </w:tc>
      </w:tr>
      <w:tr w:rsidR="007B3DB2" w:rsidRPr="0063248C" w14:paraId="096DC50E"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31B80925" w14:textId="77777777" w:rsidR="007B3DB2" w:rsidRPr="0063248C" w:rsidRDefault="00000000">
            <w:pPr>
              <w:spacing w:line="240" w:lineRule="exact"/>
              <w:rPr>
                <w:rFonts w:cs="宋体"/>
                <w:sz w:val="18"/>
                <w:szCs w:val="18"/>
              </w:rPr>
            </w:pPr>
            <w:r w:rsidRPr="0063248C">
              <w:rPr>
                <w:rFonts w:cs="宋体"/>
                <w:sz w:val="18"/>
                <w:szCs w:val="18"/>
              </w:rPr>
              <w:t>巴中龙大肉食品有限公司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7C439CDD" w14:textId="77777777" w:rsidR="007B3DB2" w:rsidRPr="0063248C" w:rsidRDefault="00000000">
            <w:pPr>
              <w:spacing w:line="240" w:lineRule="exact"/>
              <w:jc w:val="right"/>
              <w:rPr>
                <w:rFonts w:cs="宋体"/>
                <w:sz w:val="18"/>
                <w:szCs w:val="18"/>
              </w:rPr>
            </w:pPr>
            <w:r w:rsidRPr="0063248C">
              <w:rPr>
                <w:rFonts w:cs="宋体"/>
                <w:sz w:val="18"/>
                <w:szCs w:val="18"/>
              </w:rPr>
              <w:t>100,000,000.00</w:t>
            </w:r>
          </w:p>
        </w:tc>
        <w:tc>
          <w:tcPr>
            <w:tcW w:w="1071" w:type="dxa"/>
            <w:tcBorders>
              <w:top w:val="single" w:sz="2" w:space="0" w:color="auto"/>
              <w:left w:val="single" w:sz="2" w:space="0" w:color="auto"/>
              <w:bottom w:val="single" w:sz="2" w:space="0" w:color="auto"/>
              <w:right w:val="single" w:sz="2" w:space="0" w:color="auto"/>
            </w:tcBorders>
            <w:vAlign w:val="center"/>
          </w:tcPr>
          <w:p w14:paraId="48E5D4FA"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34285D0D"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B869A96"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5E51E52"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1C9019D"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74FA500" w14:textId="77777777" w:rsidR="007B3DB2" w:rsidRPr="0063248C" w:rsidRDefault="00000000">
            <w:pPr>
              <w:spacing w:line="240" w:lineRule="exact"/>
              <w:jc w:val="right"/>
              <w:rPr>
                <w:rFonts w:cs="宋体"/>
                <w:sz w:val="18"/>
                <w:szCs w:val="18"/>
              </w:rPr>
            </w:pPr>
            <w:r w:rsidRPr="0063248C">
              <w:rPr>
                <w:rFonts w:cs="宋体"/>
                <w:sz w:val="18"/>
                <w:szCs w:val="18"/>
              </w:rPr>
              <w:t>100,000,000.00</w:t>
            </w:r>
          </w:p>
        </w:tc>
        <w:tc>
          <w:tcPr>
            <w:tcW w:w="1185" w:type="dxa"/>
            <w:tcBorders>
              <w:top w:val="single" w:sz="2" w:space="0" w:color="auto"/>
              <w:left w:val="single" w:sz="2" w:space="0" w:color="auto"/>
              <w:bottom w:val="single" w:sz="2" w:space="0" w:color="auto"/>
              <w:right w:val="single" w:sz="2" w:space="0" w:color="auto"/>
            </w:tcBorders>
            <w:vAlign w:val="center"/>
          </w:tcPr>
          <w:p w14:paraId="6579B6FC" w14:textId="77777777" w:rsidR="007B3DB2" w:rsidRPr="0063248C" w:rsidRDefault="007B3DB2">
            <w:pPr>
              <w:spacing w:line="240" w:lineRule="exact"/>
              <w:jc w:val="right"/>
              <w:rPr>
                <w:rFonts w:cs="宋体"/>
                <w:sz w:val="18"/>
                <w:szCs w:val="18"/>
              </w:rPr>
            </w:pPr>
          </w:p>
        </w:tc>
      </w:tr>
      <w:tr w:rsidR="007B3DB2" w:rsidRPr="0063248C" w14:paraId="2C2BF93C"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32D65F4" w14:textId="77777777" w:rsidR="007B3DB2" w:rsidRPr="0063248C" w:rsidRDefault="00000000">
            <w:pPr>
              <w:spacing w:line="240" w:lineRule="exact"/>
              <w:rPr>
                <w:rFonts w:cs="宋体"/>
                <w:sz w:val="18"/>
                <w:szCs w:val="18"/>
              </w:rPr>
            </w:pPr>
            <w:r w:rsidRPr="0063248C">
              <w:rPr>
                <w:rFonts w:cs="宋体"/>
                <w:sz w:val="18"/>
                <w:szCs w:val="18"/>
              </w:rPr>
              <w:t>海南龙大美食有限责任公司</w:t>
            </w:r>
          </w:p>
        </w:tc>
        <w:tc>
          <w:tcPr>
            <w:tcW w:w="1071" w:type="dxa"/>
            <w:tcBorders>
              <w:top w:val="single" w:sz="2" w:space="0" w:color="auto"/>
              <w:left w:val="single" w:sz="2" w:space="0" w:color="auto"/>
              <w:bottom w:val="single" w:sz="2" w:space="0" w:color="auto"/>
              <w:right w:val="single" w:sz="2" w:space="0" w:color="auto"/>
            </w:tcBorders>
            <w:vAlign w:val="center"/>
          </w:tcPr>
          <w:p w14:paraId="0FAD2081" w14:textId="77777777" w:rsidR="007B3DB2" w:rsidRPr="0063248C" w:rsidRDefault="00000000">
            <w:pPr>
              <w:spacing w:line="240" w:lineRule="exact"/>
              <w:jc w:val="right"/>
              <w:rPr>
                <w:rFonts w:cs="宋体"/>
                <w:sz w:val="18"/>
                <w:szCs w:val="18"/>
              </w:rPr>
            </w:pPr>
            <w:r w:rsidRPr="0063248C">
              <w:rPr>
                <w:rFonts w:cs="宋体"/>
                <w:sz w:val="18"/>
                <w:szCs w:val="18"/>
              </w:rPr>
              <w:t>100,000,000.00</w:t>
            </w:r>
          </w:p>
        </w:tc>
        <w:tc>
          <w:tcPr>
            <w:tcW w:w="1071" w:type="dxa"/>
            <w:tcBorders>
              <w:top w:val="single" w:sz="2" w:space="0" w:color="auto"/>
              <w:left w:val="single" w:sz="2" w:space="0" w:color="auto"/>
              <w:bottom w:val="single" w:sz="2" w:space="0" w:color="auto"/>
              <w:right w:val="single" w:sz="2" w:space="0" w:color="auto"/>
            </w:tcBorders>
            <w:vAlign w:val="center"/>
          </w:tcPr>
          <w:p w14:paraId="7FC4A6B0"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363BA620"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960DA97"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3AE98D8"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C2A3C9B"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B63F19B" w14:textId="77777777" w:rsidR="007B3DB2" w:rsidRPr="0063248C" w:rsidRDefault="00000000">
            <w:pPr>
              <w:spacing w:line="240" w:lineRule="exact"/>
              <w:jc w:val="right"/>
              <w:rPr>
                <w:rFonts w:cs="宋体"/>
                <w:sz w:val="18"/>
                <w:szCs w:val="18"/>
              </w:rPr>
            </w:pPr>
            <w:r w:rsidRPr="0063248C">
              <w:rPr>
                <w:rFonts w:cs="宋体"/>
                <w:sz w:val="18"/>
                <w:szCs w:val="18"/>
              </w:rPr>
              <w:t>100,000,000.00</w:t>
            </w:r>
          </w:p>
        </w:tc>
        <w:tc>
          <w:tcPr>
            <w:tcW w:w="1185" w:type="dxa"/>
            <w:tcBorders>
              <w:top w:val="single" w:sz="2" w:space="0" w:color="auto"/>
              <w:left w:val="single" w:sz="2" w:space="0" w:color="auto"/>
              <w:bottom w:val="single" w:sz="2" w:space="0" w:color="auto"/>
              <w:right w:val="single" w:sz="2" w:space="0" w:color="auto"/>
            </w:tcBorders>
            <w:vAlign w:val="center"/>
          </w:tcPr>
          <w:p w14:paraId="2438A558" w14:textId="77777777" w:rsidR="007B3DB2" w:rsidRPr="0063248C" w:rsidRDefault="007B3DB2">
            <w:pPr>
              <w:spacing w:line="240" w:lineRule="exact"/>
              <w:jc w:val="right"/>
              <w:rPr>
                <w:rFonts w:cs="宋体"/>
                <w:sz w:val="18"/>
                <w:szCs w:val="18"/>
              </w:rPr>
            </w:pPr>
          </w:p>
        </w:tc>
      </w:tr>
      <w:tr w:rsidR="007B3DB2" w:rsidRPr="0063248C" w14:paraId="5FB34048"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E054B97" w14:textId="77777777" w:rsidR="007B3DB2" w:rsidRPr="0063248C" w:rsidRDefault="00000000">
            <w:pPr>
              <w:spacing w:line="240" w:lineRule="exact"/>
              <w:rPr>
                <w:rFonts w:cs="宋体"/>
                <w:sz w:val="18"/>
                <w:szCs w:val="18"/>
              </w:rPr>
            </w:pPr>
            <w:r w:rsidRPr="0063248C">
              <w:rPr>
                <w:rFonts w:cs="宋体"/>
                <w:sz w:val="18"/>
                <w:szCs w:val="18"/>
              </w:rPr>
              <w:t>山东</w:t>
            </w:r>
            <w:proofErr w:type="gramStart"/>
            <w:r w:rsidRPr="0063248C">
              <w:rPr>
                <w:rFonts w:cs="宋体"/>
                <w:sz w:val="18"/>
                <w:szCs w:val="18"/>
              </w:rPr>
              <w:t>龙鲜生供应</w:t>
            </w:r>
            <w:proofErr w:type="gramEnd"/>
            <w:r w:rsidRPr="0063248C">
              <w:rPr>
                <w:rFonts w:cs="宋体"/>
                <w:sz w:val="18"/>
                <w:szCs w:val="18"/>
              </w:rPr>
              <w:t>链管理有限公司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C319CB3"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14:paraId="36554563"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0053AFF3"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591AD9C"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0BDF337"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2288062"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6D23607" w14:textId="77777777" w:rsidR="007B3DB2" w:rsidRPr="0063248C" w:rsidRDefault="00000000">
            <w:pPr>
              <w:spacing w:line="240" w:lineRule="exact"/>
              <w:jc w:val="right"/>
              <w:rPr>
                <w:rFonts w:cs="宋体"/>
                <w:sz w:val="18"/>
                <w:szCs w:val="18"/>
              </w:rPr>
            </w:pPr>
            <w:r w:rsidRPr="0063248C">
              <w:rPr>
                <w:rFonts w:cs="宋体"/>
                <w:sz w:val="18"/>
                <w:szCs w:val="18"/>
              </w:rPr>
              <w:t>10,000,000.00</w:t>
            </w:r>
          </w:p>
        </w:tc>
        <w:tc>
          <w:tcPr>
            <w:tcW w:w="1185" w:type="dxa"/>
            <w:tcBorders>
              <w:top w:val="single" w:sz="2" w:space="0" w:color="auto"/>
              <w:left w:val="single" w:sz="2" w:space="0" w:color="auto"/>
              <w:bottom w:val="single" w:sz="2" w:space="0" w:color="auto"/>
              <w:right w:val="single" w:sz="2" w:space="0" w:color="auto"/>
            </w:tcBorders>
            <w:vAlign w:val="center"/>
          </w:tcPr>
          <w:p w14:paraId="196F58ED" w14:textId="77777777" w:rsidR="007B3DB2" w:rsidRPr="0063248C" w:rsidRDefault="007B3DB2">
            <w:pPr>
              <w:spacing w:line="240" w:lineRule="exact"/>
              <w:jc w:val="right"/>
              <w:rPr>
                <w:rFonts w:cs="宋体"/>
                <w:sz w:val="18"/>
                <w:szCs w:val="18"/>
              </w:rPr>
            </w:pPr>
          </w:p>
        </w:tc>
      </w:tr>
      <w:tr w:rsidR="007B3DB2" w:rsidRPr="0063248C" w14:paraId="2D4CDF80"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AB5EF3B" w14:textId="77777777" w:rsidR="007B3DB2" w:rsidRPr="0063248C" w:rsidRDefault="00000000">
            <w:pPr>
              <w:spacing w:line="240" w:lineRule="exact"/>
              <w:rPr>
                <w:rFonts w:cs="宋体"/>
                <w:sz w:val="18"/>
                <w:szCs w:val="18"/>
              </w:rPr>
            </w:pPr>
            <w:r w:rsidRPr="0063248C">
              <w:rPr>
                <w:rFonts w:cs="宋体"/>
                <w:sz w:val="18"/>
                <w:szCs w:val="18"/>
              </w:rPr>
              <w:t>成都龙大科技有限公司（原：成都</w:t>
            </w:r>
            <w:proofErr w:type="gramStart"/>
            <w:r w:rsidRPr="0063248C">
              <w:rPr>
                <w:rFonts w:cs="宋体"/>
                <w:sz w:val="18"/>
                <w:szCs w:val="18"/>
              </w:rPr>
              <w:t>逸享潮代供应</w:t>
            </w:r>
            <w:proofErr w:type="gramEnd"/>
            <w:r w:rsidRPr="0063248C">
              <w:rPr>
                <w:rFonts w:cs="宋体"/>
                <w:sz w:val="18"/>
                <w:szCs w:val="18"/>
              </w:rPr>
              <w:t>链管理有</w:t>
            </w:r>
            <w:r w:rsidRPr="0063248C">
              <w:rPr>
                <w:rFonts w:cs="宋体"/>
                <w:sz w:val="18"/>
                <w:szCs w:val="18"/>
              </w:rPr>
              <w:lastRenderedPageBreak/>
              <w:t>限公司）</w:t>
            </w:r>
          </w:p>
        </w:tc>
        <w:tc>
          <w:tcPr>
            <w:tcW w:w="1071" w:type="dxa"/>
            <w:tcBorders>
              <w:top w:val="single" w:sz="2" w:space="0" w:color="auto"/>
              <w:left w:val="single" w:sz="2" w:space="0" w:color="auto"/>
              <w:bottom w:val="single" w:sz="2" w:space="0" w:color="auto"/>
              <w:right w:val="single" w:sz="2" w:space="0" w:color="auto"/>
            </w:tcBorders>
            <w:vAlign w:val="center"/>
          </w:tcPr>
          <w:p w14:paraId="30A7ABE9" w14:textId="77777777" w:rsidR="007B3DB2" w:rsidRPr="0063248C" w:rsidRDefault="00000000">
            <w:pPr>
              <w:spacing w:line="240" w:lineRule="exact"/>
              <w:jc w:val="right"/>
              <w:rPr>
                <w:rFonts w:cs="宋体"/>
                <w:sz w:val="18"/>
                <w:szCs w:val="18"/>
              </w:rPr>
            </w:pPr>
            <w:r w:rsidRPr="0063248C">
              <w:rPr>
                <w:rFonts w:cs="宋体"/>
                <w:sz w:val="18"/>
                <w:szCs w:val="18"/>
              </w:rPr>
              <w:lastRenderedPageBreak/>
              <w:t>100,000,000.00</w:t>
            </w:r>
          </w:p>
        </w:tc>
        <w:tc>
          <w:tcPr>
            <w:tcW w:w="1071" w:type="dxa"/>
            <w:tcBorders>
              <w:top w:val="single" w:sz="2" w:space="0" w:color="auto"/>
              <w:left w:val="single" w:sz="2" w:space="0" w:color="auto"/>
              <w:bottom w:val="single" w:sz="2" w:space="0" w:color="auto"/>
              <w:right w:val="single" w:sz="2" w:space="0" w:color="auto"/>
            </w:tcBorders>
            <w:vAlign w:val="center"/>
          </w:tcPr>
          <w:p w14:paraId="2B7ADEB1" w14:textId="77777777" w:rsidR="007B3DB2" w:rsidRPr="0063248C" w:rsidRDefault="007B3DB2">
            <w:pPr>
              <w:spacing w:line="240" w:lineRule="exact"/>
              <w:jc w:val="right"/>
              <w:rPr>
                <w:rFonts w:cs="宋体"/>
                <w:sz w:val="18"/>
                <w:szCs w:val="18"/>
              </w:rPr>
            </w:pPr>
          </w:p>
        </w:tc>
        <w:tc>
          <w:tcPr>
            <w:tcW w:w="847" w:type="dxa"/>
            <w:tcBorders>
              <w:top w:val="single" w:sz="2" w:space="0" w:color="auto"/>
              <w:left w:val="single" w:sz="2" w:space="0" w:color="auto"/>
              <w:bottom w:val="single" w:sz="2" w:space="0" w:color="auto"/>
              <w:right w:val="single" w:sz="2" w:space="0" w:color="auto"/>
            </w:tcBorders>
            <w:vAlign w:val="center"/>
          </w:tcPr>
          <w:p w14:paraId="23BDE5FF"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72D3C3B"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D6C800C" w14:textId="77777777" w:rsidR="007B3DB2" w:rsidRPr="0063248C" w:rsidRDefault="007B3DB2">
            <w:pPr>
              <w:spacing w:line="240" w:lineRule="exact"/>
              <w:jc w:val="right"/>
              <w:rPr>
                <w:rFonts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6791351"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DE6E4CA" w14:textId="77777777" w:rsidR="007B3DB2" w:rsidRPr="0063248C" w:rsidRDefault="00000000">
            <w:pPr>
              <w:spacing w:line="240" w:lineRule="exact"/>
              <w:jc w:val="right"/>
              <w:rPr>
                <w:rFonts w:cs="宋体"/>
                <w:sz w:val="18"/>
                <w:szCs w:val="18"/>
              </w:rPr>
            </w:pPr>
            <w:r w:rsidRPr="0063248C">
              <w:rPr>
                <w:rFonts w:cs="宋体"/>
                <w:sz w:val="18"/>
                <w:szCs w:val="18"/>
              </w:rPr>
              <w:t>100,000,000.00</w:t>
            </w:r>
          </w:p>
        </w:tc>
        <w:tc>
          <w:tcPr>
            <w:tcW w:w="1185" w:type="dxa"/>
            <w:tcBorders>
              <w:top w:val="single" w:sz="2" w:space="0" w:color="auto"/>
              <w:left w:val="single" w:sz="2" w:space="0" w:color="auto"/>
              <w:bottom w:val="single" w:sz="2" w:space="0" w:color="auto"/>
              <w:right w:val="single" w:sz="2" w:space="0" w:color="auto"/>
            </w:tcBorders>
            <w:vAlign w:val="center"/>
          </w:tcPr>
          <w:p w14:paraId="7DE3F577" w14:textId="77777777" w:rsidR="007B3DB2" w:rsidRPr="0063248C" w:rsidRDefault="007B3DB2">
            <w:pPr>
              <w:spacing w:line="240" w:lineRule="exact"/>
              <w:jc w:val="right"/>
              <w:rPr>
                <w:rFonts w:cs="宋体"/>
                <w:sz w:val="18"/>
                <w:szCs w:val="18"/>
              </w:rPr>
            </w:pPr>
          </w:p>
        </w:tc>
      </w:tr>
      <w:tr w:rsidR="007B3DB2" w:rsidRPr="0063248C" w14:paraId="28FF06F4" w14:textId="77777777" w:rsidTr="00FA083A">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9270258"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6891E9CB" w14:textId="77777777" w:rsidR="007B3DB2" w:rsidRPr="0063248C" w:rsidRDefault="00000000">
            <w:pPr>
              <w:spacing w:line="240" w:lineRule="exact"/>
              <w:jc w:val="right"/>
              <w:rPr>
                <w:rFonts w:cs="宋体"/>
                <w:sz w:val="18"/>
                <w:szCs w:val="18"/>
              </w:rPr>
            </w:pPr>
            <w:r w:rsidRPr="0063248C">
              <w:rPr>
                <w:rFonts w:cs="宋体"/>
                <w:sz w:val="18"/>
                <w:szCs w:val="18"/>
              </w:rPr>
              <w:t>2,574,081,822.87</w:t>
            </w:r>
          </w:p>
        </w:tc>
        <w:tc>
          <w:tcPr>
            <w:tcW w:w="1071" w:type="dxa"/>
            <w:tcBorders>
              <w:top w:val="single" w:sz="2" w:space="0" w:color="auto"/>
              <w:left w:val="single" w:sz="2" w:space="0" w:color="auto"/>
              <w:bottom w:val="single" w:sz="2" w:space="0" w:color="auto"/>
              <w:right w:val="single" w:sz="2" w:space="0" w:color="auto"/>
            </w:tcBorders>
            <w:vAlign w:val="center"/>
          </w:tcPr>
          <w:p w14:paraId="40C30C74" w14:textId="77777777" w:rsidR="007B3DB2" w:rsidRPr="0063248C" w:rsidRDefault="00000000">
            <w:pPr>
              <w:spacing w:line="240" w:lineRule="exact"/>
              <w:jc w:val="right"/>
              <w:rPr>
                <w:rFonts w:cs="宋体"/>
                <w:sz w:val="18"/>
                <w:szCs w:val="18"/>
              </w:rPr>
            </w:pPr>
            <w:r w:rsidRPr="0063248C">
              <w:rPr>
                <w:rFonts w:cs="宋体"/>
                <w:sz w:val="18"/>
                <w:szCs w:val="18"/>
              </w:rPr>
              <w:t>114,417,913.10</w:t>
            </w:r>
          </w:p>
        </w:tc>
        <w:tc>
          <w:tcPr>
            <w:tcW w:w="847" w:type="dxa"/>
            <w:tcBorders>
              <w:top w:val="single" w:sz="2" w:space="0" w:color="auto"/>
              <w:left w:val="single" w:sz="2" w:space="0" w:color="auto"/>
              <w:bottom w:val="single" w:sz="2" w:space="0" w:color="auto"/>
              <w:right w:val="single" w:sz="2" w:space="0" w:color="auto"/>
            </w:tcBorders>
            <w:vAlign w:val="center"/>
          </w:tcPr>
          <w:p w14:paraId="15C193B6" w14:textId="77777777" w:rsidR="007B3DB2" w:rsidRPr="0063248C" w:rsidRDefault="007B3DB2">
            <w:pPr>
              <w:spacing w:line="240" w:lineRule="exact"/>
              <w:jc w:val="right"/>
              <w:rPr>
                <w:rFonts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E4C713A"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1276" w:type="dxa"/>
            <w:tcBorders>
              <w:top w:val="single" w:sz="2" w:space="0" w:color="auto"/>
              <w:left w:val="single" w:sz="2" w:space="0" w:color="auto"/>
              <w:bottom w:val="single" w:sz="2" w:space="0" w:color="auto"/>
              <w:right w:val="single" w:sz="2" w:space="0" w:color="auto"/>
            </w:tcBorders>
            <w:vAlign w:val="center"/>
          </w:tcPr>
          <w:p w14:paraId="15A09C2F" w14:textId="77777777" w:rsidR="007B3DB2" w:rsidRPr="0063248C" w:rsidRDefault="00000000">
            <w:pPr>
              <w:spacing w:line="240" w:lineRule="exact"/>
              <w:jc w:val="right"/>
              <w:rPr>
                <w:rFonts w:cs="宋体"/>
                <w:sz w:val="18"/>
                <w:szCs w:val="18"/>
              </w:rPr>
            </w:pPr>
            <w:r w:rsidRPr="0063248C">
              <w:rPr>
                <w:rFonts w:cs="宋体"/>
                <w:sz w:val="18"/>
                <w:szCs w:val="18"/>
              </w:rPr>
              <w:t>-20,000,000.00</w:t>
            </w:r>
          </w:p>
        </w:tc>
        <w:tc>
          <w:tcPr>
            <w:tcW w:w="567" w:type="dxa"/>
            <w:tcBorders>
              <w:top w:val="single" w:sz="2" w:space="0" w:color="auto"/>
              <w:left w:val="single" w:sz="2" w:space="0" w:color="auto"/>
              <w:bottom w:val="single" w:sz="2" w:space="0" w:color="auto"/>
              <w:right w:val="single" w:sz="2" w:space="0" w:color="auto"/>
            </w:tcBorders>
            <w:vAlign w:val="center"/>
          </w:tcPr>
          <w:p w14:paraId="4D946FF2" w14:textId="77777777" w:rsidR="007B3DB2" w:rsidRPr="0063248C" w:rsidRDefault="007B3DB2">
            <w:pPr>
              <w:spacing w:line="240" w:lineRule="exact"/>
              <w:jc w:val="right"/>
              <w:rPr>
                <w:rFonts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2976B95" w14:textId="77777777" w:rsidR="007B3DB2" w:rsidRPr="0063248C" w:rsidRDefault="00000000">
            <w:pPr>
              <w:spacing w:line="240" w:lineRule="exact"/>
              <w:jc w:val="right"/>
              <w:rPr>
                <w:rFonts w:cs="宋体"/>
                <w:sz w:val="18"/>
                <w:szCs w:val="18"/>
              </w:rPr>
            </w:pPr>
            <w:r w:rsidRPr="0063248C">
              <w:rPr>
                <w:rFonts w:cs="宋体"/>
                <w:sz w:val="18"/>
                <w:szCs w:val="18"/>
              </w:rPr>
              <w:t>2,574,081,822.87</w:t>
            </w:r>
          </w:p>
        </w:tc>
        <w:tc>
          <w:tcPr>
            <w:tcW w:w="1185" w:type="dxa"/>
            <w:tcBorders>
              <w:top w:val="single" w:sz="2" w:space="0" w:color="auto"/>
              <w:left w:val="single" w:sz="2" w:space="0" w:color="auto"/>
              <w:bottom w:val="single" w:sz="2" w:space="0" w:color="auto"/>
              <w:right w:val="single" w:sz="2" w:space="0" w:color="auto"/>
            </w:tcBorders>
            <w:vAlign w:val="center"/>
          </w:tcPr>
          <w:p w14:paraId="160716B6" w14:textId="77777777" w:rsidR="007B3DB2" w:rsidRPr="0063248C" w:rsidRDefault="00000000">
            <w:pPr>
              <w:spacing w:line="240" w:lineRule="exact"/>
              <w:jc w:val="right"/>
              <w:rPr>
                <w:rFonts w:cs="宋体"/>
                <w:sz w:val="18"/>
                <w:szCs w:val="18"/>
              </w:rPr>
            </w:pPr>
            <w:r w:rsidRPr="0063248C">
              <w:rPr>
                <w:rFonts w:cs="宋体"/>
                <w:sz w:val="18"/>
                <w:szCs w:val="18"/>
              </w:rPr>
              <w:t>94,417,913.10</w:t>
            </w:r>
          </w:p>
        </w:tc>
      </w:tr>
    </w:tbl>
    <w:p w14:paraId="5ABA9961" w14:textId="77777777" w:rsidR="007B3DB2" w:rsidRPr="0063248C" w:rsidRDefault="00000000">
      <w:pPr>
        <w:keepNext/>
        <w:keepLines/>
        <w:spacing w:before="300" w:after="300" w:line="280" w:lineRule="exact"/>
        <w:outlineLvl w:val="3"/>
        <w:rPr>
          <w:rFonts w:cs="宋体"/>
          <w:b/>
          <w:bCs/>
          <w:szCs w:val="21"/>
        </w:rPr>
      </w:pPr>
      <w:bookmarkStart w:id="550" w:name="_Toc989444"/>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对联营、合营企业投资</w:t>
      </w:r>
      <w:bookmarkEnd w:id="550"/>
    </w:p>
    <w:p w14:paraId="53F36B57" w14:textId="77777777" w:rsidR="00517D34" w:rsidRPr="0063248C" w:rsidRDefault="00000000">
      <w:pPr>
        <w:pStyle w:val="a3"/>
        <w:divId w:val="507713739"/>
        <w:rPr>
          <w:rFonts w:ascii="Times New Roman" w:hAnsi="Times New Roman"/>
          <w:sz w:val="18"/>
          <w:szCs w:val="18"/>
        </w:rPr>
      </w:pPr>
      <w:r w:rsidRPr="0063248C">
        <w:rPr>
          <w:rFonts w:ascii="Times New Roman" w:hAnsi="Times New Roman" w:hint="eastAsia"/>
          <w:sz w:val="18"/>
          <w:szCs w:val="18"/>
        </w:rPr>
        <w:t>无</w:t>
      </w:r>
    </w:p>
    <w:p w14:paraId="3C69D7CD" w14:textId="77777777" w:rsidR="007B3DB2" w:rsidRPr="0063248C" w:rsidRDefault="00000000">
      <w:pPr>
        <w:keepNext/>
        <w:keepLines/>
        <w:spacing w:before="300" w:after="300" w:line="280" w:lineRule="exact"/>
        <w:outlineLvl w:val="3"/>
        <w:rPr>
          <w:rFonts w:cs="宋体"/>
          <w:b/>
          <w:bCs/>
          <w:szCs w:val="21"/>
        </w:rPr>
      </w:pPr>
      <w:bookmarkStart w:id="551" w:name="_Toc989445"/>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其他说明</w:t>
      </w:r>
      <w:bookmarkEnd w:id="551"/>
    </w:p>
    <w:p w14:paraId="4388AA9D" w14:textId="77777777" w:rsidR="00517D34" w:rsidRPr="0063248C" w:rsidRDefault="00000000">
      <w:pPr>
        <w:pStyle w:val="a3"/>
        <w:divId w:val="867596867"/>
        <w:rPr>
          <w:rFonts w:ascii="Times New Roman" w:hAnsi="Times New Roman"/>
          <w:sz w:val="18"/>
          <w:szCs w:val="18"/>
        </w:rPr>
      </w:pPr>
      <w:r w:rsidRPr="0063248C">
        <w:rPr>
          <w:rFonts w:ascii="Times New Roman" w:hAnsi="Times New Roman" w:hint="eastAsia"/>
          <w:sz w:val="18"/>
          <w:szCs w:val="18"/>
        </w:rPr>
        <w:t>无</w:t>
      </w:r>
    </w:p>
    <w:p w14:paraId="6D062C63" w14:textId="77777777" w:rsidR="007B3DB2" w:rsidRPr="0063248C" w:rsidRDefault="00000000">
      <w:pPr>
        <w:pStyle w:val="3"/>
        <w:spacing w:line="280" w:lineRule="exact"/>
        <w:jc w:val="left"/>
        <w:rPr>
          <w:rFonts w:cs="宋体"/>
          <w:b/>
          <w:bCs/>
        </w:rPr>
      </w:pPr>
      <w:bookmarkStart w:id="552" w:name="_Toc989446"/>
      <w:r w:rsidRPr="0063248C">
        <w:rPr>
          <w:rFonts w:cs="宋体"/>
          <w:b/>
          <w:bCs/>
        </w:rPr>
        <w:t>4</w:t>
      </w:r>
      <w:r w:rsidRPr="0063248C">
        <w:rPr>
          <w:rFonts w:cs="宋体"/>
          <w:b/>
          <w:bCs/>
        </w:rPr>
        <w:t>、营业收入和营业成本</w:t>
      </w:r>
      <w:bookmarkEnd w:id="552"/>
    </w:p>
    <w:p w14:paraId="20E1CCA0" w14:textId="77777777" w:rsidR="007B3DB2" w:rsidRPr="0063248C" w:rsidRDefault="00000000">
      <w:pPr>
        <w:spacing w:before="40" w:after="4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B3DB2" w:rsidRPr="0063248C" w14:paraId="4FEE3FB3"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173D6F1"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4099399" w14:textId="77777777" w:rsidR="007B3DB2" w:rsidRPr="0063248C" w:rsidRDefault="00000000">
            <w:pPr>
              <w:spacing w:before="40" w:after="40" w:line="240" w:lineRule="exact"/>
              <w:jc w:val="center"/>
              <w:rPr>
                <w:rFonts w:cs="宋体"/>
                <w:sz w:val="18"/>
                <w:szCs w:val="18"/>
              </w:rPr>
            </w:pPr>
            <w:r w:rsidRPr="0063248C">
              <w:rPr>
                <w:rFonts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E702954" w14:textId="77777777" w:rsidR="007B3DB2" w:rsidRPr="0063248C" w:rsidRDefault="00000000">
            <w:pPr>
              <w:spacing w:before="40" w:after="40" w:line="240" w:lineRule="exact"/>
              <w:jc w:val="center"/>
              <w:rPr>
                <w:rFonts w:cs="宋体"/>
                <w:sz w:val="18"/>
                <w:szCs w:val="18"/>
              </w:rPr>
            </w:pPr>
            <w:r w:rsidRPr="0063248C">
              <w:rPr>
                <w:rFonts w:cs="宋体"/>
                <w:sz w:val="18"/>
                <w:szCs w:val="18"/>
              </w:rPr>
              <w:t>上期发生额</w:t>
            </w:r>
          </w:p>
        </w:tc>
      </w:tr>
      <w:tr w:rsidR="007B3DB2" w:rsidRPr="0063248C" w14:paraId="39F75C9C"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0E9B1C" w14:textId="77777777" w:rsidR="007B3DB2" w:rsidRPr="0063248C" w:rsidRDefault="007B3DB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56135ED" w14:textId="77777777" w:rsidR="007B3DB2" w:rsidRPr="0063248C" w:rsidRDefault="00000000">
            <w:pPr>
              <w:spacing w:before="40" w:after="40" w:line="240" w:lineRule="exact"/>
              <w:jc w:val="center"/>
              <w:rPr>
                <w:rFonts w:cs="宋体"/>
                <w:sz w:val="18"/>
                <w:szCs w:val="18"/>
              </w:rPr>
            </w:pPr>
            <w:r w:rsidRPr="0063248C">
              <w:rPr>
                <w:rFonts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D5E73C7" w14:textId="77777777" w:rsidR="007B3DB2" w:rsidRPr="0063248C" w:rsidRDefault="00000000">
            <w:pPr>
              <w:spacing w:before="40" w:after="40" w:line="240" w:lineRule="exact"/>
              <w:jc w:val="center"/>
              <w:rPr>
                <w:rFonts w:cs="宋体"/>
                <w:sz w:val="18"/>
                <w:szCs w:val="18"/>
              </w:rPr>
            </w:pPr>
            <w:r w:rsidRPr="0063248C">
              <w:rPr>
                <w:rFonts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8C9059" w14:textId="77777777" w:rsidR="007B3DB2" w:rsidRPr="0063248C" w:rsidRDefault="00000000">
            <w:pPr>
              <w:spacing w:before="40" w:after="40" w:line="240" w:lineRule="exact"/>
              <w:jc w:val="center"/>
              <w:rPr>
                <w:rFonts w:cs="宋体"/>
                <w:sz w:val="18"/>
                <w:szCs w:val="18"/>
              </w:rPr>
            </w:pPr>
            <w:r w:rsidRPr="0063248C">
              <w:rPr>
                <w:rFonts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A8A62A6" w14:textId="77777777" w:rsidR="007B3DB2" w:rsidRPr="0063248C" w:rsidRDefault="00000000">
            <w:pPr>
              <w:spacing w:before="40" w:after="40" w:line="240" w:lineRule="exact"/>
              <w:jc w:val="center"/>
              <w:rPr>
                <w:rFonts w:cs="宋体"/>
                <w:sz w:val="18"/>
                <w:szCs w:val="18"/>
              </w:rPr>
            </w:pPr>
            <w:r w:rsidRPr="0063248C">
              <w:rPr>
                <w:rFonts w:cs="宋体"/>
                <w:sz w:val="18"/>
                <w:szCs w:val="18"/>
              </w:rPr>
              <w:t>成本</w:t>
            </w:r>
          </w:p>
        </w:tc>
      </w:tr>
      <w:tr w:rsidR="007B3DB2" w:rsidRPr="0063248C" w14:paraId="50BA216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1A8B27F" w14:textId="77777777" w:rsidR="007B3DB2" w:rsidRPr="0063248C" w:rsidRDefault="00000000">
            <w:pPr>
              <w:spacing w:before="40" w:after="40" w:line="240" w:lineRule="exact"/>
              <w:rPr>
                <w:rFonts w:cs="宋体"/>
                <w:sz w:val="18"/>
                <w:szCs w:val="18"/>
              </w:rPr>
            </w:pPr>
            <w:r w:rsidRPr="0063248C">
              <w:rPr>
                <w:rFonts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14:paraId="1FD4AC92" w14:textId="77777777" w:rsidR="007B3DB2" w:rsidRPr="0063248C" w:rsidRDefault="00000000">
            <w:pPr>
              <w:spacing w:line="240" w:lineRule="exact"/>
              <w:jc w:val="right"/>
              <w:rPr>
                <w:rFonts w:cs="宋体"/>
                <w:sz w:val="18"/>
                <w:szCs w:val="18"/>
              </w:rPr>
            </w:pPr>
            <w:r w:rsidRPr="0063248C">
              <w:rPr>
                <w:rFonts w:cs="宋体"/>
                <w:sz w:val="18"/>
                <w:szCs w:val="18"/>
              </w:rPr>
              <w:t>1,930,952,879.30</w:t>
            </w:r>
          </w:p>
        </w:tc>
        <w:tc>
          <w:tcPr>
            <w:tcW w:w="1928" w:type="dxa"/>
            <w:tcBorders>
              <w:top w:val="single" w:sz="2" w:space="0" w:color="auto"/>
              <w:left w:val="single" w:sz="2" w:space="0" w:color="auto"/>
              <w:bottom w:val="single" w:sz="2" w:space="0" w:color="auto"/>
              <w:right w:val="single" w:sz="2" w:space="0" w:color="auto"/>
            </w:tcBorders>
            <w:vAlign w:val="center"/>
          </w:tcPr>
          <w:p w14:paraId="3CED2F3C" w14:textId="77777777" w:rsidR="007B3DB2" w:rsidRPr="0063248C" w:rsidRDefault="00000000">
            <w:pPr>
              <w:spacing w:line="240" w:lineRule="exact"/>
              <w:jc w:val="right"/>
              <w:rPr>
                <w:rFonts w:cs="宋体"/>
                <w:sz w:val="18"/>
                <w:szCs w:val="18"/>
              </w:rPr>
            </w:pPr>
            <w:r w:rsidRPr="0063248C">
              <w:rPr>
                <w:rFonts w:cs="宋体"/>
                <w:sz w:val="18"/>
                <w:szCs w:val="18"/>
              </w:rPr>
              <w:t>1,820,676,613.54</w:t>
            </w:r>
          </w:p>
        </w:tc>
        <w:tc>
          <w:tcPr>
            <w:tcW w:w="1928" w:type="dxa"/>
            <w:tcBorders>
              <w:top w:val="single" w:sz="2" w:space="0" w:color="auto"/>
              <w:left w:val="single" w:sz="2" w:space="0" w:color="auto"/>
              <w:bottom w:val="single" w:sz="2" w:space="0" w:color="auto"/>
              <w:right w:val="single" w:sz="2" w:space="0" w:color="auto"/>
            </w:tcBorders>
            <w:vAlign w:val="center"/>
          </w:tcPr>
          <w:p w14:paraId="7239F499" w14:textId="77777777" w:rsidR="007B3DB2" w:rsidRPr="0063248C" w:rsidRDefault="00000000">
            <w:pPr>
              <w:spacing w:line="240" w:lineRule="exact"/>
              <w:jc w:val="right"/>
              <w:rPr>
                <w:rFonts w:cs="宋体"/>
                <w:sz w:val="18"/>
                <w:szCs w:val="18"/>
              </w:rPr>
            </w:pPr>
            <w:r w:rsidRPr="0063248C">
              <w:rPr>
                <w:rFonts w:cs="宋体"/>
                <w:sz w:val="18"/>
                <w:szCs w:val="18"/>
              </w:rPr>
              <w:t>2,227,191,124.22</w:t>
            </w:r>
          </w:p>
        </w:tc>
        <w:tc>
          <w:tcPr>
            <w:tcW w:w="1928" w:type="dxa"/>
            <w:tcBorders>
              <w:top w:val="single" w:sz="2" w:space="0" w:color="auto"/>
              <w:left w:val="single" w:sz="2" w:space="0" w:color="auto"/>
              <w:bottom w:val="single" w:sz="2" w:space="0" w:color="auto"/>
              <w:right w:val="single" w:sz="2" w:space="0" w:color="auto"/>
            </w:tcBorders>
            <w:vAlign w:val="center"/>
          </w:tcPr>
          <w:p w14:paraId="34698FB0" w14:textId="77777777" w:rsidR="007B3DB2" w:rsidRPr="0063248C" w:rsidRDefault="00000000">
            <w:pPr>
              <w:spacing w:line="240" w:lineRule="exact"/>
              <w:jc w:val="right"/>
              <w:rPr>
                <w:rFonts w:cs="宋体"/>
                <w:sz w:val="18"/>
                <w:szCs w:val="18"/>
              </w:rPr>
            </w:pPr>
            <w:r w:rsidRPr="0063248C">
              <w:rPr>
                <w:rFonts w:cs="宋体"/>
                <w:sz w:val="18"/>
                <w:szCs w:val="18"/>
              </w:rPr>
              <w:t>2,102,911,914.47</w:t>
            </w:r>
          </w:p>
        </w:tc>
      </w:tr>
      <w:tr w:rsidR="007B3DB2" w:rsidRPr="0063248C" w14:paraId="1574003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9FB3A0" w14:textId="77777777" w:rsidR="007B3DB2" w:rsidRPr="0063248C" w:rsidRDefault="00000000">
            <w:pPr>
              <w:spacing w:before="40" w:after="40" w:line="240" w:lineRule="exact"/>
              <w:rPr>
                <w:rFonts w:cs="宋体"/>
                <w:sz w:val="18"/>
                <w:szCs w:val="18"/>
              </w:rPr>
            </w:pPr>
            <w:r w:rsidRPr="0063248C">
              <w:rPr>
                <w:rFonts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14:paraId="7CBAC0BC" w14:textId="77777777" w:rsidR="007B3DB2" w:rsidRPr="0063248C" w:rsidRDefault="00000000">
            <w:pPr>
              <w:spacing w:line="240" w:lineRule="exact"/>
              <w:jc w:val="right"/>
              <w:rPr>
                <w:rFonts w:cs="宋体"/>
                <w:sz w:val="18"/>
                <w:szCs w:val="18"/>
              </w:rPr>
            </w:pPr>
            <w:r w:rsidRPr="0063248C">
              <w:rPr>
                <w:rFonts w:cs="宋体"/>
                <w:sz w:val="18"/>
                <w:szCs w:val="18"/>
              </w:rPr>
              <w:t>22,420,707.44</w:t>
            </w:r>
          </w:p>
        </w:tc>
        <w:tc>
          <w:tcPr>
            <w:tcW w:w="1928" w:type="dxa"/>
            <w:tcBorders>
              <w:top w:val="single" w:sz="2" w:space="0" w:color="auto"/>
              <w:left w:val="single" w:sz="2" w:space="0" w:color="auto"/>
              <w:bottom w:val="single" w:sz="2" w:space="0" w:color="auto"/>
              <w:right w:val="single" w:sz="2" w:space="0" w:color="auto"/>
            </w:tcBorders>
            <w:vAlign w:val="center"/>
          </w:tcPr>
          <w:p w14:paraId="2380F4AB" w14:textId="77777777" w:rsidR="007B3DB2" w:rsidRPr="0063248C" w:rsidRDefault="00000000">
            <w:pPr>
              <w:spacing w:line="240" w:lineRule="exact"/>
              <w:jc w:val="right"/>
              <w:rPr>
                <w:rFonts w:cs="宋体"/>
                <w:sz w:val="18"/>
                <w:szCs w:val="18"/>
              </w:rPr>
            </w:pPr>
            <w:r w:rsidRPr="0063248C">
              <w:rPr>
                <w:rFonts w:cs="宋体"/>
                <w:sz w:val="18"/>
                <w:szCs w:val="18"/>
              </w:rPr>
              <w:t>1,820,150.02</w:t>
            </w:r>
          </w:p>
        </w:tc>
        <w:tc>
          <w:tcPr>
            <w:tcW w:w="1928" w:type="dxa"/>
            <w:tcBorders>
              <w:top w:val="single" w:sz="2" w:space="0" w:color="auto"/>
              <w:left w:val="single" w:sz="2" w:space="0" w:color="auto"/>
              <w:bottom w:val="single" w:sz="2" w:space="0" w:color="auto"/>
              <w:right w:val="single" w:sz="2" w:space="0" w:color="auto"/>
            </w:tcBorders>
            <w:vAlign w:val="center"/>
          </w:tcPr>
          <w:p w14:paraId="25370E14" w14:textId="77777777" w:rsidR="007B3DB2" w:rsidRPr="0063248C" w:rsidRDefault="00000000">
            <w:pPr>
              <w:spacing w:line="240" w:lineRule="exact"/>
              <w:jc w:val="right"/>
              <w:rPr>
                <w:rFonts w:cs="宋体"/>
                <w:sz w:val="18"/>
                <w:szCs w:val="18"/>
              </w:rPr>
            </w:pPr>
            <w:r w:rsidRPr="0063248C">
              <w:rPr>
                <w:rFonts w:cs="宋体"/>
                <w:sz w:val="18"/>
                <w:szCs w:val="18"/>
              </w:rPr>
              <w:t>23,796,425.63</w:t>
            </w:r>
          </w:p>
        </w:tc>
        <w:tc>
          <w:tcPr>
            <w:tcW w:w="1928" w:type="dxa"/>
            <w:tcBorders>
              <w:top w:val="single" w:sz="2" w:space="0" w:color="auto"/>
              <w:left w:val="single" w:sz="2" w:space="0" w:color="auto"/>
              <w:bottom w:val="single" w:sz="2" w:space="0" w:color="auto"/>
              <w:right w:val="single" w:sz="2" w:space="0" w:color="auto"/>
            </w:tcBorders>
            <w:vAlign w:val="center"/>
          </w:tcPr>
          <w:p w14:paraId="4C23D375" w14:textId="77777777" w:rsidR="007B3DB2" w:rsidRPr="0063248C" w:rsidRDefault="00000000">
            <w:pPr>
              <w:spacing w:line="240" w:lineRule="exact"/>
              <w:jc w:val="right"/>
              <w:rPr>
                <w:rFonts w:cs="宋体"/>
                <w:sz w:val="18"/>
                <w:szCs w:val="18"/>
              </w:rPr>
            </w:pPr>
            <w:r w:rsidRPr="0063248C">
              <w:rPr>
                <w:rFonts w:cs="宋体"/>
                <w:sz w:val="18"/>
                <w:szCs w:val="18"/>
              </w:rPr>
              <w:t>2,176,536.19</w:t>
            </w:r>
          </w:p>
        </w:tc>
      </w:tr>
      <w:tr w:rsidR="007B3DB2" w:rsidRPr="0063248C" w14:paraId="3B20B2C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38966C"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BEF644E" w14:textId="77777777" w:rsidR="007B3DB2" w:rsidRPr="0063248C" w:rsidRDefault="00000000">
            <w:pPr>
              <w:spacing w:line="240" w:lineRule="exact"/>
              <w:jc w:val="right"/>
              <w:rPr>
                <w:rFonts w:cs="宋体"/>
                <w:sz w:val="18"/>
                <w:szCs w:val="18"/>
              </w:rPr>
            </w:pPr>
            <w:r w:rsidRPr="0063248C">
              <w:rPr>
                <w:rFonts w:cs="宋体"/>
                <w:sz w:val="18"/>
                <w:szCs w:val="18"/>
              </w:rPr>
              <w:t>1,953,373,586.74</w:t>
            </w:r>
          </w:p>
        </w:tc>
        <w:tc>
          <w:tcPr>
            <w:tcW w:w="1928" w:type="dxa"/>
            <w:tcBorders>
              <w:top w:val="single" w:sz="2" w:space="0" w:color="auto"/>
              <w:left w:val="single" w:sz="2" w:space="0" w:color="auto"/>
              <w:bottom w:val="single" w:sz="2" w:space="0" w:color="auto"/>
              <w:right w:val="single" w:sz="2" w:space="0" w:color="auto"/>
            </w:tcBorders>
            <w:vAlign w:val="center"/>
          </w:tcPr>
          <w:p w14:paraId="29E7F195" w14:textId="77777777" w:rsidR="007B3DB2" w:rsidRPr="0063248C" w:rsidRDefault="00000000">
            <w:pPr>
              <w:spacing w:line="240" w:lineRule="exact"/>
              <w:jc w:val="right"/>
              <w:rPr>
                <w:rFonts w:cs="宋体"/>
                <w:sz w:val="18"/>
                <w:szCs w:val="18"/>
              </w:rPr>
            </w:pPr>
            <w:r w:rsidRPr="0063248C">
              <w:rPr>
                <w:rFonts w:cs="宋体"/>
                <w:sz w:val="18"/>
                <w:szCs w:val="18"/>
              </w:rPr>
              <w:t>1,822,496,763.56</w:t>
            </w:r>
          </w:p>
        </w:tc>
        <w:tc>
          <w:tcPr>
            <w:tcW w:w="1928" w:type="dxa"/>
            <w:tcBorders>
              <w:top w:val="single" w:sz="2" w:space="0" w:color="auto"/>
              <w:left w:val="single" w:sz="2" w:space="0" w:color="auto"/>
              <w:bottom w:val="single" w:sz="2" w:space="0" w:color="auto"/>
              <w:right w:val="single" w:sz="2" w:space="0" w:color="auto"/>
            </w:tcBorders>
            <w:vAlign w:val="center"/>
          </w:tcPr>
          <w:p w14:paraId="422BB4AD" w14:textId="77777777" w:rsidR="007B3DB2" w:rsidRPr="0063248C" w:rsidRDefault="00000000">
            <w:pPr>
              <w:spacing w:line="240" w:lineRule="exact"/>
              <w:jc w:val="right"/>
              <w:rPr>
                <w:rFonts w:cs="宋体"/>
                <w:sz w:val="18"/>
                <w:szCs w:val="18"/>
              </w:rPr>
            </w:pPr>
            <w:r w:rsidRPr="0063248C">
              <w:rPr>
                <w:rFonts w:cs="宋体"/>
                <w:sz w:val="18"/>
                <w:szCs w:val="18"/>
              </w:rPr>
              <w:t>2,250,987,549.85</w:t>
            </w:r>
          </w:p>
        </w:tc>
        <w:tc>
          <w:tcPr>
            <w:tcW w:w="1928" w:type="dxa"/>
            <w:tcBorders>
              <w:top w:val="single" w:sz="2" w:space="0" w:color="auto"/>
              <w:left w:val="single" w:sz="2" w:space="0" w:color="auto"/>
              <w:bottom w:val="single" w:sz="2" w:space="0" w:color="auto"/>
              <w:right w:val="single" w:sz="2" w:space="0" w:color="auto"/>
            </w:tcBorders>
            <w:vAlign w:val="center"/>
          </w:tcPr>
          <w:p w14:paraId="21BF18A2" w14:textId="77777777" w:rsidR="007B3DB2" w:rsidRPr="0063248C" w:rsidRDefault="00000000">
            <w:pPr>
              <w:spacing w:line="240" w:lineRule="exact"/>
              <w:jc w:val="right"/>
              <w:rPr>
                <w:rFonts w:cs="宋体"/>
                <w:sz w:val="18"/>
                <w:szCs w:val="18"/>
              </w:rPr>
            </w:pPr>
            <w:r w:rsidRPr="0063248C">
              <w:rPr>
                <w:rFonts w:cs="宋体"/>
                <w:sz w:val="18"/>
                <w:szCs w:val="18"/>
              </w:rPr>
              <w:t>2,105,088,450.66</w:t>
            </w:r>
          </w:p>
        </w:tc>
      </w:tr>
    </w:tbl>
    <w:p w14:paraId="002445B1" w14:textId="77777777" w:rsidR="007B3DB2" w:rsidRPr="0063248C" w:rsidRDefault="007B3DB2"/>
    <w:p w14:paraId="0A924B74" w14:textId="77777777" w:rsidR="007B3DB2" w:rsidRPr="0063248C" w:rsidRDefault="00000000">
      <w:pPr>
        <w:pStyle w:val="3"/>
        <w:spacing w:line="280" w:lineRule="exact"/>
        <w:jc w:val="left"/>
        <w:rPr>
          <w:rFonts w:cs="宋体"/>
          <w:b/>
          <w:bCs/>
        </w:rPr>
      </w:pPr>
      <w:bookmarkStart w:id="553" w:name="_Toc989447"/>
      <w:r w:rsidRPr="0063248C">
        <w:rPr>
          <w:rFonts w:cs="宋体"/>
          <w:b/>
          <w:bCs/>
        </w:rPr>
        <w:t>5</w:t>
      </w:r>
      <w:r w:rsidRPr="0063248C">
        <w:rPr>
          <w:rFonts w:cs="宋体"/>
          <w:b/>
          <w:bCs/>
        </w:rPr>
        <w:t>、投资收益</w:t>
      </w:r>
      <w:bookmarkEnd w:id="553"/>
    </w:p>
    <w:p w14:paraId="2A5A9ABE" w14:textId="77777777" w:rsidR="005B6623" w:rsidRPr="0063248C" w:rsidRDefault="005B6623" w:rsidP="005B6623">
      <w:pPr>
        <w:pStyle w:val="a3"/>
        <w:rPr>
          <w:rFonts w:ascii="Times New Roman" w:hAnsi="Times New Roman"/>
          <w:sz w:val="18"/>
          <w:szCs w:val="18"/>
        </w:rPr>
      </w:pPr>
      <w:bookmarkStart w:id="554" w:name="_Toc989448"/>
      <w:r w:rsidRPr="0063248C">
        <w:rPr>
          <w:rFonts w:ascii="Times New Roman" w:hAnsi="Times New Roman" w:hint="eastAsia"/>
          <w:sz w:val="18"/>
          <w:szCs w:val="18"/>
        </w:rPr>
        <w:t>无</w:t>
      </w:r>
    </w:p>
    <w:p w14:paraId="3A370CD4" w14:textId="77777777" w:rsidR="007B3DB2" w:rsidRPr="0063248C" w:rsidRDefault="00000000">
      <w:pPr>
        <w:pStyle w:val="3"/>
        <w:spacing w:line="280" w:lineRule="exact"/>
        <w:jc w:val="left"/>
        <w:rPr>
          <w:rFonts w:cs="宋体"/>
          <w:b/>
          <w:bCs/>
        </w:rPr>
      </w:pPr>
      <w:r w:rsidRPr="0063248C">
        <w:rPr>
          <w:rFonts w:cs="宋体"/>
          <w:b/>
          <w:bCs/>
        </w:rPr>
        <w:t>6</w:t>
      </w:r>
      <w:r w:rsidRPr="0063248C">
        <w:rPr>
          <w:rFonts w:cs="宋体"/>
          <w:b/>
          <w:bCs/>
        </w:rPr>
        <w:t>、其他</w:t>
      </w:r>
      <w:bookmarkEnd w:id="554"/>
    </w:p>
    <w:p w14:paraId="6CF3EC77" w14:textId="77777777" w:rsidR="00517D34" w:rsidRPr="0063248C" w:rsidRDefault="00000000">
      <w:pPr>
        <w:pStyle w:val="a3"/>
        <w:divId w:val="2034189024"/>
        <w:rPr>
          <w:rFonts w:ascii="Times New Roman" w:hAnsi="Times New Roman"/>
          <w:sz w:val="18"/>
          <w:szCs w:val="18"/>
        </w:rPr>
      </w:pPr>
      <w:r w:rsidRPr="0063248C">
        <w:rPr>
          <w:rFonts w:ascii="Times New Roman" w:hAnsi="Times New Roman" w:hint="eastAsia"/>
          <w:sz w:val="18"/>
          <w:szCs w:val="18"/>
        </w:rPr>
        <w:t>无</w:t>
      </w:r>
    </w:p>
    <w:p w14:paraId="64C38E0F" w14:textId="77777777" w:rsidR="007B3DB2" w:rsidRPr="0063248C" w:rsidRDefault="00000000">
      <w:pPr>
        <w:pStyle w:val="2"/>
        <w:spacing w:before="300" w:after="300" w:line="320" w:lineRule="exact"/>
        <w:rPr>
          <w:rFonts w:cs="宋体"/>
          <w:b/>
          <w:bCs/>
          <w:sz w:val="24"/>
          <w:szCs w:val="24"/>
        </w:rPr>
      </w:pPr>
      <w:bookmarkStart w:id="555" w:name="_Toc989449"/>
      <w:r w:rsidRPr="0063248C">
        <w:rPr>
          <w:rFonts w:cs="宋体"/>
          <w:b/>
          <w:bCs/>
          <w:sz w:val="24"/>
          <w:szCs w:val="24"/>
        </w:rPr>
        <w:t>二十、补充资料</w:t>
      </w:r>
      <w:bookmarkEnd w:id="555"/>
    </w:p>
    <w:p w14:paraId="3D2DC6F7" w14:textId="77777777" w:rsidR="007B3DB2" w:rsidRPr="0063248C" w:rsidRDefault="00000000">
      <w:pPr>
        <w:pStyle w:val="3"/>
        <w:spacing w:line="280" w:lineRule="exact"/>
        <w:jc w:val="left"/>
        <w:rPr>
          <w:rFonts w:cs="宋体"/>
          <w:b/>
          <w:bCs/>
        </w:rPr>
      </w:pPr>
      <w:bookmarkStart w:id="556" w:name="_Toc989450"/>
      <w:r w:rsidRPr="0063248C">
        <w:rPr>
          <w:rFonts w:cs="宋体"/>
          <w:b/>
          <w:bCs/>
        </w:rPr>
        <w:t>1</w:t>
      </w:r>
      <w:r w:rsidRPr="0063248C">
        <w:rPr>
          <w:rFonts w:cs="宋体"/>
          <w:b/>
          <w:bCs/>
        </w:rPr>
        <w:t>、当期非经常性损益明细表</w:t>
      </w:r>
      <w:bookmarkEnd w:id="556"/>
    </w:p>
    <w:p w14:paraId="2036D2B1" w14:textId="77777777" w:rsidR="007B3DB2" w:rsidRPr="0063248C" w:rsidRDefault="00000000">
      <w:pPr>
        <w:spacing w:line="240" w:lineRule="exact"/>
        <w:rPr>
          <w:rFonts w:cs="宋体"/>
          <w:sz w:val="18"/>
          <w:szCs w:val="18"/>
        </w:rPr>
      </w:pPr>
      <w:r w:rsidRPr="0063248C">
        <w:rPr>
          <w:rFonts w:cs="宋体"/>
          <w:sz w:val="18"/>
          <w:szCs w:val="18"/>
        </w:rPr>
        <w:sym w:font="Wingdings 2" w:char="F052"/>
      </w:r>
      <w:r w:rsidRPr="0063248C">
        <w:rPr>
          <w:rFonts w:cs="宋体"/>
          <w:sz w:val="18"/>
          <w:szCs w:val="18"/>
        </w:rPr>
        <w:t>适用</w:t>
      </w:r>
      <w:r w:rsidRPr="0063248C">
        <w:rPr>
          <w:rFonts w:cs="宋体"/>
          <w:sz w:val="18"/>
          <w:szCs w:val="18"/>
        </w:rPr>
        <w:t xml:space="preserve"> </w:t>
      </w:r>
      <w:r w:rsidRPr="00F07AAA">
        <w:rPr>
          <w:rFonts w:ascii="宋体" w:hAnsi="宋体" w:cs="宋体"/>
          <w:sz w:val="18"/>
          <w:szCs w:val="18"/>
        </w:rPr>
        <w:t>□</w:t>
      </w:r>
      <w:r w:rsidRPr="0063248C">
        <w:rPr>
          <w:rFonts w:cs="宋体"/>
          <w:sz w:val="18"/>
          <w:szCs w:val="18"/>
        </w:rPr>
        <w:t>不适用</w:t>
      </w:r>
    </w:p>
    <w:p w14:paraId="723D856C" w14:textId="77777777" w:rsidR="007B3DB2" w:rsidRPr="0063248C" w:rsidRDefault="00000000">
      <w:pPr>
        <w:spacing w:before="120" w:after="120" w:line="240" w:lineRule="exact"/>
        <w:jc w:val="right"/>
        <w:rPr>
          <w:rFonts w:cs="宋体"/>
          <w:sz w:val="18"/>
          <w:szCs w:val="18"/>
        </w:rPr>
      </w:pPr>
      <w:r w:rsidRPr="0063248C">
        <w:rPr>
          <w:rFonts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B3DB2" w:rsidRPr="0063248C" w14:paraId="3AC477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34781F" w14:textId="77777777" w:rsidR="007B3DB2" w:rsidRPr="0063248C" w:rsidRDefault="00000000">
            <w:pPr>
              <w:spacing w:before="40" w:after="40" w:line="240" w:lineRule="exact"/>
              <w:jc w:val="center"/>
              <w:rPr>
                <w:rFonts w:cs="宋体"/>
                <w:sz w:val="18"/>
                <w:szCs w:val="18"/>
              </w:rPr>
            </w:pPr>
            <w:r w:rsidRPr="0063248C">
              <w:rPr>
                <w:rFonts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F108B7" w14:textId="77777777" w:rsidR="007B3DB2" w:rsidRPr="0063248C" w:rsidRDefault="00000000">
            <w:pPr>
              <w:spacing w:before="40" w:after="40" w:line="240" w:lineRule="exact"/>
              <w:jc w:val="center"/>
              <w:rPr>
                <w:rFonts w:cs="宋体"/>
                <w:sz w:val="18"/>
                <w:szCs w:val="18"/>
              </w:rPr>
            </w:pPr>
            <w:r w:rsidRPr="0063248C">
              <w:rPr>
                <w:rFonts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E82AF2" w14:textId="77777777" w:rsidR="007B3DB2" w:rsidRPr="0063248C" w:rsidRDefault="00000000">
            <w:pPr>
              <w:spacing w:before="40" w:after="40" w:line="240" w:lineRule="exact"/>
              <w:jc w:val="center"/>
              <w:rPr>
                <w:rFonts w:cs="宋体"/>
                <w:sz w:val="18"/>
                <w:szCs w:val="18"/>
              </w:rPr>
            </w:pPr>
            <w:r w:rsidRPr="0063248C">
              <w:rPr>
                <w:rFonts w:cs="宋体"/>
                <w:sz w:val="18"/>
                <w:szCs w:val="18"/>
              </w:rPr>
              <w:t>说明</w:t>
            </w:r>
          </w:p>
        </w:tc>
      </w:tr>
      <w:tr w:rsidR="007B3DB2" w:rsidRPr="0063248C" w14:paraId="2F154C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20D82E" w14:textId="77777777" w:rsidR="007B3DB2" w:rsidRPr="0063248C" w:rsidRDefault="00000000">
            <w:pPr>
              <w:spacing w:before="40" w:after="40" w:line="240" w:lineRule="exact"/>
              <w:rPr>
                <w:rFonts w:cs="宋体"/>
                <w:sz w:val="18"/>
                <w:szCs w:val="18"/>
              </w:rPr>
            </w:pPr>
            <w:r w:rsidRPr="0063248C">
              <w:rPr>
                <w:rFonts w:cs="宋体"/>
                <w:sz w:val="18"/>
                <w:szCs w:val="18"/>
              </w:rPr>
              <w:t>非流动性资产处置损益</w:t>
            </w:r>
          </w:p>
        </w:tc>
        <w:tc>
          <w:tcPr>
            <w:tcW w:w="3213" w:type="dxa"/>
            <w:tcBorders>
              <w:top w:val="single" w:sz="2" w:space="0" w:color="auto"/>
              <w:left w:val="single" w:sz="2" w:space="0" w:color="auto"/>
              <w:bottom w:val="single" w:sz="2" w:space="0" w:color="auto"/>
              <w:right w:val="single" w:sz="2" w:space="0" w:color="auto"/>
            </w:tcBorders>
            <w:vAlign w:val="center"/>
          </w:tcPr>
          <w:p w14:paraId="6D121A13" w14:textId="77777777" w:rsidR="007B3DB2" w:rsidRPr="0063248C" w:rsidRDefault="00000000">
            <w:pPr>
              <w:spacing w:line="240" w:lineRule="exact"/>
              <w:jc w:val="right"/>
              <w:rPr>
                <w:rFonts w:cs="宋体"/>
                <w:sz w:val="18"/>
                <w:szCs w:val="18"/>
              </w:rPr>
            </w:pPr>
            <w:r w:rsidRPr="0063248C">
              <w:rPr>
                <w:rFonts w:cs="宋体"/>
                <w:sz w:val="18"/>
                <w:szCs w:val="18"/>
              </w:rPr>
              <w:t>-640,396.94</w:t>
            </w:r>
          </w:p>
        </w:tc>
        <w:tc>
          <w:tcPr>
            <w:tcW w:w="3213" w:type="dxa"/>
            <w:tcBorders>
              <w:top w:val="single" w:sz="2" w:space="0" w:color="auto"/>
              <w:left w:val="single" w:sz="2" w:space="0" w:color="auto"/>
              <w:bottom w:val="single" w:sz="2" w:space="0" w:color="auto"/>
              <w:right w:val="single" w:sz="2" w:space="0" w:color="auto"/>
            </w:tcBorders>
            <w:vAlign w:val="center"/>
          </w:tcPr>
          <w:p w14:paraId="6A7F4209" w14:textId="77777777" w:rsidR="007B3DB2" w:rsidRPr="0063248C" w:rsidRDefault="007B3DB2">
            <w:pPr>
              <w:spacing w:line="240" w:lineRule="exact"/>
              <w:rPr>
                <w:rFonts w:cs="宋体"/>
                <w:sz w:val="18"/>
                <w:szCs w:val="18"/>
              </w:rPr>
            </w:pPr>
          </w:p>
        </w:tc>
      </w:tr>
      <w:tr w:rsidR="007B3DB2" w:rsidRPr="0063248C" w14:paraId="2CA260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1C270B" w14:textId="77777777" w:rsidR="007B3DB2" w:rsidRPr="0063248C" w:rsidRDefault="00000000">
            <w:pPr>
              <w:spacing w:before="40" w:after="40" w:line="240" w:lineRule="exact"/>
              <w:rPr>
                <w:rFonts w:cs="宋体"/>
                <w:sz w:val="18"/>
                <w:szCs w:val="18"/>
              </w:rPr>
            </w:pPr>
            <w:r w:rsidRPr="0063248C">
              <w:rPr>
                <w:rFonts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14:paraId="5612B660" w14:textId="77777777" w:rsidR="007B3DB2" w:rsidRPr="0063248C" w:rsidRDefault="00000000">
            <w:pPr>
              <w:spacing w:line="240" w:lineRule="exact"/>
              <w:jc w:val="right"/>
              <w:rPr>
                <w:rFonts w:cs="宋体"/>
                <w:sz w:val="18"/>
                <w:szCs w:val="18"/>
              </w:rPr>
            </w:pPr>
            <w:r w:rsidRPr="0063248C">
              <w:rPr>
                <w:rFonts w:cs="宋体"/>
                <w:sz w:val="18"/>
                <w:szCs w:val="18"/>
              </w:rPr>
              <w:t>6,969,253.10</w:t>
            </w:r>
          </w:p>
        </w:tc>
        <w:tc>
          <w:tcPr>
            <w:tcW w:w="3213" w:type="dxa"/>
            <w:tcBorders>
              <w:top w:val="single" w:sz="2" w:space="0" w:color="auto"/>
              <w:left w:val="single" w:sz="2" w:space="0" w:color="auto"/>
              <w:bottom w:val="single" w:sz="2" w:space="0" w:color="auto"/>
              <w:right w:val="single" w:sz="2" w:space="0" w:color="auto"/>
            </w:tcBorders>
            <w:vAlign w:val="center"/>
          </w:tcPr>
          <w:p w14:paraId="26EB5180" w14:textId="77777777" w:rsidR="007B3DB2" w:rsidRPr="0063248C" w:rsidRDefault="007B3DB2">
            <w:pPr>
              <w:spacing w:line="240" w:lineRule="exact"/>
              <w:rPr>
                <w:rFonts w:cs="宋体"/>
                <w:sz w:val="18"/>
                <w:szCs w:val="18"/>
              </w:rPr>
            </w:pPr>
          </w:p>
        </w:tc>
      </w:tr>
      <w:tr w:rsidR="007B3DB2" w:rsidRPr="0063248C" w14:paraId="12200E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4C0101" w14:textId="77777777" w:rsidR="007B3DB2" w:rsidRPr="0063248C" w:rsidRDefault="00000000">
            <w:pPr>
              <w:spacing w:before="40" w:after="40" w:line="240" w:lineRule="exact"/>
              <w:rPr>
                <w:rFonts w:cs="宋体"/>
                <w:sz w:val="18"/>
                <w:szCs w:val="18"/>
              </w:rPr>
            </w:pPr>
            <w:r w:rsidRPr="0063248C">
              <w:rPr>
                <w:rFonts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14:paraId="3ACF703C" w14:textId="77777777" w:rsidR="007B3DB2" w:rsidRPr="0063248C" w:rsidRDefault="00000000">
            <w:pPr>
              <w:spacing w:line="240" w:lineRule="exact"/>
              <w:jc w:val="right"/>
              <w:rPr>
                <w:rFonts w:cs="宋体"/>
                <w:sz w:val="18"/>
                <w:szCs w:val="18"/>
              </w:rPr>
            </w:pPr>
            <w:r w:rsidRPr="0063248C">
              <w:rPr>
                <w:rFonts w:cs="宋体"/>
                <w:sz w:val="18"/>
                <w:szCs w:val="18"/>
              </w:rPr>
              <w:t>-3,656,501.35</w:t>
            </w:r>
          </w:p>
        </w:tc>
        <w:tc>
          <w:tcPr>
            <w:tcW w:w="3213" w:type="dxa"/>
            <w:tcBorders>
              <w:top w:val="single" w:sz="2" w:space="0" w:color="auto"/>
              <w:left w:val="single" w:sz="2" w:space="0" w:color="auto"/>
              <w:bottom w:val="single" w:sz="2" w:space="0" w:color="auto"/>
              <w:right w:val="single" w:sz="2" w:space="0" w:color="auto"/>
            </w:tcBorders>
            <w:vAlign w:val="center"/>
          </w:tcPr>
          <w:p w14:paraId="431184CA" w14:textId="77777777" w:rsidR="007B3DB2" w:rsidRPr="0063248C" w:rsidRDefault="007B3DB2">
            <w:pPr>
              <w:spacing w:line="240" w:lineRule="exact"/>
              <w:rPr>
                <w:rFonts w:cs="宋体"/>
                <w:sz w:val="18"/>
                <w:szCs w:val="18"/>
              </w:rPr>
            </w:pPr>
          </w:p>
        </w:tc>
      </w:tr>
      <w:tr w:rsidR="007B3DB2" w:rsidRPr="0063248C" w14:paraId="28D40C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E4AB02" w14:textId="77777777" w:rsidR="007B3DB2" w:rsidRPr="0063248C" w:rsidRDefault="00000000">
            <w:pPr>
              <w:spacing w:before="40" w:after="40" w:line="240" w:lineRule="exact"/>
              <w:ind w:firstLineChars="200" w:firstLine="360"/>
              <w:rPr>
                <w:rFonts w:cs="宋体"/>
                <w:sz w:val="18"/>
                <w:szCs w:val="18"/>
              </w:rPr>
            </w:pPr>
            <w:r w:rsidRPr="0063248C">
              <w:rPr>
                <w:rFonts w:cs="宋体"/>
                <w:sz w:val="18"/>
                <w:szCs w:val="18"/>
              </w:rPr>
              <w:t>少数股东权益影响额（税后）</w:t>
            </w:r>
          </w:p>
        </w:tc>
        <w:tc>
          <w:tcPr>
            <w:tcW w:w="3213" w:type="dxa"/>
            <w:tcBorders>
              <w:top w:val="single" w:sz="2" w:space="0" w:color="auto"/>
              <w:left w:val="single" w:sz="2" w:space="0" w:color="auto"/>
              <w:bottom w:val="single" w:sz="2" w:space="0" w:color="auto"/>
              <w:right w:val="single" w:sz="2" w:space="0" w:color="auto"/>
            </w:tcBorders>
            <w:vAlign w:val="center"/>
          </w:tcPr>
          <w:p w14:paraId="49815214" w14:textId="77777777" w:rsidR="007B3DB2" w:rsidRPr="0063248C" w:rsidRDefault="00000000">
            <w:pPr>
              <w:spacing w:line="240" w:lineRule="exact"/>
              <w:jc w:val="right"/>
              <w:rPr>
                <w:rFonts w:cs="宋体"/>
                <w:sz w:val="18"/>
                <w:szCs w:val="18"/>
              </w:rPr>
            </w:pPr>
            <w:r w:rsidRPr="0063248C">
              <w:rPr>
                <w:rFonts w:cs="宋体"/>
                <w:sz w:val="18"/>
                <w:szCs w:val="18"/>
              </w:rPr>
              <w:t>314,284.01</w:t>
            </w:r>
          </w:p>
        </w:tc>
        <w:tc>
          <w:tcPr>
            <w:tcW w:w="3213" w:type="dxa"/>
            <w:tcBorders>
              <w:top w:val="single" w:sz="2" w:space="0" w:color="auto"/>
              <w:left w:val="single" w:sz="2" w:space="0" w:color="auto"/>
              <w:bottom w:val="single" w:sz="2" w:space="0" w:color="auto"/>
              <w:right w:val="single" w:sz="2" w:space="0" w:color="auto"/>
            </w:tcBorders>
            <w:vAlign w:val="center"/>
          </w:tcPr>
          <w:p w14:paraId="0136A7E7" w14:textId="77777777" w:rsidR="007B3DB2" w:rsidRPr="0063248C" w:rsidRDefault="007B3DB2">
            <w:pPr>
              <w:spacing w:line="240" w:lineRule="exact"/>
              <w:rPr>
                <w:rFonts w:cs="宋体"/>
                <w:sz w:val="18"/>
                <w:szCs w:val="18"/>
              </w:rPr>
            </w:pPr>
          </w:p>
        </w:tc>
      </w:tr>
      <w:tr w:rsidR="007B3DB2" w:rsidRPr="0063248C" w14:paraId="0CDA91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E50513" w14:textId="77777777" w:rsidR="007B3DB2" w:rsidRPr="0063248C" w:rsidRDefault="00000000">
            <w:pPr>
              <w:spacing w:before="40" w:after="40" w:line="240" w:lineRule="exact"/>
              <w:rPr>
                <w:rFonts w:cs="宋体"/>
                <w:sz w:val="18"/>
                <w:szCs w:val="18"/>
              </w:rPr>
            </w:pPr>
            <w:r w:rsidRPr="0063248C">
              <w:rPr>
                <w:rFonts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2009B9C" w14:textId="77777777" w:rsidR="007B3DB2" w:rsidRPr="0063248C" w:rsidRDefault="00000000">
            <w:pPr>
              <w:spacing w:line="240" w:lineRule="exact"/>
              <w:jc w:val="right"/>
              <w:rPr>
                <w:rFonts w:cs="宋体"/>
                <w:sz w:val="18"/>
                <w:szCs w:val="18"/>
              </w:rPr>
            </w:pPr>
            <w:r w:rsidRPr="0063248C">
              <w:rPr>
                <w:rFonts w:cs="宋体"/>
                <w:sz w:val="18"/>
                <w:szCs w:val="18"/>
              </w:rPr>
              <w:t>2,358,070.80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5E6878" w14:textId="77777777" w:rsidR="007B3DB2" w:rsidRPr="0063248C" w:rsidRDefault="00000000">
            <w:pPr>
              <w:spacing w:before="40" w:after="40" w:line="240" w:lineRule="exact"/>
              <w:jc w:val="center"/>
              <w:rPr>
                <w:rFonts w:cs="宋体"/>
                <w:sz w:val="18"/>
                <w:szCs w:val="18"/>
              </w:rPr>
            </w:pPr>
            <w:r w:rsidRPr="0063248C">
              <w:rPr>
                <w:rFonts w:cs="宋体"/>
                <w:sz w:val="18"/>
                <w:szCs w:val="18"/>
              </w:rPr>
              <w:t>--</w:t>
            </w:r>
          </w:p>
        </w:tc>
      </w:tr>
    </w:tbl>
    <w:p w14:paraId="3804D1F3" w14:textId="77777777" w:rsidR="007B3DB2" w:rsidRPr="0063248C" w:rsidRDefault="00000000">
      <w:pPr>
        <w:spacing w:before="100" w:after="100" w:line="240" w:lineRule="exact"/>
        <w:rPr>
          <w:rFonts w:cs="宋体"/>
          <w:sz w:val="18"/>
          <w:szCs w:val="18"/>
        </w:rPr>
      </w:pPr>
      <w:r w:rsidRPr="0063248C">
        <w:rPr>
          <w:rFonts w:cs="宋体"/>
          <w:sz w:val="18"/>
          <w:szCs w:val="18"/>
        </w:rPr>
        <w:lastRenderedPageBreak/>
        <w:t>其他符合非经常性损益定义的损益项目的具体情况：</w:t>
      </w:r>
    </w:p>
    <w:p w14:paraId="2BF719BE"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41A345EC" w14:textId="77777777" w:rsidR="007B3DB2" w:rsidRPr="0063248C" w:rsidRDefault="00000000">
      <w:pPr>
        <w:spacing w:before="100" w:after="100" w:line="240" w:lineRule="exact"/>
        <w:rPr>
          <w:rFonts w:cs="宋体"/>
          <w:sz w:val="18"/>
          <w:szCs w:val="18"/>
        </w:rPr>
      </w:pPr>
      <w:r w:rsidRPr="0063248C">
        <w:rPr>
          <w:rFonts w:cs="宋体"/>
          <w:sz w:val="18"/>
          <w:szCs w:val="18"/>
        </w:rPr>
        <w:t>公司不存在其他符合非经常性损益定义的损益项目的具体情况。</w:t>
      </w:r>
    </w:p>
    <w:p w14:paraId="2FBE358B" w14:textId="77777777" w:rsidR="007B3DB2" w:rsidRPr="0063248C" w:rsidRDefault="00000000">
      <w:pPr>
        <w:spacing w:before="40" w:after="40" w:line="240" w:lineRule="exact"/>
        <w:rPr>
          <w:rFonts w:cs="宋体"/>
          <w:sz w:val="18"/>
          <w:szCs w:val="18"/>
        </w:rPr>
      </w:pPr>
      <w:r w:rsidRPr="0063248C">
        <w:rPr>
          <w:rFonts w:cs="宋体"/>
          <w:sz w:val="18"/>
          <w:szCs w:val="18"/>
        </w:rPr>
        <w:t>将《公开发行证券的公司信息披露解释性公告第</w:t>
      </w:r>
      <w:r w:rsidRPr="0063248C">
        <w:rPr>
          <w:rFonts w:cs="宋体"/>
          <w:sz w:val="18"/>
          <w:szCs w:val="18"/>
        </w:rPr>
        <w:t>1</w:t>
      </w:r>
      <w:r w:rsidRPr="0063248C">
        <w:rPr>
          <w:rFonts w:cs="宋体"/>
          <w:sz w:val="18"/>
          <w:szCs w:val="18"/>
        </w:rPr>
        <w:t>号</w:t>
      </w:r>
      <w:r w:rsidRPr="0063248C">
        <w:rPr>
          <w:rFonts w:cs="宋体"/>
          <w:sz w:val="18"/>
          <w:szCs w:val="18"/>
        </w:rPr>
        <w:t>——</w:t>
      </w:r>
      <w:r w:rsidRPr="0063248C">
        <w:rPr>
          <w:rFonts w:cs="宋体"/>
          <w:sz w:val="18"/>
          <w:szCs w:val="18"/>
        </w:rPr>
        <w:t>非经常性损益》中列举的非经常性损益项目界定为经常性损益项目的情况说明</w:t>
      </w:r>
    </w:p>
    <w:p w14:paraId="2F18E1ED" w14:textId="77777777" w:rsidR="007B3DB2" w:rsidRPr="0063248C" w:rsidRDefault="00000000">
      <w:pPr>
        <w:spacing w:before="40" w:after="40"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689FFF10" w14:textId="77777777" w:rsidR="007B3DB2" w:rsidRPr="0063248C" w:rsidRDefault="00000000">
      <w:pPr>
        <w:pStyle w:val="3"/>
        <w:spacing w:line="280" w:lineRule="exact"/>
        <w:jc w:val="left"/>
        <w:rPr>
          <w:rFonts w:cs="宋体"/>
          <w:b/>
          <w:bCs/>
        </w:rPr>
      </w:pPr>
      <w:bookmarkStart w:id="557" w:name="_Toc989451"/>
      <w:r w:rsidRPr="0063248C">
        <w:rPr>
          <w:rFonts w:cs="宋体"/>
          <w:b/>
          <w:bCs/>
        </w:rPr>
        <w:t>2</w:t>
      </w:r>
      <w:r w:rsidRPr="0063248C">
        <w:rPr>
          <w:rFonts w:cs="宋体"/>
          <w:b/>
          <w:bCs/>
        </w:rPr>
        <w:t>、净资产收益率及每股收益</w:t>
      </w:r>
      <w:bookmarkEnd w:id="557"/>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B3DB2" w:rsidRPr="0063248C" w14:paraId="2A27E75F"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D08EAF8" w14:textId="77777777" w:rsidR="007B3DB2" w:rsidRPr="0063248C" w:rsidRDefault="00000000">
            <w:pPr>
              <w:spacing w:before="40" w:after="40" w:line="240" w:lineRule="exact"/>
              <w:jc w:val="center"/>
              <w:rPr>
                <w:rFonts w:cs="宋体"/>
                <w:sz w:val="18"/>
                <w:szCs w:val="18"/>
              </w:rPr>
            </w:pPr>
            <w:r w:rsidRPr="0063248C">
              <w:rPr>
                <w:rFonts w:cs="宋体"/>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A2B03FC" w14:textId="77777777" w:rsidR="007B3DB2" w:rsidRPr="0063248C" w:rsidRDefault="00000000">
            <w:pPr>
              <w:spacing w:before="40" w:after="40" w:line="240" w:lineRule="exact"/>
              <w:jc w:val="center"/>
              <w:rPr>
                <w:rFonts w:cs="宋体"/>
                <w:sz w:val="18"/>
                <w:szCs w:val="18"/>
              </w:rPr>
            </w:pPr>
            <w:r w:rsidRPr="0063248C">
              <w:rPr>
                <w:rFonts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F44B6DC" w14:textId="77777777" w:rsidR="007B3DB2" w:rsidRPr="0063248C" w:rsidRDefault="00000000">
            <w:pPr>
              <w:spacing w:before="40" w:after="40" w:line="240" w:lineRule="exact"/>
              <w:jc w:val="center"/>
              <w:rPr>
                <w:rFonts w:cs="宋体"/>
                <w:sz w:val="18"/>
                <w:szCs w:val="18"/>
              </w:rPr>
            </w:pPr>
            <w:r w:rsidRPr="0063248C">
              <w:rPr>
                <w:rFonts w:cs="宋体"/>
                <w:sz w:val="18"/>
                <w:szCs w:val="18"/>
              </w:rPr>
              <w:t>每股收益</w:t>
            </w:r>
          </w:p>
        </w:tc>
      </w:tr>
      <w:tr w:rsidR="007B3DB2" w:rsidRPr="0063248C" w14:paraId="0534DB04"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E3EBFF" w14:textId="77777777" w:rsidR="007B3DB2" w:rsidRPr="0063248C" w:rsidRDefault="007B3DB2"/>
        </w:tc>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E17039" w14:textId="77777777" w:rsidR="007B3DB2" w:rsidRPr="0063248C" w:rsidRDefault="007B3DB2"/>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C9B2BB3" w14:textId="77777777" w:rsidR="007B3DB2" w:rsidRPr="0063248C" w:rsidRDefault="00000000">
            <w:pPr>
              <w:spacing w:before="40" w:after="40" w:line="240" w:lineRule="exact"/>
              <w:jc w:val="center"/>
              <w:rPr>
                <w:rFonts w:cs="宋体"/>
                <w:sz w:val="18"/>
                <w:szCs w:val="18"/>
              </w:rPr>
            </w:pPr>
            <w:r w:rsidRPr="0063248C">
              <w:rPr>
                <w:rFonts w:cs="宋体"/>
                <w:sz w:val="18"/>
                <w:szCs w:val="18"/>
              </w:rPr>
              <w:t>基本每股收益（元</w:t>
            </w:r>
            <w:r w:rsidRPr="0063248C">
              <w:rPr>
                <w:rFonts w:cs="宋体"/>
                <w:sz w:val="18"/>
                <w:szCs w:val="18"/>
              </w:rPr>
              <w:t>/</w:t>
            </w:r>
            <w:r w:rsidRPr="0063248C">
              <w:rPr>
                <w:rFonts w:cs="宋体"/>
                <w:sz w:val="18"/>
                <w:szCs w:val="18"/>
              </w:rPr>
              <w:t>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7E84892" w14:textId="77777777" w:rsidR="007B3DB2" w:rsidRPr="0063248C" w:rsidRDefault="00000000">
            <w:pPr>
              <w:spacing w:before="40" w:after="40" w:line="240" w:lineRule="exact"/>
              <w:jc w:val="center"/>
              <w:rPr>
                <w:rFonts w:cs="宋体"/>
                <w:sz w:val="18"/>
                <w:szCs w:val="18"/>
              </w:rPr>
            </w:pPr>
            <w:r w:rsidRPr="0063248C">
              <w:rPr>
                <w:rFonts w:cs="宋体"/>
                <w:sz w:val="18"/>
                <w:szCs w:val="18"/>
              </w:rPr>
              <w:t>稀释每股收益（元</w:t>
            </w:r>
            <w:r w:rsidRPr="0063248C">
              <w:rPr>
                <w:rFonts w:cs="宋体"/>
                <w:sz w:val="18"/>
                <w:szCs w:val="18"/>
              </w:rPr>
              <w:t>/</w:t>
            </w:r>
            <w:r w:rsidRPr="0063248C">
              <w:rPr>
                <w:rFonts w:cs="宋体"/>
                <w:sz w:val="18"/>
                <w:szCs w:val="18"/>
              </w:rPr>
              <w:t>股）</w:t>
            </w:r>
          </w:p>
        </w:tc>
      </w:tr>
      <w:tr w:rsidR="007B3DB2" w:rsidRPr="0063248C" w14:paraId="29EBCA4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7C2D0FD" w14:textId="77777777" w:rsidR="007B3DB2" w:rsidRPr="0063248C" w:rsidRDefault="00000000">
            <w:pPr>
              <w:spacing w:before="40" w:after="40" w:line="240" w:lineRule="exact"/>
              <w:rPr>
                <w:rFonts w:cs="宋体"/>
                <w:sz w:val="18"/>
                <w:szCs w:val="18"/>
              </w:rPr>
            </w:pPr>
            <w:r w:rsidRPr="0063248C">
              <w:rPr>
                <w:rFonts w:cs="宋体"/>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14:paraId="67D85E03" w14:textId="77777777" w:rsidR="007B3DB2" w:rsidRPr="0063248C" w:rsidRDefault="00000000">
            <w:pPr>
              <w:spacing w:line="240" w:lineRule="exact"/>
              <w:jc w:val="right"/>
              <w:rPr>
                <w:rFonts w:cs="宋体"/>
                <w:sz w:val="18"/>
                <w:szCs w:val="18"/>
              </w:rPr>
            </w:pPr>
            <w:r w:rsidRPr="0063248C">
              <w:rPr>
                <w:rFonts w:cs="宋体"/>
                <w:sz w:val="18"/>
                <w:szCs w:val="18"/>
              </w:rPr>
              <w:t>4.34%</w:t>
            </w:r>
          </w:p>
        </w:tc>
        <w:tc>
          <w:tcPr>
            <w:tcW w:w="2410" w:type="dxa"/>
            <w:tcBorders>
              <w:top w:val="single" w:sz="2" w:space="0" w:color="auto"/>
              <w:left w:val="single" w:sz="2" w:space="0" w:color="auto"/>
              <w:bottom w:val="single" w:sz="2" w:space="0" w:color="auto"/>
              <w:right w:val="single" w:sz="2" w:space="0" w:color="auto"/>
            </w:tcBorders>
            <w:vAlign w:val="center"/>
          </w:tcPr>
          <w:p w14:paraId="729B8CB4" w14:textId="77777777" w:rsidR="007B3DB2" w:rsidRPr="0063248C" w:rsidRDefault="00000000">
            <w:pPr>
              <w:spacing w:line="240" w:lineRule="exact"/>
              <w:jc w:val="right"/>
              <w:rPr>
                <w:rFonts w:cs="宋体"/>
                <w:sz w:val="18"/>
                <w:szCs w:val="18"/>
              </w:rPr>
            </w:pPr>
            <w:r w:rsidRPr="0063248C">
              <w:rPr>
                <w:rFonts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14:paraId="5471B9A5" w14:textId="77777777" w:rsidR="007B3DB2" w:rsidRPr="0063248C" w:rsidRDefault="00000000">
            <w:pPr>
              <w:spacing w:line="240" w:lineRule="exact"/>
              <w:jc w:val="right"/>
              <w:rPr>
                <w:rFonts w:cs="宋体"/>
                <w:sz w:val="18"/>
                <w:szCs w:val="18"/>
              </w:rPr>
            </w:pPr>
            <w:r w:rsidRPr="0063248C">
              <w:rPr>
                <w:rFonts w:cs="宋体"/>
                <w:sz w:val="18"/>
                <w:szCs w:val="18"/>
              </w:rPr>
              <w:t>0.07</w:t>
            </w:r>
          </w:p>
        </w:tc>
      </w:tr>
      <w:tr w:rsidR="007B3DB2" w:rsidRPr="0063248C" w14:paraId="3C04F05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5BBEFBE" w14:textId="77777777" w:rsidR="007B3DB2" w:rsidRPr="0063248C" w:rsidRDefault="00000000">
            <w:pPr>
              <w:spacing w:before="40" w:after="40" w:line="240" w:lineRule="exact"/>
              <w:rPr>
                <w:rFonts w:cs="宋体"/>
                <w:sz w:val="18"/>
                <w:szCs w:val="18"/>
              </w:rPr>
            </w:pPr>
            <w:r w:rsidRPr="0063248C">
              <w:rPr>
                <w:rFonts w:cs="宋体"/>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vAlign w:val="center"/>
          </w:tcPr>
          <w:p w14:paraId="25E91FB8" w14:textId="77777777" w:rsidR="007B3DB2" w:rsidRPr="0063248C" w:rsidRDefault="00000000">
            <w:pPr>
              <w:spacing w:line="240" w:lineRule="exact"/>
              <w:jc w:val="right"/>
              <w:rPr>
                <w:rFonts w:cs="宋体"/>
                <w:sz w:val="18"/>
                <w:szCs w:val="18"/>
              </w:rPr>
            </w:pPr>
            <w:r w:rsidRPr="0063248C">
              <w:rPr>
                <w:rFonts w:cs="宋体"/>
                <w:sz w:val="18"/>
                <w:szCs w:val="18"/>
              </w:rPr>
              <w:t>4.17%</w:t>
            </w:r>
          </w:p>
        </w:tc>
        <w:tc>
          <w:tcPr>
            <w:tcW w:w="2410" w:type="dxa"/>
            <w:tcBorders>
              <w:top w:val="single" w:sz="2" w:space="0" w:color="auto"/>
              <w:left w:val="single" w:sz="2" w:space="0" w:color="auto"/>
              <w:bottom w:val="single" w:sz="2" w:space="0" w:color="auto"/>
              <w:right w:val="single" w:sz="2" w:space="0" w:color="auto"/>
            </w:tcBorders>
            <w:vAlign w:val="center"/>
          </w:tcPr>
          <w:p w14:paraId="7B72AB8F" w14:textId="77777777" w:rsidR="007B3DB2" w:rsidRPr="0063248C" w:rsidRDefault="00000000">
            <w:pPr>
              <w:spacing w:line="240" w:lineRule="exact"/>
              <w:jc w:val="right"/>
              <w:rPr>
                <w:rFonts w:cs="宋体"/>
                <w:sz w:val="18"/>
                <w:szCs w:val="18"/>
              </w:rPr>
            </w:pPr>
            <w:r w:rsidRPr="0063248C">
              <w:rPr>
                <w:rFonts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14:paraId="792C855B" w14:textId="77777777" w:rsidR="007B3DB2" w:rsidRPr="0063248C" w:rsidRDefault="00000000">
            <w:pPr>
              <w:spacing w:line="240" w:lineRule="exact"/>
              <w:jc w:val="right"/>
              <w:rPr>
                <w:rFonts w:cs="宋体"/>
                <w:sz w:val="18"/>
                <w:szCs w:val="18"/>
              </w:rPr>
            </w:pPr>
            <w:r w:rsidRPr="0063248C">
              <w:rPr>
                <w:rFonts w:cs="宋体"/>
                <w:sz w:val="18"/>
                <w:szCs w:val="18"/>
              </w:rPr>
              <w:t>0.06</w:t>
            </w:r>
          </w:p>
        </w:tc>
      </w:tr>
    </w:tbl>
    <w:p w14:paraId="248606D0" w14:textId="77777777" w:rsidR="007B3DB2" w:rsidRPr="0063248C" w:rsidRDefault="00000000">
      <w:pPr>
        <w:pStyle w:val="3"/>
        <w:spacing w:line="280" w:lineRule="exact"/>
        <w:jc w:val="left"/>
        <w:rPr>
          <w:rFonts w:cs="宋体"/>
          <w:b/>
          <w:bCs/>
        </w:rPr>
      </w:pPr>
      <w:bookmarkStart w:id="558" w:name="_Toc989452"/>
      <w:r w:rsidRPr="0063248C">
        <w:rPr>
          <w:rFonts w:cs="宋体"/>
          <w:b/>
          <w:bCs/>
        </w:rPr>
        <w:t>3</w:t>
      </w:r>
      <w:r w:rsidRPr="0063248C">
        <w:rPr>
          <w:rFonts w:cs="宋体"/>
          <w:b/>
          <w:bCs/>
        </w:rPr>
        <w:t>、境内外会计准则下会计数据差异</w:t>
      </w:r>
      <w:bookmarkEnd w:id="558"/>
    </w:p>
    <w:p w14:paraId="44C02A09" w14:textId="77777777" w:rsidR="007B3DB2" w:rsidRPr="0063248C" w:rsidRDefault="00000000">
      <w:pPr>
        <w:keepNext/>
        <w:keepLines/>
        <w:spacing w:before="300" w:after="300" w:line="280" w:lineRule="exact"/>
        <w:outlineLvl w:val="3"/>
        <w:rPr>
          <w:rFonts w:cs="宋体"/>
          <w:b/>
          <w:bCs/>
          <w:szCs w:val="21"/>
        </w:rPr>
      </w:pPr>
      <w:bookmarkStart w:id="559" w:name="_Toc989453"/>
      <w:r w:rsidRPr="0063248C">
        <w:rPr>
          <w:rFonts w:cs="宋体"/>
          <w:b/>
          <w:bCs/>
          <w:szCs w:val="21"/>
        </w:rPr>
        <w:t>（</w:t>
      </w:r>
      <w:r w:rsidRPr="0063248C">
        <w:rPr>
          <w:rFonts w:cs="宋体"/>
          <w:b/>
          <w:bCs/>
          <w:szCs w:val="21"/>
        </w:rPr>
        <w:t>1</w:t>
      </w:r>
      <w:r w:rsidRPr="0063248C">
        <w:rPr>
          <w:rFonts w:cs="宋体"/>
          <w:b/>
          <w:bCs/>
          <w:szCs w:val="21"/>
        </w:rPr>
        <w:t>）</w:t>
      </w:r>
      <w:r w:rsidRPr="0063248C">
        <w:rPr>
          <w:rFonts w:cs="宋体"/>
          <w:b/>
          <w:bCs/>
          <w:szCs w:val="21"/>
        </w:rPr>
        <w:t xml:space="preserve"> </w:t>
      </w:r>
      <w:r w:rsidRPr="0063248C">
        <w:rPr>
          <w:rFonts w:cs="宋体"/>
          <w:b/>
          <w:bCs/>
          <w:szCs w:val="21"/>
        </w:rPr>
        <w:t>同时按照国际会计准则与按中国会计准则披露的财务</w:t>
      </w:r>
      <w:proofErr w:type="gramStart"/>
      <w:r w:rsidRPr="0063248C">
        <w:rPr>
          <w:rFonts w:cs="宋体"/>
          <w:b/>
          <w:bCs/>
          <w:szCs w:val="21"/>
        </w:rPr>
        <w:t>报告中净利润</w:t>
      </w:r>
      <w:proofErr w:type="gramEnd"/>
      <w:r w:rsidRPr="0063248C">
        <w:rPr>
          <w:rFonts w:cs="宋体"/>
          <w:b/>
          <w:bCs/>
          <w:szCs w:val="21"/>
        </w:rPr>
        <w:t>和净资产差异情况</w:t>
      </w:r>
      <w:bookmarkEnd w:id="559"/>
    </w:p>
    <w:p w14:paraId="1B197842" w14:textId="77777777" w:rsidR="007B3DB2" w:rsidRPr="0063248C" w:rsidRDefault="00000000">
      <w:pPr>
        <w:spacing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3B273F6A" w14:textId="77777777" w:rsidR="007B3DB2" w:rsidRPr="0063248C" w:rsidRDefault="00000000">
      <w:pPr>
        <w:keepNext/>
        <w:keepLines/>
        <w:spacing w:before="300" w:after="300" w:line="280" w:lineRule="exact"/>
        <w:outlineLvl w:val="3"/>
        <w:rPr>
          <w:rFonts w:cs="宋体"/>
          <w:b/>
          <w:bCs/>
          <w:szCs w:val="21"/>
        </w:rPr>
      </w:pPr>
      <w:bookmarkStart w:id="560" w:name="_Toc989454"/>
      <w:r w:rsidRPr="0063248C">
        <w:rPr>
          <w:rFonts w:cs="宋体"/>
          <w:b/>
          <w:bCs/>
          <w:szCs w:val="21"/>
        </w:rPr>
        <w:t>（</w:t>
      </w:r>
      <w:r w:rsidRPr="0063248C">
        <w:rPr>
          <w:rFonts w:cs="宋体"/>
          <w:b/>
          <w:bCs/>
          <w:szCs w:val="21"/>
        </w:rPr>
        <w:t>2</w:t>
      </w:r>
      <w:r w:rsidRPr="0063248C">
        <w:rPr>
          <w:rFonts w:cs="宋体"/>
          <w:b/>
          <w:bCs/>
          <w:szCs w:val="21"/>
        </w:rPr>
        <w:t>）</w:t>
      </w:r>
      <w:r w:rsidRPr="0063248C">
        <w:rPr>
          <w:rFonts w:cs="宋体"/>
          <w:b/>
          <w:bCs/>
          <w:szCs w:val="21"/>
        </w:rPr>
        <w:t xml:space="preserve"> </w:t>
      </w:r>
      <w:r w:rsidRPr="0063248C">
        <w:rPr>
          <w:rFonts w:cs="宋体"/>
          <w:b/>
          <w:bCs/>
          <w:szCs w:val="21"/>
        </w:rPr>
        <w:t>同时按照境外会计准则与按中国会计准则披露的财务</w:t>
      </w:r>
      <w:proofErr w:type="gramStart"/>
      <w:r w:rsidRPr="0063248C">
        <w:rPr>
          <w:rFonts w:cs="宋体"/>
          <w:b/>
          <w:bCs/>
          <w:szCs w:val="21"/>
        </w:rPr>
        <w:t>报告中净利润</w:t>
      </w:r>
      <w:proofErr w:type="gramEnd"/>
      <w:r w:rsidRPr="0063248C">
        <w:rPr>
          <w:rFonts w:cs="宋体"/>
          <w:b/>
          <w:bCs/>
          <w:szCs w:val="21"/>
        </w:rPr>
        <w:t>和净资产差异情况</w:t>
      </w:r>
      <w:bookmarkEnd w:id="560"/>
    </w:p>
    <w:p w14:paraId="6BB88B44" w14:textId="77777777" w:rsidR="007B3DB2" w:rsidRPr="0063248C" w:rsidRDefault="00000000">
      <w:pPr>
        <w:spacing w:line="240" w:lineRule="exact"/>
        <w:rPr>
          <w:rFonts w:cs="宋体"/>
          <w:sz w:val="18"/>
          <w:szCs w:val="18"/>
        </w:rPr>
      </w:pPr>
      <w:r w:rsidRPr="00F07AAA">
        <w:rPr>
          <w:rFonts w:ascii="宋体" w:hAnsi="宋体" w:cs="宋体"/>
          <w:sz w:val="18"/>
          <w:szCs w:val="18"/>
        </w:rPr>
        <w:t>□</w:t>
      </w:r>
      <w:r w:rsidRPr="0063248C">
        <w:rPr>
          <w:rFonts w:cs="宋体"/>
          <w:sz w:val="18"/>
          <w:szCs w:val="18"/>
        </w:rPr>
        <w:t>适用</w:t>
      </w:r>
      <w:r w:rsidRPr="0063248C">
        <w:rPr>
          <w:rFonts w:cs="宋体"/>
          <w:sz w:val="18"/>
          <w:szCs w:val="18"/>
        </w:rPr>
        <w:t xml:space="preserve"> </w:t>
      </w:r>
      <w:r w:rsidRPr="0063248C">
        <w:rPr>
          <w:rFonts w:cs="宋体"/>
          <w:sz w:val="18"/>
          <w:szCs w:val="18"/>
        </w:rPr>
        <w:sym w:font="Wingdings 2" w:char="F052"/>
      </w:r>
      <w:r w:rsidRPr="0063248C">
        <w:rPr>
          <w:rFonts w:cs="宋体"/>
          <w:sz w:val="18"/>
          <w:szCs w:val="18"/>
        </w:rPr>
        <w:t>不适用</w:t>
      </w:r>
    </w:p>
    <w:p w14:paraId="21C38DAA" w14:textId="77777777" w:rsidR="007B3DB2" w:rsidRPr="0063248C" w:rsidRDefault="00000000">
      <w:pPr>
        <w:keepNext/>
        <w:keepLines/>
        <w:spacing w:before="300" w:after="300" w:line="280" w:lineRule="exact"/>
        <w:outlineLvl w:val="3"/>
        <w:rPr>
          <w:rFonts w:cs="宋体"/>
          <w:b/>
          <w:bCs/>
          <w:szCs w:val="21"/>
        </w:rPr>
      </w:pPr>
      <w:bookmarkStart w:id="561" w:name="_Toc989455"/>
      <w:r w:rsidRPr="0063248C">
        <w:rPr>
          <w:rFonts w:cs="宋体"/>
          <w:b/>
          <w:bCs/>
          <w:szCs w:val="21"/>
        </w:rPr>
        <w:t>（</w:t>
      </w:r>
      <w:r w:rsidRPr="0063248C">
        <w:rPr>
          <w:rFonts w:cs="宋体"/>
          <w:b/>
          <w:bCs/>
          <w:szCs w:val="21"/>
        </w:rPr>
        <w:t>3</w:t>
      </w:r>
      <w:r w:rsidRPr="0063248C">
        <w:rPr>
          <w:rFonts w:cs="宋体"/>
          <w:b/>
          <w:bCs/>
          <w:szCs w:val="21"/>
        </w:rPr>
        <w:t>）</w:t>
      </w:r>
      <w:r w:rsidRPr="0063248C">
        <w:rPr>
          <w:rFonts w:cs="宋体"/>
          <w:b/>
          <w:bCs/>
          <w:szCs w:val="21"/>
        </w:rPr>
        <w:t xml:space="preserve"> </w:t>
      </w:r>
      <w:r w:rsidRPr="0063248C">
        <w:rPr>
          <w:rFonts w:cs="宋体"/>
          <w:b/>
          <w:bCs/>
          <w:szCs w:val="21"/>
        </w:rPr>
        <w:t>境内外会计准则下会计数据差异原因说明，对已经境外审计机构审计的数据进行差异调节的，应注明该境外机构的名称</w:t>
      </w:r>
      <w:bookmarkEnd w:id="561"/>
    </w:p>
    <w:p w14:paraId="661E8434" w14:textId="77777777" w:rsidR="007B3DB2" w:rsidRPr="0063248C" w:rsidRDefault="00000000">
      <w:pPr>
        <w:pStyle w:val="3"/>
        <w:spacing w:line="280" w:lineRule="exact"/>
        <w:jc w:val="left"/>
        <w:rPr>
          <w:rFonts w:cs="宋体"/>
          <w:b/>
          <w:bCs/>
        </w:rPr>
      </w:pPr>
      <w:bookmarkStart w:id="562" w:name="_Toc989456"/>
      <w:r w:rsidRPr="0063248C">
        <w:rPr>
          <w:rFonts w:cs="宋体"/>
          <w:b/>
          <w:bCs/>
        </w:rPr>
        <w:t>4</w:t>
      </w:r>
      <w:r w:rsidRPr="0063248C">
        <w:rPr>
          <w:rFonts w:cs="宋体"/>
          <w:b/>
          <w:bCs/>
        </w:rPr>
        <w:t>、其他</w:t>
      </w:r>
      <w:bookmarkEnd w:id="562"/>
    </w:p>
    <w:p w14:paraId="3BC2A9BD" w14:textId="77777777" w:rsidR="00B21CBC" w:rsidRPr="0063248C" w:rsidRDefault="00000000">
      <w:pPr>
        <w:pStyle w:val="a3"/>
        <w:divId w:val="917591453"/>
        <w:rPr>
          <w:rFonts w:ascii="Times New Roman" w:hAnsi="Times New Roman"/>
          <w:sz w:val="18"/>
          <w:szCs w:val="18"/>
        </w:rPr>
      </w:pPr>
      <w:r w:rsidRPr="0063248C">
        <w:rPr>
          <w:rFonts w:ascii="Times New Roman" w:hAnsi="Times New Roman" w:hint="eastAsia"/>
          <w:sz w:val="18"/>
          <w:szCs w:val="18"/>
        </w:rPr>
        <w:t>无</w:t>
      </w:r>
    </w:p>
    <w:sectPr w:rsidR="00B21CBC" w:rsidRPr="0063248C">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BBCA2" w14:textId="77777777" w:rsidR="009D74DB" w:rsidRDefault="009D74DB">
      <w:r>
        <w:separator/>
      </w:r>
    </w:p>
  </w:endnote>
  <w:endnote w:type="continuationSeparator" w:id="0">
    <w:p w14:paraId="2AEA7715" w14:textId="77777777" w:rsidR="009D74DB" w:rsidRDefault="009D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D9A98" w14:textId="77777777" w:rsidR="007B3DB2" w:rsidRDefault="00000000">
    <w:pPr>
      <w:pStyle w:val="fotter1"/>
      <w:rPr>
        <w:rFonts w:hint="eastAsia"/>
      </w:rP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0D01B" w14:textId="77777777" w:rsidR="009D74DB" w:rsidRDefault="009D74DB">
      <w:r>
        <w:separator/>
      </w:r>
    </w:p>
  </w:footnote>
  <w:footnote w:type="continuationSeparator" w:id="0">
    <w:p w14:paraId="1E32D8BE" w14:textId="77777777" w:rsidR="009D74DB" w:rsidRDefault="009D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A0805" w14:textId="77777777" w:rsidR="007B3DB2" w:rsidRDefault="00000000">
    <w:pPr>
      <w:pStyle w:val="Header1"/>
      <w:pBdr>
        <w:bottom w:val="single" w:sz="6" w:space="1" w:color="auto"/>
      </w:pBdr>
      <w:rPr>
        <w:rFonts w:hint="eastAsia"/>
      </w:rPr>
    </w:pPr>
    <w:r>
      <w:t>山东龙大美食股份有限公司2024年半年度报告全文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B3DB2"/>
    <w:rsid w:val="000367A6"/>
    <w:rsid w:val="000572DD"/>
    <w:rsid w:val="00076B11"/>
    <w:rsid w:val="00080A31"/>
    <w:rsid w:val="000A04E4"/>
    <w:rsid w:val="000C3A10"/>
    <w:rsid w:val="000F65D3"/>
    <w:rsid w:val="001B5826"/>
    <w:rsid w:val="001D4025"/>
    <w:rsid w:val="0027616C"/>
    <w:rsid w:val="002A3F99"/>
    <w:rsid w:val="002F09DE"/>
    <w:rsid w:val="003137C2"/>
    <w:rsid w:val="0035454A"/>
    <w:rsid w:val="004E2663"/>
    <w:rsid w:val="00517D34"/>
    <w:rsid w:val="00560D7C"/>
    <w:rsid w:val="005B6623"/>
    <w:rsid w:val="005F3E0D"/>
    <w:rsid w:val="00606634"/>
    <w:rsid w:val="0063248C"/>
    <w:rsid w:val="0066398B"/>
    <w:rsid w:val="006709E7"/>
    <w:rsid w:val="00672D59"/>
    <w:rsid w:val="006B562D"/>
    <w:rsid w:val="006D579E"/>
    <w:rsid w:val="006F26C9"/>
    <w:rsid w:val="00760A54"/>
    <w:rsid w:val="00777172"/>
    <w:rsid w:val="007912C7"/>
    <w:rsid w:val="007B3DB2"/>
    <w:rsid w:val="007E4C6D"/>
    <w:rsid w:val="008110BC"/>
    <w:rsid w:val="00831EF5"/>
    <w:rsid w:val="00843C44"/>
    <w:rsid w:val="0086507F"/>
    <w:rsid w:val="008669F6"/>
    <w:rsid w:val="00975357"/>
    <w:rsid w:val="00992D9F"/>
    <w:rsid w:val="009D622A"/>
    <w:rsid w:val="009D74DB"/>
    <w:rsid w:val="00A65819"/>
    <w:rsid w:val="00AD3795"/>
    <w:rsid w:val="00B10F01"/>
    <w:rsid w:val="00B14058"/>
    <w:rsid w:val="00B21CBC"/>
    <w:rsid w:val="00B425DC"/>
    <w:rsid w:val="00B84D72"/>
    <w:rsid w:val="00BA53B2"/>
    <w:rsid w:val="00BB1C54"/>
    <w:rsid w:val="00BC5B76"/>
    <w:rsid w:val="00C117DA"/>
    <w:rsid w:val="00C91C58"/>
    <w:rsid w:val="00CB53D9"/>
    <w:rsid w:val="00D30BD7"/>
    <w:rsid w:val="00D77137"/>
    <w:rsid w:val="00DC2C08"/>
    <w:rsid w:val="00DC73E2"/>
    <w:rsid w:val="00DE232A"/>
    <w:rsid w:val="00E00A13"/>
    <w:rsid w:val="00E17B53"/>
    <w:rsid w:val="00E319D8"/>
    <w:rsid w:val="00E92CF1"/>
    <w:rsid w:val="00ED579E"/>
    <w:rsid w:val="00F07AAA"/>
    <w:rsid w:val="00F72FC8"/>
    <w:rsid w:val="00F75FFE"/>
    <w:rsid w:val="00FA083A"/>
    <w:rsid w:val="00FD2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A167"/>
  <w15:docId w15:val="{16491845-E43C-491C-83F2-CCF828B8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48C"/>
    <w:pPr>
      <w:widowControl w:val="0"/>
    </w:pPr>
    <w:rPr>
      <w:rFonts w:ascii="Times New Roman" w:eastAsia="宋体" w:hAnsi="Times New Roman"/>
    </w:r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rsid w:val="00F07AAA"/>
    <w:pPr>
      <w:tabs>
        <w:tab w:val="left" w:leader="dot" w:pos="9469"/>
      </w:tabs>
      <w:spacing w:line="480" w:lineRule="auto"/>
    </w:pPr>
  </w:style>
  <w:style w:type="paragraph" w:styleId="TOC2">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hAnsi="宋体" w:cs="宋体"/>
      <w:kern w:val="0"/>
      <w:sz w:val="24"/>
      <w:szCs w:val="24"/>
      <w14:ligatures w14:val="none"/>
    </w:rPr>
  </w:style>
  <w:style w:type="paragraph" w:customStyle="1" w:styleId="15">
    <w:name w:val="15"/>
    <w:basedOn w:val="a"/>
    <w:pPr>
      <w:widowControl/>
      <w:spacing w:before="100" w:beforeAutospacing="1" w:after="100" w:afterAutospacing="1"/>
    </w:pPr>
    <w:rPr>
      <w:rFonts w:ascii="宋体" w:hAnsi="宋体" w:cs="宋体"/>
      <w:kern w:val="0"/>
      <w:sz w:val="24"/>
      <w:szCs w:val="24"/>
      <w14:ligatures w14:val="none"/>
    </w:rPr>
  </w:style>
  <w:style w:type="paragraph" w:styleId="a4">
    <w:name w:val="header"/>
    <w:basedOn w:val="a"/>
    <w:link w:val="a5"/>
    <w:uiPriority w:val="99"/>
    <w:unhideWhenUsed/>
    <w:rsid w:val="0063248C"/>
    <w:pPr>
      <w:tabs>
        <w:tab w:val="center" w:pos="4153"/>
        <w:tab w:val="right" w:pos="8306"/>
      </w:tabs>
      <w:snapToGrid w:val="0"/>
      <w:jc w:val="center"/>
    </w:pPr>
    <w:rPr>
      <w:sz w:val="18"/>
      <w:szCs w:val="18"/>
    </w:rPr>
  </w:style>
  <w:style w:type="character" w:customStyle="1" w:styleId="a5">
    <w:name w:val="页眉 字符"/>
    <w:basedOn w:val="a0"/>
    <w:link w:val="a4"/>
    <w:uiPriority w:val="99"/>
    <w:rsid w:val="0063248C"/>
    <w:rPr>
      <w:sz w:val="18"/>
      <w:szCs w:val="18"/>
    </w:rPr>
  </w:style>
  <w:style w:type="paragraph" w:styleId="a6">
    <w:name w:val="footer"/>
    <w:basedOn w:val="a"/>
    <w:link w:val="a7"/>
    <w:uiPriority w:val="99"/>
    <w:unhideWhenUsed/>
    <w:rsid w:val="0063248C"/>
    <w:pPr>
      <w:tabs>
        <w:tab w:val="center" w:pos="4153"/>
        <w:tab w:val="right" w:pos="8306"/>
      </w:tabs>
      <w:snapToGrid w:val="0"/>
    </w:pPr>
    <w:rPr>
      <w:sz w:val="18"/>
      <w:szCs w:val="18"/>
    </w:rPr>
  </w:style>
  <w:style w:type="character" w:customStyle="1" w:styleId="a7">
    <w:name w:val="页脚 字符"/>
    <w:basedOn w:val="a0"/>
    <w:link w:val="a6"/>
    <w:uiPriority w:val="99"/>
    <w:rsid w:val="0063248C"/>
    <w:rPr>
      <w:sz w:val="18"/>
      <w:szCs w:val="18"/>
    </w:rPr>
  </w:style>
  <w:style w:type="paragraph" w:styleId="a8">
    <w:name w:val="Revision"/>
    <w:hidden/>
    <w:uiPriority w:val="99"/>
    <w:semiHidden/>
    <w:rsid w:val="003137C2"/>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4671">
      <w:bodyDiv w:val="1"/>
      <w:marLeft w:val="0"/>
      <w:marRight w:val="0"/>
      <w:marTop w:val="0"/>
      <w:marBottom w:val="0"/>
      <w:divBdr>
        <w:top w:val="none" w:sz="0" w:space="0" w:color="auto"/>
        <w:left w:val="none" w:sz="0" w:space="0" w:color="auto"/>
        <w:bottom w:val="none" w:sz="0" w:space="0" w:color="auto"/>
        <w:right w:val="none" w:sz="0" w:space="0" w:color="auto"/>
      </w:divBdr>
    </w:div>
    <w:div w:id="8484538">
      <w:bodyDiv w:val="1"/>
      <w:marLeft w:val="0"/>
      <w:marRight w:val="0"/>
      <w:marTop w:val="0"/>
      <w:marBottom w:val="0"/>
      <w:divBdr>
        <w:top w:val="none" w:sz="0" w:space="0" w:color="auto"/>
        <w:left w:val="none" w:sz="0" w:space="0" w:color="auto"/>
        <w:bottom w:val="none" w:sz="0" w:space="0" w:color="auto"/>
        <w:right w:val="none" w:sz="0" w:space="0" w:color="auto"/>
      </w:divBdr>
    </w:div>
    <w:div w:id="10425281">
      <w:bodyDiv w:val="1"/>
      <w:marLeft w:val="0"/>
      <w:marRight w:val="0"/>
      <w:marTop w:val="0"/>
      <w:marBottom w:val="0"/>
      <w:divBdr>
        <w:top w:val="none" w:sz="0" w:space="0" w:color="auto"/>
        <w:left w:val="none" w:sz="0" w:space="0" w:color="auto"/>
        <w:bottom w:val="none" w:sz="0" w:space="0" w:color="auto"/>
        <w:right w:val="none" w:sz="0" w:space="0" w:color="auto"/>
      </w:divBdr>
    </w:div>
    <w:div w:id="10643755">
      <w:bodyDiv w:val="1"/>
      <w:marLeft w:val="0"/>
      <w:marRight w:val="0"/>
      <w:marTop w:val="0"/>
      <w:marBottom w:val="0"/>
      <w:divBdr>
        <w:top w:val="none" w:sz="0" w:space="0" w:color="auto"/>
        <w:left w:val="none" w:sz="0" w:space="0" w:color="auto"/>
        <w:bottom w:val="none" w:sz="0" w:space="0" w:color="auto"/>
        <w:right w:val="none" w:sz="0" w:space="0" w:color="auto"/>
      </w:divBdr>
    </w:div>
    <w:div w:id="15430946">
      <w:bodyDiv w:val="1"/>
      <w:marLeft w:val="0"/>
      <w:marRight w:val="0"/>
      <w:marTop w:val="0"/>
      <w:marBottom w:val="0"/>
      <w:divBdr>
        <w:top w:val="none" w:sz="0" w:space="0" w:color="auto"/>
        <w:left w:val="none" w:sz="0" w:space="0" w:color="auto"/>
        <w:bottom w:val="none" w:sz="0" w:space="0" w:color="auto"/>
        <w:right w:val="none" w:sz="0" w:space="0" w:color="auto"/>
      </w:divBdr>
    </w:div>
    <w:div w:id="16545053">
      <w:bodyDiv w:val="1"/>
      <w:marLeft w:val="0"/>
      <w:marRight w:val="0"/>
      <w:marTop w:val="0"/>
      <w:marBottom w:val="0"/>
      <w:divBdr>
        <w:top w:val="none" w:sz="0" w:space="0" w:color="auto"/>
        <w:left w:val="none" w:sz="0" w:space="0" w:color="auto"/>
        <w:bottom w:val="none" w:sz="0" w:space="0" w:color="auto"/>
        <w:right w:val="none" w:sz="0" w:space="0" w:color="auto"/>
      </w:divBdr>
    </w:div>
    <w:div w:id="22219852">
      <w:bodyDiv w:val="1"/>
      <w:marLeft w:val="0"/>
      <w:marRight w:val="0"/>
      <w:marTop w:val="0"/>
      <w:marBottom w:val="0"/>
      <w:divBdr>
        <w:top w:val="none" w:sz="0" w:space="0" w:color="auto"/>
        <w:left w:val="none" w:sz="0" w:space="0" w:color="auto"/>
        <w:bottom w:val="none" w:sz="0" w:space="0" w:color="auto"/>
        <w:right w:val="none" w:sz="0" w:space="0" w:color="auto"/>
      </w:divBdr>
    </w:div>
    <w:div w:id="34042372">
      <w:bodyDiv w:val="1"/>
      <w:marLeft w:val="0"/>
      <w:marRight w:val="0"/>
      <w:marTop w:val="0"/>
      <w:marBottom w:val="0"/>
      <w:divBdr>
        <w:top w:val="none" w:sz="0" w:space="0" w:color="auto"/>
        <w:left w:val="none" w:sz="0" w:space="0" w:color="auto"/>
        <w:bottom w:val="none" w:sz="0" w:space="0" w:color="auto"/>
        <w:right w:val="none" w:sz="0" w:space="0" w:color="auto"/>
      </w:divBdr>
    </w:div>
    <w:div w:id="41252847">
      <w:bodyDiv w:val="1"/>
      <w:marLeft w:val="0"/>
      <w:marRight w:val="0"/>
      <w:marTop w:val="0"/>
      <w:marBottom w:val="0"/>
      <w:divBdr>
        <w:top w:val="none" w:sz="0" w:space="0" w:color="auto"/>
        <w:left w:val="none" w:sz="0" w:space="0" w:color="auto"/>
        <w:bottom w:val="none" w:sz="0" w:space="0" w:color="auto"/>
        <w:right w:val="none" w:sz="0" w:space="0" w:color="auto"/>
      </w:divBdr>
    </w:div>
    <w:div w:id="69155332">
      <w:bodyDiv w:val="1"/>
      <w:marLeft w:val="0"/>
      <w:marRight w:val="0"/>
      <w:marTop w:val="0"/>
      <w:marBottom w:val="0"/>
      <w:divBdr>
        <w:top w:val="none" w:sz="0" w:space="0" w:color="auto"/>
        <w:left w:val="none" w:sz="0" w:space="0" w:color="auto"/>
        <w:bottom w:val="none" w:sz="0" w:space="0" w:color="auto"/>
        <w:right w:val="none" w:sz="0" w:space="0" w:color="auto"/>
      </w:divBdr>
    </w:div>
    <w:div w:id="70085194">
      <w:bodyDiv w:val="1"/>
      <w:marLeft w:val="0"/>
      <w:marRight w:val="0"/>
      <w:marTop w:val="0"/>
      <w:marBottom w:val="0"/>
      <w:divBdr>
        <w:top w:val="none" w:sz="0" w:space="0" w:color="auto"/>
        <w:left w:val="none" w:sz="0" w:space="0" w:color="auto"/>
        <w:bottom w:val="none" w:sz="0" w:space="0" w:color="auto"/>
        <w:right w:val="none" w:sz="0" w:space="0" w:color="auto"/>
      </w:divBdr>
    </w:div>
    <w:div w:id="80762514">
      <w:bodyDiv w:val="1"/>
      <w:marLeft w:val="0"/>
      <w:marRight w:val="0"/>
      <w:marTop w:val="0"/>
      <w:marBottom w:val="0"/>
      <w:divBdr>
        <w:top w:val="none" w:sz="0" w:space="0" w:color="auto"/>
        <w:left w:val="none" w:sz="0" w:space="0" w:color="auto"/>
        <w:bottom w:val="none" w:sz="0" w:space="0" w:color="auto"/>
        <w:right w:val="none" w:sz="0" w:space="0" w:color="auto"/>
      </w:divBdr>
    </w:div>
    <w:div w:id="82066366">
      <w:bodyDiv w:val="1"/>
      <w:marLeft w:val="0"/>
      <w:marRight w:val="0"/>
      <w:marTop w:val="0"/>
      <w:marBottom w:val="0"/>
      <w:divBdr>
        <w:top w:val="none" w:sz="0" w:space="0" w:color="auto"/>
        <w:left w:val="none" w:sz="0" w:space="0" w:color="auto"/>
        <w:bottom w:val="none" w:sz="0" w:space="0" w:color="auto"/>
        <w:right w:val="none" w:sz="0" w:space="0" w:color="auto"/>
      </w:divBdr>
    </w:div>
    <w:div w:id="88627259">
      <w:bodyDiv w:val="1"/>
      <w:marLeft w:val="0"/>
      <w:marRight w:val="0"/>
      <w:marTop w:val="0"/>
      <w:marBottom w:val="0"/>
      <w:divBdr>
        <w:top w:val="none" w:sz="0" w:space="0" w:color="auto"/>
        <w:left w:val="none" w:sz="0" w:space="0" w:color="auto"/>
        <w:bottom w:val="none" w:sz="0" w:space="0" w:color="auto"/>
        <w:right w:val="none" w:sz="0" w:space="0" w:color="auto"/>
      </w:divBdr>
    </w:div>
    <w:div w:id="92170392">
      <w:bodyDiv w:val="1"/>
      <w:marLeft w:val="0"/>
      <w:marRight w:val="0"/>
      <w:marTop w:val="0"/>
      <w:marBottom w:val="0"/>
      <w:divBdr>
        <w:top w:val="none" w:sz="0" w:space="0" w:color="auto"/>
        <w:left w:val="none" w:sz="0" w:space="0" w:color="auto"/>
        <w:bottom w:val="none" w:sz="0" w:space="0" w:color="auto"/>
        <w:right w:val="none" w:sz="0" w:space="0" w:color="auto"/>
      </w:divBdr>
    </w:div>
    <w:div w:id="92482747">
      <w:bodyDiv w:val="1"/>
      <w:marLeft w:val="0"/>
      <w:marRight w:val="0"/>
      <w:marTop w:val="0"/>
      <w:marBottom w:val="0"/>
      <w:divBdr>
        <w:top w:val="none" w:sz="0" w:space="0" w:color="auto"/>
        <w:left w:val="none" w:sz="0" w:space="0" w:color="auto"/>
        <w:bottom w:val="none" w:sz="0" w:space="0" w:color="auto"/>
        <w:right w:val="none" w:sz="0" w:space="0" w:color="auto"/>
      </w:divBdr>
    </w:div>
    <w:div w:id="103888882">
      <w:bodyDiv w:val="1"/>
      <w:marLeft w:val="0"/>
      <w:marRight w:val="0"/>
      <w:marTop w:val="0"/>
      <w:marBottom w:val="0"/>
      <w:divBdr>
        <w:top w:val="none" w:sz="0" w:space="0" w:color="auto"/>
        <w:left w:val="none" w:sz="0" w:space="0" w:color="auto"/>
        <w:bottom w:val="none" w:sz="0" w:space="0" w:color="auto"/>
        <w:right w:val="none" w:sz="0" w:space="0" w:color="auto"/>
      </w:divBdr>
    </w:div>
    <w:div w:id="121075275">
      <w:bodyDiv w:val="1"/>
      <w:marLeft w:val="0"/>
      <w:marRight w:val="0"/>
      <w:marTop w:val="0"/>
      <w:marBottom w:val="0"/>
      <w:divBdr>
        <w:top w:val="none" w:sz="0" w:space="0" w:color="auto"/>
        <w:left w:val="none" w:sz="0" w:space="0" w:color="auto"/>
        <w:bottom w:val="none" w:sz="0" w:space="0" w:color="auto"/>
        <w:right w:val="none" w:sz="0" w:space="0" w:color="auto"/>
      </w:divBdr>
    </w:div>
    <w:div w:id="138041580">
      <w:bodyDiv w:val="1"/>
      <w:marLeft w:val="0"/>
      <w:marRight w:val="0"/>
      <w:marTop w:val="0"/>
      <w:marBottom w:val="0"/>
      <w:divBdr>
        <w:top w:val="none" w:sz="0" w:space="0" w:color="auto"/>
        <w:left w:val="none" w:sz="0" w:space="0" w:color="auto"/>
        <w:bottom w:val="none" w:sz="0" w:space="0" w:color="auto"/>
        <w:right w:val="none" w:sz="0" w:space="0" w:color="auto"/>
      </w:divBdr>
    </w:div>
    <w:div w:id="138155859">
      <w:bodyDiv w:val="1"/>
      <w:marLeft w:val="0"/>
      <w:marRight w:val="0"/>
      <w:marTop w:val="0"/>
      <w:marBottom w:val="0"/>
      <w:divBdr>
        <w:top w:val="none" w:sz="0" w:space="0" w:color="auto"/>
        <w:left w:val="none" w:sz="0" w:space="0" w:color="auto"/>
        <w:bottom w:val="none" w:sz="0" w:space="0" w:color="auto"/>
        <w:right w:val="none" w:sz="0" w:space="0" w:color="auto"/>
      </w:divBdr>
      <w:divsChild>
        <w:div w:id="379938143">
          <w:marLeft w:val="0"/>
          <w:marRight w:val="0"/>
          <w:marTop w:val="0"/>
          <w:marBottom w:val="0"/>
          <w:divBdr>
            <w:top w:val="none" w:sz="0" w:space="0" w:color="auto"/>
            <w:left w:val="none" w:sz="0" w:space="0" w:color="auto"/>
            <w:bottom w:val="none" w:sz="0" w:space="0" w:color="auto"/>
            <w:right w:val="none" w:sz="0" w:space="0" w:color="auto"/>
          </w:divBdr>
        </w:div>
        <w:div w:id="566887812">
          <w:marLeft w:val="0"/>
          <w:marRight w:val="0"/>
          <w:marTop w:val="0"/>
          <w:marBottom w:val="0"/>
          <w:divBdr>
            <w:top w:val="none" w:sz="0" w:space="0" w:color="auto"/>
            <w:left w:val="none" w:sz="0" w:space="0" w:color="auto"/>
            <w:bottom w:val="none" w:sz="0" w:space="0" w:color="auto"/>
            <w:right w:val="none" w:sz="0" w:space="0" w:color="auto"/>
          </w:divBdr>
        </w:div>
        <w:div w:id="764226538">
          <w:marLeft w:val="0"/>
          <w:marRight w:val="0"/>
          <w:marTop w:val="0"/>
          <w:marBottom w:val="0"/>
          <w:divBdr>
            <w:top w:val="none" w:sz="0" w:space="0" w:color="auto"/>
            <w:left w:val="none" w:sz="0" w:space="0" w:color="auto"/>
            <w:bottom w:val="none" w:sz="0" w:space="0" w:color="auto"/>
            <w:right w:val="none" w:sz="0" w:space="0" w:color="auto"/>
          </w:divBdr>
        </w:div>
        <w:div w:id="1436942730">
          <w:marLeft w:val="0"/>
          <w:marRight w:val="0"/>
          <w:marTop w:val="0"/>
          <w:marBottom w:val="0"/>
          <w:divBdr>
            <w:top w:val="none" w:sz="0" w:space="0" w:color="auto"/>
            <w:left w:val="none" w:sz="0" w:space="0" w:color="auto"/>
            <w:bottom w:val="none" w:sz="0" w:space="0" w:color="auto"/>
            <w:right w:val="none" w:sz="0" w:space="0" w:color="auto"/>
          </w:divBdr>
          <w:divsChild>
            <w:div w:id="13805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3182">
      <w:bodyDiv w:val="1"/>
      <w:marLeft w:val="0"/>
      <w:marRight w:val="0"/>
      <w:marTop w:val="0"/>
      <w:marBottom w:val="0"/>
      <w:divBdr>
        <w:top w:val="none" w:sz="0" w:space="0" w:color="auto"/>
        <w:left w:val="none" w:sz="0" w:space="0" w:color="auto"/>
        <w:bottom w:val="none" w:sz="0" w:space="0" w:color="auto"/>
        <w:right w:val="none" w:sz="0" w:space="0" w:color="auto"/>
      </w:divBdr>
    </w:div>
    <w:div w:id="144706661">
      <w:bodyDiv w:val="1"/>
      <w:marLeft w:val="0"/>
      <w:marRight w:val="0"/>
      <w:marTop w:val="0"/>
      <w:marBottom w:val="0"/>
      <w:divBdr>
        <w:top w:val="none" w:sz="0" w:space="0" w:color="auto"/>
        <w:left w:val="none" w:sz="0" w:space="0" w:color="auto"/>
        <w:bottom w:val="none" w:sz="0" w:space="0" w:color="auto"/>
        <w:right w:val="none" w:sz="0" w:space="0" w:color="auto"/>
      </w:divBdr>
    </w:div>
    <w:div w:id="145706682">
      <w:bodyDiv w:val="1"/>
      <w:marLeft w:val="0"/>
      <w:marRight w:val="0"/>
      <w:marTop w:val="0"/>
      <w:marBottom w:val="0"/>
      <w:divBdr>
        <w:top w:val="none" w:sz="0" w:space="0" w:color="auto"/>
        <w:left w:val="none" w:sz="0" w:space="0" w:color="auto"/>
        <w:bottom w:val="none" w:sz="0" w:space="0" w:color="auto"/>
        <w:right w:val="none" w:sz="0" w:space="0" w:color="auto"/>
      </w:divBdr>
    </w:div>
    <w:div w:id="150030445">
      <w:bodyDiv w:val="1"/>
      <w:marLeft w:val="0"/>
      <w:marRight w:val="0"/>
      <w:marTop w:val="0"/>
      <w:marBottom w:val="0"/>
      <w:divBdr>
        <w:top w:val="none" w:sz="0" w:space="0" w:color="auto"/>
        <w:left w:val="none" w:sz="0" w:space="0" w:color="auto"/>
        <w:bottom w:val="none" w:sz="0" w:space="0" w:color="auto"/>
        <w:right w:val="none" w:sz="0" w:space="0" w:color="auto"/>
      </w:divBdr>
    </w:div>
    <w:div w:id="153225426">
      <w:bodyDiv w:val="1"/>
      <w:marLeft w:val="0"/>
      <w:marRight w:val="0"/>
      <w:marTop w:val="0"/>
      <w:marBottom w:val="0"/>
      <w:divBdr>
        <w:top w:val="none" w:sz="0" w:space="0" w:color="auto"/>
        <w:left w:val="none" w:sz="0" w:space="0" w:color="auto"/>
        <w:bottom w:val="none" w:sz="0" w:space="0" w:color="auto"/>
        <w:right w:val="none" w:sz="0" w:space="0" w:color="auto"/>
      </w:divBdr>
    </w:div>
    <w:div w:id="157968788">
      <w:bodyDiv w:val="1"/>
      <w:marLeft w:val="0"/>
      <w:marRight w:val="0"/>
      <w:marTop w:val="0"/>
      <w:marBottom w:val="0"/>
      <w:divBdr>
        <w:top w:val="none" w:sz="0" w:space="0" w:color="auto"/>
        <w:left w:val="none" w:sz="0" w:space="0" w:color="auto"/>
        <w:bottom w:val="none" w:sz="0" w:space="0" w:color="auto"/>
        <w:right w:val="none" w:sz="0" w:space="0" w:color="auto"/>
      </w:divBdr>
    </w:div>
    <w:div w:id="208151592">
      <w:bodyDiv w:val="1"/>
      <w:marLeft w:val="0"/>
      <w:marRight w:val="0"/>
      <w:marTop w:val="0"/>
      <w:marBottom w:val="0"/>
      <w:divBdr>
        <w:top w:val="none" w:sz="0" w:space="0" w:color="auto"/>
        <w:left w:val="none" w:sz="0" w:space="0" w:color="auto"/>
        <w:bottom w:val="none" w:sz="0" w:space="0" w:color="auto"/>
        <w:right w:val="none" w:sz="0" w:space="0" w:color="auto"/>
      </w:divBdr>
    </w:div>
    <w:div w:id="213010740">
      <w:bodyDiv w:val="1"/>
      <w:marLeft w:val="0"/>
      <w:marRight w:val="0"/>
      <w:marTop w:val="0"/>
      <w:marBottom w:val="0"/>
      <w:divBdr>
        <w:top w:val="none" w:sz="0" w:space="0" w:color="auto"/>
        <w:left w:val="none" w:sz="0" w:space="0" w:color="auto"/>
        <w:bottom w:val="none" w:sz="0" w:space="0" w:color="auto"/>
        <w:right w:val="none" w:sz="0" w:space="0" w:color="auto"/>
      </w:divBdr>
    </w:div>
    <w:div w:id="217789044">
      <w:bodyDiv w:val="1"/>
      <w:marLeft w:val="0"/>
      <w:marRight w:val="0"/>
      <w:marTop w:val="0"/>
      <w:marBottom w:val="0"/>
      <w:divBdr>
        <w:top w:val="none" w:sz="0" w:space="0" w:color="auto"/>
        <w:left w:val="none" w:sz="0" w:space="0" w:color="auto"/>
        <w:bottom w:val="none" w:sz="0" w:space="0" w:color="auto"/>
        <w:right w:val="none" w:sz="0" w:space="0" w:color="auto"/>
      </w:divBdr>
    </w:div>
    <w:div w:id="219052660">
      <w:bodyDiv w:val="1"/>
      <w:marLeft w:val="0"/>
      <w:marRight w:val="0"/>
      <w:marTop w:val="0"/>
      <w:marBottom w:val="0"/>
      <w:divBdr>
        <w:top w:val="none" w:sz="0" w:space="0" w:color="auto"/>
        <w:left w:val="none" w:sz="0" w:space="0" w:color="auto"/>
        <w:bottom w:val="none" w:sz="0" w:space="0" w:color="auto"/>
        <w:right w:val="none" w:sz="0" w:space="0" w:color="auto"/>
      </w:divBdr>
    </w:div>
    <w:div w:id="219948033">
      <w:bodyDiv w:val="1"/>
      <w:marLeft w:val="0"/>
      <w:marRight w:val="0"/>
      <w:marTop w:val="0"/>
      <w:marBottom w:val="0"/>
      <w:divBdr>
        <w:top w:val="none" w:sz="0" w:space="0" w:color="auto"/>
        <w:left w:val="none" w:sz="0" w:space="0" w:color="auto"/>
        <w:bottom w:val="none" w:sz="0" w:space="0" w:color="auto"/>
        <w:right w:val="none" w:sz="0" w:space="0" w:color="auto"/>
      </w:divBdr>
    </w:div>
    <w:div w:id="220874275">
      <w:bodyDiv w:val="1"/>
      <w:marLeft w:val="0"/>
      <w:marRight w:val="0"/>
      <w:marTop w:val="0"/>
      <w:marBottom w:val="0"/>
      <w:divBdr>
        <w:top w:val="none" w:sz="0" w:space="0" w:color="auto"/>
        <w:left w:val="none" w:sz="0" w:space="0" w:color="auto"/>
        <w:bottom w:val="none" w:sz="0" w:space="0" w:color="auto"/>
        <w:right w:val="none" w:sz="0" w:space="0" w:color="auto"/>
      </w:divBdr>
    </w:div>
    <w:div w:id="221327614">
      <w:bodyDiv w:val="1"/>
      <w:marLeft w:val="0"/>
      <w:marRight w:val="0"/>
      <w:marTop w:val="0"/>
      <w:marBottom w:val="0"/>
      <w:divBdr>
        <w:top w:val="none" w:sz="0" w:space="0" w:color="auto"/>
        <w:left w:val="none" w:sz="0" w:space="0" w:color="auto"/>
        <w:bottom w:val="none" w:sz="0" w:space="0" w:color="auto"/>
        <w:right w:val="none" w:sz="0" w:space="0" w:color="auto"/>
      </w:divBdr>
    </w:div>
    <w:div w:id="222103456">
      <w:bodyDiv w:val="1"/>
      <w:marLeft w:val="0"/>
      <w:marRight w:val="0"/>
      <w:marTop w:val="0"/>
      <w:marBottom w:val="0"/>
      <w:divBdr>
        <w:top w:val="none" w:sz="0" w:space="0" w:color="auto"/>
        <w:left w:val="none" w:sz="0" w:space="0" w:color="auto"/>
        <w:bottom w:val="none" w:sz="0" w:space="0" w:color="auto"/>
        <w:right w:val="none" w:sz="0" w:space="0" w:color="auto"/>
      </w:divBdr>
    </w:div>
    <w:div w:id="228156627">
      <w:bodyDiv w:val="1"/>
      <w:marLeft w:val="0"/>
      <w:marRight w:val="0"/>
      <w:marTop w:val="0"/>
      <w:marBottom w:val="0"/>
      <w:divBdr>
        <w:top w:val="none" w:sz="0" w:space="0" w:color="auto"/>
        <w:left w:val="none" w:sz="0" w:space="0" w:color="auto"/>
        <w:bottom w:val="none" w:sz="0" w:space="0" w:color="auto"/>
        <w:right w:val="none" w:sz="0" w:space="0" w:color="auto"/>
      </w:divBdr>
    </w:div>
    <w:div w:id="228351234">
      <w:bodyDiv w:val="1"/>
      <w:marLeft w:val="0"/>
      <w:marRight w:val="0"/>
      <w:marTop w:val="0"/>
      <w:marBottom w:val="0"/>
      <w:divBdr>
        <w:top w:val="none" w:sz="0" w:space="0" w:color="auto"/>
        <w:left w:val="none" w:sz="0" w:space="0" w:color="auto"/>
        <w:bottom w:val="none" w:sz="0" w:space="0" w:color="auto"/>
        <w:right w:val="none" w:sz="0" w:space="0" w:color="auto"/>
      </w:divBdr>
    </w:div>
    <w:div w:id="236325011">
      <w:bodyDiv w:val="1"/>
      <w:marLeft w:val="0"/>
      <w:marRight w:val="0"/>
      <w:marTop w:val="0"/>
      <w:marBottom w:val="0"/>
      <w:divBdr>
        <w:top w:val="none" w:sz="0" w:space="0" w:color="auto"/>
        <w:left w:val="none" w:sz="0" w:space="0" w:color="auto"/>
        <w:bottom w:val="none" w:sz="0" w:space="0" w:color="auto"/>
        <w:right w:val="none" w:sz="0" w:space="0" w:color="auto"/>
      </w:divBdr>
    </w:div>
    <w:div w:id="239369052">
      <w:bodyDiv w:val="1"/>
      <w:marLeft w:val="0"/>
      <w:marRight w:val="0"/>
      <w:marTop w:val="0"/>
      <w:marBottom w:val="0"/>
      <w:divBdr>
        <w:top w:val="none" w:sz="0" w:space="0" w:color="auto"/>
        <w:left w:val="none" w:sz="0" w:space="0" w:color="auto"/>
        <w:bottom w:val="none" w:sz="0" w:space="0" w:color="auto"/>
        <w:right w:val="none" w:sz="0" w:space="0" w:color="auto"/>
      </w:divBdr>
    </w:div>
    <w:div w:id="250045367">
      <w:bodyDiv w:val="1"/>
      <w:marLeft w:val="0"/>
      <w:marRight w:val="0"/>
      <w:marTop w:val="0"/>
      <w:marBottom w:val="0"/>
      <w:divBdr>
        <w:top w:val="none" w:sz="0" w:space="0" w:color="auto"/>
        <w:left w:val="none" w:sz="0" w:space="0" w:color="auto"/>
        <w:bottom w:val="none" w:sz="0" w:space="0" w:color="auto"/>
        <w:right w:val="none" w:sz="0" w:space="0" w:color="auto"/>
      </w:divBdr>
    </w:div>
    <w:div w:id="260453215">
      <w:bodyDiv w:val="1"/>
      <w:marLeft w:val="0"/>
      <w:marRight w:val="0"/>
      <w:marTop w:val="0"/>
      <w:marBottom w:val="0"/>
      <w:divBdr>
        <w:top w:val="none" w:sz="0" w:space="0" w:color="auto"/>
        <w:left w:val="none" w:sz="0" w:space="0" w:color="auto"/>
        <w:bottom w:val="none" w:sz="0" w:space="0" w:color="auto"/>
        <w:right w:val="none" w:sz="0" w:space="0" w:color="auto"/>
      </w:divBdr>
    </w:div>
    <w:div w:id="262998088">
      <w:bodyDiv w:val="1"/>
      <w:marLeft w:val="0"/>
      <w:marRight w:val="0"/>
      <w:marTop w:val="0"/>
      <w:marBottom w:val="0"/>
      <w:divBdr>
        <w:top w:val="none" w:sz="0" w:space="0" w:color="auto"/>
        <w:left w:val="none" w:sz="0" w:space="0" w:color="auto"/>
        <w:bottom w:val="none" w:sz="0" w:space="0" w:color="auto"/>
        <w:right w:val="none" w:sz="0" w:space="0" w:color="auto"/>
      </w:divBdr>
    </w:div>
    <w:div w:id="263195582">
      <w:bodyDiv w:val="1"/>
      <w:marLeft w:val="0"/>
      <w:marRight w:val="0"/>
      <w:marTop w:val="0"/>
      <w:marBottom w:val="0"/>
      <w:divBdr>
        <w:top w:val="none" w:sz="0" w:space="0" w:color="auto"/>
        <w:left w:val="none" w:sz="0" w:space="0" w:color="auto"/>
        <w:bottom w:val="none" w:sz="0" w:space="0" w:color="auto"/>
        <w:right w:val="none" w:sz="0" w:space="0" w:color="auto"/>
      </w:divBdr>
    </w:div>
    <w:div w:id="266739840">
      <w:bodyDiv w:val="1"/>
      <w:marLeft w:val="0"/>
      <w:marRight w:val="0"/>
      <w:marTop w:val="0"/>
      <w:marBottom w:val="0"/>
      <w:divBdr>
        <w:top w:val="none" w:sz="0" w:space="0" w:color="auto"/>
        <w:left w:val="none" w:sz="0" w:space="0" w:color="auto"/>
        <w:bottom w:val="none" w:sz="0" w:space="0" w:color="auto"/>
        <w:right w:val="none" w:sz="0" w:space="0" w:color="auto"/>
      </w:divBdr>
    </w:div>
    <w:div w:id="272905032">
      <w:bodyDiv w:val="1"/>
      <w:marLeft w:val="0"/>
      <w:marRight w:val="0"/>
      <w:marTop w:val="0"/>
      <w:marBottom w:val="0"/>
      <w:divBdr>
        <w:top w:val="none" w:sz="0" w:space="0" w:color="auto"/>
        <w:left w:val="none" w:sz="0" w:space="0" w:color="auto"/>
        <w:bottom w:val="none" w:sz="0" w:space="0" w:color="auto"/>
        <w:right w:val="none" w:sz="0" w:space="0" w:color="auto"/>
      </w:divBdr>
    </w:div>
    <w:div w:id="274989102">
      <w:bodyDiv w:val="1"/>
      <w:marLeft w:val="0"/>
      <w:marRight w:val="0"/>
      <w:marTop w:val="0"/>
      <w:marBottom w:val="0"/>
      <w:divBdr>
        <w:top w:val="none" w:sz="0" w:space="0" w:color="auto"/>
        <w:left w:val="none" w:sz="0" w:space="0" w:color="auto"/>
        <w:bottom w:val="none" w:sz="0" w:space="0" w:color="auto"/>
        <w:right w:val="none" w:sz="0" w:space="0" w:color="auto"/>
      </w:divBdr>
    </w:div>
    <w:div w:id="291832221">
      <w:bodyDiv w:val="1"/>
      <w:marLeft w:val="0"/>
      <w:marRight w:val="0"/>
      <w:marTop w:val="0"/>
      <w:marBottom w:val="0"/>
      <w:divBdr>
        <w:top w:val="none" w:sz="0" w:space="0" w:color="auto"/>
        <w:left w:val="none" w:sz="0" w:space="0" w:color="auto"/>
        <w:bottom w:val="none" w:sz="0" w:space="0" w:color="auto"/>
        <w:right w:val="none" w:sz="0" w:space="0" w:color="auto"/>
      </w:divBdr>
    </w:div>
    <w:div w:id="297301151">
      <w:bodyDiv w:val="1"/>
      <w:marLeft w:val="0"/>
      <w:marRight w:val="0"/>
      <w:marTop w:val="0"/>
      <w:marBottom w:val="0"/>
      <w:divBdr>
        <w:top w:val="none" w:sz="0" w:space="0" w:color="auto"/>
        <w:left w:val="none" w:sz="0" w:space="0" w:color="auto"/>
        <w:bottom w:val="none" w:sz="0" w:space="0" w:color="auto"/>
        <w:right w:val="none" w:sz="0" w:space="0" w:color="auto"/>
      </w:divBdr>
    </w:div>
    <w:div w:id="298925251">
      <w:bodyDiv w:val="1"/>
      <w:marLeft w:val="0"/>
      <w:marRight w:val="0"/>
      <w:marTop w:val="0"/>
      <w:marBottom w:val="0"/>
      <w:divBdr>
        <w:top w:val="none" w:sz="0" w:space="0" w:color="auto"/>
        <w:left w:val="none" w:sz="0" w:space="0" w:color="auto"/>
        <w:bottom w:val="none" w:sz="0" w:space="0" w:color="auto"/>
        <w:right w:val="none" w:sz="0" w:space="0" w:color="auto"/>
      </w:divBdr>
    </w:div>
    <w:div w:id="299924054">
      <w:bodyDiv w:val="1"/>
      <w:marLeft w:val="0"/>
      <w:marRight w:val="0"/>
      <w:marTop w:val="0"/>
      <w:marBottom w:val="0"/>
      <w:divBdr>
        <w:top w:val="none" w:sz="0" w:space="0" w:color="auto"/>
        <w:left w:val="none" w:sz="0" w:space="0" w:color="auto"/>
        <w:bottom w:val="none" w:sz="0" w:space="0" w:color="auto"/>
        <w:right w:val="none" w:sz="0" w:space="0" w:color="auto"/>
      </w:divBdr>
    </w:div>
    <w:div w:id="304703962">
      <w:bodyDiv w:val="1"/>
      <w:marLeft w:val="0"/>
      <w:marRight w:val="0"/>
      <w:marTop w:val="0"/>
      <w:marBottom w:val="0"/>
      <w:divBdr>
        <w:top w:val="none" w:sz="0" w:space="0" w:color="auto"/>
        <w:left w:val="none" w:sz="0" w:space="0" w:color="auto"/>
        <w:bottom w:val="none" w:sz="0" w:space="0" w:color="auto"/>
        <w:right w:val="none" w:sz="0" w:space="0" w:color="auto"/>
      </w:divBdr>
    </w:div>
    <w:div w:id="310869124">
      <w:bodyDiv w:val="1"/>
      <w:marLeft w:val="0"/>
      <w:marRight w:val="0"/>
      <w:marTop w:val="0"/>
      <w:marBottom w:val="0"/>
      <w:divBdr>
        <w:top w:val="none" w:sz="0" w:space="0" w:color="auto"/>
        <w:left w:val="none" w:sz="0" w:space="0" w:color="auto"/>
        <w:bottom w:val="none" w:sz="0" w:space="0" w:color="auto"/>
        <w:right w:val="none" w:sz="0" w:space="0" w:color="auto"/>
      </w:divBdr>
    </w:div>
    <w:div w:id="315842479">
      <w:bodyDiv w:val="1"/>
      <w:marLeft w:val="0"/>
      <w:marRight w:val="0"/>
      <w:marTop w:val="0"/>
      <w:marBottom w:val="0"/>
      <w:divBdr>
        <w:top w:val="none" w:sz="0" w:space="0" w:color="auto"/>
        <w:left w:val="none" w:sz="0" w:space="0" w:color="auto"/>
        <w:bottom w:val="none" w:sz="0" w:space="0" w:color="auto"/>
        <w:right w:val="none" w:sz="0" w:space="0" w:color="auto"/>
      </w:divBdr>
    </w:div>
    <w:div w:id="323247210">
      <w:bodyDiv w:val="1"/>
      <w:marLeft w:val="0"/>
      <w:marRight w:val="0"/>
      <w:marTop w:val="0"/>
      <w:marBottom w:val="0"/>
      <w:divBdr>
        <w:top w:val="none" w:sz="0" w:space="0" w:color="auto"/>
        <w:left w:val="none" w:sz="0" w:space="0" w:color="auto"/>
        <w:bottom w:val="none" w:sz="0" w:space="0" w:color="auto"/>
        <w:right w:val="none" w:sz="0" w:space="0" w:color="auto"/>
      </w:divBdr>
    </w:div>
    <w:div w:id="343023229">
      <w:bodyDiv w:val="1"/>
      <w:marLeft w:val="0"/>
      <w:marRight w:val="0"/>
      <w:marTop w:val="0"/>
      <w:marBottom w:val="0"/>
      <w:divBdr>
        <w:top w:val="none" w:sz="0" w:space="0" w:color="auto"/>
        <w:left w:val="none" w:sz="0" w:space="0" w:color="auto"/>
        <w:bottom w:val="none" w:sz="0" w:space="0" w:color="auto"/>
        <w:right w:val="none" w:sz="0" w:space="0" w:color="auto"/>
      </w:divBdr>
    </w:div>
    <w:div w:id="343867595">
      <w:bodyDiv w:val="1"/>
      <w:marLeft w:val="0"/>
      <w:marRight w:val="0"/>
      <w:marTop w:val="0"/>
      <w:marBottom w:val="0"/>
      <w:divBdr>
        <w:top w:val="none" w:sz="0" w:space="0" w:color="auto"/>
        <w:left w:val="none" w:sz="0" w:space="0" w:color="auto"/>
        <w:bottom w:val="none" w:sz="0" w:space="0" w:color="auto"/>
        <w:right w:val="none" w:sz="0" w:space="0" w:color="auto"/>
      </w:divBdr>
    </w:div>
    <w:div w:id="343945160">
      <w:bodyDiv w:val="1"/>
      <w:marLeft w:val="0"/>
      <w:marRight w:val="0"/>
      <w:marTop w:val="0"/>
      <w:marBottom w:val="0"/>
      <w:divBdr>
        <w:top w:val="none" w:sz="0" w:space="0" w:color="auto"/>
        <w:left w:val="none" w:sz="0" w:space="0" w:color="auto"/>
        <w:bottom w:val="none" w:sz="0" w:space="0" w:color="auto"/>
        <w:right w:val="none" w:sz="0" w:space="0" w:color="auto"/>
      </w:divBdr>
    </w:div>
    <w:div w:id="349574481">
      <w:bodyDiv w:val="1"/>
      <w:marLeft w:val="0"/>
      <w:marRight w:val="0"/>
      <w:marTop w:val="0"/>
      <w:marBottom w:val="0"/>
      <w:divBdr>
        <w:top w:val="none" w:sz="0" w:space="0" w:color="auto"/>
        <w:left w:val="none" w:sz="0" w:space="0" w:color="auto"/>
        <w:bottom w:val="none" w:sz="0" w:space="0" w:color="auto"/>
        <w:right w:val="none" w:sz="0" w:space="0" w:color="auto"/>
      </w:divBdr>
    </w:div>
    <w:div w:id="361131171">
      <w:bodyDiv w:val="1"/>
      <w:marLeft w:val="0"/>
      <w:marRight w:val="0"/>
      <w:marTop w:val="0"/>
      <w:marBottom w:val="0"/>
      <w:divBdr>
        <w:top w:val="none" w:sz="0" w:space="0" w:color="auto"/>
        <w:left w:val="none" w:sz="0" w:space="0" w:color="auto"/>
        <w:bottom w:val="none" w:sz="0" w:space="0" w:color="auto"/>
        <w:right w:val="none" w:sz="0" w:space="0" w:color="auto"/>
      </w:divBdr>
    </w:div>
    <w:div w:id="361588806">
      <w:bodyDiv w:val="1"/>
      <w:marLeft w:val="0"/>
      <w:marRight w:val="0"/>
      <w:marTop w:val="0"/>
      <w:marBottom w:val="0"/>
      <w:divBdr>
        <w:top w:val="none" w:sz="0" w:space="0" w:color="auto"/>
        <w:left w:val="none" w:sz="0" w:space="0" w:color="auto"/>
        <w:bottom w:val="none" w:sz="0" w:space="0" w:color="auto"/>
        <w:right w:val="none" w:sz="0" w:space="0" w:color="auto"/>
      </w:divBdr>
    </w:div>
    <w:div w:id="367754893">
      <w:bodyDiv w:val="1"/>
      <w:marLeft w:val="0"/>
      <w:marRight w:val="0"/>
      <w:marTop w:val="0"/>
      <w:marBottom w:val="0"/>
      <w:divBdr>
        <w:top w:val="none" w:sz="0" w:space="0" w:color="auto"/>
        <w:left w:val="none" w:sz="0" w:space="0" w:color="auto"/>
        <w:bottom w:val="none" w:sz="0" w:space="0" w:color="auto"/>
        <w:right w:val="none" w:sz="0" w:space="0" w:color="auto"/>
      </w:divBdr>
    </w:div>
    <w:div w:id="381641410">
      <w:bodyDiv w:val="1"/>
      <w:marLeft w:val="0"/>
      <w:marRight w:val="0"/>
      <w:marTop w:val="0"/>
      <w:marBottom w:val="0"/>
      <w:divBdr>
        <w:top w:val="none" w:sz="0" w:space="0" w:color="auto"/>
        <w:left w:val="none" w:sz="0" w:space="0" w:color="auto"/>
        <w:bottom w:val="none" w:sz="0" w:space="0" w:color="auto"/>
        <w:right w:val="none" w:sz="0" w:space="0" w:color="auto"/>
      </w:divBdr>
    </w:div>
    <w:div w:id="383724179">
      <w:bodyDiv w:val="1"/>
      <w:marLeft w:val="0"/>
      <w:marRight w:val="0"/>
      <w:marTop w:val="0"/>
      <w:marBottom w:val="0"/>
      <w:divBdr>
        <w:top w:val="none" w:sz="0" w:space="0" w:color="auto"/>
        <w:left w:val="none" w:sz="0" w:space="0" w:color="auto"/>
        <w:bottom w:val="none" w:sz="0" w:space="0" w:color="auto"/>
        <w:right w:val="none" w:sz="0" w:space="0" w:color="auto"/>
      </w:divBdr>
    </w:div>
    <w:div w:id="393705599">
      <w:bodyDiv w:val="1"/>
      <w:marLeft w:val="0"/>
      <w:marRight w:val="0"/>
      <w:marTop w:val="0"/>
      <w:marBottom w:val="0"/>
      <w:divBdr>
        <w:top w:val="none" w:sz="0" w:space="0" w:color="auto"/>
        <w:left w:val="none" w:sz="0" w:space="0" w:color="auto"/>
        <w:bottom w:val="none" w:sz="0" w:space="0" w:color="auto"/>
        <w:right w:val="none" w:sz="0" w:space="0" w:color="auto"/>
      </w:divBdr>
    </w:div>
    <w:div w:id="398670385">
      <w:bodyDiv w:val="1"/>
      <w:marLeft w:val="0"/>
      <w:marRight w:val="0"/>
      <w:marTop w:val="0"/>
      <w:marBottom w:val="0"/>
      <w:divBdr>
        <w:top w:val="none" w:sz="0" w:space="0" w:color="auto"/>
        <w:left w:val="none" w:sz="0" w:space="0" w:color="auto"/>
        <w:bottom w:val="none" w:sz="0" w:space="0" w:color="auto"/>
        <w:right w:val="none" w:sz="0" w:space="0" w:color="auto"/>
      </w:divBdr>
    </w:div>
    <w:div w:id="402148211">
      <w:bodyDiv w:val="1"/>
      <w:marLeft w:val="0"/>
      <w:marRight w:val="0"/>
      <w:marTop w:val="0"/>
      <w:marBottom w:val="0"/>
      <w:divBdr>
        <w:top w:val="none" w:sz="0" w:space="0" w:color="auto"/>
        <w:left w:val="none" w:sz="0" w:space="0" w:color="auto"/>
        <w:bottom w:val="none" w:sz="0" w:space="0" w:color="auto"/>
        <w:right w:val="none" w:sz="0" w:space="0" w:color="auto"/>
      </w:divBdr>
    </w:div>
    <w:div w:id="411852646">
      <w:bodyDiv w:val="1"/>
      <w:marLeft w:val="0"/>
      <w:marRight w:val="0"/>
      <w:marTop w:val="0"/>
      <w:marBottom w:val="0"/>
      <w:divBdr>
        <w:top w:val="none" w:sz="0" w:space="0" w:color="auto"/>
        <w:left w:val="none" w:sz="0" w:space="0" w:color="auto"/>
        <w:bottom w:val="none" w:sz="0" w:space="0" w:color="auto"/>
        <w:right w:val="none" w:sz="0" w:space="0" w:color="auto"/>
      </w:divBdr>
    </w:div>
    <w:div w:id="415395966">
      <w:bodyDiv w:val="1"/>
      <w:marLeft w:val="0"/>
      <w:marRight w:val="0"/>
      <w:marTop w:val="0"/>
      <w:marBottom w:val="0"/>
      <w:divBdr>
        <w:top w:val="none" w:sz="0" w:space="0" w:color="auto"/>
        <w:left w:val="none" w:sz="0" w:space="0" w:color="auto"/>
        <w:bottom w:val="none" w:sz="0" w:space="0" w:color="auto"/>
        <w:right w:val="none" w:sz="0" w:space="0" w:color="auto"/>
      </w:divBdr>
    </w:div>
    <w:div w:id="416095944">
      <w:bodyDiv w:val="1"/>
      <w:marLeft w:val="0"/>
      <w:marRight w:val="0"/>
      <w:marTop w:val="0"/>
      <w:marBottom w:val="0"/>
      <w:divBdr>
        <w:top w:val="none" w:sz="0" w:space="0" w:color="auto"/>
        <w:left w:val="none" w:sz="0" w:space="0" w:color="auto"/>
        <w:bottom w:val="none" w:sz="0" w:space="0" w:color="auto"/>
        <w:right w:val="none" w:sz="0" w:space="0" w:color="auto"/>
      </w:divBdr>
    </w:div>
    <w:div w:id="418335351">
      <w:bodyDiv w:val="1"/>
      <w:marLeft w:val="0"/>
      <w:marRight w:val="0"/>
      <w:marTop w:val="0"/>
      <w:marBottom w:val="0"/>
      <w:divBdr>
        <w:top w:val="none" w:sz="0" w:space="0" w:color="auto"/>
        <w:left w:val="none" w:sz="0" w:space="0" w:color="auto"/>
        <w:bottom w:val="none" w:sz="0" w:space="0" w:color="auto"/>
        <w:right w:val="none" w:sz="0" w:space="0" w:color="auto"/>
      </w:divBdr>
    </w:div>
    <w:div w:id="419839563">
      <w:bodyDiv w:val="1"/>
      <w:marLeft w:val="0"/>
      <w:marRight w:val="0"/>
      <w:marTop w:val="0"/>
      <w:marBottom w:val="0"/>
      <w:divBdr>
        <w:top w:val="none" w:sz="0" w:space="0" w:color="auto"/>
        <w:left w:val="none" w:sz="0" w:space="0" w:color="auto"/>
        <w:bottom w:val="none" w:sz="0" w:space="0" w:color="auto"/>
        <w:right w:val="none" w:sz="0" w:space="0" w:color="auto"/>
      </w:divBdr>
    </w:div>
    <w:div w:id="425224912">
      <w:bodyDiv w:val="1"/>
      <w:marLeft w:val="0"/>
      <w:marRight w:val="0"/>
      <w:marTop w:val="0"/>
      <w:marBottom w:val="0"/>
      <w:divBdr>
        <w:top w:val="none" w:sz="0" w:space="0" w:color="auto"/>
        <w:left w:val="none" w:sz="0" w:space="0" w:color="auto"/>
        <w:bottom w:val="none" w:sz="0" w:space="0" w:color="auto"/>
        <w:right w:val="none" w:sz="0" w:space="0" w:color="auto"/>
      </w:divBdr>
    </w:div>
    <w:div w:id="450252019">
      <w:bodyDiv w:val="1"/>
      <w:marLeft w:val="0"/>
      <w:marRight w:val="0"/>
      <w:marTop w:val="0"/>
      <w:marBottom w:val="0"/>
      <w:divBdr>
        <w:top w:val="none" w:sz="0" w:space="0" w:color="auto"/>
        <w:left w:val="none" w:sz="0" w:space="0" w:color="auto"/>
        <w:bottom w:val="none" w:sz="0" w:space="0" w:color="auto"/>
        <w:right w:val="none" w:sz="0" w:space="0" w:color="auto"/>
      </w:divBdr>
    </w:div>
    <w:div w:id="464586877">
      <w:bodyDiv w:val="1"/>
      <w:marLeft w:val="0"/>
      <w:marRight w:val="0"/>
      <w:marTop w:val="0"/>
      <w:marBottom w:val="0"/>
      <w:divBdr>
        <w:top w:val="none" w:sz="0" w:space="0" w:color="auto"/>
        <w:left w:val="none" w:sz="0" w:space="0" w:color="auto"/>
        <w:bottom w:val="none" w:sz="0" w:space="0" w:color="auto"/>
        <w:right w:val="none" w:sz="0" w:space="0" w:color="auto"/>
      </w:divBdr>
    </w:div>
    <w:div w:id="469245107">
      <w:bodyDiv w:val="1"/>
      <w:marLeft w:val="0"/>
      <w:marRight w:val="0"/>
      <w:marTop w:val="0"/>
      <w:marBottom w:val="0"/>
      <w:divBdr>
        <w:top w:val="none" w:sz="0" w:space="0" w:color="auto"/>
        <w:left w:val="none" w:sz="0" w:space="0" w:color="auto"/>
        <w:bottom w:val="none" w:sz="0" w:space="0" w:color="auto"/>
        <w:right w:val="none" w:sz="0" w:space="0" w:color="auto"/>
      </w:divBdr>
    </w:div>
    <w:div w:id="469246477">
      <w:bodyDiv w:val="1"/>
      <w:marLeft w:val="0"/>
      <w:marRight w:val="0"/>
      <w:marTop w:val="0"/>
      <w:marBottom w:val="0"/>
      <w:divBdr>
        <w:top w:val="none" w:sz="0" w:space="0" w:color="auto"/>
        <w:left w:val="none" w:sz="0" w:space="0" w:color="auto"/>
        <w:bottom w:val="none" w:sz="0" w:space="0" w:color="auto"/>
        <w:right w:val="none" w:sz="0" w:space="0" w:color="auto"/>
      </w:divBdr>
    </w:div>
    <w:div w:id="473716213">
      <w:bodyDiv w:val="1"/>
      <w:marLeft w:val="0"/>
      <w:marRight w:val="0"/>
      <w:marTop w:val="0"/>
      <w:marBottom w:val="0"/>
      <w:divBdr>
        <w:top w:val="none" w:sz="0" w:space="0" w:color="auto"/>
        <w:left w:val="none" w:sz="0" w:space="0" w:color="auto"/>
        <w:bottom w:val="none" w:sz="0" w:space="0" w:color="auto"/>
        <w:right w:val="none" w:sz="0" w:space="0" w:color="auto"/>
      </w:divBdr>
    </w:div>
    <w:div w:id="483862633">
      <w:bodyDiv w:val="1"/>
      <w:marLeft w:val="0"/>
      <w:marRight w:val="0"/>
      <w:marTop w:val="0"/>
      <w:marBottom w:val="0"/>
      <w:divBdr>
        <w:top w:val="none" w:sz="0" w:space="0" w:color="auto"/>
        <w:left w:val="none" w:sz="0" w:space="0" w:color="auto"/>
        <w:bottom w:val="none" w:sz="0" w:space="0" w:color="auto"/>
        <w:right w:val="none" w:sz="0" w:space="0" w:color="auto"/>
      </w:divBdr>
    </w:div>
    <w:div w:id="484978483">
      <w:bodyDiv w:val="1"/>
      <w:marLeft w:val="0"/>
      <w:marRight w:val="0"/>
      <w:marTop w:val="0"/>
      <w:marBottom w:val="0"/>
      <w:divBdr>
        <w:top w:val="none" w:sz="0" w:space="0" w:color="auto"/>
        <w:left w:val="none" w:sz="0" w:space="0" w:color="auto"/>
        <w:bottom w:val="none" w:sz="0" w:space="0" w:color="auto"/>
        <w:right w:val="none" w:sz="0" w:space="0" w:color="auto"/>
      </w:divBdr>
    </w:div>
    <w:div w:id="494959736">
      <w:bodyDiv w:val="1"/>
      <w:marLeft w:val="0"/>
      <w:marRight w:val="0"/>
      <w:marTop w:val="0"/>
      <w:marBottom w:val="0"/>
      <w:divBdr>
        <w:top w:val="none" w:sz="0" w:space="0" w:color="auto"/>
        <w:left w:val="none" w:sz="0" w:space="0" w:color="auto"/>
        <w:bottom w:val="none" w:sz="0" w:space="0" w:color="auto"/>
        <w:right w:val="none" w:sz="0" w:space="0" w:color="auto"/>
      </w:divBdr>
    </w:div>
    <w:div w:id="497156373">
      <w:bodyDiv w:val="1"/>
      <w:marLeft w:val="0"/>
      <w:marRight w:val="0"/>
      <w:marTop w:val="0"/>
      <w:marBottom w:val="0"/>
      <w:divBdr>
        <w:top w:val="none" w:sz="0" w:space="0" w:color="auto"/>
        <w:left w:val="none" w:sz="0" w:space="0" w:color="auto"/>
        <w:bottom w:val="none" w:sz="0" w:space="0" w:color="auto"/>
        <w:right w:val="none" w:sz="0" w:space="0" w:color="auto"/>
      </w:divBdr>
    </w:div>
    <w:div w:id="497579617">
      <w:bodyDiv w:val="1"/>
      <w:marLeft w:val="0"/>
      <w:marRight w:val="0"/>
      <w:marTop w:val="0"/>
      <w:marBottom w:val="0"/>
      <w:divBdr>
        <w:top w:val="none" w:sz="0" w:space="0" w:color="auto"/>
        <w:left w:val="none" w:sz="0" w:space="0" w:color="auto"/>
        <w:bottom w:val="none" w:sz="0" w:space="0" w:color="auto"/>
        <w:right w:val="none" w:sz="0" w:space="0" w:color="auto"/>
      </w:divBdr>
    </w:div>
    <w:div w:id="506747319">
      <w:bodyDiv w:val="1"/>
      <w:marLeft w:val="0"/>
      <w:marRight w:val="0"/>
      <w:marTop w:val="0"/>
      <w:marBottom w:val="0"/>
      <w:divBdr>
        <w:top w:val="none" w:sz="0" w:space="0" w:color="auto"/>
        <w:left w:val="none" w:sz="0" w:space="0" w:color="auto"/>
        <w:bottom w:val="none" w:sz="0" w:space="0" w:color="auto"/>
        <w:right w:val="none" w:sz="0" w:space="0" w:color="auto"/>
      </w:divBdr>
    </w:div>
    <w:div w:id="507713739">
      <w:bodyDiv w:val="1"/>
      <w:marLeft w:val="0"/>
      <w:marRight w:val="0"/>
      <w:marTop w:val="0"/>
      <w:marBottom w:val="0"/>
      <w:divBdr>
        <w:top w:val="none" w:sz="0" w:space="0" w:color="auto"/>
        <w:left w:val="none" w:sz="0" w:space="0" w:color="auto"/>
        <w:bottom w:val="none" w:sz="0" w:space="0" w:color="auto"/>
        <w:right w:val="none" w:sz="0" w:space="0" w:color="auto"/>
      </w:divBdr>
    </w:div>
    <w:div w:id="509413941">
      <w:bodyDiv w:val="1"/>
      <w:marLeft w:val="0"/>
      <w:marRight w:val="0"/>
      <w:marTop w:val="0"/>
      <w:marBottom w:val="0"/>
      <w:divBdr>
        <w:top w:val="none" w:sz="0" w:space="0" w:color="auto"/>
        <w:left w:val="none" w:sz="0" w:space="0" w:color="auto"/>
        <w:bottom w:val="none" w:sz="0" w:space="0" w:color="auto"/>
        <w:right w:val="none" w:sz="0" w:space="0" w:color="auto"/>
      </w:divBdr>
    </w:div>
    <w:div w:id="534929232">
      <w:bodyDiv w:val="1"/>
      <w:marLeft w:val="0"/>
      <w:marRight w:val="0"/>
      <w:marTop w:val="0"/>
      <w:marBottom w:val="0"/>
      <w:divBdr>
        <w:top w:val="none" w:sz="0" w:space="0" w:color="auto"/>
        <w:left w:val="none" w:sz="0" w:space="0" w:color="auto"/>
        <w:bottom w:val="none" w:sz="0" w:space="0" w:color="auto"/>
        <w:right w:val="none" w:sz="0" w:space="0" w:color="auto"/>
      </w:divBdr>
    </w:div>
    <w:div w:id="542182968">
      <w:bodyDiv w:val="1"/>
      <w:marLeft w:val="0"/>
      <w:marRight w:val="0"/>
      <w:marTop w:val="0"/>
      <w:marBottom w:val="0"/>
      <w:divBdr>
        <w:top w:val="none" w:sz="0" w:space="0" w:color="auto"/>
        <w:left w:val="none" w:sz="0" w:space="0" w:color="auto"/>
        <w:bottom w:val="none" w:sz="0" w:space="0" w:color="auto"/>
        <w:right w:val="none" w:sz="0" w:space="0" w:color="auto"/>
      </w:divBdr>
    </w:div>
    <w:div w:id="547958152">
      <w:bodyDiv w:val="1"/>
      <w:marLeft w:val="0"/>
      <w:marRight w:val="0"/>
      <w:marTop w:val="0"/>
      <w:marBottom w:val="0"/>
      <w:divBdr>
        <w:top w:val="none" w:sz="0" w:space="0" w:color="auto"/>
        <w:left w:val="none" w:sz="0" w:space="0" w:color="auto"/>
        <w:bottom w:val="none" w:sz="0" w:space="0" w:color="auto"/>
        <w:right w:val="none" w:sz="0" w:space="0" w:color="auto"/>
      </w:divBdr>
    </w:div>
    <w:div w:id="562451523">
      <w:bodyDiv w:val="1"/>
      <w:marLeft w:val="0"/>
      <w:marRight w:val="0"/>
      <w:marTop w:val="0"/>
      <w:marBottom w:val="0"/>
      <w:divBdr>
        <w:top w:val="none" w:sz="0" w:space="0" w:color="auto"/>
        <w:left w:val="none" w:sz="0" w:space="0" w:color="auto"/>
        <w:bottom w:val="none" w:sz="0" w:space="0" w:color="auto"/>
        <w:right w:val="none" w:sz="0" w:space="0" w:color="auto"/>
      </w:divBdr>
    </w:div>
    <w:div w:id="566185473">
      <w:bodyDiv w:val="1"/>
      <w:marLeft w:val="0"/>
      <w:marRight w:val="0"/>
      <w:marTop w:val="0"/>
      <w:marBottom w:val="0"/>
      <w:divBdr>
        <w:top w:val="none" w:sz="0" w:space="0" w:color="auto"/>
        <w:left w:val="none" w:sz="0" w:space="0" w:color="auto"/>
        <w:bottom w:val="none" w:sz="0" w:space="0" w:color="auto"/>
        <w:right w:val="none" w:sz="0" w:space="0" w:color="auto"/>
      </w:divBdr>
    </w:div>
    <w:div w:id="568804123">
      <w:bodyDiv w:val="1"/>
      <w:marLeft w:val="0"/>
      <w:marRight w:val="0"/>
      <w:marTop w:val="0"/>
      <w:marBottom w:val="0"/>
      <w:divBdr>
        <w:top w:val="none" w:sz="0" w:space="0" w:color="auto"/>
        <w:left w:val="none" w:sz="0" w:space="0" w:color="auto"/>
        <w:bottom w:val="none" w:sz="0" w:space="0" w:color="auto"/>
        <w:right w:val="none" w:sz="0" w:space="0" w:color="auto"/>
      </w:divBdr>
    </w:div>
    <w:div w:id="570580652">
      <w:bodyDiv w:val="1"/>
      <w:marLeft w:val="0"/>
      <w:marRight w:val="0"/>
      <w:marTop w:val="0"/>
      <w:marBottom w:val="0"/>
      <w:divBdr>
        <w:top w:val="none" w:sz="0" w:space="0" w:color="auto"/>
        <w:left w:val="none" w:sz="0" w:space="0" w:color="auto"/>
        <w:bottom w:val="none" w:sz="0" w:space="0" w:color="auto"/>
        <w:right w:val="none" w:sz="0" w:space="0" w:color="auto"/>
      </w:divBdr>
    </w:div>
    <w:div w:id="579945970">
      <w:bodyDiv w:val="1"/>
      <w:marLeft w:val="0"/>
      <w:marRight w:val="0"/>
      <w:marTop w:val="0"/>
      <w:marBottom w:val="0"/>
      <w:divBdr>
        <w:top w:val="none" w:sz="0" w:space="0" w:color="auto"/>
        <w:left w:val="none" w:sz="0" w:space="0" w:color="auto"/>
        <w:bottom w:val="none" w:sz="0" w:space="0" w:color="auto"/>
        <w:right w:val="none" w:sz="0" w:space="0" w:color="auto"/>
      </w:divBdr>
    </w:div>
    <w:div w:id="583607728">
      <w:bodyDiv w:val="1"/>
      <w:marLeft w:val="0"/>
      <w:marRight w:val="0"/>
      <w:marTop w:val="0"/>
      <w:marBottom w:val="0"/>
      <w:divBdr>
        <w:top w:val="none" w:sz="0" w:space="0" w:color="auto"/>
        <w:left w:val="none" w:sz="0" w:space="0" w:color="auto"/>
        <w:bottom w:val="none" w:sz="0" w:space="0" w:color="auto"/>
        <w:right w:val="none" w:sz="0" w:space="0" w:color="auto"/>
      </w:divBdr>
    </w:div>
    <w:div w:id="583732062">
      <w:bodyDiv w:val="1"/>
      <w:marLeft w:val="0"/>
      <w:marRight w:val="0"/>
      <w:marTop w:val="0"/>
      <w:marBottom w:val="0"/>
      <w:divBdr>
        <w:top w:val="none" w:sz="0" w:space="0" w:color="auto"/>
        <w:left w:val="none" w:sz="0" w:space="0" w:color="auto"/>
        <w:bottom w:val="none" w:sz="0" w:space="0" w:color="auto"/>
        <w:right w:val="none" w:sz="0" w:space="0" w:color="auto"/>
      </w:divBdr>
    </w:div>
    <w:div w:id="587739463">
      <w:bodyDiv w:val="1"/>
      <w:marLeft w:val="0"/>
      <w:marRight w:val="0"/>
      <w:marTop w:val="0"/>
      <w:marBottom w:val="0"/>
      <w:divBdr>
        <w:top w:val="none" w:sz="0" w:space="0" w:color="auto"/>
        <w:left w:val="none" w:sz="0" w:space="0" w:color="auto"/>
        <w:bottom w:val="none" w:sz="0" w:space="0" w:color="auto"/>
        <w:right w:val="none" w:sz="0" w:space="0" w:color="auto"/>
      </w:divBdr>
    </w:div>
    <w:div w:id="589853700">
      <w:bodyDiv w:val="1"/>
      <w:marLeft w:val="0"/>
      <w:marRight w:val="0"/>
      <w:marTop w:val="0"/>
      <w:marBottom w:val="0"/>
      <w:divBdr>
        <w:top w:val="none" w:sz="0" w:space="0" w:color="auto"/>
        <w:left w:val="none" w:sz="0" w:space="0" w:color="auto"/>
        <w:bottom w:val="none" w:sz="0" w:space="0" w:color="auto"/>
        <w:right w:val="none" w:sz="0" w:space="0" w:color="auto"/>
      </w:divBdr>
    </w:div>
    <w:div w:id="667171665">
      <w:bodyDiv w:val="1"/>
      <w:marLeft w:val="0"/>
      <w:marRight w:val="0"/>
      <w:marTop w:val="0"/>
      <w:marBottom w:val="0"/>
      <w:divBdr>
        <w:top w:val="none" w:sz="0" w:space="0" w:color="auto"/>
        <w:left w:val="none" w:sz="0" w:space="0" w:color="auto"/>
        <w:bottom w:val="none" w:sz="0" w:space="0" w:color="auto"/>
        <w:right w:val="none" w:sz="0" w:space="0" w:color="auto"/>
      </w:divBdr>
    </w:div>
    <w:div w:id="668020697">
      <w:bodyDiv w:val="1"/>
      <w:marLeft w:val="0"/>
      <w:marRight w:val="0"/>
      <w:marTop w:val="0"/>
      <w:marBottom w:val="0"/>
      <w:divBdr>
        <w:top w:val="none" w:sz="0" w:space="0" w:color="auto"/>
        <w:left w:val="none" w:sz="0" w:space="0" w:color="auto"/>
        <w:bottom w:val="none" w:sz="0" w:space="0" w:color="auto"/>
        <w:right w:val="none" w:sz="0" w:space="0" w:color="auto"/>
      </w:divBdr>
    </w:div>
    <w:div w:id="675765270">
      <w:bodyDiv w:val="1"/>
      <w:marLeft w:val="0"/>
      <w:marRight w:val="0"/>
      <w:marTop w:val="0"/>
      <w:marBottom w:val="0"/>
      <w:divBdr>
        <w:top w:val="none" w:sz="0" w:space="0" w:color="auto"/>
        <w:left w:val="none" w:sz="0" w:space="0" w:color="auto"/>
        <w:bottom w:val="none" w:sz="0" w:space="0" w:color="auto"/>
        <w:right w:val="none" w:sz="0" w:space="0" w:color="auto"/>
      </w:divBdr>
    </w:div>
    <w:div w:id="677192944">
      <w:bodyDiv w:val="1"/>
      <w:marLeft w:val="0"/>
      <w:marRight w:val="0"/>
      <w:marTop w:val="0"/>
      <w:marBottom w:val="0"/>
      <w:divBdr>
        <w:top w:val="none" w:sz="0" w:space="0" w:color="auto"/>
        <w:left w:val="none" w:sz="0" w:space="0" w:color="auto"/>
        <w:bottom w:val="none" w:sz="0" w:space="0" w:color="auto"/>
        <w:right w:val="none" w:sz="0" w:space="0" w:color="auto"/>
      </w:divBdr>
    </w:div>
    <w:div w:id="688869952">
      <w:bodyDiv w:val="1"/>
      <w:marLeft w:val="0"/>
      <w:marRight w:val="0"/>
      <w:marTop w:val="0"/>
      <w:marBottom w:val="0"/>
      <w:divBdr>
        <w:top w:val="none" w:sz="0" w:space="0" w:color="auto"/>
        <w:left w:val="none" w:sz="0" w:space="0" w:color="auto"/>
        <w:bottom w:val="none" w:sz="0" w:space="0" w:color="auto"/>
        <w:right w:val="none" w:sz="0" w:space="0" w:color="auto"/>
      </w:divBdr>
    </w:div>
    <w:div w:id="692462754">
      <w:bodyDiv w:val="1"/>
      <w:marLeft w:val="0"/>
      <w:marRight w:val="0"/>
      <w:marTop w:val="0"/>
      <w:marBottom w:val="0"/>
      <w:divBdr>
        <w:top w:val="none" w:sz="0" w:space="0" w:color="auto"/>
        <w:left w:val="none" w:sz="0" w:space="0" w:color="auto"/>
        <w:bottom w:val="none" w:sz="0" w:space="0" w:color="auto"/>
        <w:right w:val="none" w:sz="0" w:space="0" w:color="auto"/>
      </w:divBdr>
    </w:div>
    <w:div w:id="707878174">
      <w:bodyDiv w:val="1"/>
      <w:marLeft w:val="0"/>
      <w:marRight w:val="0"/>
      <w:marTop w:val="0"/>
      <w:marBottom w:val="0"/>
      <w:divBdr>
        <w:top w:val="none" w:sz="0" w:space="0" w:color="auto"/>
        <w:left w:val="none" w:sz="0" w:space="0" w:color="auto"/>
        <w:bottom w:val="none" w:sz="0" w:space="0" w:color="auto"/>
        <w:right w:val="none" w:sz="0" w:space="0" w:color="auto"/>
      </w:divBdr>
    </w:div>
    <w:div w:id="739717404">
      <w:bodyDiv w:val="1"/>
      <w:marLeft w:val="0"/>
      <w:marRight w:val="0"/>
      <w:marTop w:val="0"/>
      <w:marBottom w:val="0"/>
      <w:divBdr>
        <w:top w:val="none" w:sz="0" w:space="0" w:color="auto"/>
        <w:left w:val="none" w:sz="0" w:space="0" w:color="auto"/>
        <w:bottom w:val="none" w:sz="0" w:space="0" w:color="auto"/>
        <w:right w:val="none" w:sz="0" w:space="0" w:color="auto"/>
      </w:divBdr>
    </w:div>
    <w:div w:id="740835877">
      <w:bodyDiv w:val="1"/>
      <w:marLeft w:val="0"/>
      <w:marRight w:val="0"/>
      <w:marTop w:val="0"/>
      <w:marBottom w:val="0"/>
      <w:divBdr>
        <w:top w:val="none" w:sz="0" w:space="0" w:color="auto"/>
        <w:left w:val="none" w:sz="0" w:space="0" w:color="auto"/>
        <w:bottom w:val="none" w:sz="0" w:space="0" w:color="auto"/>
        <w:right w:val="none" w:sz="0" w:space="0" w:color="auto"/>
      </w:divBdr>
    </w:div>
    <w:div w:id="750469624">
      <w:bodyDiv w:val="1"/>
      <w:marLeft w:val="0"/>
      <w:marRight w:val="0"/>
      <w:marTop w:val="0"/>
      <w:marBottom w:val="0"/>
      <w:divBdr>
        <w:top w:val="none" w:sz="0" w:space="0" w:color="auto"/>
        <w:left w:val="none" w:sz="0" w:space="0" w:color="auto"/>
        <w:bottom w:val="none" w:sz="0" w:space="0" w:color="auto"/>
        <w:right w:val="none" w:sz="0" w:space="0" w:color="auto"/>
      </w:divBdr>
    </w:div>
    <w:div w:id="770048105">
      <w:bodyDiv w:val="1"/>
      <w:marLeft w:val="0"/>
      <w:marRight w:val="0"/>
      <w:marTop w:val="0"/>
      <w:marBottom w:val="0"/>
      <w:divBdr>
        <w:top w:val="none" w:sz="0" w:space="0" w:color="auto"/>
        <w:left w:val="none" w:sz="0" w:space="0" w:color="auto"/>
        <w:bottom w:val="none" w:sz="0" w:space="0" w:color="auto"/>
        <w:right w:val="none" w:sz="0" w:space="0" w:color="auto"/>
      </w:divBdr>
    </w:div>
    <w:div w:id="783426108">
      <w:bodyDiv w:val="1"/>
      <w:marLeft w:val="0"/>
      <w:marRight w:val="0"/>
      <w:marTop w:val="0"/>
      <w:marBottom w:val="0"/>
      <w:divBdr>
        <w:top w:val="none" w:sz="0" w:space="0" w:color="auto"/>
        <w:left w:val="none" w:sz="0" w:space="0" w:color="auto"/>
        <w:bottom w:val="none" w:sz="0" w:space="0" w:color="auto"/>
        <w:right w:val="none" w:sz="0" w:space="0" w:color="auto"/>
      </w:divBdr>
    </w:div>
    <w:div w:id="784933193">
      <w:bodyDiv w:val="1"/>
      <w:marLeft w:val="0"/>
      <w:marRight w:val="0"/>
      <w:marTop w:val="0"/>
      <w:marBottom w:val="0"/>
      <w:divBdr>
        <w:top w:val="none" w:sz="0" w:space="0" w:color="auto"/>
        <w:left w:val="none" w:sz="0" w:space="0" w:color="auto"/>
        <w:bottom w:val="none" w:sz="0" w:space="0" w:color="auto"/>
        <w:right w:val="none" w:sz="0" w:space="0" w:color="auto"/>
      </w:divBdr>
    </w:div>
    <w:div w:id="788548300">
      <w:bodyDiv w:val="1"/>
      <w:marLeft w:val="0"/>
      <w:marRight w:val="0"/>
      <w:marTop w:val="0"/>
      <w:marBottom w:val="0"/>
      <w:divBdr>
        <w:top w:val="none" w:sz="0" w:space="0" w:color="auto"/>
        <w:left w:val="none" w:sz="0" w:space="0" w:color="auto"/>
        <w:bottom w:val="none" w:sz="0" w:space="0" w:color="auto"/>
        <w:right w:val="none" w:sz="0" w:space="0" w:color="auto"/>
      </w:divBdr>
    </w:div>
    <w:div w:id="794448798">
      <w:bodyDiv w:val="1"/>
      <w:marLeft w:val="0"/>
      <w:marRight w:val="0"/>
      <w:marTop w:val="0"/>
      <w:marBottom w:val="0"/>
      <w:divBdr>
        <w:top w:val="none" w:sz="0" w:space="0" w:color="auto"/>
        <w:left w:val="none" w:sz="0" w:space="0" w:color="auto"/>
        <w:bottom w:val="none" w:sz="0" w:space="0" w:color="auto"/>
        <w:right w:val="none" w:sz="0" w:space="0" w:color="auto"/>
      </w:divBdr>
    </w:div>
    <w:div w:id="828326405">
      <w:bodyDiv w:val="1"/>
      <w:marLeft w:val="0"/>
      <w:marRight w:val="0"/>
      <w:marTop w:val="0"/>
      <w:marBottom w:val="0"/>
      <w:divBdr>
        <w:top w:val="none" w:sz="0" w:space="0" w:color="auto"/>
        <w:left w:val="none" w:sz="0" w:space="0" w:color="auto"/>
        <w:bottom w:val="none" w:sz="0" w:space="0" w:color="auto"/>
        <w:right w:val="none" w:sz="0" w:space="0" w:color="auto"/>
      </w:divBdr>
    </w:div>
    <w:div w:id="839542185">
      <w:bodyDiv w:val="1"/>
      <w:marLeft w:val="0"/>
      <w:marRight w:val="0"/>
      <w:marTop w:val="0"/>
      <w:marBottom w:val="0"/>
      <w:divBdr>
        <w:top w:val="none" w:sz="0" w:space="0" w:color="auto"/>
        <w:left w:val="none" w:sz="0" w:space="0" w:color="auto"/>
        <w:bottom w:val="none" w:sz="0" w:space="0" w:color="auto"/>
        <w:right w:val="none" w:sz="0" w:space="0" w:color="auto"/>
      </w:divBdr>
    </w:div>
    <w:div w:id="845510983">
      <w:bodyDiv w:val="1"/>
      <w:marLeft w:val="0"/>
      <w:marRight w:val="0"/>
      <w:marTop w:val="0"/>
      <w:marBottom w:val="0"/>
      <w:divBdr>
        <w:top w:val="none" w:sz="0" w:space="0" w:color="auto"/>
        <w:left w:val="none" w:sz="0" w:space="0" w:color="auto"/>
        <w:bottom w:val="none" w:sz="0" w:space="0" w:color="auto"/>
        <w:right w:val="none" w:sz="0" w:space="0" w:color="auto"/>
      </w:divBdr>
    </w:div>
    <w:div w:id="847599532">
      <w:bodyDiv w:val="1"/>
      <w:marLeft w:val="0"/>
      <w:marRight w:val="0"/>
      <w:marTop w:val="0"/>
      <w:marBottom w:val="0"/>
      <w:divBdr>
        <w:top w:val="none" w:sz="0" w:space="0" w:color="auto"/>
        <w:left w:val="none" w:sz="0" w:space="0" w:color="auto"/>
        <w:bottom w:val="none" w:sz="0" w:space="0" w:color="auto"/>
        <w:right w:val="none" w:sz="0" w:space="0" w:color="auto"/>
      </w:divBdr>
    </w:div>
    <w:div w:id="867596867">
      <w:bodyDiv w:val="1"/>
      <w:marLeft w:val="0"/>
      <w:marRight w:val="0"/>
      <w:marTop w:val="0"/>
      <w:marBottom w:val="0"/>
      <w:divBdr>
        <w:top w:val="none" w:sz="0" w:space="0" w:color="auto"/>
        <w:left w:val="none" w:sz="0" w:space="0" w:color="auto"/>
        <w:bottom w:val="none" w:sz="0" w:space="0" w:color="auto"/>
        <w:right w:val="none" w:sz="0" w:space="0" w:color="auto"/>
      </w:divBdr>
    </w:div>
    <w:div w:id="874271245">
      <w:bodyDiv w:val="1"/>
      <w:marLeft w:val="0"/>
      <w:marRight w:val="0"/>
      <w:marTop w:val="0"/>
      <w:marBottom w:val="0"/>
      <w:divBdr>
        <w:top w:val="none" w:sz="0" w:space="0" w:color="auto"/>
        <w:left w:val="none" w:sz="0" w:space="0" w:color="auto"/>
        <w:bottom w:val="none" w:sz="0" w:space="0" w:color="auto"/>
        <w:right w:val="none" w:sz="0" w:space="0" w:color="auto"/>
      </w:divBdr>
    </w:div>
    <w:div w:id="878057382">
      <w:bodyDiv w:val="1"/>
      <w:marLeft w:val="0"/>
      <w:marRight w:val="0"/>
      <w:marTop w:val="0"/>
      <w:marBottom w:val="0"/>
      <w:divBdr>
        <w:top w:val="none" w:sz="0" w:space="0" w:color="auto"/>
        <w:left w:val="none" w:sz="0" w:space="0" w:color="auto"/>
        <w:bottom w:val="none" w:sz="0" w:space="0" w:color="auto"/>
        <w:right w:val="none" w:sz="0" w:space="0" w:color="auto"/>
      </w:divBdr>
    </w:div>
    <w:div w:id="900016940">
      <w:bodyDiv w:val="1"/>
      <w:marLeft w:val="0"/>
      <w:marRight w:val="0"/>
      <w:marTop w:val="0"/>
      <w:marBottom w:val="0"/>
      <w:divBdr>
        <w:top w:val="none" w:sz="0" w:space="0" w:color="auto"/>
        <w:left w:val="none" w:sz="0" w:space="0" w:color="auto"/>
        <w:bottom w:val="none" w:sz="0" w:space="0" w:color="auto"/>
        <w:right w:val="none" w:sz="0" w:space="0" w:color="auto"/>
      </w:divBdr>
    </w:div>
    <w:div w:id="906963966">
      <w:bodyDiv w:val="1"/>
      <w:marLeft w:val="0"/>
      <w:marRight w:val="0"/>
      <w:marTop w:val="0"/>
      <w:marBottom w:val="0"/>
      <w:divBdr>
        <w:top w:val="none" w:sz="0" w:space="0" w:color="auto"/>
        <w:left w:val="none" w:sz="0" w:space="0" w:color="auto"/>
        <w:bottom w:val="none" w:sz="0" w:space="0" w:color="auto"/>
        <w:right w:val="none" w:sz="0" w:space="0" w:color="auto"/>
      </w:divBdr>
    </w:div>
    <w:div w:id="907962750">
      <w:bodyDiv w:val="1"/>
      <w:marLeft w:val="0"/>
      <w:marRight w:val="0"/>
      <w:marTop w:val="0"/>
      <w:marBottom w:val="0"/>
      <w:divBdr>
        <w:top w:val="none" w:sz="0" w:space="0" w:color="auto"/>
        <w:left w:val="none" w:sz="0" w:space="0" w:color="auto"/>
        <w:bottom w:val="none" w:sz="0" w:space="0" w:color="auto"/>
        <w:right w:val="none" w:sz="0" w:space="0" w:color="auto"/>
      </w:divBdr>
    </w:div>
    <w:div w:id="914322931">
      <w:bodyDiv w:val="1"/>
      <w:marLeft w:val="0"/>
      <w:marRight w:val="0"/>
      <w:marTop w:val="0"/>
      <w:marBottom w:val="0"/>
      <w:divBdr>
        <w:top w:val="none" w:sz="0" w:space="0" w:color="auto"/>
        <w:left w:val="none" w:sz="0" w:space="0" w:color="auto"/>
        <w:bottom w:val="none" w:sz="0" w:space="0" w:color="auto"/>
        <w:right w:val="none" w:sz="0" w:space="0" w:color="auto"/>
      </w:divBdr>
    </w:div>
    <w:div w:id="917591453">
      <w:bodyDiv w:val="1"/>
      <w:marLeft w:val="0"/>
      <w:marRight w:val="0"/>
      <w:marTop w:val="0"/>
      <w:marBottom w:val="0"/>
      <w:divBdr>
        <w:top w:val="none" w:sz="0" w:space="0" w:color="auto"/>
        <w:left w:val="none" w:sz="0" w:space="0" w:color="auto"/>
        <w:bottom w:val="none" w:sz="0" w:space="0" w:color="auto"/>
        <w:right w:val="none" w:sz="0" w:space="0" w:color="auto"/>
      </w:divBdr>
    </w:div>
    <w:div w:id="920715838">
      <w:bodyDiv w:val="1"/>
      <w:marLeft w:val="0"/>
      <w:marRight w:val="0"/>
      <w:marTop w:val="0"/>
      <w:marBottom w:val="0"/>
      <w:divBdr>
        <w:top w:val="none" w:sz="0" w:space="0" w:color="auto"/>
        <w:left w:val="none" w:sz="0" w:space="0" w:color="auto"/>
        <w:bottom w:val="none" w:sz="0" w:space="0" w:color="auto"/>
        <w:right w:val="none" w:sz="0" w:space="0" w:color="auto"/>
      </w:divBdr>
    </w:div>
    <w:div w:id="929050225">
      <w:bodyDiv w:val="1"/>
      <w:marLeft w:val="0"/>
      <w:marRight w:val="0"/>
      <w:marTop w:val="0"/>
      <w:marBottom w:val="0"/>
      <w:divBdr>
        <w:top w:val="none" w:sz="0" w:space="0" w:color="auto"/>
        <w:left w:val="none" w:sz="0" w:space="0" w:color="auto"/>
        <w:bottom w:val="none" w:sz="0" w:space="0" w:color="auto"/>
        <w:right w:val="none" w:sz="0" w:space="0" w:color="auto"/>
      </w:divBdr>
    </w:div>
    <w:div w:id="931742323">
      <w:bodyDiv w:val="1"/>
      <w:marLeft w:val="0"/>
      <w:marRight w:val="0"/>
      <w:marTop w:val="0"/>
      <w:marBottom w:val="0"/>
      <w:divBdr>
        <w:top w:val="none" w:sz="0" w:space="0" w:color="auto"/>
        <w:left w:val="none" w:sz="0" w:space="0" w:color="auto"/>
        <w:bottom w:val="none" w:sz="0" w:space="0" w:color="auto"/>
        <w:right w:val="none" w:sz="0" w:space="0" w:color="auto"/>
      </w:divBdr>
    </w:div>
    <w:div w:id="932856879">
      <w:bodyDiv w:val="1"/>
      <w:marLeft w:val="0"/>
      <w:marRight w:val="0"/>
      <w:marTop w:val="0"/>
      <w:marBottom w:val="0"/>
      <w:divBdr>
        <w:top w:val="none" w:sz="0" w:space="0" w:color="auto"/>
        <w:left w:val="none" w:sz="0" w:space="0" w:color="auto"/>
        <w:bottom w:val="none" w:sz="0" w:space="0" w:color="auto"/>
        <w:right w:val="none" w:sz="0" w:space="0" w:color="auto"/>
      </w:divBdr>
    </w:div>
    <w:div w:id="937834426">
      <w:bodyDiv w:val="1"/>
      <w:marLeft w:val="0"/>
      <w:marRight w:val="0"/>
      <w:marTop w:val="0"/>
      <w:marBottom w:val="0"/>
      <w:divBdr>
        <w:top w:val="none" w:sz="0" w:space="0" w:color="auto"/>
        <w:left w:val="none" w:sz="0" w:space="0" w:color="auto"/>
        <w:bottom w:val="none" w:sz="0" w:space="0" w:color="auto"/>
        <w:right w:val="none" w:sz="0" w:space="0" w:color="auto"/>
      </w:divBdr>
    </w:div>
    <w:div w:id="945573935">
      <w:bodyDiv w:val="1"/>
      <w:marLeft w:val="0"/>
      <w:marRight w:val="0"/>
      <w:marTop w:val="0"/>
      <w:marBottom w:val="0"/>
      <w:divBdr>
        <w:top w:val="none" w:sz="0" w:space="0" w:color="auto"/>
        <w:left w:val="none" w:sz="0" w:space="0" w:color="auto"/>
        <w:bottom w:val="none" w:sz="0" w:space="0" w:color="auto"/>
        <w:right w:val="none" w:sz="0" w:space="0" w:color="auto"/>
      </w:divBdr>
    </w:div>
    <w:div w:id="951202828">
      <w:bodyDiv w:val="1"/>
      <w:marLeft w:val="0"/>
      <w:marRight w:val="0"/>
      <w:marTop w:val="0"/>
      <w:marBottom w:val="0"/>
      <w:divBdr>
        <w:top w:val="none" w:sz="0" w:space="0" w:color="auto"/>
        <w:left w:val="none" w:sz="0" w:space="0" w:color="auto"/>
        <w:bottom w:val="none" w:sz="0" w:space="0" w:color="auto"/>
        <w:right w:val="none" w:sz="0" w:space="0" w:color="auto"/>
      </w:divBdr>
    </w:div>
    <w:div w:id="951668771">
      <w:bodyDiv w:val="1"/>
      <w:marLeft w:val="0"/>
      <w:marRight w:val="0"/>
      <w:marTop w:val="0"/>
      <w:marBottom w:val="0"/>
      <w:divBdr>
        <w:top w:val="none" w:sz="0" w:space="0" w:color="auto"/>
        <w:left w:val="none" w:sz="0" w:space="0" w:color="auto"/>
        <w:bottom w:val="none" w:sz="0" w:space="0" w:color="auto"/>
        <w:right w:val="none" w:sz="0" w:space="0" w:color="auto"/>
      </w:divBdr>
    </w:div>
    <w:div w:id="973406293">
      <w:bodyDiv w:val="1"/>
      <w:marLeft w:val="0"/>
      <w:marRight w:val="0"/>
      <w:marTop w:val="0"/>
      <w:marBottom w:val="0"/>
      <w:divBdr>
        <w:top w:val="none" w:sz="0" w:space="0" w:color="auto"/>
        <w:left w:val="none" w:sz="0" w:space="0" w:color="auto"/>
        <w:bottom w:val="none" w:sz="0" w:space="0" w:color="auto"/>
        <w:right w:val="none" w:sz="0" w:space="0" w:color="auto"/>
      </w:divBdr>
    </w:div>
    <w:div w:id="976955257">
      <w:bodyDiv w:val="1"/>
      <w:marLeft w:val="0"/>
      <w:marRight w:val="0"/>
      <w:marTop w:val="0"/>
      <w:marBottom w:val="0"/>
      <w:divBdr>
        <w:top w:val="none" w:sz="0" w:space="0" w:color="auto"/>
        <w:left w:val="none" w:sz="0" w:space="0" w:color="auto"/>
        <w:bottom w:val="none" w:sz="0" w:space="0" w:color="auto"/>
        <w:right w:val="none" w:sz="0" w:space="0" w:color="auto"/>
      </w:divBdr>
    </w:div>
    <w:div w:id="978076878">
      <w:bodyDiv w:val="1"/>
      <w:marLeft w:val="0"/>
      <w:marRight w:val="0"/>
      <w:marTop w:val="0"/>
      <w:marBottom w:val="0"/>
      <w:divBdr>
        <w:top w:val="none" w:sz="0" w:space="0" w:color="auto"/>
        <w:left w:val="none" w:sz="0" w:space="0" w:color="auto"/>
        <w:bottom w:val="none" w:sz="0" w:space="0" w:color="auto"/>
        <w:right w:val="none" w:sz="0" w:space="0" w:color="auto"/>
      </w:divBdr>
    </w:div>
    <w:div w:id="989092920">
      <w:bodyDiv w:val="1"/>
      <w:marLeft w:val="0"/>
      <w:marRight w:val="0"/>
      <w:marTop w:val="0"/>
      <w:marBottom w:val="0"/>
      <w:divBdr>
        <w:top w:val="none" w:sz="0" w:space="0" w:color="auto"/>
        <w:left w:val="none" w:sz="0" w:space="0" w:color="auto"/>
        <w:bottom w:val="none" w:sz="0" w:space="0" w:color="auto"/>
        <w:right w:val="none" w:sz="0" w:space="0" w:color="auto"/>
      </w:divBdr>
    </w:div>
    <w:div w:id="994801546">
      <w:bodyDiv w:val="1"/>
      <w:marLeft w:val="0"/>
      <w:marRight w:val="0"/>
      <w:marTop w:val="0"/>
      <w:marBottom w:val="0"/>
      <w:divBdr>
        <w:top w:val="none" w:sz="0" w:space="0" w:color="auto"/>
        <w:left w:val="none" w:sz="0" w:space="0" w:color="auto"/>
        <w:bottom w:val="none" w:sz="0" w:space="0" w:color="auto"/>
        <w:right w:val="none" w:sz="0" w:space="0" w:color="auto"/>
      </w:divBdr>
    </w:div>
    <w:div w:id="1009412432">
      <w:bodyDiv w:val="1"/>
      <w:marLeft w:val="0"/>
      <w:marRight w:val="0"/>
      <w:marTop w:val="0"/>
      <w:marBottom w:val="0"/>
      <w:divBdr>
        <w:top w:val="none" w:sz="0" w:space="0" w:color="auto"/>
        <w:left w:val="none" w:sz="0" w:space="0" w:color="auto"/>
        <w:bottom w:val="none" w:sz="0" w:space="0" w:color="auto"/>
        <w:right w:val="none" w:sz="0" w:space="0" w:color="auto"/>
      </w:divBdr>
    </w:div>
    <w:div w:id="1010452469">
      <w:bodyDiv w:val="1"/>
      <w:marLeft w:val="0"/>
      <w:marRight w:val="0"/>
      <w:marTop w:val="0"/>
      <w:marBottom w:val="0"/>
      <w:divBdr>
        <w:top w:val="none" w:sz="0" w:space="0" w:color="auto"/>
        <w:left w:val="none" w:sz="0" w:space="0" w:color="auto"/>
        <w:bottom w:val="none" w:sz="0" w:space="0" w:color="auto"/>
        <w:right w:val="none" w:sz="0" w:space="0" w:color="auto"/>
      </w:divBdr>
    </w:div>
    <w:div w:id="1022782327">
      <w:bodyDiv w:val="1"/>
      <w:marLeft w:val="0"/>
      <w:marRight w:val="0"/>
      <w:marTop w:val="0"/>
      <w:marBottom w:val="0"/>
      <w:divBdr>
        <w:top w:val="none" w:sz="0" w:space="0" w:color="auto"/>
        <w:left w:val="none" w:sz="0" w:space="0" w:color="auto"/>
        <w:bottom w:val="none" w:sz="0" w:space="0" w:color="auto"/>
        <w:right w:val="none" w:sz="0" w:space="0" w:color="auto"/>
      </w:divBdr>
    </w:div>
    <w:div w:id="1026440049">
      <w:bodyDiv w:val="1"/>
      <w:marLeft w:val="0"/>
      <w:marRight w:val="0"/>
      <w:marTop w:val="0"/>
      <w:marBottom w:val="0"/>
      <w:divBdr>
        <w:top w:val="none" w:sz="0" w:space="0" w:color="auto"/>
        <w:left w:val="none" w:sz="0" w:space="0" w:color="auto"/>
        <w:bottom w:val="none" w:sz="0" w:space="0" w:color="auto"/>
        <w:right w:val="none" w:sz="0" w:space="0" w:color="auto"/>
      </w:divBdr>
    </w:div>
    <w:div w:id="1037316829">
      <w:bodyDiv w:val="1"/>
      <w:marLeft w:val="0"/>
      <w:marRight w:val="0"/>
      <w:marTop w:val="0"/>
      <w:marBottom w:val="0"/>
      <w:divBdr>
        <w:top w:val="none" w:sz="0" w:space="0" w:color="auto"/>
        <w:left w:val="none" w:sz="0" w:space="0" w:color="auto"/>
        <w:bottom w:val="none" w:sz="0" w:space="0" w:color="auto"/>
        <w:right w:val="none" w:sz="0" w:space="0" w:color="auto"/>
      </w:divBdr>
    </w:div>
    <w:div w:id="1038047420">
      <w:bodyDiv w:val="1"/>
      <w:marLeft w:val="0"/>
      <w:marRight w:val="0"/>
      <w:marTop w:val="0"/>
      <w:marBottom w:val="0"/>
      <w:divBdr>
        <w:top w:val="none" w:sz="0" w:space="0" w:color="auto"/>
        <w:left w:val="none" w:sz="0" w:space="0" w:color="auto"/>
        <w:bottom w:val="none" w:sz="0" w:space="0" w:color="auto"/>
        <w:right w:val="none" w:sz="0" w:space="0" w:color="auto"/>
      </w:divBdr>
    </w:div>
    <w:div w:id="1044712513">
      <w:bodyDiv w:val="1"/>
      <w:marLeft w:val="0"/>
      <w:marRight w:val="0"/>
      <w:marTop w:val="0"/>
      <w:marBottom w:val="0"/>
      <w:divBdr>
        <w:top w:val="none" w:sz="0" w:space="0" w:color="auto"/>
        <w:left w:val="none" w:sz="0" w:space="0" w:color="auto"/>
        <w:bottom w:val="none" w:sz="0" w:space="0" w:color="auto"/>
        <w:right w:val="none" w:sz="0" w:space="0" w:color="auto"/>
      </w:divBdr>
    </w:div>
    <w:div w:id="1051198607">
      <w:bodyDiv w:val="1"/>
      <w:marLeft w:val="0"/>
      <w:marRight w:val="0"/>
      <w:marTop w:val="0"/>
      <w:marBottom w:val="0"/>
      <w:divBdr>
        <w:top w:val="none" w:sz="0" w:space="0" w:color="auto"/>
        <w:left w:val="none" w:sz="0" w:space="0" w:color="auto"/>
        <w:bottom w:val="none" w:sz="0" w:space="0" w:color="auto"/>
        <w:right w:val="none" w:sz="0" w:space="0" w:color="auto"/>
      </w:divBdr>
    </w:div>
    <w:div w:id="1054738680">
      <w:bodyDiv w:val="1"/>
      <w:marLeft w:val="0"/>
      <w:marRight w:val="0"/>
      <w:marTop w:val="0"/>
      <w:marBottom w:val="0"/>
      <w:divBdr>
        <w:top w:val="none" w:sz="0" w:space="0" w:color="auto"/>
        <w:left w:val="none" w:sz="0" w:space="0" w:color="auto"/>
        <w:bottom w:val="none" w:sz="0" w:space="0" w:color="auto"/>
        <w:right w:val="none" w:sz="0" w:space="0" w:color="auto"/>
      </w:divBdr>
    </w:div>
    <w:div w:id="1060515055">
      <w:bodyDiv w:val="1"/>
      <w:marLeft w:val="0"/>
      <w:marRight w:val="0"/>
      <w:marTop w:val="0"/>
      <w:marBottom w:val="0"/>
      <w:divBdr>
        <w:top w:val="none" w:sz="0" w:space="0" w:color="auto"/>
        <w:left w:val="none" w:sz="0" w:space="0" w:color="auto"/>
        <w:bottom w:val="none" w:sz="0" w:space="0" w:color="auto"/>
        <w:right w:val="none" w:sz="0" w:space="0" w:color="auto"/>
      </w:divBdr>
    </w:div>
    <w:div w:id="1062564744">
      <w:bodyDiv w:val="1"/>
      <w:marLeft w:val="0"/>
      <w:marRight w:val="0"/>
      <w:marTop w:val="0"/>
      <w:marBottom w:val="0"/>
      <w:divBdr>
        <w:top w:val="none" w:sz="0" w:space="0" w:color="auto"/>
        <w:left w:val="none" w:sz="0" w:space="0" w:color="auto"/>
        <w:bottom w:val="none" w:sz="0" w:space="0" w:color="auto"/>
        <w:right w:val="none" w:sz="0" w:space="0" w:color="auto"/>
      </w:divBdr>
    </w:div>
    <w:div w:id="1072390258">
      <w:bodyDiv w:val="1"/>
      <w:marLeft w:val="0"/>
      <w:marRight w:val="0"/>
      <w:marTop w:val="0"/>
      <w:marBottom w:val="0"/>
      <w:divBdr>
        <w:top w:val="none" w:sz="0" w:space="0" w:color="auto"/>
        <w:left w:val="none" w:sz="0" w:space="0" w:color="auto"/>
        <w:bottom w:val="none" w:sz="0" w:space="0" w:color="auto"/>
        <w:right w:val="none" w:sz="0" w:space="0" w:color="auto"/>
      </w:divBdr>
    </w:div>
    <w:div w:id="1090616627">
      <w:bodyDiv w:val="1"/>
      <w:marLeft w:val="0"/>
      <w:marRight w:val="0"/>
      <w:marTop w:val="0"/>
      <w:marBottom w:val="0"/>
      <w:divBdr>
        <w:top w:val="none" w:sz="0" w:space="0" w:color="auto"/>
        <w:left w:val="none" w:sz="0" w:space="0" w:color="auto"/>
        <w:bottom w:val="none" w:sz="0" w:space="0" w:color="auto"/>
        <w:right w:val="none" w:sz="0" w:space="0" w:color="auto"/>
      </w:divBdr>
    </w:div>
    <w:div w:id="1092240056">
      <w:bodyDiv w:val="1"/>
      <w:marLeft w:val="0"/>
      <w:marRight w:val="0"/>
      <w:marTop w:val="0"/>
      <w:marBottom w:val="0"/>
      <w:divBdr>
        <w:top w:val="none" w:sz="0" w:space="0" w:color="auto"/>
        <w:left w:val="none" w:sz="0" w:space="0" w:color="auto"/>
        <w:bottom w:val="none" w:sz="0" w:space="0" w:color="auto"/>
        <w:right w:val="none" w:sz="0" w:space="0" w:color="auto"/>
      </w:divBdr>
    </w:div>
    <w:div w:id="1097406113">
      <w:bodyDiv w:val="1"/>
      <w:marLeft w:val="0"/>
      <w:marRight w:val="0"/>
      <w:marTop w:val="0"/>
      <w:marBottom w:val="0"/>
      <w:divBdr>
        <w:top w:val="none" w:sz="0" w:space="0" w:color="auto"/>
        <w:left w:val="none" w:sz="0" w:space="0" w:color="auto"/>
        <w:bottom w:val="none" w:sz="0" w:space="0" w:color="auto"/>
        <w:right w:val="none" w:sz="0" w:space="0" w:color="auto"/>
      </w:divBdr>
    </w:div>
    <w:div w:id="1099719514">
      <w:bodyDiv w:val="1"/>
      <w:marLeft w:val="0"/>
      <w:marRight w:val="0"/>
      <w:marTop w:val="0"/>
      <w:marBottom w:val="0"/>
      <w:divBdr>
        <w:top w:val="none" w:sz="0" w:space="0" w:color="auto"/>
        <w:left w:val="none" w:sz="0" w:space="0" w:color="auto"/>
        <w:bottom w:val="none" w:sz="0" w:space="0" w:color="auto"/>
        <w:right w:val="none" w:sz="0" w:space="0" w:color="auto"/>
      </w:divBdr>
    </w:div>
    <w:div w:id="1103187246">
      <w:bodyDiv w:val="1"/>
      <w:marLeft w:val="0"/>
      <w:marRight w:val="0"/>
      <w:marTop w:val="0"/>
      <w:marBottom w:val="0"/>
      <w:divBdr>
        <w:top w:val="none" w:sz="0" w:space="0" w:color="auto"/>
        <w:left w:val="none" w:sz="0" w:space="0" w:color="auto"/>
        <w:bottom w:val="none" w:sz="0" w:space="0" w:color="auto"/>
        <w:right w:val="none" w:sz="0" w:space="0" w:color="auto"/>
      </w:divBdr>
    </w:div>
    <w:div w:id="1104963297">
      <w:bodyDiv w:val="1"/>
      <w:marLeft w:val="0"/>
      <w:marRight w:val="0"/>
      <w:marTop w:val="0"/>
      <w:marBottom w:val="0"/>
      <w:divBdr>
        <w:top w:val="none" w:sz="0" w:space="0" w:color="auto"/>
        <w:left w:val="none" w:sz="0" w:space="0" w:color="auto"/>
        <w:bottom w:val="none" w:sz="0" w:space="0" w:color="auto"/>
        <w:right w:val="none" w:sz="0" w:space="0" w:color="auto"/>
      </w:divBdr>
    </w:div>
    <w:div w:id="1115516074">
      <w:bodyDiv w:val="1"/>
      <w:marLeft w:val="0"/>
      <w:marRight w:val="0"/>
      <w:marTop w:val="0"/>
      <w:marBottom w:val="0"/>
      <w:divBdr>
        <w:top w:val="none" w:sz="0" w:space="0" w:color="auto"/>
        <w:left w:val="none" w:sz="0" w:space="0" w:color="auto"/>
        <w:bottom w:val="none" w:sz="0" w:space="0" w:color="auto"/>
        <w:right w:val="none" w:sz="0" w:space="0" w:color="auto"/>
      </w:divBdr>
    </w:div>
    <w:div w:id="1124999508">
      <w:bodyDiv w:val="1"/>
      <w:marLeft w:val="0"/>
      <w:marRight w:val="0"/>
      <w:marTop w:val="0"/>
      <w:marBottom w:val="0"/>
      <w:divBdr>
        <w:top w:val="none" w:sz="0" w:space="0" w:color="auto"/>
        <w:left w:val="none" w:sz="0" w:space="0" w:color="auto"/>
        <w:bottom w:val="none" w:sz="0" w:space="0" w:color="auto"/>
        <w:right w:val="none" w:sz="0" w:space="0" w:color="auto"/>
      </w:divBdr>
    </w:div>
    <w:div w:id="1125661968">
      <w:bodyDiv w:val="1"/>
      <w:marLeft w:val="0"/>
      <w:marRight w:val="0"/>
      <w:marTop w:val="0"/>
      <w:marBottom w:val="0"/>
      <w:divBdr>
        <w:top w:val="none" w:sz="0" w:space="0" w:color="auto"/>
        <w:left w:val="none" w:sz="0" w:space="0" w:color="auto"/>
        <w:bottom w:val="none" w:sz="0" w:space="0" w:color="auto"/>
        <w:right w:val="none" w:sz="0" w:space="0" w:color="auto"/>
      </w:divBdr>
    </w:div>
    <w:div w:id="1136722530">
      <w:bodyDiv w:val="1"/>
      <w:marLeft w:val="0"/>
      <w:marRight w:val="0"/>
      <w:marTop w:val="0"/>
      <w:marBottom w:val="0"/>
      <w:divBdr>
        <w:top w:val="none" w:sz="0" w:space="0" w:color="auto"/>
        <w:left w:val="none" w:sz="0" w:space="0" w:color="auto"/>
        <w:bottom w:val="none" w:sz="0" w:space="0" w:color="auto"/>
        <w:right w:val="none" w:sz="0" w:space="0" w:color="auto"/>
      </w:divBdr>
    </w:div>
    <w:div w:id="1142313456">
      <w:bodyDiv w:val="1"/>
      <w:marLeft w:val="0"/>
      <w:marRight w:val="0"/>
      <w:marTop w:val="0"/>
      <w:marBottom w:val="0"/>
      <w:divBdr>
        <w:top w:val="none" w:sz="0" w:space="0" w:color="auto"/>
        <w:left w:val="none" w:sz="0" w:space="0" w:color="auto"/>
        <w:bottom w:val="none" w:sz="0" w:space="0" w:color="auto"/>
        <w:right w:val="none" w:sz="0" w:space="0" w:color="auto"/>
      </w:divBdr>
    </w:div>
    <w:div w:id="1147622667">
      <w:bodyDiv w:val="1"/>
      <w:marLeft w:val="0"/>
      <w:marRight w:val="0"/>
      <w:marTop w:val="0"/>
      <w:marBottom w:val="0"/>
      <w:divBdr>
        <w:top w:val="none" w:sz="0" w:space="0" w:color="auto"/>
        <w:left w:val="none" w:sz="0" w:space="0" w:color="auto"/>
        <w:bottom w:val="none" w:sz="0" w:space="0" w:color="auto"/>
        <w:right w:val="none" w:sz="0" w:space="0" w:color="auto"/>
      </w:divBdr>
    </w:div>
    <w:div w:id="1152600782">
      <w:bodyDiv w:val="1"/>
      <w:marLeft w:val="0"/>
      <w:marRight w:val="0"/>
      <w:marTop w:val="0"/>
      <w:marBottom w:val="0"/>
      <w:divBdr>
        <w:top w:val="none" w:sz="0" w:space="0" w:color="auto"/>
        <w:left w:val="none" w:sz="0" w:space="0" w:color="auto"/>
        <w:bottom w:val="none" w:sz="0" w:space="0" w:color="auto"/>
        <w:right w:val="none" w:sz="0" w:space="0" w:color="auto"/>
      </w:divBdr>
    </w:div>
    <w:div w:id="1155032113">
      <w:bodyDiv w:val="1"/>
      <w:marLeft w:val="0"/>
      <w:marRight w:val="0"/>
      <w:marTop w:val="0"/>
      <w:marBottom w:val="0"/>
      <w:divBdr>
        <w:top w:val="none" w:sz="0" w:space="0" w:color="auto"/>
        <w:left w:val="none" w:sz="0" w:space="0" w:color="auto"/>
        <w:bottom w:val="none" w:sz="0" w:space="0" w:color="auto"/>
        <w:right w:val="none" w:sz="0" w:space="0" w:color="auto"/>
      </w:divBdr>
    </w:div>
    <w:div w:id="1171797747">
      <w:bodyDiv w:val="1"/>
      <w:marLeft w:val="0"/>
      <w:marRight w:val="0"/>
      <w:marTop w:val="0"/>
      <w:marBottom w:val="0"/>
      <w:divBdr>
        <w:top w:val="none" w:sz="0" w:space="0" w:color="auto"/>
        <w:left w:val="none" w:sz="0" w:space="0" w:color="auto"/>
        <w:bottom w:val="none" w:sz="0" w:space="0" w:color="auto"/>
        <w:right w:val="none" w:sz="0" w:space="0" w:color="auto"/>
      </w:divBdr>
    </w:div>
    <w:div w:id="1175221760">
      <w:bodyDiv w:val="1"/>
      <w:marLeft w:val="0"/>
      <w:marRight w:val="0"/>
      <w:marTop w:val="0"/>
      <w:marBottom w:val="0"/>
      <w:divBdr>
        <w:top w:val="none" w:sz="0" w:space="0" w:color="auto"/>
        <w:left w:val="none" w:sz="0" w:space="0" w:color="auto"/>
        <w:bottom w:val="none" w:sz="0" w:space="0" w:color="auto"/>
        <w:right w:val="none" w:sz="0" w:space="0" w:color="auto"/>
      </w:divBdr>
    </w:div>
    <w:div w:id="1185897829">
      <w:bodyDiv w:val="1"/>
      <w:marLeft w:val="0"/>
      <w:marRight w:val="0"/>
      <w:marTop w:val="0"/>
      <w:marBottom w:val="0"/>
      <w:divBdr>
        <w:top w:val="none" w:sz="0" w:space="0" w:color="auto"/>
        <w:left w:val="none" w:sz="0" w:space="0" w:color="auto"/>
        <w:bottom w:val="none" w:sz="0" w:space="0" w:color="auto"/>
        <w:right w:val="none" w:sz="0" w:space="0" w:color="auto"/>
      </w:divBdr>
    </w:div>
    <w:div w:id="1191648652">
      <w:bodyDiv w:val="1"/>
      <w:marLeft w:val="0"/>
      <w:marRight w:val="0"/>
      <w:marTop w:val="0"/>
      <w:marBottom w:val="0"/>
      <w:divBdr>
        <w:top w:val="none" w:sz="0" w:space="0" w:color="auto"/>
        <w:left w:val="none" w:sz="0" w:space="0" w:color="auto"/>
        <w:bottom w:val="none" w:sz="0" w:space="0" w:color="auto"/>
        <w:right w:val="none" w:sz="0" w:space="0" w:color="auto"/>
      </w:divBdr>
    </w:div>
    <w:div w:id="1192106040">
      <w:bodyDiv w:val="1"/>
      <w:marLeft w:val="0"/>
      <w:marRight w:val="0"/>
      <w:marTop w:val="0"/>
      <w:marBottom w:val="0"/>
      <w:divBdr>
        <w:top w:val="none" w:sz="0" w:space="0" w:color="auto"/>
        <w:left w:val="none" w:sz="0" w:space="0" w:color="auto"/>
        <w:bottom w:val="none" w:sz="0" w:space="0" w:color="auto"/>
        <w:right w:val="none" w:sz="0" w:space="0" w:color="auto"/>
      </w:divBdr>
    </w:div>
    <w:div w:id="1196192299">
      <w:bodyDiv w:val="1"/>
      <w:marLeft w:val="0"/>
      <w:marRight w:val="0"/>
      <w:marTop w:val="0"/>
      <w:marBottom w:val="0"/>
      <w:divBdr>
        <w:top w:val="none" w:sz="0" w:space="0" w:color="auto"/>
        <w:left w:val="none" w:sz="0" w:space="0" w:color="auto"/>
        <w:bottom w:val="none" w:sz="0" w:space="0" w:color="auto"/>
        <w:right w:val="none" w:sz="0" w:space="0" w:color="auto"/>
      </w:divBdr>
    </w:div>
    <w:div w:id="1209995311">
      <w:bodyDiv w:val="1"/>
      <w:marLeft w:val="0"/>
      <w:marRight w:val="0"/>
      <w:marTop w:val="0"/>
      <w:marBottom w:val="0"/>
      <w:divBdr>
        <w:top w:val="none" w:sz="0" w:space="0" w:color="auto"/>
        <w:left w:val="none" w:sz="0" w:space="0" w:color="auto"/>
        <w:bottom w:val="none" w:sz="0" w:space="0" w:color="auto"/>
        <w:right w:val="none" w:sz="0" w:space="0" w:color="auto"/>
      </w:divBdr>
    </w:div>
    <w:div w:id="1213736400">
      <w:bodyDiv w:val="1"/>
      <w:marLeft w:val="0"/>
      <w:marRight w:val="0"/>
      <w:marTop w:val="0"/>
      <w:marBottom w:val="0"/>
      <w:divBdr>
        <w:top w:val="none" w:sz="0" w:space="0" w:color="auto"/>
        <w:left w:val="none" w:sz="0" w:space="0" w:color="auto"/>
        <w:bottom w:val="none" w:sz="0" w:space="0" w:color="auto"/>
        <w:right w:val="none" w:sz="0" w:space="0" w:color="auto"/>
      </w:divBdr>
    </w:div>
    <w:div w:id="1221552150">
      <w:bodyDiv w:val="1"/>
      <w:marLeft w:val="0"/>
      <w:marRight w:val="0"/>
      <w:marTop w:val="0"/>
      <w:marBottom w:val="0"/>
      <w:divBdr>
        <w:top w:val="none" w:sz="0" w:space="0" w:color="auto"/>
        <w:left w:val="none" w:sz="0" w:space="0" w:color="auto"/>
        <w:bottom w:val="none" w:sz="0" w:space="0" w:color="auto"/>
        <w:right w:val="none" w:sz="0" w:space="0" w:color="auto"/>
      </w:divBdr>
    </w:div>
    <w:div w:id="1226602533">
      <w:bodyDiv w:val="1"/>
      <w:marLeft w:val="0"/>
      <w:marRight w:val="0"/>
      <w:marTop w:val="0"/>
      <w:marBottom w:val="0"/>
      <w:divBdr>
        <w:top w:val="none" w:sz="0" w:space="0" w:color="auto"/>
        <w:left w:val="none" w:sz="0" w:space="0" w:color="auto"/>
        <w:bottom w:val="none" w:sz="0" w:space="0" w:color="auto"/>
        <w:right w:val="none" w:sz="0" w:space="0" w:color="auto"/>
      </w:divBdr>
    </w:div>
    <w:div w:id="1227759170">
      <w:bodyDiv w:val="1"/>
      <w:marLeft w:val="0"/>
      <w:marRight w:val="0"/>
      <w:marTop w:val="0"/>
      <w:marBottom w:val="0"/>
      <w:divBdr>
        <w:top w:val="none" w:sz="0" w:space="0" w:color="auto"/>
        <w:left w:val="none" w:sz="0" w:space="0" w:color="auto"/>
        <w:bottom w:val="none" w:sz="0" w:space="0" w:color="auto"/>
        <w:right w:val="none" w:sz="0" w:space="0" w:color="auto"/>
      </w:divBdr>
    </w:div>
    <w:div w:id="1240289894">
      <w:bodyDiv w:val="1"/>
      <w:marLeft w:val="0"/>
      <w:marRight w:val="0"/>
      <w:marTop w:val="0"/>
      <w:marBottom w:val="0"/>
      <w:divBdr>
        <w:top w:val="none" w:sz="0" w:space="0" w:color="auto"/>
        <w:left w:val="none" w:sz="0" w:space="0" w:color="auto"/>
        <w:bottom w:val="none" w:sz="0" w:space="0" w:color="auto"/>
        <w:right w:val="none" w:sz="0" w:space="0" w:color="auto"/>
      </w:divBdr>
    </w:div>
    <w:div w:id="1259170036">
      <w:bodyDiv w:val="1"/>
      <w:marLeft w:val="0"/>
      <w:marRight w:val="0"/>
      <w:marTop w:val="0"/>
      <w:marBottom w:val="0"/>
      <w:divBdr>
        <w:top w:val="none" w:sz="0" w:space="0" w:color="auto"/>
        <w:left w:val="none" w:sz="0" w:space="0" w:color="auto"/>
        <w:bottom w:val="none" w:sz="0" w:space="0" w:color="auto"/>
        <w:right w:val="none" w:sz="0" w:space="0" w:color="auto"/>
      </w:divBdr>
    </w:div>
    <w:div w:id="1263296541">
      <w:bodyDiv w:val="1"/>
      <w:marLeft w:val="0"/>
      <w:marRight w:val="0"/>
      <w:marTop w:val="0"/>
      <w:marBottom w:val="0"/>
      <w:divBdr>
        <w:top w:val="none" w:sz="0" w:space="0" w:color="auto"/>
        <w:left w:val="none" w:sz="0" w:space="0" w:color="auto"/>
        <w:bottom w:val="none" w:sz="0" w:space="0" w:color="auto"/>
        <w:right w:val="none" w:sz="0" w:space="0" w:color="auto"/>
      </w:divBdr>
    </w:div>
    <w:div w:id="1264461954">
      <w:bodyDiv w:val="1"/>
      <w:marLeft w:val="0"/>
      <w:marRight w:val="0"/>
      <w:marTop w:val="0"/>
      <w:marBottom w:val="0"/>
      <w:divBdr>
        <w:top w:val="none" w:sz="0" w:space="0" w:color="auto"/>
        <w:left w:val="none" w:sz="0" w:space="0" w:color="auto"/>
        <w:bottom w:val="none" w:sz="0" w:space="0" w:color="auto"/>
        <w:right w:val="none" w:sz="0" w:space="0" w:color="auto"/>
      </w:divBdr>
    </w:div>
    <w:div w:id="1265109228">
      <w:bodyDiv w:val="1"/>
      <w:marLeft w:val="0"/>
      <w:marRight w:val="0"/>
      <w:marTop w:val="0"/>
      <w:marBottom w:val="0"/>
      <w:divBdr>
        <w:top w:val="none" w:sz="0" w:space="0" w:color="auto"/>
        <w:left w:val="none" w:sz="0" w:space="0" w:color="auto"/>
        <w:bottom w:val="none" w:sz="0" w:space="0" w:color="auto"/>
        <w:right w:val="none" w:sz="0" w:space="0" w:color="auto"/>
      </w:divBdr>
    </w:div>
    <w:div w:id="1269191011">
      <w:bodyDiv w:val="1"/>
      <w:marLeft w:val="0"/>
      <w:marRight w:val="0"/>
      <w:marTop w:val="0"/>
      <w:marBottom w:val="0"/>
      <w:divBdr>
        <w:top w:val="none" w:sz="0" w:space="0" w:color="auto"/>
        <w:left w:val="none" w:sz="0" w:space="0" w:color="auto"/>
        <w:bottom w:val="none" w:sz="0" w:space="0" w:color="auto"/>
        <w:right w:val="none" w:sz="0" w:space="0" w:color="auto"/>
      </w:divBdr>
    </w:div>
    <w:div w:id="1271888663">
      <w:bodyDiv w:val="1"/>
      <w:marLeft w:val="0"/>
      <w:marRight w:val="0"/>
      <w:marTop w:val="0"/>
      <w:marBottom w:val="0"/>
      <w:divBdr>
        <w:top w:val="none" w:sz="0" w:space="0" w:color="auto"/>
        <w:left w:val="none" w:sz="0" w:space="0" w:color="auto"/>
        <w:bottom w:val="none" w:sz="0" w:space="0" w:color="auto"/>
        <w:right w:val="none" w:sz="0" w:space="0" w:color="auto"/>
      </w:divBdr>
    </w:div>
    <w:div w:id="1275020233">
      <w:bodyDiv w:val="1"/>
      <w:marLeft w:val="0"/>
      <w:marRight w:val="0"/>
      <w:marTop w:val="0"/>
      <w:marBottom w:val="0"/>
      <w:divBdr>
        <w:top w:val="none" w:sz="0" w:space="0" w:color="auto"/>
        <w:left w:val="none" w:sz="0" w:space="0" w:color="auto"/>
        <w:bottom w:val="none" w:sz="0" w:space="0" w:color="auto"/>
        <w:right w:val="none" w:sz="0" w:space="0" w:color="auto"/>
      </w:divBdr>
    </w:div>
    <w:div w:id="1284772627">
      <w:bodyDiv w:val="1"/>
      <w:marLeft w:val="0"/>
      <w:marRight w:val="0"/>
      <w:marTop w:val="0"/>
      <w:marBottom w:val="0"/>
      <w:divBdr>
        <w:top w:val="none" w:sz="0" w:space="0" w:color="auto"/>
        <w:left w:val="none" w:sz="0" w:space="0" w:color="auto"/>
        <w:bottom w:val="none" w:sz="0" w:space="0" w:color="auto"/>
        <w:right w:val="none" w:sz="0" w:space="0" w:color="auto"/>
      </w:divBdr>
    </w:div>
    <w:div w:id="1292828849">
      <w:bodyDiv w:val="1"/>
      <w:marLeft w:val="0"/>
      <w:marRight w:val="0"/>
      <w:marTop w:val="0"/>
      <w:marBottom w:val="0"/>
      <w:divBdr>
        <w:top w:val="none" w:sz="0" w:space="0" w:color="auto"/>
        <w:left w:val="none" w:sz="0" w:space="0" w:color="auto"/>
        <w:bottom w:val="none" w:sz="0" w:space="0" w:color="auto"/>
        <w:right w:val="none" w:sz="0" w:space="0" w:color="auto"/>
      </w:divBdr>
    </w:div>
    <w:div w:id="1295410998">
      <w:bodyDiv w:val="1"/>
      <w:marLeft w:val="0"/>
      <w:marRight w:val="0"/>
      <w:marTop w:val="0"/>
      <w:marBottom w:val="0"/>
      <w:divBdr>
        <w:top w:val="none" w:sz="0" w:space="0" w:color="auto"/>
        <w:left w:val="none" w:sz="0" w:space="0" w:color="auto"/>
        <w:bottom w:val="none" w:sz="0" w:space="0" w:color="auto"/>
        <w:right w:val="none" w:sz="0" w:space="0" w:color="auto"/>
      </w:divBdr>
    </w:div>
    <w:div w:id="1299146004">
      <w:bodyDiv w:val="1"/>
      <w:marLeft w:val="0"/>
      <w:marRight w:val="0"/>
      <w:marTop w:val="0"/>
      <w:marBottom w:val="0"/>
      <w:divBdr>
        <w:top w:val="none" w:sz="0" w:space="0" w:color="auto"/>
        <w:left w:val="none" w:sz="0" w:space="0" w:color="auto"/>
        <w:bottom w:val="none" w:sz="0" w:space="0" w:color="auto"/>
        <w:right w:val="none" w:sz="0" w:space="0" w:color="auto"/>
      </w:divBdr>
    </w:div>
    <w:div w:id="1302425043">
      <w:bodyDiv w:val="1"/>
      <w:marLeft w:val="0"/>
      <w:marRight w:val="0"/>
      <w:marTop w:val="0"/>
      <w:marBottom w:val="0"/>
      <w:divBdr>
        <w:top w:val="none" w:sz="0" w:space="0" w:color="auto"/>
        <w:left w:val="none" w:sz="0" w:space="0" w:color="auto"/>
        <w:bottom w:val="none" w:sz="0" w:space="0" w:color="auto"/>
        <w:right w:val="none" w:sz="0" w:space="0" w:color="auto"/>
      </w:divBdr>
    </w:div>
    <w:div w:id="1332175470">
      <w:bodyDiv w:val="1"/>
      <w:marLeft w:val="0"/>
      <w:marRight w:val="0"/>
      <w:marTop w:val="0"/>
      <w:marBottom w:val="0"/>
      <w:divBdr>
        <w:top w:val="none" w:sz="0" w:space="0" w:color="auto"/>
        <w:left w:val="none" w:sz="0" w:space="0" w:color="auto"/>
        <w:bottom w:val="none" w:sz="0" w:space="0" w:color="auto"/>
        <w:right w:val="none" w:sz="0" w:space="0" w:color="auto"/>
      </w:divBdr>
    </w:div>
    <w:div w:id="1341662758">
      <w:bodyDiv w:val="1"/>
      <w:marLeft w:val="0"/>
      <w:marRight w:val="0"/>
      <w:marTop w:val="0"/>
      <w:marBottom w:val="0"/>
      <w:divBdr>
        <w:top w:val="none" w:sz="0" w:space="0" w:color="auto"/>
        <w:left w:val="none" w:sz="0" w:space="0" w:color="auto"/>
        <w:bottom w:val="none" w:sz="0" w:space="0" w:color="auto"/>
        <w:right w:val="none" w:sz="0" w:space="0" w:color="auto"/>
      </w:divBdr>
    </w:div>
    <w:div w:id="1343319118">
      <w:bodyDiv w:val="1"/>
      <w:marLeft w:val="0"/>
      <w:marRight w:val="0"/>
      <w:marTop w:val="0"/>
      <w:marBottom w:val="0"/>
      <w:divBdr>
        <w:top w:val="none" w:sz="0" w:space="0" w:color="auto"/>
        <w:left w:val="none" w:sz="0" w:space="0" w:color="auto"/>
        <w:bottom w:val="none" w:sz="0" w:space="0" w:color="auto"/>
        <w:right w:val="none" w:sz="0" w:space="0" w:color="auto"/>
      </w:divBdr>
    </w:div>
    <w:div w:id="1347750782">
      <w:bodyDiv w:val="1"/>
      <w:marLeft w:val="0"/>
      <w:marRight w:val="0"/>
      <w:marTop w:val="0"/>
      <w:marBottom w:val="0"/>
      <w:divBdr>
        <w:top w:val="none" w:sz="0" w:space="0" w:color="auto"/>
        <w:left w:val="none" w:sz="0" w:space="0" w:color="auto"/>
        <w:bottom w:val="none" w:sz="0" w:space="0" w:color="auto"/>
        <w:right w:val="none" w:sz="0" w:space="0" w:color="auto"/>
      </w:divBdr>
    </w:div>
    <w:div w:id="1348143347">
      <w:bodyDiv w:val="1"/>
      <w:marLeft w:val="0"/>
      <w:marRight w:val="0"/>
      <w:marTop w:val="0"/>
      <w:marBottom w:val="0"/>
      <w:divBdr>
        <w:top w:val="none" w:sz="0" w:space="0" w:color="auto"/>
        <w:left w:val="none" w:sz="0" w:space="0" w:color="auto"/>
        <w:bottom w:val="none" w:sz="0" w:space="0" w:color="auto"/>
        <w:right w:val="none" w:sz="0" w:space="0" w:color="auto"/>
      </w:divBdr>
    </w:div>
    <w:div w:id="1353336382">
      <w:bodyDiv w:val="1"/>
      <w:marLeft w:val="0"/>
      <w:marRight w:val="0"/>
      <w:marTop w:val="0"/>
      <w:marBottom w:val="0"/>
      <w:divBdr>
        <w:top w:val="none" w:sz="0" w:space="0" w:color="auto"/>
        <w:left w:val="none" w:sz="0" w:space="0" w:color="auto"/>
        <w:bottom w:val="none" w:sz="0" w:space="0" w:color="auto"/>
        <w:right w:val="none" w:sz="0" w:space="0" w:color="auto"/>
      </w:divBdr>
    </w:div>
    <w:div w:id="1354766654">
      <w:bodyDiv w:val="1"/>
      <w:marLeft w:val="0"/>
      <w:marRight w:val="0"/>
      <w:marTop w:val="0"/>
      <w:marBottom w:val="0"/>
      <w:divBdr>
        <w:top w:val="none" w:sz="0" w:space="0" w:color="auto"/>
        <w:left w:val="none" w:sz="0" w:space="0" w:color="auto"/>
        <w:bottom w:val="none" w:sz="0" w:space="0" w:color="auto"/>
        <w:right w:val="none" w:sz="0" w:space="0" w:color="auto"/>
      </w:divBdr>
    </w:div>
    <w:div w:id="1357734240">
      <w:bodyDiv w:val="1"/>
      <w:marLeft w:val="0"/>
      <w:marRight w:val="0"/>
      <w:marTop w:val="0"/>
      <w:marBottom w:val="0"/>
      <w:divBdr>
        <w:top w:val="none" w:sz="0" w:space="0" w:color="auto"/>
        <w:left w:val="none" w:sz="0" w:space="0" w:color="auto"/>
        <w:bottom w:val="none" w:sz="0" w:space="0" w:color="auto"/>
        <w:right w:val="none" w:sz="0" w:space="0" w:color="auto"/>
      </w:divBdr>
    </w:div>
    <w:div w:id="1399134582">
      <w:bodyDiv w:val="1"/>
      <w:marLeft w:val="0"/>
      <w:marRight w:val="0"/>
      <w:marTop w:val="0"/>
      <w:marBottom w:val="0"/>
      <w:divBdr>
        <w:top w:val="none" w:sz="0" w:space="0" w:color="auto"/>
        <w:left w:val="none" w:sz="0" w:space="0" w:color="auto"/>
        <w:bottom w:val="none" w:sz="0" w:space="0" w:color="auto"/>
        <w:right w:val="none" w:sz="0" w:space="0" w:color="auto"/>
      </w:divBdr>
    </w:div>
    <w:div w:id="1403983183">
      <w:bodyDiv w:val="1"/>
      <w:marLeft w:val="0"/>
      <w:marRight w:val="0"/>
      <w:marTop w:val="0"/>
      <w:marBottom w:val="0"/>
      <w:divBdr>
        <w:top w:val="none" w:sz="0" w:space="0" w:color="auto"/>
        <w:left w:val="none" w:sz="0" w:space="0" w:color="auto"/>
        <w:bottom w:val="none" w:sz="0" w:space="0" w:color="auto"/>
        <w:right w:val="none" w:sz="0" w:space="0" w:color="auto"/>
      </w:divBdr>
    </w:div>
    <w:div w:id="1412432051">
      <w:bodyDiv w:val="1"/>
      <w:marLeft w:val="0"/>
      <w:marRight w:val="0"/>
      <w:marTop w:val="0"/>
      <w:marBottom w:val="0"/>
      <w:divBdr>
        <w:top w:val="none" w:sz="0" w:space="0" w:color="auto"/>
        <w:left w:val="none" w:sz="0" w:space="0" w:color="auto"/>
        <w:bottom w:val="none" w:sz="0" w:space="0" w:color="auto"/>
        <w:right w:val="none" w:sz="0" w:space="0" w:color="auto"/>
      </w:divBdr>
    </w:div>
    <w:div w:id="1418597116">
      <w:bodyDiv w:val="1"/>
      <w:marLeft w:val="0"/>
      <w:marRight w:val="0"/>
      <w:marTop w:val="0"/>
      <w:marBottom w:val="0"/>
      <w:divBdr>
        <w:top w:val="none" w:sz="0" w:space="0" w:color="auto"/>
        <w:left w:val="none" w:sz="0" w:space="0" w:color="auto"/>
        <w:bottom w:val="none" w:sz="0" w:space="0" w:color="auto"/>
        <w:right w:val="none" w:sz="0" w:space="0" w:color="auto"/>
      </w:divBdr>
    </w:div>
    <w:div w:id="1418869414">
      <w:bodyDiv w:val="1"/>
      <w:marLeft w:val="0"/>
      <w:marRight w:val="0"/>
      <w:marTop w:val="0"/>
      <w:marBottom w:val="0"/>
      <w:divBdr>
        <w:top w:val="none" w:sz="0" w:space="0" w:color="auto"/>
        <w:left w:val="none" w:sz="0" w:space="0" w:color="auto"/>
        <w:bottom w:val="none" w:sz="0" w:space="0" w:color="auto"/>
        <w:right w:val="none" w:sz="0" w:space="0" w:color="auto"/>
      </w:divBdr>
    </w:div>
    <w:div w:id="1423911040">
      <w:bodyDiv w:val="1"/>
      <w:marLeft w:val="0"/>
      <w:marRight w:val="0"/>
      <w:marTop w:val="0"/>
      <w:marBottom w:val="0"/>
      <w:divBdr>
        <w:top w:val="none" w:sz="0" w:space="0" w:color="auto"/>
        <w:left w:val="none" w:sz="0" w:space="0" w:color="auto"/>
        <w:bottom w:val="none" w:sz="0" w:space="0" w:color="auto"/>
        <w:right w:val="none" w:sz="0" w:space="0" w:color="auto"/>
      </w:divBdr>
    </w:div>
    <w:div w:id="1431395018">
      <w:bodyDiv w:val="1"/>
      <w:marLeft w:val="0"/>
      <w:marRight w:val="0"/>
      <w:marTop w:val="0"/>
      <w:marBottom w:val="0"/>
      <w:divBdr>
        <w:top w:val="none" w:sz="0" w:space="0" w:color="auto"/>
        <w:left w:val="none" w:sz="0" w:space="0" w:color="auto"/>
        <w:bottom w:val="none" w:sz="0" w:space="0" w:color="auto"/>
        <w:right w:val="none" w:sz="0" w:space="0" w:color="auto"/>
      </w:divBdr>
    </w:div>
    <w:div w:id="1450394775">
      <w:bodyDiv w:val="1"/>
      <w:marLeft w:val="0"/>
      <w:marRight w:val="0"/>
      <w:marTop w:val="0"/>
      <w:marBottom w:val="0"/>
      <w:divBdr>
        <w:top w:val="none" w:sz="0" w:space="0" w:color="auto"/>
        <w:left w:val="none" w:sz="0" w:space="0" w:color="auto"/>
        <w:bottom w:val="none" w:sz="0" w:space="0" w:color="auto"/>
        <w:right w:val="none" w:sz="0" w:space="0" w:color="auto"/>
      </w:divBdr>
    </w:div>
    <w:div w:id="1460143660">
      <w:bodyDiv w:val="1"/>
      <w:marLeft w:val="0"/>
      <w:marRight w:val="0"/>
      <w:marTop w:val="0"/>
      <w:marBottom w:val="0"/>
      <w:divBdr>
        <w:top w:val="none" w:sz="0" w:space="0" w:color="auto"/>
        <w:left w:val="none" w:sz="0" w:space="0" w:color="auto"/>
        <w:bottom w:val="none" w:sz="0" w:space="0" w:color="auto"/>
        <w:right w:val="none" w:sz="0" w:space="0" w:color="auto"/>
      </w:divBdr>
    </w:div>
    <w:div w:id="1466970114">
      <w:bodyDiv w:val="1"/>
      <w:marLeft w:val="0"/>
      <w:marRight w:val="0"/>
      <w:marTop w:val="0"/>
      <w:marBottom w:val="0"/>
      <w:divBdr>
        <w:top w:val="none" w:sz="0" w:space="0" w:color="auto"/>
        <w:left w:val="none" w:sz="0" w:space="0" w:color="auto"/>
        <w:bottom w:val="none" w:sz="0" w:space="0" w:color="auto"/>
        <w:right w:val="none" w:sz="0" w:space="0" w:color="auto"/>
      </w:divBdr>
    </w:div>
    <w:div w:id="1469739650">
      <w:bodyDiv w:val="1"/>
      <w:marLeft w:val="0"/>
      <w:marRight w:val="0"/>
      <w:marTop w:val="0"/>
      <w:marBottom w:val="0"/>
      <w:divBdr>
        <w:top w:val="none" w:sz="0" w:space="0" w:color="auto"/>
        <w:left w:val="none" w:sz="0" w:space="0" w:color="auto"/>
        <w:bottom w:val="none" w:sz="0" w:space="0" w:color="auto"/>
        <w:right w:val="none" w:sz="0" w:space="0" w:color="auto"/>
      </w:divBdr>
    </w:div>
    <w:div w:id="1474787188">
      <w:bodyDiv w:val="1"/>
      <w:marLeft w:val="0"/>
      <w:marRight w:val="0"/>
      <w:marTop w:val="0"/>
      <w:marBottom w:val="0"/>
      <w:divBdr>
        <w:top w:val="none" w:sz="0" w:space="0" w:color="auto"/>
        <w:left w:val="none" w:sz="0" w:space="0" w:color="auto"/>
        <w:bottom w:val="none" w:sz="0" w:space="0" w:color="auto"/>
        <w:right w:val="none" w:sz="0" w:space="0" w:color="auto"/>
      </w:divBdr>
    </w:div>
    <w:div w:id="1475952241">
      <w:bodyDiv w:val="1"/>
      <w:marLeft w:val="0"/>
      <w:marRight w:val="0"/>
      <w:marTop w:val="0"/>
      <w:marBottom w:val="0"/>
      <w:divBdr>
        <w:top w:val="none" w:sz="0" w:space="0" w:color="auto"/>
        <w:left w:val="none" w:sz="0" w:space="0" w:color="auto"/>
        <w:bottom w:val="none" w:sz="0" w:space="0" w:color="auto"/>
        <w:right w:val="none" w:sz="0" w:space="0" w:color="auto"/>
      </w:divBdr>
    </w:div>
    <w:div w:id="1483690876">
      <w:bodyDiv w:val="1"/>
      <w:marLeft w:val="0"/>
      <w:marRight w:val="0"/>
      <w:marTop w:val="0"/>
      <w:marBottom w:val="0"/>
      <w:divBdr>
        <w:top w:val="none" w:sz="0" w:space="0" w:color="auto"/>
        <w:left w:val="none" w:sz="0" w:space="0" w:color="auto"/>
        <w:bottom w:val="none" w:sz="0" w:space="0" w:color="auto"/>
        <w:right w:val="none" w:sz="0" w:space="0" w:color="auto"/>
      </w:divBdr>
    </w:div>
    <w:div w:id="1485660441">
      <w:bodyDiv w:val="1"/>
      <w:marLeft w:val="0"/>
      <w:marRight w:val="0"/>
      <w:marTop w:val="0"/>
      <w:marBottom w:val="0"/>
      <w:divBdr>
        <w:top w:val="none" w:sz="0" w:space="0" w:color="auto"/>
        <w:left w:val="none" w:sz="0" w:space="0" w:color="auto"/>
        <w:bottom w:val="none" w:sz="0" w:space="0" w:color="auto"/>
        <w:right w:val="none" w:sz="0" w:space="0" w:color="auto"/>
      </w:divBdr>
    </w:div>
    <w:div w:id="1489974081">
      <w:bodyDiv w:val="1"/>
      <w:marLeft w:val="0"/>
      <w:marRight w:val="0"/>
      <w:marTop w:val="0"/>
      <w:marBottom w:val="0"/>
      <w:divBdr>
        <w:top w:val="none" w:sz="0" w:space="0" w:color="auto"/>
        <w:left w:val="none" w:sz="0" w:space="0" w:color="auto"/>
        <w:bottom w:val="none" w:sz="0" w:space="0" w:color="auto"/>
        <w:right w:val="none" w:sz="0" w:space="0" w:color="auto"/>
      </w:divBdr>
    </w:div>
    <w:div w:id="1496922963">
      <w:bodyDiv w:val="1"/>
      <w:marLeft w:val="0"/>
      <w:marRight w:val="0"/>
      <w:marTop w:val="0"/>
      <w:marBottom w:val="0"/>
      <w:divBdr>
        <w:top w:val="none" w:sz="0" w:space="0" w:color="auto"/>
        <w:left w:val="none" w:sz="0" w:space="0" w:color="auto"/>
        <w:bottom w:val="none" w:sz="0" w:space="0" w:color="auto"/>
        <w:right w:val="none" w:sz="0" w:space="0" w:color="auto"/>
      </w:divBdr>
    </w:div>
    <w:div w:id="1499613482">
      <w:bodyDiv w:val="1"/>
      <w:marLeft w:val="0"/>
      <w:marRight w:val="0"/>
      <w:marTop w:val="0"/>
      <w:marBottom w:val="0"/>
      <w:divBdr>
        <w:top w:val="none" w:sz="0" w:space="0" w:color="auto"/>
        <w:left w:val="none" w:sz="0" w:space="0" w:color="auto"/>
        <w:bottom w:val="none" w:sz="0" w:space="0" w:color="auto"/>
        <w:right w:val="none" w:sz="0" w:space="0" w:color="auto"/>
      </w:divBdr>
    </w:div>
    <w:div w:id="1504393162">
      <w:bodyDiv w:val="1"/>
      <w:marLeft w:val="0"/>
      <w:marRight w:val="0"/>
      <w:marTop w:val="0"/>
      <w:marBottom w:val="0"/>
      <w:divBdr>
        <w:top w:val="none" w:sz="0" w:space="0" w:color="auto"/>
        <w:left w:val="none" w:sz="0" w:space="0" w:color="auto"/>
        <w:bottom w:val="none" w:sz="0" w:space="0" w:color="auto"/>
        <w:right w:val="none" w:sz="0" w:space="0" w:color="auto"/>
      </w:divBdr>
    </w:div>
    <w:div w:id="1531411774">
      <w:bodyDiv w:val="1"/>
      <w:marLeft w:val="0"/>
      <w:marRight w:val="0"/>
      <w:marTop w:val="0"/>
      <w:marBottom w:val="0"/>
      <w:divBdr>
        <w:top w:val="none" w:sz="0" w:space="0" w:color="auto"/>
        <w:left w:val="none" w:sz="0" w:space="0" w:color="auto"/>
        <w:bottom w:val="none" w:sz="0" w:space="0" w:color="auto"/>
        <w:right w:val="none" w:sz="0" w:space="0" w:color="auto"/>
      </w:divBdr>
    </w:div>
    <w:div w:id="1536507132">
      <w:bodyDiv w:val="1"/>
      <w:marLeft w:val="0"/>
      <w:marRight w:val="0"/>
      <w:marTop w:val="0"/>
      <w:marBottom w:val="0"/>
      <w:divBdr>
        <w:top w:val="none" w:sz="0" w:space="0" w:color="auto"/>
        <w:left w:val="none" w:sz="0" w:space="0" w:color="auto"/>
        <w:bottom w:val="none" w:sz="0" w:space="0" w:color="auto"/>
        <w:right w:val="none" w:sz="0" w:space="0" w:color="auto"/>
      </w:divBdr>
    </w:div>
    <w:div w:id="1557934990">
      <w:bodyDiv w:val="1"/>
      <w:marLeft w:val="0"/>
      <w:marRight w:val="0"/>
      <w:marTop w:val="0"/>
      <w:marBottom w:val="0"/>
      <w:divBdr>
        <w:top w:val="none" w:sz="0" w:space="0" w:color="auto"/>
        <w:left w:val="none" w:sz="0" w:space="0" w:color="auto"/>
        <w:bottom w:val="none" w:sz="0" w:space="0" w:color="auto"/>
        <w:right w:val="none" w:sz="0" w:space="0" w:color="auto"/>
      </w:divBdr>
    </w:div>
    <w:div w:id="1568149508">
      <w:bodyDiv w:val="1"/>
      <w:marLeft w:val="0"/>
      <w:marRight w:val="0"/>
      <w:marTop w:val="0"/>
      <w:marBottom w:val="0"/>
      <w:divBdr>
        <w:top w:val="none" w:sz="0" w:space="0" w:color="auto"/>
        <w:left w:val="none" w:sz="0" w:space="0" w:color="auto"/>
        <w:bottom w:val="none" w:sz="0" w:space="0" w:color="auto"/>
        <w:right w:val="none" w:sz="0" w:space="0" w:color="auto"/>
      </w:divBdr>
    </w:div>
    <w:div w:id="1577862589">
      <w:bodyDiv w:val="1"/>
      <w:marLeft w:val="0"/>
      <w:marRight w:val="0"/>
      <w:marTop w:val="0"/>
      <w:marBottom w:val="0"/>
      <w:divBdr>
        <w:top w:val="none" w:sz="0" w:space="0" w:color="auto"/>
        <w:left w:val="none" w:sz="0" w:space="0" w:color="auto"/>
        <w:bottom w:val="none" w:sz="0" w:space="0" w:color="auto"/>
        <w:right w:val="none" w:sz="0" w:space="0" w:color="auto"/>
      </w:divBdr>
    </w:div>
    <w:div w:id="1580090933">
      <w:bodyDiv w:val="1"/>
      <w:marLeft w:val="0"/>
      <w:marRight w:val="0"/>
      <w:marTop w:val="0"/>
      <w:marBottom w:val="0"/>
      <w:divBdr>
        <w:top w:val="none" w:sz="0" w:space="0" w:color="auto"/>
        <w:left w:val="none" w:sz="0" w:space="0" w:color="auto"/>
        <w:bottom w:val="none" w:sz="0" w:space="0" w:color="auto"/>
        <w:right w:val="none" w:sz="0" w:space="0" w:color="auto"/>
      </w:divBdr>
    </w:div>
    <w:div w:id="1584296455">
      <w:bodyDiv w:val="1"/>
      <w:marLeft w:val="0"/>
      <w:marRight w:val="0"/>
      <w:marTop w:val="0"/>
      <w:marBottom w:val="0"/>
      <w:divBdr>
        <w:top w:val="none" w:sz="0" w:space="0" w:color="auto"/>
        <w:left w:val="none" w:sz="0" w:space="0" w:color="auto"/>
        <w:bottom w:val="none" w:sz="0" w:space="0" w:color="auto"/>
        <w:right w:val="none" w:sz="0" w:space="0" w:color="auto"/>
      </w:divBdr>
    </w:div>
    <w:div w:id="1586374249">
      <w:bodyDiv w:val="1"/>
      <w:marLeft w:val="0"/>
      <w:marRight w:val="0"/>
      <w:marTop w:val="0"/>
      <w:marBottom w:val="0"/>
      <w:divBdr>
        <w:top w:val="none" w:sz="0" w:space="0" w:color="auto"/>
        <w:left w:val="none" w:sz="0" w:space="0" w:color="auto"/>
        <w:bottom w:val="none" w:sz="0" w:space="0" w:color="auto"/>
        <w:right w:val="none" w:sz="0" w:space="0" w:color="auto"/>
      </w:divBdr>
    </w:div>
    <w:div w:id="1597905483">
      <w:bodyDiv w:val="1"/>
      <w:marLeft w:val="0"/>
      <w:marRight w:val="0"/>
      <w:marTop w:val="0"/>
      <w:marBottom w:val="0"/>
      <w:divBdr>
        <w:top w:val="none" w:sz="0" w:space="0" w:color="auto"/>
        <w:left w:val="none" w:sz="0" w:space="0" w:color="auto"/>
        <w:bottom w:val="none" w:sz="0" w:space="0" w:color="auto"/>
        <w:right w:val="none" w:sz="0" w:space="0" w:color="auto"/>
      </w:divBdr>
    </w:div>
    <w:div w:id="1600916598">
      <w:bodyDiv w:val="1"/>
      <w:marLeft w:val="0"/>
      <w:marRight w:val="0"/>
      <w:marTop w:val="0"/>
      <w:marBottom w:val="0"/>
      <w:divBdr>
        <w:top w:val="none" w:sz="0" w:space="0" w:color="auto"/>
        <w:left w:val="none" w:sz="0" w:space="0" w:color="auto"/>
        <w:bottom w:val="none" w:sz="0" w:space="0" w:color="auto"/>
        <w:right w:val="none" w:sz="0" w:space="0" w:color="auto"/>
      </w:divBdr>
    </w:div>
    <w:div w:id="1602713607">
      <w:bodyDiv w:val="1"/>
      <w:marLeft w:val="0"/>
      <w:marRight w:val="0"/>
      <w:marTop w:val="0"/>
      <w:marBottom w:val="0"/>
      <w:divBdr>
        <w:top w:val="none" w:sz="0" w:space="0" w:color="auto"/>
        <w:left w:val="none" w:sz="0" w:space="0" w:color="auto"/>
        <w:bottom w:val="none" w:sz="0" w:space="0" w:color="auto"/>
        <w:right w:val="none" w:sz="0" w:space="0" w:color="auto"/>
      </w:divBdr>
    </w:div>
    <w:div w:id="1607729895">
      <w:bodyDiv w:val="1"/>
      <w:marLeft w:val="0"/>
      <w:marRight w:val="0"/>
      <w:marTop w:val="0"/>
      <w:marBottom w:val="0"/>
      <w:divBdr>
        <w:top w:val="none" w:sz="0" w:space="0" w:color="auto"/>
        <w:left w:val="none" w:sz="0" w:space="0" w:color="auto"/>
        <w:bottom w:val="none" w:sz="0" w:space="0" w:color="auto"/>
        <w:right w:val="none" w:sz="0" w:space="0" w:color="auto"/>
      </w:divBdr>
    </w:div>
    <w:div w:id="1619099606">
      <w:bodyDiv w:val="1"/>
      <w:marLeft w:val="0"/>
      <w:marRight w:val="0"/>
      <w:marTop w:val="0"/>
      <w:marBottom w:val="0"/>
      <w:divBdr>
        <w:top w:val="none" w:sz="0" w:space="0" w:color="auto"/>
        <w:left w:val="none" w:sz="0" w:space="0" w:color="auto"/>
        <w:bottom w:val="none" w:sz="0" w:space="0" w:color="auto"/>
        <w:right w:val="none" w:sz="0" w:space="0" w:color="auto"/>
      </w:divBdr>
    </w:div>
    <w:div w:id="1624727955">
      <w:bodyDiv w:val="1"/>
      <w:marLeft w:val="0"/>
      <w:marRight w:val="0"/>
      <w:marTop w:val="0"/>
      <w:marBottom w:val="0"/>
      <w:divBdr>
        <w:top w:val="none" w:sz="0" w:space="0" w:color="auto"/>
        <w:left w:val="none" w:sz="0" w:space="0" w:color="auto"/>
        <w:bottom w:val="none" w:sz="0" w:space="0" w:color="auto"/>
        <w:right w:val="none" w:sz="0" w:space="0" w:color="auto"/>
      </w:divBdr>
    </w:div>
    <w:div w:id="1629160394">
      <w:bodyDiv w:val="1"/>
      <w:marLeft w:val="0"/>
      <w:marRight w:val="0"/>
      <w:marTop w:val="0"/>
      <w:marBottom w:val="0"/>
      <w:divBdr>
        <w:top w:val="none" w:sz="0" w:space="0" w:color="auto"/>
        <w:left w:val="none" w:sz="0" w:space="0" w:color="auto"/>
        <w:bottom w:val="none" w:sz="0" w:space="0" w:color="auto"/>
        <w:right w:val="none" w:sz="0" w:space="0" w:color="auto"/>
      </w:divBdr>
    </w:div>
    <w:div w:id="1640262309">
      <w:bodyDiv w:val="1"/>
      <w:marLeft w:val="0"/>
      <w:marRight w:val="0"/>
      <w:marTop w:val="0"/>
      <w:marBottom w:val="0"/>
      <w:divBdr>
        <w:top w:val="none" w:sz="0" w:space="0" w:color="auto"/>
        <w:left w:val="none" w:sz="0" w:space="0" w:color="auto"/>
        <w:bottom w:val="none" w:sz="0" w:space="0" w:color="auto"/>
        <w:right w:val="none" w:sz="0" w:space="0" w:color="auto"/>
      </w:divBdr>
    </w:div>
    <w:div w:id="1644845107">
      <w:bodyDiv w:val="1"/>
      <w:marLeft w:val="0"/>
      <w:marRight w:val="0"/>
      <w:marTop w:val="0"/>
      <w:marBottom w:val="0"/>
      <w:divBdr>
        <w:top w:val="none" w:sz="0" w:space="0" w:color="auto"/>
        <w:left w:val="none" w:sz="0" w:space="0" w:color="auto"/>
        <w:bottom w:val="none" w:sz="0" w:space="0" w:color="auto"/>
        <w:right w:val="none" w:sz="0" w:space="0" w:color="auto"/>
      </w:divBdr>
    </w:div>
    <w:div w:id="1647314914">
      <w:bodyDiv w:val="1"/>
      <w:marLeft w:val="0"/>
      <w:marRight w:val="0"/>
      <w:marTop w:val="0"/>
      <w:marBottom w:val="0"/>
      <w:divBdr>
        <w:top w:val="none" w:sz="0" w:space="0" w:color="auto"/>
        <w:left w:val="none" w:sz="0" w:space="0" w:color="auto"/>
        <w:bottom w:val="none" w:sz="0" w:space="0" w:color="auto"/>
        <w:right w:val="none" w:sz="0" w:space="0" w:color="auto"/>
      </w:divBdr>
    </w:div>
    <w:div w:id="1653487130">
      <w:bodyDiv w:val="1"/>
      <w:marLeft w:val="0"/>
      <w:marRight w:val="0"/>
      <w:marTop w:val="0"/>
      <w:marBottom w:val="0"/>
      <w:divBdr>
        <w:top w:val="none" w:sz="0" w:space="0" w:color="auto"/>
        <w:left w:val="none" w:sz="0" w:space="0" w:color="auto"/>
        <w:bottom w:val="none" w:sz="0" w:space="0" w:color="auto"/>
        <w:right w:val="none" w:sz="0" w:space="0" w:color="auto"/>
      </w:divBdr>
    </w:div>
    <w:div w:id="1654069477">
      <w:bodyDiv w:val="1"/>
      <w:marLeft w:val="0"/>
      <w:marRight w:val="0"/>
      <w:marTop w:val="0"/>
      <w:marBottom w:val="0"/>
      <w:divBdr>
        <w:top w:val="none" w:sz="0" w:space="0" w:color="auto"/>
        <w:left w:val="none" w:sz="0" w:space="0" w:color="auto"/>
        <w:bottom w:val="none" w:sz="0" w:space="0" w:color="auto"/>
        <w:right w:val="none" w:sz="0" w:space="0" w:color="auto"/>
      </w:divBdr>
    </w:div>
    <w:div w:id="1659843714">
      <w:bodyDiv w:val="1"/>
      <w:marLeft w:val="0"/>
      <w:marRight w:val="0"/>
      <w:marTop w:val="0"/>
      <w:marBottom w:val="0"/>
      <w:divBdr>
        <w:top w:val="none" w:sz="0" w:space="0" w:color="auto"/>
        <w:left w:val="none" w:sz="0" w:space="0" w:color="auto"/>
        <w:bottom w:val="none" w:sz="0" w:space="0" w:color="auto"/>
        <w:right w:val="none" w:sz="0" w:space="0" w:color="auto"/>
      </w:divBdr>
    </w:div>
    <w:div w:id="1672104295">
      <w:bodyDiv w:val="1"/>
      <w:marLeft w:val="0"/>
      <w:marRight w:val="0"/>
      <w:marTop w:val="0"/>
      <w:marBottom w:val="0"/>
      <w:divBdr>
        <w:top w:val="none" w:sz="0" w:space="0" w:color="auto"/>
        <w:left w:val="none" w:sz="0" w:space="0" w:color="auto"/>
        <w:bottom w:val="none" w:sz="0" w:space="0" w:color="auto"/>
        <w:right w:val="none" w:sz="0" w:space="0" w:color="auto"/>
      </w:divBdr>
    </w:div>
    <w:div w:id="1673290497">
      <w:bodyDiv w:val="1"/>
      <w:marLeft w:val="0"/>
      <w:marRight w:val="0"/>
      <w:marTop w:val="0"/>
      <w:marBottom w:val="0"/>
      <w:divBdr>
        <w:top w:val="none" w:sz="0" w:space="0" w:color="auto"/>
        <w:left w:val="none" w:sz="0" w:space="0" w:color="auto"/>
        <w:bottom w:val="none" w:sz="0" w:space="0" w:color="auto"/>
        <w:right w:val="none" w:sz="0" w:space="0" w:color="auto"/>
      </w:divBdr>
    </w:div>
    <w:div w:id="1677804659">
      <w:bodyDiv w:val="1"/>
      <w:marLeft w:val="0"/>
      <w:marRight w:val="0"/>
      <w:marTop w:val="0"/>
      <w:marBottom w:val="0"/>
      <w:divBdr>
        <w:top w:val="none" w:sz="0" w:space="0" w:color="auto"/>
        <w:left w:val="none" w:sz="0" w:space="0" w:color="auto"/>
        <w:bottom w:val="none" w:sz="0" w:space="0" w:color="auto"/>
        <w:right w:val="none" w:sz="0" w:space="0" w:color="auto"/>
      </w:divBdr>
    </w:div>
    <w:div w:id="1679775449">
      <w:bodyDiv w:val="1"/>
      <w:marLeft w:val="0"/>
      <w:marRight w:val="0"/>
      <w:marTop w:val="0"/>
      <w:marBottom w:val="0"/>
      <w:divBdr>
        <w:top w:val="none" w:sz="0" w:space="0" w:color="auto"/>
        <w:left w:val="none" w:sz="0" w:space="0" w:color="auto"/>
        <w:bottom w:val="none" w:sz="0" w:space="0" w:color="auto"/>
        <w:right w:val="none" w:sz="0" w:space="0" w:color="auto"/>
      </w:divBdr>
    </w:div>
    <w:div w:id="1687176649">
      <w:bodyDiv w:val="1"/>
      <w:marLeft w:val="0"/>
      <w:marRight w:val="0"/>
      <w:marTop w:val="0"/>
      <w:marBottom w:val="0"/>
      <w:divBdr>
        <w:top w:val="none" w:sz="0" w:space="0" w:color="auto"/>
        <w:left w:val="none" w:sz="0" w:space="0" w:color="auto"/>
        <w:bottom w:val="none" w:sz="0" w:space="0" w:color="auto"/>
        <w:right w:val="none" w:sz="0" w:space="0" w:color="auto"/>
      </w:divBdr>
    </w:div>
    <w:div w:id="1688823578">
      <w:bodyDiv w:val="1"/>
      <w:marLeft w:val="0"/>
      <w:marRight w:val="0"/>
      <w:marTop w:val="0"/>
      <w:marBottom w:val="0"/>
      <w:divBdr>
        <w:top w:val="none" w:sz="0" w:space="0" w:color="auto"/>
        <w:left w:val="none" w:sz="0" w:space="0" w:color="auto"/>
        <w:bottom w:val="none" w:sz="0" w:space="0" w:color="auto"/>
        <w:right w:val="none" w:sz="0" w:space="0" w:color="auto"/>
      </w:divBdr>
    </w:div>
    <w:div w:id="1689453966">
      <w:bodyDiv w:val="1"/>
      <w:marLeft w:val="0"/>
      <w:marRight w:val="0"/>
      <w:marTop w:val="0"/>
      <w:marBottom w:val="0"/>
      <w:divBdr>
        <w:top w:val="none" w:sz="0" w:space="0" w:color="auto"/>
        <w:left w:val="none" w:sz="0" w:space="0" w:color="auto"/>
        <w:bottom w:val="none" w:sz="0" w:space="0" w:color="auto"/>
        <w:right w:val="none" w:sz="0" w:space="0" w:color="auto"/>
      </w:divBdr>
    </w:div>
    <w:div w:id="1693072226">
      <w:bodyDiv w:val="1"/>
      <w:marLeft w:val="0"/>
      <w:marRight w:val="0"/>
      <w:marTop w:val="0"/>
      <w:marBottom w:val="0"/>
      <w:divBdr>
        <w:top w:val="none" w:sz="0" w:space="0" w:color="auto"/>
        <w:left w:val="none" w:sz="0" w:space="0" w:color="auto"/>
        <w:bottom w:val="none" w:sz="0" w:space="0" w:color="auto"/>
        <w:right w:val="none" w:sz="0" w:space="0" w:color="auto"/>
      </w:divBdr>
    </w:div>
    <w:div w:id="1695614486">
      <w:bodyDiv w:val="1"/>
      <w:marLeft w:val="0"/>
      <w:marRight w:val="0"/>
      <w:marTop w:val="0"/>
      <w:marBottom w:val="0"/>
      <w:divBdr>
        <w:top w:val="none" w:sz="0" w:space="0" w:color="auto"/>
        <w:left w:val="none" w:sz="0" w:space="0" w:color="auto"/>
        <w:bottom w:val="none" w:sz="0" w:space="0" w:color="auto"/>
        <w:right w:val="none" w:sz="0" w:space="0" w:color="auto"/>
      </w:divBdr>
    </w:div>
    <w:div w:id="1700812946">
      <w:bodyDiv w:val="1"/>
      <w:marLeft w:val="0"/>
      <w:marRight w:val="0"/>
      <w:marTop w:val="0"/>
      <w:marBottom w:val="0"/>
      <w:divBdr>
        <w:top w:val="none" w:sz="0" w:space="0" w:color="auto"/>
        <w:left w:val="none" w:sz="0" w:space="0" w:color="auto"/>
        <w:bottom w:val="none" w:sz="0" w:space="0" w:color="auto"/>
        <w:right w:val="none" w:sz="0" w:space="0" w:color="auto"/>
      </w:divBdr>
    </w:div>
    <w:div w:id="1706520506">
      <w:bodyDiv w:val="1"/>
      <w:marLeft w:val="0"/>
      <w:marRight w:val="0"/>
      <w:marTop w:val="0"/>
      <w:marBottom w:val="0"/>
      <w:divBdr>
        <w:top w:val="none" w:sz="0" w:space="0" w:color="auto"/>
        <w:left w:val="none" w:sz="0" w:space="0" w:color="auto"/>
        <w:bottom w:val="none" w:sz="0" w:space="0" w:color="auto"/>
        <w:right w:val="none" w:sz="0" w:space="0" w:color="auto"/>
      </w:divBdr>
      <w:divsChild>
        <w:div w:id="143737273">
          <w:marLeft w:val="0"/>
          <w:marRight w:val="0"/>
          <w:marTop w:val="0"/>
          <w:marBottom w:val="0"/>
          <w:divBdr>
            <w:top w:val="none" w:sz="0" w:space="0" w:color="auto"/>
            <w:left w:val="none" w:sz="0" w:space="0" w:color="auto"/>
            <w:bottom w:val="none" w:sz="0" w:space="0" w:color="auto"/>
            <w:right w:val="none" w:sz="0" w:space="0" w:color="auto"/>
          </w:divBdr>
        </w:div>
      </w:divsChild>
    </w:div>
    <w:div w:id="1711492554">
      <w:bodyDiv w:val="1"/>
      <w:marLeft w:val="0"/>
      <w:marRight w:val="0"/>
      <w:marTop w:val="0"/>
      <w:marBottom w:val="0"/>
      <w:divBdr>
        <w:top w:val="none" w:sz="0" w:space="0" w:color="auto"/>
        <w:left w:val="none" w:sz="0" w:space="0" w:color="auto"/>
        <w:bottom w:val="none" w:sz="0" w:space="0" w:color="auto"/>
        <w:right w:val="none" w:sz="0" w:space="0" w:color="auto"/>
      </w:divBdr>
    </w:div>
    <w:div w:id="1716390895">
      <w:bodyDiv w:val="1"/>
      <w:marLeft w:val="0"/>
      <w:marRight w:val="0"/>
      <w:marTop w:val="0"/>
      <w:marBottom w:val="0"/>
      <w:divBdr>
        <w:top w:val="none" w:sz="0" w:space="0" w:color="auto"/>
        <w:left w:val="none" w:sz="0" w:space="0" w:color="auto"/>
        <w:bottom w:val="none" w:sz="0" w:space="0" w:color="auto"/>
        <w:right w:val="none" w:sz="0" w:space="0" w:color="auto"/>
      </w:divBdr>
    </w:div>
    <w:div w:id="1720402285">
      <w:bodyDiv w:val="1"/>
      <w:marLeft w:val="0"/>
      <w:marRight w:val="0"/>
      <w:marTop w:val="0"/>
      <w:marBottom w:val="0"/>
      <w:divBdr>
        <w:top w:val="none" w:sz="0" w:space="0" w:color="auto"/>
        <w:left w:val="none" w:sz="0" w:space="0" w:color="auto"/>
        <w:bottom w:val="none" w:sz="0" w:space="0" w:color="auto"/>
        <w:right w:val="none" w:sz="0" w:space="0" w:color="auto"/>
      </w:divBdr>
    </w:div>
    <w:div w:id="1722636626">
      <w:bodyDiv w:val="1"/>
      <w:marLeft w:val="0"/>
      <w:marRight w:val="0"/>
      <w:marTop w:val="0"/>
      <w:marBottom w:val="0"/>
      <w:divBdr>
        <w:top w:val="none" w:sz="0" w:space="0" w:color="auto"/>
        <w:left w:val="none" w:sz="0" w:space="0" w:color="auto"/>
        <w:bottom w:val="none" w:sz="0" w:space="0" w:color="auto"/>
        <w:right w:val="none" w:sz="0" w:space="0" w:color="auto"/>
      </w:divBdr>
    </w:div>
    <w:div w:id="1724326382">
      <w:bodyDiv w:val="1"/>
      <w:marLeft w:val="0"/>
      <w:marRight w:val="0"/>
      <w:marTop w:val="0"/>
      <w:marBottom w:val="0"/>
      <w:divBdr>
        <w:top w:val="none" w:sz="0" w:space="0" w:color="auto"/>
        <w:left w:val="none" w:sz="0" w:space="0" w:color="auto"/>
        <w:bottom w:val="none" w:sz="0" w:space="0" w:color="auto"/>
        <w:right w:val="none" w:sz="0" w:space="0" w:color="auto"/>
      </w:divBdr>
    </w:div>
    <w:div w:id="1727752301">
      <w:bodyDiv w:val="1"/>
      <w:marLeft w:val="0"/>
      <w:marRight w:val="0"/>
      <w:marTop w:val="0"/>
      <w:marBottom w:val="0"/>
      <w:divBdr>
        <w:top w:val="none" w:sz="0" w:space="0" w:color="auto"/>
        <w:left w:val="none" w:sz="0" w:space="0" w:color="auto"/>
        <w:bottom w:val="none" w:sz="0" w:space="0" w:color="auto"/>
        <w:right w:val="none" w:sz="0" w:space="0" w:color="auto"/>
      </w:divBdr>
    </w:div>
    <w:div w:id="1732195862">
      <w:bodyDiv w:val="1"/>
      <w:marLeft w:val="0"/>
      <w:marRight w:val="0"/>
      <w:marTop w:val="0"/>
      <w:marBottom w:val="0"/>
      <w:divBdr>
        <w:top w:val="none" w:sz="0" w:space="0" w:color="auto"/>
        <w:left w:val="none" w:sz="0" w:space="0" w:color="auto"/>
        <w:bottom w:val="none" w:sz="0" w:space="0" w:color="auto"/>
        <w:right w:val="none" w:sz="0" w:space="0" w:color="auto"/>
      </w:divBdr>
    </w:div>
    <w:div w:id="1752313652">
      <w:bodyDiv w:val="1"/>
      <w:marLeft w:val="0"/>
      <w:marRight w:val="0"/>
      <w:marTop w:val="0"/>
      <w:marBottom w:val="0"/>
      <w:divBdr>
        <w:top w:val="none" w:sz="0" w:space="0" w:color="auto"/>
        <w:left w:val="none" w:sz="0" w:space="0" w:color="auto"/>
        <w:bottom w:val="none" w:sz="0" w:space="0" w:color="auto"/>
        <w:right w:val="none" w:sz="0" w:space="0" w:color="auto"/>
      </w:divBdr>
    </w:div>
    <w:div w:id="1759672856">
      <w:bodyDiv w:val="1"/>
      <w:marLeft w:val="0"/>
      <w:marRight w:val="0"/>
      <w:marTop w:val="0"/>
      <w:marBottom w:val="0"/>
      <w:divBdr>
        <w:top w:val="none" w:sz="0" w:space="0" w:color="auto"/>
        <w:left w:val="none" w:sz="0" w:space="0" w:color="auto"/>
        <w:bottom w:val="none" w:sz="0" w:space="0" w:color="auto"/>
        <w:right w:val="none" w:sz="0" w:space="0" w:color="auto"/>
      </w:divBdr>
    </w:div>
    <w:div w:id="1760446972">
      <w:bodyDiv w:val="1"/>
      <w:marLeft w:val="0"/>
      <w:marRight w:val="0"/>
      <w:marTop w:val="0"/>
      <w:marBottom w:val="0"/>
      <w:divBdr>
        <w:top w:val="none" w:sz="0" w:space="0" w:color="auto"/>
        <w:left w:val="none" w:sz="0" w:space="0" w:color="auto"/>
        <w:bottom w:val="none" w:sz="0" w:space="0" w:color="auto"/>
        <w:right w:val="none" w:sz="0" w:space="0" w:color="auto"/>
      </w:divBdr>
    </w:div>
    <w:div w:id="1761177839">
      <w:bodyDiv w:val="1"/>
      <w:marLeft w:val="0"/>
      <w:marRight w:val="0"/>
      <w:marTop w:val="0"/>
      <w:marBottom w:val="0"/>
      <w:divBdr>
        <w:top w:val="none" w:sz="0" w:space="0" w:color="auto"/>
        <w:left w:val="none" w:sz="0" w:space="0" w:color="auto"/>
        <w:bottom w:val="none" w:sz="0" w:space="0" w:color="auto"/>
        <w:right w:val="none" w:sz="0" w:space="0" w:color="auto"/>
      </w:divBdr>
    </w:div>
    <w:div w:id="1761873312">
      <w:bodyDiv w:val="1"/>
      <w:marLeft w:val="0"/>
      <w:marRight w:val="0"/>
      <w:marTop w:val="0"/>
      <w:marBottom w:val="0"/>
      <w:divBdr>
        <w:top w:val="none" w:sz="0" w:space="0" w:color="auto"/>
        <w:left w:val="none" w:sz="0" w:space="0" w:color="auto"/>
        <w:bottom w:val="none" w:sz="0" w:space="0" w:color="auto"/>
        <w:right w:val="none" w:sz="0" w:space="0" w:color="auto"/>
      </w:divBdr>
    </w:div>
    <w:div w:id="1762332851">
      <w:bodyDiv w:val="1"/>
      <w:marLeft w:val="0"/>
      <w:marRight w:val="0"/>
      <w:marTop w:val="0"/>
      <w:marBottom w:val="0"/>
      <w:divBdr>
        <w:top w:val="none" w:sz="0" w:space="0" w:color="auto"/>
        <w:left w:val="none" w:sz="0" w:space="0" w:color="auto"/>
        <w:bottom w:val="none" w:sz="0" w:space="0" w:color="auto"/>
        <w:right w:val="none" w:sz="0" w:space="0" w:color="auto"/>
      </w:divBdr>
    </w:div>
    <w:div w:id="1762678989">
      <w:bodyDiv w:val="1"/>
      <w:marLeft w:val="0"/>
      <w:marRight w:val="0"/>
      <w:marTop w:val="0"/>
      <w:marBottom w:val="0"/>
      <w:divBdr>
        <w:top w:val="none" w:sz="0" w:space="0" w:color="auto"/>
        <w:left w:val="none" w:sz="0" w:space="0" w:color="auto"/>
        <w:bottom w:val="none" w:sz="0" w:space="0" w:color="auto"/>
        <w:right w:val="none" w:sz="0" w:space="0" w:color="auto"/>
      </w:divBdr>
    </w:div>
    <w:div w:id="1763260627">
      <w:bodyDiv w:val="1"/>
      <w:marLeft w:val="0"/>
      <w:marRight w:val="0"/>
      <w:marTop w:val="0"/>
      <w:marBottom w:val="0"/>
      <w:divBdr>
        <w:top w:val="none" w:sz="0" w:space="0" w:color="auto"/>
        <w:left w:val="none" w:sz="0" w:space="0" w:color="auto"/>
        <w:bottom w:val="none" w:sz="0" w:space="0" w:color="auto"/>
        <w:right w:val="none" w:sz="0" w:space="0" w:color="auto"/>
      </w:divBdr>
    </w:div>
    <w:div w:id="1768113193">
      <w:bodyDiv w:val="1"/>
      <w:marLeft w:val="0"/>
      <w:marRight w:val="0"/>
      <w:marTop w:val="0"/>
      <w:marBottom w:val="0"/>
      <w:divBdr>
        <w:top w:val="none" w:sz="0" w:space="0" w:color="auto"/>
        <w:left w:val="none" w:sz="0" w:space="0" w:color="auto"/>
        <w:bottom w:val="none" w:sz="0" w:space="0" w:color="auto"/>
        <w:right w:val="none" w:sz="0" w:space="0" w:color="auto"/>
      </w:divBdr>
    </w:div>
    <w:div w:id="1785419667">
      <w:bodyDiv w:val="1"/>
      <w:marLeft w:val="0"/>
      <w:marRight w:val="0"/>
      <w:marTop w:val="0"/>
      <w:marBottom w:val="0"/>
      <w:divBdr>
        <w:top w:val="none" w:sz="0" w:space="0" w:color="auto"/>
        <w:left w:val="none" w:sz="0" w:space="0" w:color="auto"/>
        <w:bottom w:val="none" w:sz="0" w:space="0" w:color="auto"/>
        <w:right w:val="none" w:sz="0" w:space="0" w:color="auto"/>
      </w:divBdr>
    </w:div>
    <w:div w:id="1785925582">
      <w:bodyDiv w:val="1"/>
      <w:marLeft w:val="0"/>
      <w:marRight w:val="0"/>
      <w:marTop w:val="0"/>
      <w:marBottom w:val="0"/>
      <w:divBdr>
        <w:top w:val="none" w:sz="0" w:space="0" w:color="auto"/>
        <w:left w:val="none" w:sz="0" w:space="0" w:color="auto"/>
        <w:bottom w:val="none" w:sz="0" w:space="0" w:color="auto"/>
        <w:right w:val="none" w:sz="0" w:space="0" w:color="auto"/>
      </w:divBdr>
    </w:div>
    <w:div w:id="1787239281">
      <w:bodyDiv w:val="1"/>
      <w:marLeft w:val="0"/>
      <w:marRight w:val="0"/>
      <w:marTop w:val="0"/>
      <w:marBottom w:val="0"/>
      <w:divBdr>
        <w:top w:val="none" w:sz="0" w:space="0" w:color="auto"/>
        <w:left w:val="none" w:sz="0" w:space="0" w:color="auto"/>
        <w:bottom w:val="none" w:sz="0" w:space="0" w:color="auto"/>
        <w:right w:val="none" w:sz="0" w:space="0" w:color="auto"/>
      </w:divBdr>
    </w:div>
    <w:div w:id="1787383073">
      <w:bodyDiv w:val="1"/>
      <w:marLeft w:val="0"/>
      <w:marRight w:val="0"/>
      <w:marTop w:val="0"/>
      <w:marBottom w:val="0"/>
      <w:divBdr>
        <w:top w:val="none" w:sz="0" w:space="0" w:color="auto"/>
        <w:left w:val="none" w:sz="0" w:space="0" w:color="auto"/>
        <w:bottom w:val="none" w:sz="0" w:space="0" w:color="auto"/>
        <w:right w:val="none" w:sz="0" w:space="0" w:color="auto"/>
      </w:divBdr>
    </w:div>
    <w:div w:id="1787969283">
      <w:bodyDiv w:val="1"/>
      <w:marLeft w:val="0"/>
      <w:marRight w:val="0"/>
      <w:marTop w:val="0"/>
      <w:marBottom w:val="0"/>
      <w:divBdr>
        <w:top w:val="none" w:sz="0" w:space="0" w:color="auto"/>
        <w:left w:val="none" w:sz="0" w:space="0" w:color="auto"/>
        <w:bottom w:val="none" w:sz="0" w:space="0" w:color="auto"/>
        <w:right w:val="none" w:sz="0" w:space="0" w:color="auto"/>
      </w:divBdr>
    </w:div>
    <w:div w:id="1789347600">
      <w:bodyDiv w:val="1"/>
      <w:marLeft w:val="0"/>
      <w:marRight w:val="0"/>
      <w:marTop w:val="0"/>
      <w:marBottom w:val="0"/>
      <w:divBdr>
        <w:top w:val="none" w:sz="0" w:space="0" w:color="auto"/>
        <w:left w:val="none" w:sz="0" w:space="0" w:color="auto"/>
        <w:bottom w:val="none" w:sz="0" w:space="0" w:color="auto"/>
        <w:right w:val="none" w:sz="0" w:space="0" w:color="auto"/>
      </w:divBdr>
    </w:div>
    <w:div w:id="1798990023">
      <w:bodyDiv w:val="1"/>
      <w:marLeft w:val="0"/>
      <w:marRight w:val="0"/>
      <w:marTop w:val="0"/>
      <w:marBottom w:val="0"/>
      <w:divBdr>
        <w:top w:val="none" w:sz="0" w:space="0" w:color="auto"/>
        <w:left w:val="none" w:sz="0" w:space="0" w:color="auto"/>
        <w:bottom w:val="none" w:sz="0" w:space="0" w:color="auto"/>
        <w:right w:val="none" w:sz="0" w:space="0" w:color="auto"/>
      </w:divBdr>
    </w:div>
    <w:div w:id="1808164626">
      <w:bodyDiv w:val="1"/>
      <w:marLeft w:val="0"/>
      <w:marRight w:val="0"/>
      <w:marTop w:val="0"/>
      <w:marBottom w:val="0"/>
      <w:divBdr>
        <w:top w:val="none" w:sz="0" w:space="0" w:color="auto"/>
        <w:left w:val="none" w:sz="0" w:space="0" w:color="auto"/>
        <w:bottom w:val="none" w:sz="0" w:space="0" w:color="auto"/>
        <w:right w:val="none" w:sz="0" w:space="0" w:color="auto"/>
      </w:divBdr>
    </w:div>
    <w:div w:id="1817382135">
      <w:bodyDiv w:val="1"/>
      <w:marLeft w:val="0"/>
      <w:marRight w:val="0"/>
      <w:marTop w:val="0"/>
      <w:marBottom w:val="0"/>
      <w:divBdr>
        <w:top w:val="none" w:sz="0" w:space="0" w:color="auto"/>
        <w:left w:val="none" w:sz="0" w:space="0" w:color="auto"/>
        <w:bottom w:val="none" w:sz="0" w:space="0" w:color="auto"/>
        <w:right w:val="none" w:sz="0" w:space="0" w:color="auto"/>
      </w:divBdr>
    </w:div>
    <w:div w:id="1820345524">
      <w:bodyDiv w:val="1"/>
      <w:marLeft w:val="0"/>
      <w:marRight w:val="0"/>
      <w:marTop w:val="0"/>
      <w:marBottom w:val="0"/>
      <w:divBdr>
        <w:top w:val="none" w:sz="0" w:space="0" w:color="auto"/>
        <w:left w:val="none" w:sz="0" w:space="0" w:color="auto"/>
        <w:bottom w:val="none" w:sz="0" w:space="0" w:color="auto"/>
        <w:right w:val="none" w:sz="0" w:space="0" w:color="auto"/>
      </w:divBdr>
    </w:div>
    <w:div w:id="1829398499">
      <w:bodyDiv w:val="1"/>
      <w:marLeft w:val="0"/>
      <w:marRight w:val="0"/>
      <w:marTop w:val="0"/>
      <w:marBottom w:val="0"/>
      <w:divBdr>
        <w:top w:val="none" w:sz="0" w:space="0" w:color="auto"/>
        <w:left w:val="none" w:sz="0" w:space="0" w:color="auto"/>
        <w:bottom w:val="none" w:sz="0" w:space="0" w:color="auto"/>
        <w:right w:val="none" w:sz="0" w:space="0" w:color="auto"/>
      </w:divBdr>
    </w:div>
    <w:div w:id="1834444086">
      <w:bodyDiv w:val="1"/>
      <w:marLeft w:val="0"/>
      <w:marRight w:val="0"/>
      <w:marTop w:val="0"/>
      <w:marBottom w:val="0"/>
      <w:divBdr>
        <w:top w:val="none" w:sz="0" w:space="0" w:color="auto"/>
        <w:left w:val="none" w:sz="0" w:space="0" w:color="auto"/>
        <w:bottom w:val="none" w:sz="0" w:space="0" w:color="auto"/>
        <w:right w:val="none" w:sz="0" w:space="0" w:color="auto"/>
      </w:divBdr>
    </w:div>
    <w:div w:id="1862432073">
      <w:bodyDiv w:val="1"/>
      <w:marLeft w:val="0"/>
      <w:marRight w:val="0"/>
      <w:marTop w:val="0"/>
      <w:marBottom w:val="0"/>
      <w:divBdr>
        <w:top w:val="none" w:sz="0" w:space="0" w:color="auto"/>
        <w:left w:val="none" w:sz="0" w:space="0" w:color="auto"/>
        <w:bottom w:val="none" w:sz="0" w:space="0" w:color="auto"/>
        <w:right w:val="none" w:sz="0" w:space="0" w:color="auto"/>
      </w:divBdr>
    </w:div>
    <w:div w:id="1870293015">
      <w:bodyDiv w:val="1"/>
      <w:marLeft w:val="0"/>
      <w:marRight w:val="0"/>
      <w:marTop w:val="0"/>
      <w:marBottom w:val="0"/>
      <w:divBdr>
        <w:top w:val="none" w:sz="0" w:space="0" w:color="auto"/>
        <w:left w:val="none" w:sz="0" w:space="0" w:color="auto"/>
        <w:bottom w:val="none" w:sz="0" w:space="0" w:color="auto"/>
        <w:right w:val="none" w:sz="0" w:space="0" w:color="auto"/>
      </w:divBdr>
    </w:div>
    <w:div w:id="1884753330">
      <w:bodyDiv w:val="1"/>
      <w:marLeft w:val="0"/>
      <w:marRight w:val="0"/>
      <w:marTop w:val="0"/>
      <w:marBottom w:val="0"/>
      <w:divBdr>
        <w:top w:val="none" w:sz="0" w:space="0" w:color="auto"/>
        <w:left w:val="none" w:sz="0" w:space="0" w:color="auto"/>
        <w:bottom w:val="none" w:sz="0" w:space="0" w:color="auto"/>
        <w:right w:val="none" w:sz="0" w:space="0" w:color="auto"/>
      </w:divBdr>
    </w:div>
    <w:div w:id="1899634379">
      <w:bodyDiv w:val="1"/>
      <w:marLeft w:val="0"/>
      <w:marRight w:val="0"/>
      <w:marTop w:val="0"/>
      <w:marBottom w:val="0"/>
      <w:divBdr>
        <w:top w:val="none" w:sz="0" w:space="0" w:color="auto"/>
        <w:left w:val="none" w:sz="0" w:space="0" w:color="auto"/>
        <w:bottom w:val="none" w:sz="0" w:space="0" w:color="auto"/>
        <w:right w:val="none" w:sz="0" w:space="0" w:color="auto"/>
      </w:divBdr>
    </w:div>
    <w:div w:id="1901400886">
      <w:bodyDiv w:val="1"/>
      <w:marLeft w:val="0"/>
      <w:marRight w:val="0"/>
      <w:marTop w:val="0"/>
      <w:marBottom w:val="0"/>
      <w:divBdr>
        <w:top w:val="none" w:sz="0" w:space="0" w:color="auto"/>
        <w:left w:val="none" w:sz="0" w:space="0" w:color="auto"/>
        <w:bottom w:val="none" w:sz="0" w:space="0" w:color="auto"/>
        <w:right w:val="none" w:sz="0" w:space="0" w:color="auto"/>
      </w:divBdr>
    </w:div>
    <w:div w:id="1904873927">
      <w:bodyDiv w:val="1"/>
      <w:marLeft w:val="0"/>
      <w:marRight w:val="0"/>
      <w:marTop w:val="0"/>
      <w:marBottom w:val="0"/>
      <w:divBdr>
        <w:top w:val="none" w:sz="0" w:space="0" w:color="auto"/>
        <w:left w:val="none" w:sz="0" w:space="0" w:color="auto"/>
        <w:bottom w:val="none" w:sz="0" w:space="0" w:color="auto"/>
        <w:right w:val="none" w:sz="0" w:space="0" w:color="auto"/>
      </w:divBdr>
    </w:div>
    <w:div w:id="1908758163">
      <w:bodyDiv w:val="1"/>
      <w:marLeft w:val="0"/>
      <w:marRight w:val="0"/>
      <w:marTop w:val="0"/>
      <w:marBottom w:val="0"/>
      <w:divBdr>
        <w:top w:val="none" w:sz="0" w:space="0" w:color="auto"/>
        <w:left w:val="none" w:sz="0" w:space="0" w:color="auto"/>
        <w:bottom w:val="none" w:sz="0" w:space="0" w:color="auto"/>
        <w:right w:val="none" w:sz="0" w:space="0" w:color="auto"/>
      </w:divBdr>
    </w:div>
    <w:div w:id="1909605047">
      <w:bodyDiv w:val="1"/>
      <w:marLeft w:val="0"/>
      <w:marRight w:val="0"/>
      <w:marTop w:val="0"/>
      <w:marBottom w:val="0"/>
      <w:divBdr>
        <w:top w:val="none" w:sz="0" w:space="0" w:color="auto"/>
        <w:left w:val="none" w:sz="0" w:space="0" w:color="auto"/>
        <w:bottom w:val="none" w:sz="0" w:space="0" w:color="auto"/>
        <w:right w:val="none" w:sz="0" w:space="0" w:color="auto"/>
      </w:divBdr>
    </w:div>
    <w:div w:id="1917402434">
      <w:bodyDiv w:val="1"/>
      <w:marLeft w:val="0"/>
      <w:marRight w:val="0"/>
      <w:marTop w:val="0"/>
      <w:marBottom w:val="0"/>
      <w:divBdr>
        <w:top w:val="none" w:sz="0" w:space="0" w:color="auto"/>
        <w:left w:val="none" w:sz="0" w:space="0" w:color="auto"/>
        <w:bottom w:val="none" w:sz="0" w:space="0" w:color="auto"/>
        <w:right w:val="none" w:sz="0" w:space="0" w:color="auto"/>
      </w:divBdr>
    </w:div>
    <w:div w:id="1926105219">
      <w:bodyDiv w:val="1"/>
      <w:marLeft w:val="0"/>
      <w:marRight w:val="0"/>
      <w:marTop w:val="0"/>
      <w:marBottom w:val="0"/>
      <w:divBdr>
        <w:top w:val="none" w:sz="0" w:space="0" w:color="auto"/>
        <w:left w:val="none" w:sz="0" w:space="0" w:color="auto"/>
        <w:bottom w:val="none" w:sz="0" w:space="0" w:color="auto"/>
        <w:right w:val="none" w:sz="0" w:space="0" w:color="auto"/>
      </w:divBdr>
    </w:div>
    <w:div w:id="1934435836">
      <w:bodyDiv w:val="1"/>
      <w:marLeft w:val="0"/>
      <w:marRight w:val="0"/>
      <w:marTop w:val="0"/>
      <w:marBottom w:val="0"/>
      <w:divBdr>
        <w:top w:val="none" w:sz="0" w:space="0" w:color="auto"/>
        <w:left w:val="none" w:sz="0" w:space="0" w:color="auto"/>
        <w:bottom w:val="none" w:sz="0" w:space="0" w:color="auto"/>
        <w:right w:val="none" w:sz="0" w:space="0" w:color="auto"/>
      </w:divBdr>
    </w:div>
    <w:div w:id="1956210291">
      <w:bodyDiv w:val="1"/>
      <w:marLeft w:val="0"/>
      <w:marRight w:val="0"/>
      <w:marTop w:val="0"/>
      <w:marBottom w:val="0"/>
      <w:divBdr>
        <w:top w:val="none" w:sz="0" w:space="0" w:color="auto"/>
        <w:left w:val="none" w:sz="0" w:space="0" w:color="auto"/>
        <w:bottom w:val="none" w:sz="0" w:space="0" w:color="auto"/>
        <w:right w:val="none" w:sz="0" w:space="0" w:color="auto"/>
      </w:divBdr>
    </w:div>
    <w:div w:id="1962300417">
      <w:bodyDiv w:val="1"/>
      <w:marLeft w:val="0"/>
      <w:marRight w:val="0"/>
      <w:marTop w:val="0"/>
      <w:marBottom w:val="0"/>
      <w:divBdr>
        <w:top w:val="none" w:sz="0" w:space="0" w:color="auto"/>
        <w:left w:val="none" w:sz="0" w:space="0" w:color="auto"/>
        <w:bottom w:val="none" w:sz="0" w:space="0" w:color="auto"/>
        <w:right w:val="none" w:sz="0" w:space="0" w:color="auto"/>
      </w:divBdr>
    </w:div>
    <w:div w:id="1971393894">
      <w:bodyDiv w:val="1"/>
      <w:marLeft w:val="0"/>
      <w:marRight w:val="0"/>
      <w:marTop w:val="0"/>
      <w:marBottom w:val="0"/>
      <w:divBdr>
        <w:top w:val="none" w:sz="0" w:space="0" w:color="auto"/>
        <w:left w:val="none" w:sz="0" w:space="0" w:color="auto"/>
        <w:bottom w:val="none" w:sz="0" w:space="0" w:color="auto"/>
        <w:right w:val="none" w:sz="0" w:space="0" w:color="auto"/>
      </w:divBdr>
    </w:div>
    <w:div w:id="1981765042">
      <w:bodyDiv w:val="1"/>
      <w:marLeft w:val="0"/>
      <w:marRight w:val="0"/>
      <w:marTop w:val="0"/>
      <w:marBottom w:val="0"/>
      <w:divBdr>
        <w:top w:val="none" w:sz="0" w:space="0" w:color="auto"/>
        <w:left w:val="none" w:sz="0" w:space="0" w:color="auto"/>
        <w:bottom w:val="none" w:sz="0" w:space="0" w:color="auto"/>
        <w:right w:val="none" w:sz="0" w:space="0" w:color="auto"/>
      </w:divBdr>
    </w:div>
    <w:div w:id="1987777336">
      <w:bodyDiv w:val="1"/>
      <w:marLeft w:val="0"/>
      <w:marRight w:val="0"/>
      <w:marTop w:val="0"/>
      <w:marBottom w:val="0"/>
      <w:divBdr>
        <w:top w:val="none" w:sz="0" w:space="0" w:color="auto"/>
        <w:left w:val="none" w:sz="0" w:space="0" w:color="auto"/>
        <w:bottom w:val="none" w:sz="0" w:space="0" w:color="auto"/>
        <w:right w:val="none" w:sz="0" w:space="0" w:color="auto"/>
      </w:divBdr>
    </w:div>
    <w:div w:id="1989244446">
      <w:bodyDiv w:val="1"/>
      <w:marLeft w:val="0"/>
      <w:marRight w:val="0"/>
      <w:marTop w:val="0"/>
      <w:marBottom w:val="0"/>
      <w:divBdr>
        <w:top w:val="none" w:sz="0" w:space="0" w:color="auto"/>
        <w:left w:val="none" w:sz="0" w:space="0" w:color="auto"/>
        <w:bottom w:val="none" w:sz="0" w:space="0" w:color="auto"/>
        <w:right w:val="none" w:sz="0" w:space="0" w:color="auto"/>
      </w:divBdr>
    </w:div>
    <w:div w:id="1989438848">
      <w:bodyDiv w:val="1"/>
      <w:marLeft w:val="0"/>
      <w:marRight w:val="0"/>
      <w:marTop w:val="0"/>
      <w:marBottom w:val="0"/>
      <w:divBdr>
        <w:top w:val="none" w:sz="0" w:space="0" w:color="auto"/>
        <w:left w:val="none" w:sz="0" w:space="0" w:color="auto"/>
        <w:bottom w:val="none" w:sz="0" w:space="0" w:color="auto"/>
        <w:right w:val="none" w:sz="0" w:space="0" w:color="auto"/>
      </w:divBdr>
    </w:div>
    <w:div w:id="1996763452">
      <w:bodyDiv w:val="1"/>
      <w:marLeft w:val="0"/>
      <w:marRight w:val="0"/>
      <w:marTop w:val="0"/>
      <w:marBottom w:val="0"/>
      <w:divBdr>
        <w:top w:val="none" w:sz="0" w:space="0" w:color="auto"/>
        <w:left w:val="none" w:sz="0" w:space="0" w:color="auto"/>
        <w:bottom w:val="none" w:sz="0" w:space="0" w:color="auto"/>
        <w:right w:val="none" w:sz="0" w:space="0" w:color="auto"/>
      </w:divBdr>
    </w:div>
    <w:div w:id="2013677851">
      <w:bodyDiv w:val="1"/>
      <w:marLeft w:val="0"/>
      <w:marRight w:val="0"/>
      <w:marTop w:val="0"/>
      <w:marBottom w:val="0"/>
      <w:divBdr>
        <w:top w:val="none" w:sz="0" w:space="0" w:color="auto"/>
        <w:left w:val="none" w:sz="0" w:space="0" w:color="auto"/>
        <w:bottom w:val="none" w:sz="0" w:space="0" w:color="auto"/>
        <w:right w:val="none" w:sz="0" w:space="0" w:color="auto"/>
      </w:divBdr>
    </w:div>
    <w:div w:id="2014725006">
      <w:bodyDiv w:val="1"/>
      <w:marLeft w:val="0"/>
      <w:marRight w:val="0"/>
      <w:marTop w:val="0"/>
      <w:marBottom w:val="0"/>
      <w:divBdr>
        <w:top w:val="none" w:sz="0" w:space="0" w:color="auto"/>
        <w:left w:val="none" w:sz="0" w:space="0" w:color="auto"/>
        <w:bottom w:val="none" w:sz="0" w:space="0" w:color="auto"/>
        <w:right w:val="none" w:sz="0" w:space="0" w:color="auto"/>
      </w:divBdr>
    </w:div>
    <w:div w:id="2016226663">
      <w:bodyDiv w:val="1"/>
      <w:marLeft w:val="0"/>
      <w:marRight w:val="0"/>
      <w:marTop w:val="0"/>
      <w:marBottom w:val="0"/>
      <w:divBdr>
        <w:top w:val="none" w:sz="0" w:space="0" w:color="auto"/>
        <w:left w:val="none" w:sz="0" w:space="0" w:color="auto"/>
        <w:bottom w:val="none" w:sz="0" w:space="0" w:color="auto"/>
        <w:right w:val="none" w:sz="0" w:space="0" w:color="auto"/>
      </w:divBdr>
    </w:div>
    <w:div w:id="2026403341">
      <w:bodyDiv w:val="1"/>
      <w:marLeft w:val="0"/>
      <w:marRight w:val="0"/>
      <w:marTop w:val="0"/>
      <w:marBottom w:val="0"/>
      <w:divBdr>
        <w:top w:val="none" w:sz="0" w:space="0" w:color="auto"/>
        <w:left w:val="none" w:sz="0" w:space="0" w:color="auto"/>
        <w:bottom w:val="none" w:sz="0" w:space="0" w:color="auto"/>
        <w:right w:val="none" w:sz="0" w:space="0" w:color="auto"/>
      </w:divBdr>
    </w:div>
    <w:div w:id="2034189024">
      <w:bodyDiv w:val="1"/>
      <w:marLeft w:val="0"/>
      <w:marRight w:val="0"/>
      <w:marTop w:val="0"/>
      <w:marBottom w:val="0"/>
      <w:divBdr>
        <w:top w:val="none" w:sz="0" w:space="0" w:color="auto"/>
        <w:left w:val="none" w:sz="0" w:space="0" w:color="auto"/>
        <w:bottom w:val="none" w:sz="0" w:space="0" w:color="auto"/>
        <w:right w:val="none" w:sz="0" w:space="0" w:color="auto"/>
      </w:divBdr>
    </w:div>
    <w:div w:id="2044820748">
      <w:bodyDiv w:val="1"/>
      <w:marLeft w:val="0"/>
      <w:marRight w:val="0"/>
      <w:marTop w:val="0"/>
      <w:marBottom w:val="0"/>
      <w:divBdr>
        <w:top w:val="none" w:sz="0" w:space="0" w:color="auto"/>
        <w:left w:val="none" w:sz="0" w:space="0" w:color="auto"/>
        <w:bottom w:val="none" w:sz="0" w:space="0" w:color="auto"/>
        <w:right w:val="none" w:sz="0" w:space="0" w:color="auto"/>
      </w:divBdr>
    </w:div>
    <w:div w:id="2047748951">
      <w:bodyDiv w:val="1"/>
      <w:marLeft w:val="0"/>
      <w:marRight w:val="0"/>
      <w:marTop w:val="0"/>
      <w:marBottom w:val="0"/>
      <w:divBdr>
        <w:top w:val="none" w:sz="0" w:space="0" w:color="auto"/>
        <w:left w:val="none" w:sz="0" w:space="0" w:color="auto"/>
        <w:bottom w:val="none" w:sz="0" w:space="0" w:color="auto"/>
        <w:right w:val="none" w:sz="0" w:space="0" w:color="auto"/>
      </w:divBdr>
    </w:div>
    <w:div w:id="2048332389">
      <w:bodyDiv w:val="1"/>
      <w:marLeft w:val="0"/>
      <w:marRight w:val="0"/>
      <w:marTop w:val="0"/>
      <w:marBottom w:val="0"/>
      <w:divBdr>
        <w:top w:val="none" w:sz="0" w:space="0" w:color="auto"/>
        <w:left w:val="none" w:sz="0" w:space="0" w:color="auto"/>
        <w:bottom w:val="none" w:sz="0" w:space="0" w:color="auto"/>
        <w:right w:val="none" w:sz="0" w:space="0" w:color="auto"/>
      </w:divBdr>
    </w:div>
    <w:div w:id="2058552270">
      <w:bodyDiv w:val="1"/>
      <w:marLeft w:val="0"/>
      <w:marRight w:val="0"/>
      <w:marTop w:val="0"/>
      <w:marBottom w:val="0"/>
      <w:divBdr>
        <w:top w:val="none" w:sz="0" w:space="0" w:color="auto"/>
        <w:left w:val="none" w:sz="0" w:space="0" w:color="auto"/>
        <w:bottom w:val="none" w:sz="0" w:space="0" w:color="auto"/>
        <w:right w:val="none" w:sz="0" w:space="0" w:color="auto"/>
      </w:divBdr>
    </w:div>
    <w:div w:id="2068801204">
      <w:bodyDiv w:val="1"/>
      <w:marLeft w:val="0"/>
      <w:marRight w:val="0"/>
      <w:marTop w:val="0"/>
      <w:marBottom w:val="0"/>
      <w:divBdr>
        <w:top w:val="none" w:sz="0" w:space="0" w:color="auto"/>
        <w:left w:val="none" w:sz="0" w:space="0" w:color="auto"/>
        <w:bottom w:val="none" w:sz="0" w:space="0" w:color="auto"/>
        <w:right w:val="none" w:sz="0" w:space="0" w:color="auto"/>
      </w:divBdr>
    </w:div>
    <w:div w:id="2069650342">
      <w:bodyDiv w:val="1"/>
      <w:marLeft w:val="0"/>
      <w:marRight w:val="0"/>
      <w:marTop w:val="0"/>
      <w:marBottom w:val="0"/>
      <w:divBdr>
        <w:top w:val="none" w:sz="0" w:space="0" w:color="auto"/>
        <w:left w:val="none" w:sz="0" w:space="0" w:color="auto"/>
        <w:bottom w:val="none" w:sz="0" w:space="0" w:color="auto"/>
        <w:right w:val="none" w:sz="0" w:space="0" w:color="auto"/>
      </w:divBdr>
    </w:div>
    <w:div w:id="2076274473">
      <w:bodyDiv w:val="1"/>
      <w:marLeft w:val="0"/>
      <w:marRight w:val="0"/>
      <w:marTop w:val="0"/>
      <w:marBottom w:val="0"/>
      <w:divBdr>
        <w:top w:val="none" w:sz="0" w:space="0" w:color="auto"/>
        <w:left w:val="none" w:sz="0" w:space="0" w:color="auto"/>
        <w:bottom w:val="none" w:sz="0" w:space="0" w:color="auto"/>
        <w:right w:val="none" w:sz="0" w:space="0" w:color="auto"/>
      </w:divBdr>
    </w:div>
    <w:div w:id="2079745661">
      <w:bodyDiv w:val="1"/>
      <w:marLeft w:val="0"/>
      <w:marRight w:val="0"/>
      <w:marTop w:val="0"/>
      <w:marBottom w:val="0"/>
      <w:divBdr>
        <w:top w:val="none" w:sz="0" w:space="0" w:color="auto"/>
        <w:left w:val="none" w:sz="0" w:space="0" w:color="auto"/>
        <w:bottom w:val="none" w:sz="0" w:space="0" w:color="auto"/>
        <w:right w:val="none" w:sz="0" w:space="0" w:color="auto"/>
      </w:divBdr>
    </w:div>
    <w:div w:id="2104451367">
      <w:bodyDiv w:val="1"/>
      <w:marLeft w:val="0"/>
      <w:marRight w:val="0"/>
      <w:marTop w:val="0"/>
      <w:marBottom w:val="0"/>
      <w:divBdr>
        <w:top w:val="none" w:sz="0" w:space="0" w:color="auto"/>
        <w:left w:val="none" w:sz="0" w:space="0" w:color="auto"/>
        <w:bottom w:val="none" w:sz="0" w:space="0" w:color="auto"/>
        <w:right w:val="none" w:sz="0" w:space="0" w:color="auto"/>
      </w:divBdr>
    </w:div>
    <w:div w:id="2109353790">
      <w:bodyDiv w:val="1"/>
      <w:marLeft w:val="0"/>
      <w:marRight w:val="0"/>
      <w:marTop w:val="0"/>
      <w:marBottom w:val="0"/>
      <w:divBdr>
        <w:top w:val="none" w:sz="0" w:space="0" w:color="auto"/>
        <w:left w:val="none" w:sz="0" w:space="0" w:color="auto"/>
        <w:bottom w:val="none" w:sz="0" w:space="0" w:color="auto"/>
        <w:right w:val="none" w:sz="0" w:space="0" w:color="auto"/>
      </w:divBdr>
    </w:div>
    <w:div w:id="2109806321">
      <w:bodyDiv w:val="1"/>
      <w:marLeft w:val="0"/>
      <w:marRight w:val="0"/>
      <w:marTop w:val="0"/>
      <w:marBottom w:val="0"/>
      <w:divBdr>
        <w:top w:val="none" w:sz="0" w:space="0" w:color="auto"/>
        <w:left w:val="none" w:sz="0" w:space="0" w:color="auto"/>
        <w:bottom w:val="none" w:sz="0" w:space="0" w:color="auto"/>
        <w:right w:val="none" w:sz="0" w:space="0" w:color="auto"/>
      </w:divBdr>
    </w:div>
    <w:div w:id="2115324838">
      <w:bodyDiv w:val="1"/>
      <w:marLeft w:val="0"/>
      <w:marRight w:val="0"/>
      <w:marTop w:val="0"/>
      <w:marBottom w:val="0"/>
      <w:divBdr>
        <w:top w:val="none" w:sz="0" w:space="0" w:color="auto"/>
        <w:left w:val="none" w:sz="0" w:space="0" w:color="auto"/>
        <w:bottom w:val="none" w:sz="0" w:space="0" w:color="auto"/>
        <w:right w:val="none" w:sz="0" w:space="0" w:color="auto"/>
      </w:divBdr>
    </w:div>
    <w:div w:id="2115515580">
      <w:bodyDiv w:val="1"/>
      <w:marLeft w:val="0"/>
      <w:marRight w:val="0"/>
      <w:marTop w:val="0"/>
      <w:marBottom w:val="0"/>
      <w:divBdr>
        <w:top w:val="none" w:sz="0" w:space="0" w:color="auto"/>
        <w:left w:val="none" w:sz="0" w:space="0" w:color="auto"/>
        <w:bottom w:val="none" w:sz="0" w:space="0" w:color="auto"/>
        <w:right w:val="none" w:sz="0" w:space="0" w:color="auto"/>
      </w:divBdr>
    </w:div>
    <w:div w:id="2120679860">
      <w:bodyDiv w:val="1"/>
      <w:marLeft w:val="0"/>
      <w:marRight w:val="0"/>
      <w:marTop w:val="0"/>
      <w:marBottom w:val="0"/>
      <w:divBdr>
        <w:top w:val="none" w:sz="0" w:space="0" w:color="auto"/>
        <w:left w:val="none" w:sz="0" w:space="0" w:color="auto"/>
        <w:bottom w:val="none" w:sz="0" w:space="0" w:color="auto"/>
        <w:right w:val="none" w:sz="0" w:space="0" w:color="auto"/>
      </w:divBdr>
    </w:div>
    <w:div w:id="2131166807">
      <w:bodyDiv w:val="1"/>
      <w:marLeft w:val="0"/>
      <w:marRight w:val="0"/>
      <w:marTop w:val="0"/>
      <w:marBottom w:val="0"/>
      <w:divBdr>
        <w:top w:val="none" w:sz="0" w:space="0" w:color="auto"/>
        <w:left w:val="none" w:sz="0" w:space="0" w:color="auto"/>
        <w:bottom w:val="none" w:sz="0" w:space="0" w:color="auto"/>
        <w:right w:val="none" w:sz="0" w:space="0" w:color="auto"/>
      </w:divBdr>
    </w:div>
    <w:div w:id="2131586326">
      <w:bodyDiv w:val="1"/>
      <w:marLeft w:val="0"/>
      <w:marRight w:val="0"/>
      <w:marTop w:val="0"/>
      <w:marBottom w:val="0"/>
      <w:divBdr>
        <w:top w:val="none" w:sz="0" w:space="0" w:color="auto"/>
        <w:left w:val="none" w:sz="0" w:space="0" w:color="auto"/>
        <w:bottom w:val="none" w:sz="0" w:space="0" w:color="auto"/>
        <w:right w:val="none" w:sz="0" w:space="0" w:color="auto"/>
      </w:divBdr>
    </w:div>
    <w:div w:id="2136214513">
      <w:bodyDiv w:val="1"/>
      <w:marLeft w:val="0"/>
      <w:marRight w:val="0"/>
      <w:marTop w:val="0"/>
      <w:marBottom w:val="0"/>
      <w:divBdr>
        <w:top w:val="none" w:sz="0" w:space="0" w:color="auto"/>
        <w:left w:val="none" w:sz="0" w:space="0" w:color="auto"/>
        <w:bottom w:val="none" w:sz="0" w:space="0" w:color="auto"/>
        <w:right w:val="none" w:sz="0" w:space="0" w:color="auto"/>
      </w:divBdr>
    </w:div>
    <w:div w:id="2146195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184</Pages>
  <Words>25978</Words>
  <Characters>148078</Characters>
  <Application>Microsoft Office Word</Application>
  <DocSecurity>0</DocSecurity>
  <Lines>1233</Lines>
  <Paragraphs>347</Paragraphs>
  <ScaleCrop>false</ScaleCrop>
  <Company/>
  <LinksUpToDate>false</LinksUpToDate>
  <CharactersWithSpaces>173709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彭威</cp:lastModifiedBy>
  <cp:revision>22</cp:revision>
  <dcterms:created xsi:type="dcterms:W3CDTF">2024-08-28T06:32:00Z</dcterms:created>
  <dcterms:modified xsi:type="dcterms:W3CDTF">2024-08-29T06:37:00Z</dcterms:modified>
</cp:coreProperties>
</file>