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714F" w:rsidRPr="00222920" w:rsidRDefault="00E9714F" w:rsidP="00E9714F">
      <w:pPr>
        <w:pStyle w:val="Default"/>
        <w:spacing w:line="360" w:lineRule="auto"/>
        <w:jc w:val="both"/>
        <w:rPr>
          <w:rFonts w:ascii="Times New Roman" w:hAnsi="Times New Roman" w:cs="Times New Roman"/>
          <w:sz w:val="21"/>
          <w:szCs w:val="21"/>
        </w:rPr>
      </w:pPr>
      <w:r w:rsidRPr="00222920">
        <w:rPr>
          <w:rFonts w:ascii="Times New Roman" w:hAnsi="Times New Roman" w:cs="Times New Roman" w:hint="eastAsia"/>
          <w:sz w:val="21"/>
          <w:szCs w:val="21"/>
        </w:rPr>
        <w:t>证券代码：</w:t>
      </w:r>
      <w:r w:rsidRPr="00222920">
        <w:rPr>
          <w:rFonts w:ascii="Times New Roman" w:hAnsi="Times New Roman" w:cs="Times New Roman"/>
          <w:sz w:val="21"/>
          <w:szCs w:val="21"/>
        </w:rPr>
        <w:t xml:space="preserve">002726                                    </w:t>
      </w:r>
      <w:r w:rsidRPr="00222920">
        <w:rPr>
          <w:rFonts w:ascii="Times New Roman" w:hAnsi="Times New Roman" w:cs="Times New Roman" w:hint="eastAsia"/>
          <w:sz w:val="21"/>
          <w:szCs w:val="21"/>
        </w:rPr>
        <w:t>证券简称：龙大美食</w:t>
      </w:r>
      <w:r w:rsidRPr="00222920">
        <w:rPr>
          <w:rFonts w:ascii="Times New Roman" w:hAnsi="Times New Roman" w:cs="Times New Roman"/>
          <w:sz w:val="21"/>
          <w:szCs w:val="21"/>
        </w:rPr>
        <w:t xml:space="preserve">                                  </w:t>
      </w:r>
      <w:r w:rsidRPr="00222920">
        <w:rPr>
          <w:rFonts w:ascii="Times New Roman" w:hAnsi="Times New Roman" w:cs="Times New Roman" w:hint="eastAsia"/>
          <w:sz w:val="21"/>
          <w:szCs w:val="21"/>
        </w:rPr>
        <w:t>公告编号：</w:t>
      </w:r>
      <w:r w:rsidRPr="00222920">
        <w:rPr>
          <w:rFonts w:ascii="Times New Roman" w:hAnsi="Times New Roman" w:cs="Times New Roman"/>
          <w:sz w:val="21"/>
          <w:szCs w:val="21"/>
        </w:rPr>
        <w:t>2024-01</w:t>
      </w:r>
      <w:r w:rsidRPr="00222920">
        <w:rPr>
          <w:rFonts w:ascii="Times New Roman" w:hAnsi="Times New Roman" w:cs="Times New Roman" w:hint="eastAsia"/>
          <w:sz w:val="21"/>
          <w:szCs w:val="21"/>
        </w:rPr>
        <w:t>4</w:t>
      </w:r>
    </w:p>
    <w:p w:rsidR="00E9714F" w:rsidRPr="00222920" w:rsidRDefault="00E9714F" w:rsidP="00E9714F">
      <w:pPr>
        <w:pStyle w:val="Default"/>
        <w:spacing w:line="360" w:lineRule="auto"/>
        <w:jc w:val="both"/>
        <w:rPr>
          <w:rFonts w:ascii="Times New Roman" w:hAnsi="Times New Roman" w:cs="Times New Roman"/>
          <w:sz w:val="21"/>
          <w:szCs w:val="21"/>
        </w:rPr>
      </w:pPr>
      <w:r w:rsidRPr="00222920">
        <w:rPr>
          <w:rFonts w:ascii="Times New Roman" w:hAnsi="Times New Roman" w:cs="Times New Roman" w:hint="eastAsia"/>
          <w:sz w:val="21"/>
          <w:szCs w:val="21"/>
        </w:rPr>
        <w:t>债券代码：</w:t>
      </w:r>
      <w:r w:rsidRPr="00222920">
        <w:rPr>
          <w:rFonts w:ascii="Times New Roman" w:hAnsi="Times New Roman" w:cs="Times New Roman"/>
          <w:sz w:val="21"/>
          <w:szCs w:val="21"/>
        </w:rPr>
        <w:t xml:space="preserve">128119                                    </w:t>
      </w:r>
      <w:r w:rsidRPr="00222920">
        <w:rPr>
          <w:rFonts w:ascii="Times New Roman" w:hAnsi="Times New Roman" w:cs="Times New Roman" w:hint="eastAsia"/>
          <w:sz w:val="21"/>
          <w:szCs w:val="21"/>
        </w:rPr>
        <w:t>债券简称：龙大转债</w:t>
      </w:r>
    </w:p>
    <w:p w:rsidR="00E9714F" w:rsidRPr="00222920" w:rsidRDefault="00E9714F">
      <w:pPr>
        <w:spacing w:before="200" w:after="200" w:line="400" w:lineRule="exact"/>
        <w:jc w:val="center"/>
        <w:rPr>
          <w:rFonts w:ascii="Times New Roman" w:eastAsia="宋体" w:hAnsi="Times New Roman" w:cs="宋体"/>
          <w:b/>
          <w:bCs/>
          <w:sz w:val="32"/>
          <w:szCs w:val="32"/>
        </w:rPr>
      </w:pPr>
    </w:p>
    <w:p w:rsidR="00E9714F" w:rsidRPr="00222920" w:rsidRDefault="00E9714F">
      <w:pPr>
        <w:spacing w:before="200" w:after="200" w:line="400" w:lineRule="exact"/>
        <w:jc w:val="center"/>
        <w:rPr>
          <w:rFonts w:ascii="Times New Roman" w:eastAsia="宋体" w:hAnsi="Times New Roman" w:cs="宋体"/>
          <w:b/>
          <w:bCs/>
          <w:sz w:val="32"/>
          <w:szCs w:val="32"/>
        </w:rPr>
      </w:pPr>
    </w:p>
    <w:p w:rsidR="0079506E" w:rsidRPr="00222920" w:rsidRDefault="00000000">
      <w:pPr>
        <w:spacing w:before="200" w:after="200" w:line="400" w:lineRule="exact"/>
        <w:jc w:val="center"/>
        <w:rPr>
          <w:rFonts w:ascii="Times New Roman" w:eastAsia="宋体" w:hAnsi="Times New Roman" w:cs="宋体"/>
          <w:b/>
          <w:bCs/>
          <w:sz w:val="32"/>
          <w:szCs w:val="32"/>
        </w:rPr>
      </w:pPr>
      <w:r w:rsidRPr="00222920">
        <w:rPr>
          <w:rFonts w:ascii="Times New Roman" w:eastAsia="宋体" w:hAnsi="Times New Roman" w:cs="宋体"/>
          <w:b/>
          <w:bCs/>
          <w:sz w:val="32"/>
          <w:szCs w:val="32"/>
        </w:rPr>
        <w:t>山东龙大美食股份有限公司</w:t>
      </w:r>
    </w:p>
    <w:p w:rsidR="0079506E" w:rsidRPr="00222920" w:rsidRDefault="00000000">
      <w:pPr>
        <w:spacing w:before="200" w:after="200" w:line="400" w:lineRule="exact"/>
        <w:jc w:val="center"/>
        <w:rPr>
          <w:rFonts w:ascii="Times New Roman" w:eastAsia="宋体" w:hAnsi="Times New Roman" w:cs="宋体"/>
          <w:b/>
          <w:bCs/>
          <w:sz w:val="32"/>
          <w:szCs w:val="32"/>
        </w:rPr>
      </w:pPr>
      <w:r w:rsidRPr="00222920">
        <w:rPr>
          <w:rFonts w:ascii="Times New Roman" w:eastAsia="宋体" w:hAnsi="Times New Roman" w:cs="宋体"/>
          <w:b/>
          <w:bCs/>
          <w:sz w:val="32"/>
          <w:szCs w:val="32"/>
        </w:rPr>
        <w:t>2024</w:t>
      </w:r>
      <w:r w:rsidRPr="00222920">
        <w:rPr>
          <w:rFonts w:ascii="Times New Roman" w:eastAsia="宋体" w:hAnsi="Times New Roman" w:cs="宋体"/>
          <w:b/>
          <w:bCs/>
          <w:sz w:val="32"/>
          <w:szCs w:val="32"/>
        </w:rPr>
        <w:t>年第一季度报告</w:t>
      </w:r>
    </w:p>
    <w:p w:rsidR="0079506E" w:rsidRPr="00222920" w:rsidRDefault="00000000">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本公司及董事会全体成员保证信息披露的内容真实、准确、完整，没有虚假记载、误导性陈述或重大遗漏。</w:t>
      </w:r>
    </w:p>
    <w:p w:rsidR="0079506E" w:rsidRPr="00222920" w:rsidRDefault="00000000">
      <w:pPr>
        <w:spacing w:before="40" w:after="40" w:line="420" w:lineRule="exact"/>
        <w:rPr>
          <w:rFonts w:ascii="Times New Roman" w:eastAsia="宋体" w:hAnsi="Times New Roman" w:cs="宋体"/>
          <w:b/>
          <w:bCs/>
          <w:sz w:val="24"/>
          <w:szCs w:val="24"/>
        </w:rPr>
      </w:pPr>
      <w:r w:rsidRPr="00222920">
        <w:rPr>
          <w:rFonts w:ascii="Times New Roman" w:eastAsia="宋体" w:hAnsi="Times New Roman" w:cs="宋体"/>
          <w:b/>
          <w:bCs/>
          <w:sz w:val="24"/>
          <w:szCs w:val="24"/>
        </w:rPr>
        <w:t>重要内容提示：</w:t>
      </w:r>
    </w:p>
    <w:p w:rsidR="0079506E" w:rsidRPr="00222920" w:rsidRDefault="00000000">
      <w:pPr>
        <w:spacing w:before="100" w:after="100" w:line="400" w:lineRule="exact"/>
        <w:rPr>
          <w:rFonts w:ascii="Times New Roman" w:eastAsia="宋体" w:hAnsi="Times New Roman" w:cs="宋体"/>
          <w:sz w:val="18"/>
          <w:szCs w:val="18"/>
        </w:rPr>
      </w:pPr>
      <w:r w:rsidRPr="00222920">
        <w:rPr>
          <w:rFonts w:ascii="Times New Roman" w:eastAsia="宋体" w:hAnsi="Times New Roman" w:cs="宋体"/>
          <w:sz w:val="18"/>
          <w:szCs w:val="18"/>
        </w:rPr>
        <w:t>1.</w:t>
      </w:r>
      <w:r w:rsidRPr="00222920">
        <w:rPr>
          <w:rFonts w:ascii="Times New Roman" w:eastAsia="宋体" w:hAnsi="Times New Roman" w:cs="宋体"/>
          <w:sz w:val="18"/>
          <w:szCs w:val="18"/>
        </w:rPr>
        <w:t>董事会、监事会及董事、监事、高级管理人员保证季度报告的真实、准确、完整，不存在虚假记载、误导性陈述或重大遗漏，并承担个别和连带的法律责任。</w:t>
      </w:r>
    </w:p>
    <w:p w:rsidR="0079506E" w:rsidRPr="00222920" w:rsidRDefault="00000000">
      <w:pPr>
        <w:spacing w:before="100" w:after="100" w:line="400" w:lineRule="exact"/>
        <w:rPr>
          <w:rFonts w:ascii="Times New Roman" w:eastAsia="宋体" w:hAnsi="Times New Roman" w:cs="宋体"/>
          <w:sz w:val="18"/>
          <w:szCs w:val="18"/>
        </w:rPr>
      </w:pPr>
      <w:r w:rsidRPr="00222920">
        <w:rPr>
          <w:rFonts w:ascii="Times New Roman" w:eastAsia="宋体" w:hAnsi="Times New Roman" w:cs="宋体"/>
          <w:sz w:val="18"/>
          <w:szCs w:val="18"/>
        </w:rPr>
        <w:t>2.</w:t>
      </w:r>
      <w:r w:rsidRPr="00222920">
        <w:rPr>
          <w:rFonts w:ascii="Times New Roman" w:eastAsia="宋体" w:hAnsi="Times New Roman" w:cs="宋体"/>
          <w:sz w:val="18"/>
          <w:szCs w:val="18"/>
        </w:rPr>
        <w:t>公司负责人、主管会计工作负责人及会计机构负责人</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会计主管人员</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声明：保证季度报告中财务信息的真实、准确、完整。</w:t>
      </w:r>
    </w:p>
    <w:p w:rsidR="0079506E" w:rsidRPr="00222920" w:rsidRDefault="00000000">
      <w:pPr>
        <w:spacing w:before="100" w:after="100" w:line="400" w:lineRule="exact"/>
        <w:rPr>
          <w:rFonts w:ascii="Times New Roman" w:eastAsia="宋体" w:hAnsi="Times New Roman" w:cs="宋体"/>
          <w:sz w:val="18"/>
          <w:szCs w:val="18"/>
        </w:rPr>
      </w:pPr>
      <w:r w:rsidRPr="00222920">
        <w:rPr>
          <w:rFonts w:ascii="Times New Roman" w:eastAsia="宋体" w:hAnsi="Times New Roman" w:cs="宋体"/>
          <w:sz w:val="18"/>
          <w:szCs w:val="18"/>
        </w:rPr>
        <w:t>3.</w:t>
      </w:r>
      <w:r w:rsidRPr="00222920">
        <w:rPr>
          <w:rFonts w:ascii="Times New Roman" w:eastAsia="宋体" w:hAnsi="Times New Roman" w:cs="宋体"/>
          <w:sz w:val="18"/>
          <w:szCs w:val="18"/>
        </w:rPr>
        <w:t>第一季度报告是否经审计</w:t>
      </w:r>
    </w:p>
    <w:p w:rsidR="0079506E" w:rsidRPr="00222920" w:rsidRDefault="00000000">
      <w:pPr>
        <w:spacing w:before="100" w:after="100" w:line="400" w:lineRule="exact"/>
        <w:rPr>
          <w:rFonts w:ascii="Times New Roman" w:eastAsia="宋体" w:hAnsi="Times New Roman" w:cs="宋体"/>
          <w:sz w:val="18"/>
          <w:szCs w:val="18"/>
        </w:rPr>
      </w:pPr>
      <w:r w:rsidRPr="00222920">
        <w:rPr>
          <w:rFonts w:ascii="Times New Roman" w:eastAsia="宋体" w:hAnsi="Times New Roman" w:cs="宋体"/>
          <w:sz w:val="18"/>
          <w:szCs w:val="18"/>
        </w:rPr>
        <w:t>□</w:t>
      </w:r>
      <w:r w:rsidRPr="00222920">
        <w:rPr>
          <w:rFonts w:ascii="Times New Roman" w:eastAsia="宋体" w:hAnsi="Times New Roman" w:cs="宋体"/>
          <w:sz w:val="18"/>
          <w:szCs w:val="18"/>
        </w:rPr>
        <w:t>是</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sym w:font="Wingdings 2" w:char="F052"/>
      </w:r>
      <w:r w:rsidRPr="00222920">
        <w:rPr>
          <w:rFonts w:ascii="Times New Roman" w:eastAsia="宋体" w:hAnsi="Times New Roman" w:cs="宋体"/>
          <w:sz w:val="18"/>
          <w:szCs w:val="18"/>
        </w:rPr>
        <w:t>否</w:t>
      </w:r>
    </w:p>
    <w:p w:rsidR="0079506E" w:rsidRPr="00222920" w:rsidRDefault="00000000">
      <w:pPr>
        <w:rPr>
          <w:rFonts w:ascii="Times New Roman" w:hAnsi="Times New Roman"/>
        </w:rPr>
      </w:pPr>
      <w:r w:rsidRPr="00222920">
        <w:rPr>
          <w:rFonts w:ascii="Times New Roman" w:hAnsi="Times New Roman"/>
        </w:rPr>
        <w:br w:type="page"/>
      </w:r>
    </w:p>
    <w:p w:rsidR="0079506E" w:rsidRPr="00222920" w:rsidRDefault="00000000">
      <w:pPr>
        <w:pStyle w:val="headingh1"/>
        <w:spacing w:before="300" w:after="300" w:line="320" w:lineRule="exact"/>
        <w:rPr>
          <w:rFonts w:ascii="Times New Roman" w:eastAsia="宋体" w:hAnsi="Times New Roman" w:cs="宋体"/>
          <w:b/>
          <w:bCs/>
          <w:sz w:val="24"/>
          <w:szCs w:val="24"/>
        </w:rPr>
      </w:pPr>
      <w:bookmarkStart w:id="0" w:name="_Toc988889"/>
      <w:r w:rsidRPr="00222920">
        <w:rPr>
          <w:rFonts w:ascii="Times New Roman" w:eastAsia="宋体" w:hAnsi="Times New Roman" w:cs="宋体"/>
          <w:b/>
          <w:bCs/>
          <w:sz w:val="24"/>
          <w:szCs w:val="24"/>
        </w:rPr>
        <w:lastRenderedPageBreak/>
        <w:t>一、主要财务数据</w:t>
      </w:r>
      <w:bookmarkEnd w:id="0"/>
    </w:p>
    <w:p w:rsidR="0079506E" w:rsidRPr="00222920" w:rsidRDefault="00000000">
      <w:pPr>
        <w:pStyle w:val="2"/>
        <w:spacing w:before="300" w:after="300" w:line="280" w:lineRule="exact"/>
        <w:rPr>
          <w:rFonts w:ascii="Times New Roman" w:eastAsia="宋体" w:hAnsi="Times New Roman" w:cs="宋体"/>
          <w:b/>
          <w:bCs/>
        </w:rPr>
      </w:pPr>
      <w:bookmarkStart w:id="1" w:name="_Toc988890"/>
      <w:r w:rsidRPr="00222920">
        <w:rPr>
          <w:rFonts w:ascii="Times New Roman" w:eastAsia="宋体" w:hAnsi="Times New Roman" w:cs="宋体"/>
          <w:b/>
          <w:bCs/>
        </w:rPr>
        <w:t>（一）</w:t>
      </w:r>
      <w:r w:rsidRPr="00222920">
        <w:rPr>
          <w:rFonts w:ascii="Times New Roman" w:eastAsia="宋体" w:hAnsi="Times New Roman" w:cs="宋体"/>
          <w:b/>
          <w:bCs/>
        </w:rPr>
        <w:t xml:space="preserve"> </w:t>
      </w:r>
      <w:r w:rsidRPr="00222920">
        <w:rPr>
          <w:rFonts w:ascii="Times New Roman" w:eastAsia="宋体" w:hAnsi="Times New Roman" w:cs="宋体"/>
          <w:b/>
          <w:bCs/>
        </w:rPr>
        <w:t>主要会计数据和财务指标</w:t>
      </w:r>
      <w:bookmarkEnd w:id="1"/>
    </w:p>
    <w:p w:rsidR="0079506E" w:rsidRPr="00222920" w:rsidRDefault="00000000">
      <w:pPr>
        <w:spacing w:before="40" w:after="40" w:line="240" w:lineRule="exact"/>
        <w:rPr>
          <w:rFonts w:ascii="Times New Roman" w:eastAsia="宋体" w:hAnsi="Times New Roman" w:cs="宋体"/>
          <w:sz w:val="18"/>
          <w:szCs w:val="18"/>
        </w:rPr>
      </w:pPr>
      <w:r w:rsidRPr="00222920">
        <w:rPr>
          <w:rFonts w:ascii="Times New Roman" w:eastAsia="宋体" w:hAnsi="Times New Roman" w:cs="宋体"/>
          <w:sz w:val="18"/>
          <w:szCs w:val="18"/>
        </w:rPr>
        <w:t>公司是否需追溯调整或重述以前年度会计数据</w:t>
      </w:r>
    </w:p>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w:t>
      </w:r>
      <w:r w:rsidRPr="00222920">
        <w:rPr>
          <w:rFonts w:ascii="Times New Roman" w:eastAsia="宋体" w:hAnsi="Times New Roman" w:cs="宋体"/>
          <w:sz w:val="18"/>
          <w:szCs w:val="18"/>
        </w:rPr>
        <w:t>是</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sym w:font="Wingdings 2" w:char="F052"/>
      </w:r>
      <w:r w:rsidRPr="00222920">
        <w:rPr>
          <w:rFonts w:ascii="Times New Roman" w:eastAsia="宋体" w:hAnsi="Times New Roman" w:cs="宋体"/>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9506E" w:rsidRPr="0022292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本报告期比上年同期增减（</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p>
        </w:tc>
      </w:tr>
      <w:tr w:rsidR="0079506E" w:rsidRPr="0022292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2,523,176,556.28</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3,476,825,794.20</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-27.43%</w:t>
            </w:r>
          </w:p>
        </w:tc>
      </w:tr>
      <w:tr w:rsidR="0079506E" w:rsidRPr="0022292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30,348,718.37</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21,187,983.39</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43.24%</w:t>
            </w:r>
          </w:p>
        </w:tc>
      </w:tr>
      <w:tr w:rsidR="0079506E" w:rsidRPr="0022292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归属于上市公司股东的扣除非经常性损益的净利润（元）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30,136,182.86</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22,942,469.53</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31.36%</w:t>
            </w:r>
          </w:p>
        </w:tc>
      </w:tr>
      <w:tr w:rsidR="0079506E" w:rsidRPr="0022292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-141,897,535.08</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-83,329,768.45</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-70.28%</w:t>
            </w:r>
          </w:p>
        </w:tc>
      </w:tr>
      <w:tr w:rsidR="0079506E" w:rsidRPr="0022292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基本每股收益（元</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股）</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0.02</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50.00%</w:t>
            </w:r>
          </w:p>
        </w:tc>
      </w:tr>
      <w:tr w:rsidR="0079506E" w:rsidRPr="0022292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稀释每股收益（元</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股）</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0.02</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50.00%</w:t>
            </w:r>
          </w:p>
        </w:tc>
      </w:tr>
      <w:tr w:rsidR="0079506E" w:rsidRPr="0022292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2.29%</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0.68%</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1.61%</w:t>
            </w:r>
          </w:p>
        </w:tc>
      </w:tr>
      <w:tr w:rsidR="0079506E" w:rsidRPr="0022292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本报告期末比上年度末增减（</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p>
        </w:tc>
      </w:tr>
      <w:tr w:rsidR="0079506E" w:rsidRPr="0022292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5,992,531,112.51</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6,317,538,408.46</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-5.14%</w:t>
            </w:r>
          </w:p>
        </w:tc>
      </w:tr>
      <w:tr w:rsidR="0079506E" w:rsidRPr="0022292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归属于上市公司股东的所有者权益（元）</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1,512,331,370.39</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1,481,981,607.33</w:t>
            </w:r>
          </w:p>
        </w:tc>
        <w:tc>
          <w:tcPr>
            <w:tcW w:w="2410"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2.05%</w:t>
            </w:r>
          </w:p>
        </w:tc>
      </w:tr>
    </w:tbl>
    <w:p w:rsidR="0079506E" w:rsidRPr="00222920" w:rsidRDefault="0079506E">
      <w:pPr>
        <w:spacing w:line="0" w:lineRule="atLeast"/>
        <w:rPr>
          <w:rFonts w:ascii="Times New Roman" w:hAnsi="Times New Roman"/>
        </w:rPr>
      </w:pPr>
    </w:p>
    <w:p w:rsidR="0079506E" w:rsidRPr="00222920" w:rsidRDefault="00000000">
      <w:pPr>
        <w:pStyle w:val="2"/>
        <w:spacing w:before="300" w:after="300" w:line="280" w:lineRule="exact"/>
        <w:rPr>
          <w:rFonts w:ascii="Times New Roman" w:eastAsia="宋体" w:hAnsi="Times New Roman" w:cs="宋体"/>
          <w:b/>
          <w:bCs/>
        </w:rPr>
      </w:pPr>
      <w:bookmarkStart w:id="2" w:name="_Toc988891"/>
      <w:r w:rsidRPr="00222920">
        <w:rPr>
          <w:rFonts w:ascii="Times New Roman" w:eastAsia="宋体" w:hAnsi="Times New Roman" w:cs="宋体"/>
          <w:b/>
          <w:bCs/>
        </w:rPr>
        <w:t>（二）</w:t>
      </w:r>
      <w:r w:rsidRPr="00222920">
        <w:rPr>
          <w:rFonts w:ascii="Times New Roman" w:eastAsia="宋体" w:hAnsi="Times New Roman" w:cs="宋体"/>
          <w:b/>
          <w:bCs/>
        </w:rPr>
        <w:t xml:space="preserve"> </w:t>
      </w:r>
      <w:r w:rsidRPr="00222920">
        <w:rPr>
          <w:rFonts w:ascii="Times New Roman" w:eastAsia="宋体" w:hAnsi="Times New Roman" w:cs="宋体"/>
          <w:b/>
          <w:bCs/>
        </w:rPr>
        <w:t>非经常性损益项目和金额</w:t>
      </w:r>
      <w:bookmarkEnd w:id="2"/>
    </w:p>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sym w:font="Wingdings 2" w:char="F052"/>
      </w:r>
      <w:r w:rsidRPr="00222920">
        <w:rPr>
          <w:rFonts w:ascii="Times New Roman" w:eastAsia="宋体" w:hAnsi="Times New Roman" w:cs="宋体"/>
          <w:sz w:val="18"/>
          <w:szCs w:val="18"/>
        </w:rPr>
        <w:t>适用</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t>不适用</w:t>
      </w:r>
    </w:p>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本报告</w:t>
            </w:r>
            <w:proofErr w:type="gramStart"/>
            <w:r w:rsidRPr="00222920">
              <w:rPr>
                <w:rFonts w:ascii="Times New Roman" w:eastAsia="宋体" w:hAnsi="Times New Roman" w:cs="宋体"/>
                <w:sz w:val="18"/>
                <w:szCs w:val="18"/>
              </w:rPr>
              <w:t>期金额</w:t>
            </w:r>
            <w:proofErr w:type="gramEnd"/>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说明</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rPr>
                <w:rFonts w:ascii="Times New Roman" w:eastAsia="宋体" w:hAnsi="Times New Roman" w:cs="宋体"/>
                <w:sz w:val="18"/>
                <w:szCs w:val="18"/>
              </w:rPr>
            </w:pPr>
            <w:r w:rsidRPr="00222920">
              <w:rPr>
                <w:rFonts w:ascii="Times New Roman" w:eastAsia="宋体" w:hAnsi="Times New Roman" w:cs="宋体"/>
                <w:sz w:val="18"/>
                <w:szCs w:val="18"/>
              </w:rPr>
              <w:t>非流动性资产处置损益（包括已计提资产减值准备的冲销部分）</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101,541.31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rPr>
                <w:rFonts w:ascii="Times New Roman" w:eastAsia="宋体" w:hAnsi="Times New Roman" w:cs="宋体"/>
                <w:sz w:val="18"/>
                <w:szCs w:val="18"/>
              </w:rPr>
            </w:pPr>
            <w:r w:rsidRPr="00222920">
              <w:rPr>
                <w:rFonts w:ascii="Times New Roman" w:eastAsia="宋体" w:hAnsi="Times New Roman"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4,738,075.83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rPr>
                <w:rFonts w:ascii="Times New Roman" w:eastAsia="宋体" w:hAnsi="Times New Roman" w:cs="宋体"/>
                <w:sz w:val="18"/>
                <w:szCs w:val="18"/>
              </w:rPr>
            </w:pPr>
            <w:r w:rsidRPr="00222920">
              <w:rPr>
                <w:rFonts w:ascii="Times New Roman" w:eastAsia="宋体" w:hAnsi="Times New Roman"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-4,403,514.53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rPr>
                <w:rFonts w:ascii="Times New Roman" w:eastAsia="宋体" w:hAnsi="Times New Roman" w:cs="宋体"/>
                <w:sz w:val="18"/>
                <w:szCs w:val="18"/>
              </w:rPr>
            </w:pPr>
            <w:r w:rsidRPr="00222920">
              <w:rPr>
                <w:rFonts w:ascii="Times New Roman" w:eastAsia="宋体" w:hAnsi="Times New Roman"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-256.22</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少数股东权益影响额（税后）</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223,823.32</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rPr>
                <w:rFonts w:ascii="Times New Roman" w:eastAsia="宋体" w:hAnsi="Times New Roman" w:cs="宋体"/>
                <w:sz w:val="18"/>
                <w:szCs w:val="18"/>
              </w:rPr>
            </w:pPr>
            <w:r w:rsidRPr="00222920">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212,535.51</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w:t>
            </w:r>
          </w:p>
        </w:tc>
      </w:tr>
    </w:tbl>
    <w:p w:rsidR="0079506E" w:rsidRPr="00222920" w:rsidRDefault="00000000" w:rsidP="00222920">
      <w:pPr>
        <w:spacing w:line="276" w:lineRule="auto"/>
        <w:rPr>
          <w:rFonts w:ascii="Times New Roman" w:eastAsia="宋体" w:hAnsi="Times New Roman" w:cs="宋体"/>
          <w:sz w:val="18"/>
          <w:szCs w:val="18"/>
        </w:rPr>
      </w:pPr>
      <w:r w:rsidRPr="00222920">
        <w:rPr>
          <w:rFonts w:ascii="Times New Roman" w:eastAsia="宋体" w:hAnsi="Times New Roman" w:cs="宋体"/>
          <w:sz w:val="18"/>
          <w:szCs w:val="18"/>
        </w:rPr>
        <w:t>其他符合非经常性损益定义的损益项目的具体情况</w:t>
      </w:r>
    </w:p>
    <w:p w:rsidR="0079506E" w:rsidRPr="00222920" w:rsidRDefault="00000000" w:rsidP="00222920">
      <w:pPr>
        <w:spacing w:line="276" w:lineRule="auto"/>
        <w:rPr>
          <w:rFonts w:ascii="Times New Roman" w:eastAsia="宋体" w:hAnsi="Times New Roman" w:cs="宋体"/>
          <w:sz w:val="18"/>
          <w:szCs w:val="18"/>
        </w:rPr>
      </w:pPr>
      <w:r w:rsidRPr="00222920">
        <w:rPr>
          <w:rFonts w:ascii="Times New Roman" w:eastAsia="宋体" w:hAnsi="Times New Roman" w:cs="宋体"/>
          <w:sz w:val="18"/>
          <w:szCs w:val="18"/>
        </w:rPr>
        <w:t>□</w:t>
      </w:r>
      <w:r w:rsidRPr="00222920">
        <w:rPr>
          <w:rFonts w:ascii="Times New Roman" w:eastAsia="宋体" w:hAnsi="Times New Roman" w:cs="宋体"/>
          <w:sz w:val="18"/>
          <w:szCs w:val="18"/>
        </w:rPr>
        <w:t>适用</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sym w:font="Wingdings 2" w:char="F052"/>
      </w:r>
      <w:r w:rsidRPr="00222920">
        <w:rPr>
          <w:rFonts w:ascii="Times New Roman" w:eastAsia="宋体" w:hAnsi="Times New Roman" w:cs="宋体"/>
          <w:sz w:val="18"/>
          <w:szCs w:val="18"/>
        </w:rPr>
        <w:t>不适用</w:t>
      </w:r>
    </w:p>
    <w:p w:rsidR="0079506E" w:rsidRPr="00222920" w:rsidRDefault="00000000" w:rsidP="00222920">
      <w:pPr>
        <w:spacing w:before="40" w:after="40" w:line="276" w:lineRule="auto"/>
        <w:rPr>
          <w:rFonts w:ascii="Times New Roman" w:eastAsia="宋体" w:hAnsi="Times New Roman" w:cs="宋体"/>
          <w:sz w:val="18"/>
          <w:szCs w:val="18"/>
        </w:rPr>
      </w:pPr>
      <w:r w:rsidRPr="00222920">
        <w:rPr>
          <w:rFonts w:ascii="Times New Roman" w:eastAsia="宋体" w:hAnsi="Times New Roman" w:cs="宋体"/>
          <w:sz w:val="18"/>
          <w:szCs w:val="18"/>
        </w:rPr>
        <w:t>公司不存在其他符合非经常性损益定义的损益项目的具体情况。</w:t>
      </w:r>
    </w:p>
    <w:p w:rsidR="0079506E" w:rsidRPr="00222920" w:rsidRDefault="00000000" w:rsidP="00222920">
      <w:pPr>
        <w:spacing w:before="40" w:after="40" w:line="276" w:lineRule="auto"/>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将《公开发行证券的公司信息披露解释性公告第</w:t>
      </w:r>
      <w:r w:rsidRPr="00222920">
        <w:rPr>
          <w:rFonts w:ascii="Times New Roman" w:eastAsia="宋体" w:hAnsi="Times New Roman" w:cs="宋体"/>
          <w:sz w:val="18"/>
          <w:szCs w:val="18"/>
        </w:rPr>
        <w:t>1</w:t>
      </w:r>
      <w:r w:rsidRPr="00222920">
        <w:rPr>
          <w:rFonts w:ascii="Times New Roman" w:eastAsia="宋体" w:hAnsi="Times New Roman" w:cs="宋体"/>
          <w:sz w:val="18"/>
          <w:szCs w:val="18"/>
        </w:rPr>
        <w:t>号</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非经常性损益》中列举的非经常性损益项目界定为经常性损益项目的情况说明</w:t>
      </w:r>
    </w:p>
    <w:p w:rsidR="0079506E" w:rsidRPr="00222920" w:rsidRDefault="00000000" w:rsidP="00222920">
      <w:pPr>
        <w:spacing w:line="276" w:lineRule="auto"/>
        <w:rPr>
          <w:rFonts w:ascii="Times New Roman" w:eastAsia="宋体" w:hAnsi="Times New Roman" w:cs="宋体"/>
          <w:sz w:val="18"/>
          <w:szCs w:val="18"/>
        </w:rPr>
      </w:pPr>
      <w:r w:rsidRPr="00222920">
        <w:rPr>
          <w:rFonts w:ascii="Times New Roman" w:eastAsia="宋体" w:hAnsi="Times New Roman" w:cs="宋体"/>
          <w:sz w:val="18"/>
          <w:szCs w:val="18"/>
        </w:rPr>
        <w:t>□</w:t>
      </w:r>
      <w:r w:rsidRPr="00222920">
        <w:rPr>
          <w:rFonts w:ascii="Times New Roman" w:eastAsia="宋体" w:hAnsi="Times New Roman" w:cs="宋体"/>
          <w:sz w:val="18"/>
          <w:szCs w:val="18"/>
        </w:rPr>
        <w:t>适用</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sym w:font="Wingdings 2" w:char="F052"/>
      </w:r>
      <w:r w:rsidRPr="00222920">
        <w:rPr>
          <w:rFonts w:ascii="Times New Roman" w:eastAsia="宋体" w:hAnsi="Times New Roman" w:cs="宋体"/>
          <w:sz w:val="18"/>
          <w:szCs w:val="18"/>
        </w:rPr>
        <w:t>不适用</w:t>
      </w:r>
    </w:p>
    <w:p w:rsidR="0079506E" w:rsidRPr="00222920" w:rsidRDefault="00000000" w:rsidP="00222920">
      <w:pPr>
        <w:spacing w:line="276" w:lineRule="auto"/>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公司不存在将《公开发行证券的公司信息披露解释性公告第</w:t>
      </w:r>
      <w:r w:rsidRPr="00222920">
        <w:rPr>
          <w:rFonts w:ascii="Times New Roman" w:eastAsia="宋体" w:hAnsi="Times New Roman" w:cs="宋体"/>
          <w:sz w:val="18"/>
          <w:szCs w:val="18"/>
        </w:rPr>
        <w:t>1</w:t>
      </w:r>
      <w:r w:rsidRPr="00222920">
        <w:rPr>
          <w:rFonts w:ascii="Times New Roman" w:eastAsia="宋体" w:hAnsi="Times New Roman" w:cs="宋体"/>
          <w:sz w:val="18"/>
          <w:szCs w:val="18"/>
        </w:rPr>
        <w:t>号</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非经常性损益》中列举的非经常性损益项目界定</w:t>
      </w:r>
      <w:r w:rsidRPr="00222920">
        <w:rPr>
          <w:rFonts w:ascii="Times New Roman" w:eastAsia="宋体" w:hAnsi="Times New Roman" w:cs="宋体"/>
          <w:sz w:val="18"/>
          <w:szCs w:val="18"/>
        </w:rPr>
        <w:lastRenderedPageBreak/>
        <w:t>为经常性损益的项目的情形。</w:t>
      </w:r>
    </w:p>
    <w:p w:rsidR="0079506E" w:rsidRPr="00222920" w:rsidRDefault="00000000">
      <w:pPr>
        <w:pStyle w:val="2"/>
        <w:spacing w:before="300" w:after="300" w:line="280" w:lineRule="exact"/>
        <w:rPr>
          <w:rFonts w:ascii="Times New Roman" w:eastAsia="宋体" w:hAnsi="Times New Roman" w:cs="宋体"/>
          <w:b/>
          <w:bCs/>
        </w:rPr>
      </w:pPr>
      <w:bookmarkStart w:id="3" w:name="_Toc988892"/>
      <w:r w:rsidRPr="00222920">
        <w:rPr>
          <w:rFonts w:ascii="Times New Roman" w:eastAsia="宋体" w:hAnsi="Times New Roman" w:cs="宋体"/>
          <w:b/>
          <w:bCs/>
        </w:rPr>
        <w:t>（三）</w:t>
      </w:r>
      <w:r w:rsidRPr="00222920">
        <w:rPr>
          <w:rFonts w:ascii="Times New Roman" w:eastAsia="宋体" w:hAnsi="Times New Roman" w:cs="宋体"/>
          <w:b/>
          <w:bCs/>
        </w:rPr>
        <w:t xml:space="preserve"> </w:t>
      </w:r>
      <w:r w:rsidRPr="00222920">
        <w:rPr>
          <w:rFonts w:ascii="Times New Roman" w:eastAsia="宋体" w:hAnsi="Times New Roman" w:cs="宋体"/>
          <w:b/>
          <w:bCs/>
        </w:rPr>
        <w:t>主要会计数据和财务指标发生变动的情况及原因</w:t>
      </w:r>
      <w:bookmarkEnd w:id="3"/>
    </w:p>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sym w:font="Wingdings 2" w:char="F052"/>
      </w:r>
      <w:r w:rsidRPr="00222920">
        <w:rPr>
          <w:rFonts w:ascii="Times New Roman" w:eastAsia="宋体" w:hAnsi="Times New Roman" w:cs="宋体"/>
          <w:sz w:val="18"/>
          <w:szCs w:val="18"/>
        </w:rPr>
        <w:t>适用</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t>不适用</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1</w:t>
      </w:r>
      <w:r w:rsidRPr="00222920">
        <w:rPr>
          <w:rFonts w:ascii="Times New Roman" w:eastAsia="宋体" w:hAnsi="Times New Roman" w:hint="eastAsia"/>
          <w:sz w:val="18"/>
          <w:szCs w:val="20"/>
        </w:rPr>
        <w:t>、资产负债表项目</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报告期末，货币资金较上年年末减少</w:t>
      </w:r>
      <w:r w:rsidRPr="00222920">
        <w:rPr>
          <w:rFonts w:ascii="Times New Roman" w:eastAsia="宋体" w:hAnsi="Times New Roman" w:hint="eastAsia"/>
          <w:sz w:val="18"/>
          <w:szCs w:val="20"/>
        </w:rPr>
        <w:t>303,343,591.08</w:t>
      </w:r>
      <w:r w:rsidRPr="00222920">
        <w:rPr>
          <w:rFonts w:ascii="Times New Roman" w:eastAsia="宋体" w:hAnsi="Times New Roman" w:hint="eastAsia"/>
          <w:sz w:val="18"/>
          <w:szCs w:val="20"/>
        </w:rPr>
        <w:t>元，减少率</w:t>
      </w:r>
      <w:r w:rsidRPr="00222920">
        <w:rPr>
          <w:rFonts w:ascii="Times New Roman" w:eastAsia="宋体" w:hAnsi="Times New Roman" w:hint="eastAsia"/>
          <w:sz w:val="18"/>
          <w:szCs w:val="20"/>
        </w:rPr>
        <w:t>21.78%</w:t>
      </w:r>
      <w:r w:rsidRPr="00222920">
        <w:rPr>
          <w:rFonts w:ascii="Times New Roman" w:eastAsia="宋体" w:hAnsi="Times New Roman" w:hint="eastAsia"/>
          <w:sz w:val="18"/>
          <w:szCs w:val="20"/>
        </w:rPr>
        <w:t>，主要原因系本期部分融资到期还款。</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报告期末，生产性生物资产较上年年末减少</w:t>
      </w:r>
      <w:r w:rsidRPr="00222920">
        <w:rPr>
          <w:rFonts w:ascii="Times New Roman" w:eastAsia="宋体" w:hAnsi="Times New Roman" w:hint="eastAsia"/>
          <w:sz w:val="18"/>
          <w:szCs w:val="20"/>
        </w:rPr>
        <w:t>1,892,623.67</w:t>
      </w:r>
      <w:r w:rsidRPr="00222920">
        <w:rPr>
          <w:rFonts w:ascii="Times New Roman" w:eastAsia="宋体" w:hAnsi="Times New Roman" w:hint="eastAsia"/>
          <w:sz w:val="18"/>
          <w:szCs w:val="20"/>
        </w:rPr>
        <w:t>元，减少率</w:t>
      </w:r>
      <w:r w:rsidRPr="00222920">
        <w:rPr>
          <w:rFonts w:ascii="Times New Roman" w:eastAsia="宋体" w:hAnsi="Times New Roman" w:hint="eastAsia"/>
          <w:sz w:val="18"/>
          <w:szCs w:val="20"/>
        </w:rPr>
        <w:t>38.14%</w:t>
      </w:r>
      <w:r w:rsidRPr="00222920">
        <w:rPr>
          <w:rFonts w:ascii="Times New Roman" w:eastAsia="宋体" w:hAnsi="Times New Roman" w:hint="eastAsia"/>
          <w:sz w:val="18"/>
          <w:szCs w:val="20"/>
        </w:rPr>
        <w:t>，主要原因系本期继续优化猪群结构，淘汰部分生产性生物资产所致。</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报告期末，递延所得税资产较上年年末减少</w:t>
      </w:r>
      <w:r w:rsidRPr="00222920">
        <w:rPr>
          <w:rFonts w:ascii="Times New Roman" w:eastAsia="宋体" w:hAnsi="Times New Roman" w:hint="eastAsia"/>
          <w:sz w:val="18"/>
          <w:szCs w:val="20"/>
        </w:rPr>
        <w:t>6,238,986.09</w:t>
      </w:r>
      <w:r w:rsidRPr="00222920">
        <w:rPr>
          <w:rFonts w:ascii="Times New Roman" w:eastAsia="宋体" w:hAnsi="Times New Roman" w:hint="eastAsia"/>
          <w:sz w:val="18"/>
          <w:szCs w:val="20"/>
        </w:rPr>
        <w:t>元，减少率</w:t>
      </w:r>
      <w:r w:rsidRPr="00222920">
        <w:rPr>
          <w:rFonts w:ascii="Times New Roman" w:eastAsia="宋体" w:hAnsi="Times New Roman" w:hint="eastAsia"/>
          <w:sz w:val="18"/>
          <w:szCs w:val="20"/>
        </w:rPr>
        <w:t>66.05%</w:t>
      </w:r>
      <w:r w:rsidRPr="00222920">
        <w:rPr>
          <w:rFonts w:ascii="Times New Roman" w:eastAsia="宋体" w:hAnsi="Times New Roman" w:hint="eastAsia"/>
          <w:sz w:val="18"/>
          <w:szCs w:val="20"/>
        </w:rPr>
        <w:t>，主要原因系本期应税业务盈利，冲回部分可抵扣亏损确认的递延所得税资产。</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报告期末，应</w:t>
      </w:r>
      <w:proofErr w:type="gramStart"/>
      <w:r w:rsidRPr="00222920">
        <w:rPr>
          <w:rFonts w:ascii="Times New Roman" w:eastAsia="宋体" w:hAnsi="Times New Roman" w:hint="eastAsia"/>
          <w:sz w:val="18"/>
          <w:szCs w:val="20"/>
        </w:rPr>
        <w:t>交税费较上</w:t>
      </w:r>
      <w:proofErr w:type="gramEnd"/>
      <w:r w:rsidRPr="00222920">
        <w:rPr>
          <w:rFonts w:ascii="Times New Roman" w:eastAsia="宋体" w:hAnsi="Times New Roman" w:hint="eastAsia"/>
          <w:sz w:val="18"/>
          <w:szCs w:val="20"/>
        </w:rPr>
        <w:t>年年末减少</w:t>
      </w:r>
      <w:r w:rsidRPr="00222920">
        <w:rPr>
          <w:rFonts w:ascii="Times New Roman" w:eastAsia="宋体" w:hAnsi="Times New Roman" w:hint="eastAsia"/>
          <w:sz w:val="18"/>
          <w:szCs w:val="20"/>
        </w:rPr>
        <w:t>6,840,597.62</w:t>
      </w:r>
      <w:r w:rsidRPr="00222920">
        <w:rPr>
          <w:rFonts w:ascii="Times New Roman" w:eastAsia="宋体" w:hAnsi="Times New Roman" w:hint="eastAsia"/>
          <w:sz w:val="18"/>
          <w:szCs w:val="20"/>
        </w:rPr>
        <w:t>元，减少率</w:t>
      </w:r>
      <w:r w:rsidRPr="00222920">
        <w:rPr>
          <w:rFonts w:ascii="Times New Roman" w:eastAsia="宋体" w:hAnsi="Times New Roman" w:hint="eastAsia"/>
          <w:sz w:val="18"/>
          <w:szCs w:val="20"/>
        </w:rPr>
        <w:t>52.83%</w:t>
      </w:r>
      <w:r w:rsidRPr="00222920">
        <w:rPr>
          <w:rFonts w:ascii="Times New Roman" w:eastAsia="宋体" w:hAnsi="Times New Roman" w:hint="eastAsia"/>
          <w:sz w:val="18"/>
          <w:szCs w:val="20"/>
        </w:rPr>
        <w:t>，主要原因系上期</w:t>
      </w:r>
      <w:proofErr w:type="gramStart"/>
      <w:r w:rsidRPr="00222920">
        <w:rPr>
          <w:rFonts w:ascii="Times New Roman" w:eastAsia="宋体" w:hAnsi="Times New Roman" w:hint="eastAsia"/>
          <w:sz w:val="18"/>
          <w:szCs w:val="20"/>
        </w:rPr>
        <w:t>期末应</w:t>
      </w:r>
      <w:proofErr w:type="gramEnd"/>
      <w:r w:rsidRPr="00222920">
        <w:rPr>
          <w:rFonts w:ascii="Times New Roman" w:eastAsia="宋体" w:hAnsi="Times New Roman" w:hint="eastAsia"/>
          <w:sz w:val="18"/>
          <w:szCs w:val="20"/>
        </w:rPr>
        <w:t>交税费在本期缴纳所致。</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报告期末，其他应付款较上年年末减少</w:t>
      </w:r>
      <w:r w:rsidRPr="00222920">
        <w:rPr>
          <w:rFonts w:ascii="Times New Roman" w:eastAsia="宋体" w:hAnsi="Times New Roman" w:hint="eastAsia"/>
          <w:sz w:val="18"/>
          <w:szCs w:val="20"/>
        </w:rPr>
        <w:t>53,590,762.78</w:t>
      </w:r>
      <w:r w:rsidRPr="00222920">
        <w:rPr>
          <w:rFonts w:ascii="Times New Roman" w:eastAsia="宋体" w:hAnsi="Times New Roman" w:hint="eastAsia"/>
          <w:sz w:val="18"/>
          <w:szCs w:val="20"/>
        </w:rPr>
        <w:t>元，减少率</w:t>
      </w:r>
      <w:r w:rsidRPr="00222920">
        <w:rPr>
          <w:rFonts w:ascii="Times New Roman" w:eastAsia="宋体" w:hAnsi="Times New Roman" w:hint="eastAsia"/>
          <w:sz w:val="18"/>
          <w:szCs w:val="20"/>
        </w:rPr>
        <w:t>20.29%</w:t>
      </w:r>
      <w:r w:rsidRPr="00222920">
        <w:rPr>
          <w:rFonts w:ascii="Times New Roman" w:eastAsia="宋体" w:hAnsi="Times New Roman" w:hint="eastAsia"/>
          <w:sz w:val="18"/>
          <w:szCs w:val="20"/>
        </w:rPr>
        <w:t>，主要原因</w:t>
      </w:r>
      <w:proofErr w:type="gramStart"/>
      <w:r w:rsidRPr="00222920">
        <w:rPr>
          <w:rFonts w:ascii="Times New Roman" w:eastAsia="宋体" w:hAnsi="Times New Roman" w:hint="eastAsia"/>
          <w:sz w:val="18"/>
          <w:szCs w:val="20"/>
        </w:rPr>
        <w:t>系支付</w:t>
      </w:r>
      <w:proofErr w:type="gramEnd"/>
      <w:r w:rsidRPr="00222920">
        <w:rPr>
          <w:rFonts w:ascii="Times New Roman" w:eastAsia="宋体" w:hAnsi="Times New Roman" w:hint="eastAsia"/>
          <w:sz w:val="18"/>
          <w:szCs w:val="20"/>
        </w:rPr>
        <w:t>江苏沁</w:t>
      </w:r>
      <w:proofErr w:type="gramStart"/>
      <w:r w:rsidRPr="00222920">
        <w:rPr>
          <w:rFonts w:ascii="Times New Roman" w:eastAsia="宋体" w:hAnsi="Times New Roman" w:hint="eastAsia"/>
          <w:sz w:val="18"/>
          <w:szCs w:val="20"/>
        </w:rPr>
        <w:t>侬</w:t>
      </w:r>
      <w:proofErr w:type="gramEnd"/>
      <w:r w:rsidRPr="00222920">
        <w:rPr>
          <w:rFonts w:ascii="Times New Roman" w:eastAsia="宋体" w:hAnsi="Times New Roman" w:hint="eastAsia"/>
          <w:sz w:val="18"/>
          <w:szCs w:val="20"/>
        </w:rPr>
        <w:t>原少数股东股权收购款。</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2</w:t>
      </w:r>
      <w:r w:rsidRPr="00222920">
        <w:rPr>
          <w:rFonts w:ascii="Times New Roman" w:eastAsia="宋体" w:hAnsi="Times New Roman" w:hint="eastAsia"/>
          <w:sz w:val="18"/>
          <w:szCs w:val="20"/>
        </w:rPr>
        <w:t>、合并利润表项目</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报告期内，营业收入较上年同期减少</w:t>
      </w:r>
      <w:r w:rsidRPr="00222920">
        <w:rPr>
          <w:rFonts w:ascii="Times New Roman" w:eastAsia="宋体" w:hAnsi="Times New Roman" w:hint="eastAsia"/>
          <w:sz w:val="18"/>
          <w:szCs w:val="20"/>
        </w:rPr>
        <w:t>953,649,237.92</w:t>
      </w:r>
      <w:r w:rsidRPr="00222920">
        <w:rPr>
          <w:rFonts w:ascii="Times New Roman" w:eastAsia="宋体" w:hAnsi="Times New Roman" w:hint="eastAsia"/>
          <w:sz w:val="18"/>
          <w:szCs w:val="20"/>
        </w:rPr>
        <w:t>元，减少率</w:t>
      </w:r>
      <w:r w:rsidRPr="00222920">
        <w:rPr>
          <w:rFonts w:ascii="Times New Roman" w:eastAsia="宋体" w:hAnsi="Times New Roman" w:hint="eastAsia"/>
          <w:sz w:val="18"/>
          <w:szCs w:val="20"/>
        </w:rPr>
        <w:t>27.43%</w:t>
      </w:r>
      <w:r w:rsidRPr="00222920">
        <w:rPr>
          <w:rFonts w:ascii="Times New Roman" w:eastAsia="宋体" w:hAnsi="Times New Roman" w:hint="eastAsia"/>
          <w:sz w:val="18"/>
          <w:szCs w:val="20"/>
        </w:rPr>
        <w:t>，主要原因系本期公司战略调整，业务结构变化导致的收入减少。</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报告期内，营业成本较上年同期减少</w:t>
      </w:r>
      <w:r w:rsidRPr="00222920">
        <w:rPr>
          <w:rFonts w:ascii="Times New Roman" w:eastAsia="宋体" w:hAnsi="Times New Roman" w:hint="eastAsia"/>
          <w:sz w:val="18"/>
          <w:szCs w:val="20"/>
        </w:rPr>
        <w:t>945,635,319.69</w:t>
      </w:r>
      <w:r w:rsidRPr="00222920">
        <w:rPr>
          <w:rFonts w:ascii="Times New Roman" w:eastAsia="宋体" w:hAnsi="Times New Roman" w:hint="eastAsia"/>
          <w:sz w:val="18"/>
          <w:szCs w:val="20"/>
        </w:rPr>
        <w:t>元，减少率</w:t>
      </w:r>
      <w:r w:rsidRPr="00222920">
        <w:rPr>
          <w:rFonts w:ascii="Times New Roman" w:eastAsia="宋体" w:hAnsi="Times New Roman" w:hint="eastAsia"/>
          <w:sz w:val="18"/>
          <w:szCs w:val="20"/>
        </w:rPr>
        <w:t>28.53%</w:t>
      </w:r>
      <w:r w:rsidRPr="00222920">
        <w:rPr>
          <w:rFonts w:ascii="Times New Roman" w:eastAsia="宋体" w:hAnsi="Times New Roman" w:hint="eastAsia"/>
          <w:sz w:val="18"/>
          <w:szCs w:val="20"/>
        </w:rPr>
        <w:t>，主要原因系本期贸易及养殖业务量下降带来的成本下降。</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报告期内，财务费用较上年同期增加</w:t>
      </w:r>
      <w:r w:rsidRPr="00222920">
        <w:rPr>
          <w:rFonts w:ascii="Times New Roman" w:eastAsia="宋体" w:hAnsi="Times New Roman" w:hint="eastAsia"/>
          <w:sz w:val="18"/>
          <w:szCs w:val="20"/>
        </w:rPr>
        <w:t>7,976,644.91</w:t>
      </w:r>
      <w:r w:rsidRPr="00222920">
        <w:rPr>
          <w:rFonts w:ascii="Times New Roman" w:eastAsia="宋体" w:hAnsi="Times New Roman" w:hint="eastAsia"/>
          <w:sz w:val="18"/>
          <w:szCs w:val="20"/>
        </w:rPr>
        <w:t>元，增加率</w:t>
      </w:r>
      <w:r w:rsidRPr="00222920">
        <w:rPr>
          <w:rFonts w:ascii="Times New Roman" w:eastAsia="宋体" w:hAnsi="Times New Roman" w:hint="eastAsia"/>
          <w:sz w:val="18"/>
          <w:szCs w:val="20"/>
        </w:rPr>
        <w:t>65.96%</w:t>
      </w:r>
      <w:r w:rsidRPr="00222920">
        <w:rPr>
          <w:rFonts w:ascii="Times New Roman" w:eastAsia="宋体" w:hAnsi="Times New Roman" w:hint="eastAsia"/>
          <w:sz w:val="18"/>
          <w:szCs w:val="20"/>
        </w:rPr>
        <w:t>，主要原因系本期整体融资规模较去年同期有所增加所致。</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报告期内，其他收益较上年同期增加</w:t>
      </w:r>
      <w:r w:rsidRPr="00222920">
        <w:rPr>
          <w:rFonts w:ascii="Times New Roman" w:eastAsia="宋体" w:hAnsi="Times New Roman" w:hint="eastAsia"/>
          <w:sz w:val="18"/>
          <w:szCs w:val="20"/>
        </w:rPr>
        <w:t>2,084,546.58</w:t>
      </w:r>
      <w:r w:rsidRPr="00222920">
        <w:rPr>
          <w:rFonts w:ascii="Times New Roman" w:eastAsia="宋体" w:hAnsi="Times New Roman" w:hint="eastAsia"/>
          <w:sz w:val="18"/>
          <w:szCs w:val="20"/>
        </w:rPr>
        <w:t>元，增加率</w:t>
      </w:r>
      <w:r w:rsidRPr="00222920">
        <w:rPr>
          <w:rFonts w:ascii="Times New Roman" w:eastAsia="宋体" w:hAnsi="Times New Roman" w:hint="eastAsia"/>
          <w:sz w:val="18"/>
          <w:szCs w:val="20"/>
        </w:rPr>
        <w:t>74.08%</w:t>
      </w:r>
      <w:r w:rsidRPr="00222920">
        <w:rPr>
          <w:rFonts w:ascii="Times New Roman" w:eastAsia="宋体" w:hAnsi="Times New Roman" w:hint="eastAsia"/>
          <w:sz w:val="18"/>
          <w:szCs w:val="20"/>
        </w:rPr>
        <w:t>，主要原因系本期政府补助增加所致。</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报告期内，信用减值损失较上年同期减少</w:t>
      </w:r>
      <w:r w:rsidRPr="00222920">
        <w:rPr>
          <w:rFonts w:ascii="Times New Roman" w:eastAsia="宋体" w:hAnsi="Times New Roman" w:hint="eastAsia"/>
          <w:sz w:val="18"/>
          <w:szCs w:val="20"/>
        </w:rPr>
        <w:t>2,333,961.13</w:t>
      </w:r>
      <w:r w:rsidRPr="00222920">
        <w:rPr>
          <w:rFonts w:ascii="Times New Roman" w:eastAsia="宋体" w:hAnsi="Times New Roman" w:hint="eastAsia"/>
          <w:sz w:val="18"/>
          <w:szCs w:val="20"/>
        </w:rPr>
        <w:t>元，减少率</w:t>
      </w:r>
      <w:r w:rsidR="00222920" w:rsidRPr="00222920">
        <w:rPr>
          <w:rFonts w:ascii="Times New Roman" w:eastAsia="宋体" w:hAnsi="Times New Roman" w:hint="eastAsia"/>
          <w:sz w:val="18"/>
          <w:szCs w:val="20"/>
        </w:rPr>
        <w:t>443.30</w:t>
      </w:r>
      <w:r w:rsidRPr="00222920">
        <w:rPr>
          <w:rFonts w:ascii="Times New Roman" w:eastAsia="宋体" w:hAnsi="Times New Roman" w:hint="eastAsia"/>
          <w:sz w:val="18"/>
          <w:szCs w:val="20"/>
        </w:rPr>
        <w:t>%</w:t>
      </w:r>
      <w:r w:rsidRPr="00222920">
        <w:rPr>
          <w:rFonts w:ascii="Times New Roman" w:eastAsia="宋体" w:hAnsi="Times New Roman" w:hint="eastAsia"/>
          <w:sz w:val="18"/>
          <w:szCs w:val="20"/>
        </w:rPr>
        <w:t>，主要原因系本期应收</w:t>
      </w:r>
      <w:proofErr w:type="gramStart"/>
      <w:r w:rsidRPr="00222920">
        <w:rPr>
          <w:rFonts w:ascii="Times New Roman" w:eastAsia="宋体" w:hAnsi="Times New Roman" w:hint="eastAsia"/>
          <w:sz w:val="18"/>
          <w:szCs w:val="20"/>
        </w:rPr>
        <w:t>账款按账龄</w:t>
      </w:r>
      <w:proofErr w:type="gramEnd"/>
      <w:r w:rsidRPr="00222920">
        <w:rPr>
          <w:rFonts w:ascii="Times New Roman" w:eastAsia="宋体" w:hAnsi="Times New Roman" w:hint="eastAsia"/>
          <w:sz w:val="18"/>
          <w:szCs w:val="20"/>
        </w:rPr>
        <w:t>计提减值增加。</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报告期内，资产减值损失较上年同期增加</w:t>
      </w:r>
      <w:r w:rsidRPr="00222920">
        <w:rPr>
          <w:rFonts w:ascii="Times New Roman" w:eastAsia="宋体" w:hAnsi="Times New Roman" w:hint="eastAsia"/>
          <w:sz w:val="18"/>
          <w:szCs w:val="20"/>
        </w:rPr>
        <w:t>4,686,293.28</w:t>
      </w:r>
      <w:r w:rsidRPr="00222920">
        <w:rPr>
          <w:rFonts w:ascii="Times New Roman" w:eastAsia="宋体" w:hAnsi="Times New Roman" w:hint="eastAsia"/>
          <w:sz w:val="18"/>
          <w:szCs w:val="20"/>
        </w:rPr>
        <w:t>元，增加率</w:t>
      </w:r>
      <w:r w:rsidRPr="00222920">
        <w:rPr>
          <w:rFonts w:ascii="Times New Roman" w:eastAsia="宋体" w:hAnsi="Times New Roman" w:hint="eastAsia"/>
          <w:sz w:val="18"/>
          <w:szCs w:val="20"/>
        </w:rPr>
        <w:t>148.53%</w:t>
      </w:r>
      <w:r w:rsidRPr="00222920">
        <w:rPr>
          <w:rFonts w:ascii="Times New Roman" w:eastAsia="宋体" w:hAnsi="Times New Roman" w:hint="eastAsia"/>
          <w:sz w:val="18"/>
          <w:szCs w:val="20"/>
        </w:rPr>
        <w:t>，主要原因系</w:t>
      </w:r>
      <w:proofErr w:type="gramStart"/>
      <w:r w:rsidRPr="00222920">
        <w:rPr>
          <w:rFonts w:ascii="Times New Roman" w:eastAsia="宋体" w:hAnsi="Times New Roman" w:hint="eastAsia"/>
          <w:sz w:val="18"/>
          <w:szCs w:val="20"/>
        </w:rPr>
        <w:t>本期回</w:t>
      </w:r>
      <w:proofErr w:type="gramEnd"/>
      <w:r w:rsidRPr="00222920">
        <w:rPr>
          <w:rFonts w:ascii="Times New Roman" w:eastAsia="宋体" w:hAnsi="Times New Roman" w:hint="eastAsia"/>
          <w:sz w:val="18"/>
          <w:szCs w:val="20"/>
        </w:rPr>
        <w:t>冲存货减值及</w:t>
      </w:r>
      <w:r w:rsidR="00222920" w:rsidRPr="00222920">
        <w:rPr>
          <w:rFonts w:ascii="Times New Roman" w:eastAsia="宋体" w:hAnsi="Times New Roman" w:hint="eastAsia"/>
          <w:sz w:val="18"/>
          <w:szCs w:val="20"/>
        </w:rPr>
        <w:t>消耗</w:t>
      </w:r>
      <w:r w:rsidRPr="00222920">
        <w:rPr>
          <w:rFonts w:ascii="Times New Roman" w:eastAsia="宋体" w:hAnsi="Times New Roman" w:hint="eastAsia"/>
          <w:sz w:val="18"/>
          <w:szCs w:val="20"/>
        </w:rPr>
        <w:t>性生物资产减值所致。</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报告期内，资产处置收益较上年同期</w:t>
      </w:r>
      <w:r w:rsidR="00222920" w:rsidRPr="00222920">
        <w:rPr>
          <w:rFonts w:ascii="Times New Roman" w:eastAsia="宋体" w:hAnsi="Times New Roman" w:hint="eastAsia"/>
          <w:sz w:val="18"/>
          <w:szCs w:val="20"/>
        </w:rPr>
        <w:t>增加</w:t>
      </w:r>
      <w:r w:rsidRPr="00222920">
        <w:rPr>
          <w:rFonts w:ascii="Times New Roman" w:eastAsia="宋体" w:hAnsi="Times New Roman" w:hint="eastAsia"/>
          <w:sz w:val="18"/>
          <w:szCs w:val="20"/>
        </w:rPr>
        <w:t>5,996,891.43</w:t>
      </w:r>
      <w:r w:rsidRPr="00222920">
        <w:rPr>
          <w:rFonts w:ascii="Times New Roman" w:eastAsia="宋体" w:hAnsi="Times New Roman" w:hint="eastAsia"/>
          <w:sz w:val="18"/>
          <w:szCs w:val="20"/>
        </w:rPr>
        <w:t>元，</w:t>
      </w:r>
      <w:r w:rsidR="00222920" w:rsidRPr="00222920">
        <w:rPr>
          <w:rFonts w:ascii="Times New Roman" w:eastAsia="宋体" w:hAnsi="Times New Roman" w:hint="eastAsia"/>
          <w:sz w:val="18"/>
          <w:szCs w:val="20"/>
        </w:rPr>
        <w:t>增加</w:t>
      </w:r>
      <w:r w:rsidRPr="00222920">
        <w:rPr>
          <w:rFonts w:ascii="Times New Roman" w:eastAsia="宋体" w:hAnsi="Times New Roman" w:hint="eastAsia"/>
          <w:sz w:val="18"/>
          <w:szCs w:val="20"/>
        </w:rPr>
        <w:t>率</w:t>
      </w:r>
      <w:r w:rsidRPr="00222920">
        <w:rPr>
          <w:rFonts w:ascii="Times New Roman" w:eastAsia="宋体" w:hAnsi="Times New Roman" w:hint="eastAsia"/>
          <w:sz w:val="18"/>
          <w:szCs w:val="20"/>
        </w:rPr>
        <w:t>101.72%</w:t>
      </w:r>
      <w:r w:rsidRPr="00222920">
        <w:rPr>
          <w:rFonts w:ascii="Times New Roman" w:eastAsia="宋体" w:hAnsi="Times New Roman" w:hint="eastAsia"/>
          <w:sz w:val="18"/>
          <w:szCs w:val="20"/>
        </w:rPr>
        <w:t>，主要原因系上期淘汰生产性生物资产较多所致。</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报告期内，营业外收入较上年同期减少</w:t>
      </w:r>
      <w:r w:rsidRPr="00222920">
        <w:rPr>
          <w:rFonts w:ascii="Times New Roman" w:eastAsia="宋体" w:hAnsi="Times New Roman" w:hint="eastAsia"/>
          <w:sz w:val="18"/>
          <w:szCs w:val="20"/>
        </w:rPr>
        <w:t>1,854,022.81</w:t>
      </w:r>
      <w:r w:rsidRPr="00222920">
        <w:rPr>
          <w:rFonts w:ascii="Times New Roman" w:eastAsia="宋体" w:hAnsi="Times New Roman" w:hint="eastAsia"/>
          <w:sz w:val="18"/>
          <w:szCs w:val="20"/>
        </w:rPr>
        <w:t>元，减少率</w:t>
      </w:r>
      <w:r w:rsidRPr="00222920">
        <w:rPr>
          <w:rFonts w:ascii="Times New Roman" w:eastAsia="宋体" w:hAnsi="Times New Roman" w:hint="eastAsia"/>
          <w:sz w:val="18"/>
          <w:szCs w:val="20"/>
        </w:rPr>
        <w:t>76.86%</w:t>
      </w:r>
      <w:r w:rsidRPr="00222920">
        <w:rPr>
          <w:rFonts w:ascii="Times New Roman" w:eastAsia="宋体" w:hAnsi="Times New Roman" w:hint="eastAsia"/>
          <w:sz w:val="18"/>
          <w:szCs w:val="20"/>
        </w:rPr>
        <w:t>，主要原因系上期猪只死亡保险赔付。</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报告期内，营业外支出较上年同期增加</w:t>
      </w:r>
      <w:r w:rsidRPr="00222920">
        <w:rPr>
          <w:rFonts w:ascii="Times New Roman" w:eastAsia="宋体" w:hAnsi="Times New Roman" w:hint="eastAsia"/>
          <w:sz w:val="18"/>
          <w:szCs w:val="20"/>
        </w:rPr>
        <w:t>4,043,374.26</w:t>
      </w:r>
      <w:r w:rsidRPr="00222920">
        <w:rPr>
          <w:rFonts w:ascii="Times New Roman" w:eastAsia="宋体" w:hAnsi="Times New Roman" w:hint="eastAsia"/>
          <w:sz w:val="18"/>
          <w:szCs w:val="20"/>
        </w:rPr>
        <w:t>元，增加率</w:t>
      </w:r>
      <w:r w:rsidRPr="00222920">
        <w:rPr>
          <w:rFonts w:ascii="Times New Roman" w:eastAsia="宋体" w:hAnsi="Times New Roman" w:hint="eastAsia"/>
          <w:sz w:val="18"/>
          <w:szCs w:val="20"/>
        </w:rPr>
        <w:t>440.35%</w:t>
      </w:r>
      <w:r w:rsidRPr="00222920">
        <w:rPr>
          <w:rFonts w:ascii="Times New Roman" w:eastAsia="宋体" w:hAnsi="Times New Roman" w:hint="eastAsia"/>
          <w:sz w:val="18"/>
          <w:szCs w:val="20"/>
        </w:rPr>
        <w:t>，主要原因系本期报废部分存货所致。</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报告期内，所得税费用较上年同期增加</w:t>
      </w:r>
      <w:r w:rsidRPr="00222920">
        <w:rPr>
          <w:rFonts w:ascii="Times New Roman" w:eastAsia="宋体" w:hAnsi="Times New Roman" w:hint="eastAsia"/>
          <w:sz w:val="18"/>
          <w:szCs w:val="20"/>
        </w:rPr>
        <w:t>6,046,327.50</w:t>
      </w:r>
      <w:r w:rsidRPr="00222920">
        <w:rPr>
          <w:rFonts w:ascii="Times New Roman" w:eastAsia="宋体" w:hAnsi="Times New Roman" w:hint="eastAsia"/>
          <w:sz w:val="18"/>
          <w:szCs w:val="20"/>
        </w:rPr>
        <w:t>元，增加率</w:t>
      </w:r>
      <w:r w:rsidRPr="00222920">
        <w:rPr>
          <w:rFonts w:ascii="Times New Roman" w:eastAsia="宋体" w:hAnsi="Times New Roman" w:hint="eastAsia"/>
          <w:sz w:val="18"/>
          <w:szCs w:val="20"/>
        </w:rPr>
        <w:t>3398.14%</w:t>
      </w:r>
      <w:r w:rsidRPr="00222920">
        <w:rPr>
          <w:rFonts w:ascii="Times New Roman" w:eastAsia="宋体" w:hAnsi="Times New Roman" w:hint="eastAsia"/>
          <w:sz w:val="18"/>
          <w:szCs w:val="20"/>
        </w:rPr>
        <w:t>，主要原因系本期冲回部分亏损确认的递延所得税资产所致。</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3</w:t>
      </w:r>
      <w:r w:rsidRPr="00222920">
        <w:rPr>
          <w:rFonts w:ascii="Times New Roman" w:eastAsia="宋体" w:hAnsi="Times New Roman" w:hint="eastAsia"/>
          <w:sz w:val="18"/>
          <w:szCs w:val="20"/>
        </w:rPr>
        <w:t>、现金流量表项目</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报告期内，经营活动产生的现金流量净额较上年同期减少</w:t>
      </w:r>
      <w:r w:rsidRPr="00222920">
        <w:rPr>
          <w:rFonts w:ascii="Times New Roman" w:eastAsia="宋体" w:hAnsi="Times New Roman" w:hint="eastAsia"/>
          <w:sz w:val="18"/>
          <w:szCs w:val="20"/>
        </w:rPr>
        <w:t>58,567,766.63</w:t>
      </w:r>
      <w:r w:rsidRPr="00222920">
        <w:rPr>
          <w:rFonts w:ascii="Times New Roman" w:eastAsia="宋体" w:hAnsi="Times New Roman" w:hint="eastAsia"/>
          <w:sz w:val="18"/>
          <w:szCs w:val="20"/>
        </w:rPr>
        <w:t>元，减少率</w:t>
      </w:r>
      <w:r w:rsidRPr="00222920">
        <w:rPr>
          <w:rFonts w:ascii="Times New Roman" w:eastAsia="宋体" w:hAnsi="Times New Roman" w:hint="eastAsia"/>
          <w:sz w:val="18"/>
          <w:szCs w:val="20"/>
        </w:rPr>
        <w:t>70.28%,</w:t>
      </w:r>
      <w:r w:rsidRPr="00222920">
        <w:rPr>
          <w:rFonts w:ascii="Times New Roman" w:eastAsia="宋体" w:hAnsi="Times New Roman" w:hint="eastAsia"/>
          <w:sz w:val="18"/>
          <w:szCs w:val="20"/>
        </w:rPr>
        <w:t>主要原因为本期业务规模下降导致的现金流入下降所致。</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报告期内，投资活动产生的现金流量净额较上年同期增加</w:t>
      </w:r>
      <w:r w:rsidRPr="00222920">
        <w:rPr>
          <w:rFonts w:ascii="Times New Roman" w:eastAsia="宋体" w:hAnsi="Times New Roman" w:hint="eastAsia"/>
          <w:sz w:val="18"/>
          <w:szCs w:val="20"/>
        </w:rPr>
        <w:t>76,997,889.63</w:t>
      </w:r>
      <w:r w:rsidRPr="00222920">
        <w:rPr>
          <w:rFonts w:ascii="Times New Roman" w:eastAsia="宋体" w:hAnsi="Times New Roman" w:hint="eastAsia"/>
          <w:sz w:val="18"/>
          <w:szCs w:val="20"/>
        </w:rPr>
        <w:t>元，增加率</w:t>
      </w:r>
      <w:r w:rsidRPr="00222920">
        <w:rPr>
          <w:rFonts w:ascii="Times New Roman" w:eastAsia="宋体" w:hAnsi="Times New Roman" w:hint="eastAsia"/>
          <w:sz w:val="18"/>
          <w:szCs w:val="20"/>
        </w:rPr>
        <w:t>48.68%,</w:t>
      </w:r>
      <w:r w:rsidRPr="00222920">
        <w:rPr>
          <w:rFonts w:ascii="Times New Roman" w:eastAsia="宋体" w:hAnsi="Times New Roman" w:hint="eastAsia"/>
          <w:sz w:val="18"/>
          <w:szCs w:val="20"/>
        </w:rPr>
        <w:t>主要原因为本期购建固定资产、无形资产和其他长期资产支付的现金减少所致。</w:t>
      </w:r>
    </w:p>
    <w:p w:rsidR="00D045A6" w:rsidRPr="00222920" w:rsidRDefault="00000000" w:rsidP="00222920">
      <w:pPr>
        <w:spacing w:line="276" w:lineRule="auto"/>
        <w:ind w:firstLineChars="200" w:firstLine="360"/>
        <w:rPr>
          <w:rFonts w:ascii="Times New Roman" w:eastAsia="宋体" w:hAnsi="Times New Roman"/>
          <w:sz w:val="18"/>
          <w:szCs w:val="20"/>
        </w:rPr>
      </w:pPr>
      <w:r w:rsidRPr="00222920">
        <w:rPr>
          <w:rFonts w:ascii="Times New Roman" w:eastAsia="宋体" w:hAnsi="Times New Roman" w:hint="eastAsia"/>
          <w:sz w:val="18"/>
          <w:szCs w:val="20"/>
        </w:rPr>
        <w:t>报告期内，筹资活动产生的现金流量净额较上年同期增加</w:t>
      </w:r>
      <w:r w:rsidRPr="00222920">
        <w:rPr>
          <w:rFonts w:ascii="Times New Roman" w:eastAsia="宋体" w:hAnsi="Times New Roman" w:hint="eastAsia"/>
          <w:sz w:val="18"/>
          <w:szCs w:val="20"/>
        </w:rPr>
        <w:t>41,127,557.58</w:t>
      </w:r>
      <w:r w:rsidRPr="00222920">
        <w:rPr>
          <w:rFonts w:ascii="Times New Roman" w:eastAsia="宋体" w:hAnsi="Times New Roman" w:hint="eastAsia"/>
          <w:sz w:val="18"/>
          <w:szCs w:val="20"/>
        </w:rPr>
        <w:t>元，增加率</w:t>
      </w:r>
      <w:r w:rsidRPr="00222920">
        <w:rPr>
          <w:rFonts w:ascii="Times New Roman" w:eastAsia="宋体" w:hAnsi="Times New Roman" w:hint="eastAsia"/>
          <w:sz w:val="18"/>
          <w:szCs w:val="20"/>
        </w:rPr>
        <w:t>50.30%,</w:t>
      </w:r>
      <w:r w:rsidRPr="00222920">
        <w:rPr>
          <w:rFonts w:ascii="Times New Roman" w:eastAsia="宋体" w:hAnsi="Times New Roman" w:hint="eastAsia"/>
          <w:sz w:val="18"/>
          <w:szCs w:val="20"/>
        </w:rPr>
        <w:t>主要原因为本期融资规模</w:t>
      </w:r>
      <w:r w:rsidRPr="00222920">
        <w:rPr>
          <w:rFonts w:ascii="Times New Roman" w:eastAsia="宋体" w:hAnsi="Times New Roman" w:hint="eastAsia"/>
          <w:sz w:val="18"/>
          <w:szCs w:val="20"/>
        </w:rPr>
        <w:lastRenderedPageBreak/>
        <w:t>较去年同期有所增加所致。</w:t>
      </w:r>
      <w:r w:rsidRPr="00222920">
        <w:rPr>
          <w:rFonts w:ascii="Times New Roman" w:eastAsia="宋体" w:hAnsi="Times New Roman" w:hint="eastAsia"/>
          <w:sz w:val="18"/>
          <w:szCs w:val="20"/>
        </w:rPr>
        <w:t> </w:t>
      </w:r>
    </w:p>
    <w:p w:rsidR="0079506E" w:rsidRPr="00222920" w:rsidRDefault="00000000">
      <w:pPr>
        <w:pStyle w:val="headingh1"/>
        <w:spacing w:before="300" w:after="300" w:line="320" w:lineRule="exact"/>
        <w:rPr>
          <w:rFonts w:ascii="Times New Roman" w:eastAsia="宋体" w:hAnsi="Times New Roman" w:cs="宋体"/>
          <w:b/>
          <w:bCs/>
          <w:sz w:val="24"/>
          <w:szCs w:val="24"/>
        </w:rPr>
      </w:pPr>
      <w:bookmarkStart w:id="4" w:name="_Toc988893"/>
      <w:r w:rsidRPr="00222920">
        <w:rPr>
          <w:rFonts w:ascii="Times New Roman" w:eastAsia="宋体" w:hAnsi="Times New Roman" w:cs="宋体"/>
          <w:b/>
          <w:bCs/>
          <w:sz w:val="24"/>
          <w:szCs w:val="24"/>
        </w:rPr>
        <w:t>二、股东信息</w:t>
      </w:r>
      <w:r w:rsidRPr="00222920">
        <w:rPr>
          <w:rFonts w:ascii="Times New Roman" w:eastAsia="宋体" w:hAnsi="Times New Roman" w:cs="宋体"/>
          <w:b/>
          <w:bCs/>
          <w:sz w:val="24"/>
          <w:szCs w:val="24"/>
        </w:rPr>
        <w:t xml:space="preserve"> </w:t>
      </w:r>
      <w:bookmarkEnd w:id="4"/>
    </w:p>
    <w:p w:rsidR="0079506E" w:rsidRPr="00222920" w:rsidRDefault="00000000">
      <w:pPr>
        <w:pStyle w:val="2"/>
        <w:spacing w:before="300" w:after="300" w:line="280" w:lineRule="exact"/>
        <w:rPr>
          <w:rFonts w:ascii="Times New Roman" w:eastAsia="宋体" w:hAnsi="Times New Roman" w:cs="宋体"/>
          <w:b/>
          <w:bCs/>
        </w:rPr>
      </w:pPr>
      <w:bookmarkStart w:id="5" w:name="_Toc988894"/>
      <w:r w:rsidRPr="00222920">
        <w:rPr>
          <w:rFonts w:ascii="Times New Roman" w:eastAsia="宋体" w:hAnsi="Times New Roman" w:cs="宋体"/>
          <w:b/>
          <w:bCs/>
        </w:rPr>
        <w:t>（一）</w:t>
      </w:r>
      <w:r w:rsidRPr="00222920">
        <w:rPr>
          <w:rFonts w:ascii="Times New Roman" w:eastAsia="宋体" w:hAnsi="Times New Roman" w:cs="宋体"/>
          <w:b/>
          <w:bCs/>
        </w:rPr>
        <w:t xml:space="preserve"> </w:t>
      </w:r>
      <w:r w:rsidRPr="00222920">
        <w:rPr>
          <w:rFonts w:ascii="Times New Roman" w:eastAsia="宋体" w:hAnsi="Times New Roman" w:cs="宋体"/>
          <w:b/>
          <w:bCs/>
        </w:rPr>
        <w:t>普通股股东总数和表决权恢复的优先股股东数量及前十名股东持股情况表</w:t>
      </w:r>
      <w:bookmarkEnd w:id="5"/>
    </w:p>
    <w:p w:rsidR="0079506E" w:rsidRPr="00222920" w:rsidRDefault="00000000">
      <w:pPr>
        <w:spacing w:before="40" w:after="40"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9506E" w:rsidRPr="00222920">
        <w:trPr>
          <w:trHeight w:val="240"/>
        </w:trPr>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报告期末普通股股东总数</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30,509</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报告期末表决权恢复的优先股股东总数（如有）</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w:t>
            </w:r>
          </w:p>
        </w:tc>
      </w:tr>
      <w:tr w:rsidR="0079506E" w:rsidRPr="00222920">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前</w:t>
            </w:r>
            <w:r w:rsidRPr="00222920">
              <w:rPr>
                <w:rFonts w:ascii="Times New Roman" w:eastAsia="宋体" w:hAnsi="Times New Roman" w:cs="宋体"/>
                <w:sz w:val="18"/>
                <w:szCs w:val="18"/>
              </w:rPr>
              <w:t>10</w:t>
            </w:r>
            <w:r w:rsidRPr="00222920">
              <w:rPr>
                <w:rFonts w:ascii="Times New Roman" w:eastAsia="宋体" w:hAnsi="Times New Roman" w:cs="宋体"/>
                <w:sz w:val="18"/>
                <w:szCs w:val="18"/>
              </w:rPr>
              <w:t>名股东持股情况（不含通过转融通出借股份）</w:t>
            </w:r>
          </w:p>
        </w:tc>
      </w:tr>
      <w:tr w:rsidR="0079506E" w:rsidRPr="00222920">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股东名称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股东性质</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持股比例（</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持有有限</w:t>
            </w:r>
            <w:proofErr w:type="gramStart"/>
            <w:r w:rsidRPr="00222920">
              <w:rPr>
                <w:rFonts w:ascii="Times New Roman" w:eastAsia="宋体" w:hAnsi="Times New Roman" w:cs="宋体"/>
                <w:sz w:val="18"/>
                <w:szCs w:val="18"/>
              </w:rPr>
              <w:t>售条件</w:t>
            </w:r>
            <w:proofErr w:type="gramEnd"/>
            <w:r w:rsidRPr="00222920">
              <w:rPr>
                <w:rFonts w:ascii="Times New Roman" w:eastAsia="宋体" w:hAnsi="Times New Roman" w:cs="宋体"/>
                <w:sz w:val="18"/>
                <w:szCs w:val="18"/>
              </w:rPr>
              <w:t>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质押、标记或冻结情况</w:t>
            </w:r>
          </w:p>
        </w:tc>
      </w:tr>
      <w:tr w:rsidR="0079506E" w:rsidRPr="00222920">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股份状态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数量</w:t>
            </w:r>
          </w:p>
        </w:tc>
      </w:tr>
      <w:tr w:rsidR="0079506E" w:rsidRPr="0022292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蓝润发展控股集团有限公司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27.23%</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293,885,800.00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87,870,000.00</w:t>
            </w:r>
          </w:p>
        </w:tc>
      </w:tr>
      <w:tr w:rsidR="0079506E" w:rsidRPr="0022292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莱阳银龙投资有限公司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7.29%</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78,676,000.00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青岛</w:t>
            </w:r>
            <w:proofErr w:type="gramStart"/>
            <w:r w:rsidRPr="00222920">
              <w:rPr>
                <w:rFonts w:ascii="Times New Roman" w:eastAsia="宋体" w:hAnsi="Times New Roman" w:cs="宋体"/>
                <w:sz w:val="18"/>
                <w:szCs w:val="18"/>
              </w:rPr>
              <w:t>洪亨亚</w:t>
            </w:r>
            <w:proofErr w:type="gramEnd"/>
            <w:r w:rsidRPr="00222920">
              <w:rPr>
                <w:rFonts w:ascii="Times New Roman" w:eastAsia="宋体" w:hAnsi="Times New Roman" w:cs="宋体"/>
                <w:sz w:val="18"/>
                <w:szCs w:val="18"/>
              </w:rPr>
              <w:t>和实业有限公司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5.53%</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59,714,200.00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银河德</w:t>
            </w:r>
            <w:proofErr w:type="gramStart"/>
            <w:r w:rsidRPr="00222920">
              <w:rPr>
                <w:rFonts w:ascii="Times New Roman" w:eastAsia="宋体" w:hAnsi="Times New Roman" w:cs="宋体"/>
                <w:sz w:val="18"/>
                <w:szCs w:val="18"/>
              </w:rPr>
              <w:t>睿</w:t>
            </w:r>
            <w:proofErr w:type="gramEnd"/>
            <w:r w:rsidRPr="00222920">
              <w:rPr>
                <w:rFonts w:ascii="Times New Roman" w:eastAsia="宋体" w:hAnsi="Times New Roman" w:cs="宋体"/>
                <w:sz w:val="18"/>
                <w:szCs w:val="18"/>
              </w:rPr>
              <w:t>资本管理有限公司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3.41%</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36,781,005.00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proofErr w:type="gramStart"/>
            <w:r w:rsidRPr="00222920">
              <w:rPr>
                <w:rFonts w:ascii="Times New Roman" w:eastAsia="宋体" w:hAnsi="Times New Roman" w:cs="宋体"/>
                <w:sz w:val="18"/>
                <w:szCs w:val="18"/>
              </w:rPr>
              <w:t>晟弘资产</w:t>
            </w:r>
            <w:proofErr w:type="gramEnd"/>
            <w:r w:rsidRPr="00222920">
              <w:rPr>
                <w:rFonts w:ascii="Times New Roman" w:eastAsia="宋体" w:hAnsi="Times New Roman" w:cs="宋体"/>
                <w:sz w:val="18"/>
                <w:szCs w:val="18"/>
              </w:rPr>
              <w:t>管理（珠海）有限公司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2.72%</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29,376,135.00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伊藤忠（中国）集团有限公司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2.57%</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27,716,500.00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青岛源雅商贸有限公司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2.12%</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22,924,700.00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付小铜</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2.02%</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21,804,661.00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上海鼎译智能科技有限公司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1.96%</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21,116,171.00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上海芬隆实业有限公司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1.92%</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20,674,773.00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前</w:t>
            </w:r>
            <w:r w:rsidRPr="00222920">
              <w:rPr>
                <w:rFonts w:ascii="Times New Roman" w:eastAsia="宋体" w:hAnsi="Times New Roman" w:cs="宋体"/>
                <w:sz w:val="18"/>
                <w:szCs w:val="18"/>
              </w:rPr>
              <w:t>10</w:t>
            </w:r>
            <w:r w:rsidRPr="00222920">
              <w:rPr>
                <w:rFonts w:ascii="Times New Roman" w:eastAsia="宋体" w:hAnsi="Times New Roman" w:cs="宋体"/>
                <w:sz w:val="18"/>
                <w:szCs w:val="18"/>
              </w:rPr>
              <w:t>名无限</w:t>
            </w:r>
            <w:proofErr w:type="gramStart"/>
            <w:r w:rsidRPr="00222920">
              <w:rPr>
                <w:rFonts w:ascii="Times New Roman" w:eastAsia="宋体" w:hAnsi="Times New Roman" w:cs="宋体"/>
                <w:sz w:val="18"/>
                <w:szCs w:val="18"/>
              </w:rPr>
              <w:t>售条件</w:t>
            </w:r>
            <w:proofErr w:type="gramEnd"/>
            <w:r w:rsidRPr="00222920">
              <w:rPr>
                <w:rFonts w:ascii="Times New Roman" w:eastAsia="宋体" w:hAnsi="Times New Roman" w:cs="宋体"/>
                <w:sz w:val="18"/>
                <w:szCs w:val="18"/>
              </w:rPr>
              <w:t>股东持股情况</w:t>
            </w:r>
          </w:p>
        </w:tc>
      </w:tr>
      <w:tr w:rsidR="0079506E" w:rsidRPr="00222920">
        <w:trPr>
          <w:trHeight w:val="240"/>
        </w:trPr>
        <w:tc>
          <w:tcPr>
            <w:tcW w:w="275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股东名称</w:t>
            </w:r>
          </w:p>
        </w:tc>
        <w:tc>
          <w:tcPr>
            <w:tcW w:w="4131"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持有无限</w:t>
            </w:r>
            <w:proofErr w:type="gramStart"/>
            <w:r w:rsidRPr="00222920">
              <w:rPr>
                <w:rFonts w:ascii="Times New Roman" w:eastAsia="宋体" w:hAnsi="Times New Roman" w:cs="宋体"/>
                <w:sz w:val="18"/>
                <w:szCs w:val="18"/>
              </w:rPr>
              <w:t>售条件</w:t>
            </w:r>
            <w:proofErr w:type="gramEnd"/>
            <w:r w:rsidRPr="00222920">
              <w:rPr>
                <w:rFonts w:ascii="Times New Roman" w:eastAsia="宋体" w:hAnsi="Times New Roman" w:cs="宋体"/>
                <w:sz w:val="18"/>
                <w:szCs w:val="18"/>
              </w:rPr>
              <w:t>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股份种类</w:t>
            </w:r>
          </w:p>
        </w:tc>
      </w:tr>
      <w:tr w:rsidR="0079506E" w:rsidRPr="00222920">
        <w:trPr>
          <w:trHeight w:val="240"/>
        </w:trPr>
        <w:tc>
          <w:tcPr>
            <w:tcW w:w="2754" w:type="dxa"/>
            <w:gridSpan w:val="2"/>
            <w:vMerge/>
            <w:tcBorders>
              <w:top w:val="single" w:sz="2" w:space="0" w:color="auto"/>
              <w:left w:val="single" w:sz="2" w:space="0" w:color="auto"/>
              <w:bottom w:val="single" w:sz="2" w:space="0" w:color="auto"/>
              <w:right w:val="single" w:sz="2" w:space="0" w:color="auto"/>
            </w:tcBorders>
            <w:vAlign w:val="center"/>
          </w:tcPr>
          <w:p w:rsidR="0079506E" w:rsidRPr="00222920" w:rsidRDefault="0079506E">
            <w:pPr>
              <w:rPr>
                <w:rFonts w:ascii="Times New Roman" w:hAnsi="Times New Roman"/>
              </w:rPr>
            </w:pPr>
          </w:p>
        </w:tc>
        <w:tc>
          <w:tcPr>
            <w:tcW w:w="4131" w:type="dxa"/>
            <w:gridSpan w:val="3"/>
            <w:vMerge/>
            <w:tcBorders>
              <w:top w:val="single" w:sz="2" w:space="0" w:color="auto"/>
              <w:left w:val="single" w:sz="2" w:space="0" w:color="auto"/>
              <w:bottom w:val="single" w:sz="2" w:space="0" w:color="auto"/>
              <w:right w:val="single" w:sz="2" w:space="0" w:color="auto"/>
            </w:tcBorders>
            <w:vAlign w:val="center"/>
          </w:tcPr>
          <w:p w:rsidR="0079506E" w:rsidRPr="00222920" w:rsidRDefault="0079506E">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股份种类</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数量</w:t>
            </w:r>
          </w:p>
        </w:tc>
      </w:tr>
      <w:tr w:rsidR="0079506E" w:rsidRPr="00222920">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蓝润发展控股集团有限公司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293,885,800.00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293,885,800.00</w:t>
            </w:r>
          </w:p>
        </w:tc>
      </w:tr>
      <w:tr w:rsidR="0079506E" w:rsidRPr="00222920">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莱阳银龙投资有限公司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78,676,000.00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78,676,000.00</w:t>
            </w:r>
          </w:p>
        </w:tc>
      </w:tr>
      <w:tr w:rsidR="0079506E" w:rsidRPr="00222920">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青岛</w:t>
            </w:r>
            <w:proofErr w:type="gramStart"/>
            <w:r w:rsidRPr="00222920">
              <w:rPr>
                <w:rFonts w:ascii="Times New Roman" w:eastAsia="宋体" w:hAnsi="Times New Roman" w:cs="宋体"/>
                <w:sz w:val="18"/>
                <w:szCs w:val="18"/>
              </w:rPr>
              <w:t>洪亨亚</w:t>
            </w:r>
            <w:proofErr w:type="gramEnd"/>
            <w:r w:rsidRPr="00222920">
              <w:rPr>
                <w:rFonts w:ascii="Times New Roman" w:eastAsia="宋体" w:hAnsi="Times New Roman" w:cs="宋体"/>
                <w:sz w:val="18"/>
                <w:szCs w:val="18"/>
              </w:rPr>
              <w:t>和实业有限公司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59,714,200.00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59,714,200.00</w:t>
            </w:r>
          </w:p>
        </w:tc>
      </w:tr>
      <w:tr w:rsidR="0079506E" w:rsidRPr="00222920">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银河德</w:t>
            </w:r>
            <w:proofErr w:type="gramStart"/>
            <w:r w:rsidRPr="00222920">
              <w:rPr>
                <w:rFonts w:ascii="Times New Roman" w:eastAsia="宋体" w:hAnsi="Times New Roman" w:cs="宋体"/>
                <w:sz w:val="18"/>
                <w:szCs w:val="18"/>
              </w:rPr>
              <w:t>睿</w:t>
            </w:r>
            <w:proofErr w:type="gramEnd"/>
            <w:r w:rsidRPr="00222920">
              <w:rPr>
                <w:rFonts w:ascii="Times New Roman" w:eastAsia="宋体" w:hAnsi="Times New Roman" w:cs="宋体"/>
                <w:sz w:val="18"/>
                <w:szCs w:val="18"/>
              </w:rPr>
              <w:t>资本管理有限公司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36,781,005.00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36,781,005.00</w:t>
            </w:r>
          </w:p>
        </w:tc>
      </w:tr>
      <w:tr w:rsidR="0079506E" w:rsidRPr="00222920">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proofErr w:type="gramStart"/>
            <w:r w:rsidRPr="00222920">
              <w:rPr>
                <w:rFonts w:ascii="Times New Roman" w:eastAsia="宋体" w:hAnsi="Times New Roman" w:cs="宋体"/>
                <w:sz w:val="18"/>
                <w:szCs w:val="18"/>
              </w:rPr>
              <w:t>晟弘资产</w:t>
            </w:r>
            <w:proofErr w:type="gramEnd"/>
            <w:r w:rsidRPr="00222920">
              <w:rPr>
                <w:rFonts w:ascii="Times New Roman" w:eastAsia="宋体" w:hAnsi="Times New Roman" w:cs="宋体"/>
                <w:sz w:val="18"/>
                <w:szCs w:val="18"/>
              </w:rPr>
              <w:t>管理（珠海）有限公司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29,376,135.00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29,376,135.00</w:t>
            </w:r>
          </w:p>
        </w:tc>
      </w:tr>
      <w:tr w:rsidR="0079506E" w:rsidRPr="00222920">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伊藤忠（中国）集团有限公司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27,716,500.00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27,716,500.00</w:t>
            </w:r>
          </w:p>
        </w:tc>
      </w:tr>
      <w:tr w:rsidR="0079506E" w:rsidRPr="00222920">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青岛源雅商贸有限公司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22,924,700.00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22,924,700.00</w:t>
            </w:r>
          </w:p>
        </w:tc>
      </w:tr>
      <w:tr w:rsidR="0079506E" w:rsidRPr="00222920">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付小铜</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21,804,661.00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21,804,661.00</w:t>
            </w:r>
          </w:p>
        </w:tc>
      </w:tr>
      <w:tr w:rsidR="0079506E" w:rsidRPr="00222920">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上海鼎译智能科技有限公司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21,116,171.00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21,116,171.00</w:t>
            </w:r>
          </w:p>
        </w:tc>
      </w:tr>
      <w:tr w:rsidR="0079506E" w:rsidRPr="00222920">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上海芬隆实业有限公司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20,674,773.00</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20,674,773.00</w:t>
            </w:r>
          </w:p>
        </w:tc>
      </w:tr>
      <w:tr w:rsidR="0079506E" w:rsidRPr="00222920">
        <w:trPr>
          <w:trHeight w:val="240"/>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上述股东关联关系或一致行动的说明</w:t>
            </w:r>
          </w:p>
        </w:tc>
        <w:tc>
          <w:tcPr>
            <w:tcW w:w="5508" w:type="dxa"/>
            <w:gridSpan w:val="4"/>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公司未知前</w:t>
            </w:r>
            <w:r w:rsidRPr="00222920">
              <w:rPr>
                <w:rFonts w:ascii="Times New Roman" w:eastAsia="宋体" w:hAnsi="Times New Roman" w:cs="宋体"/>
                <w:sz w:val="18"/>
                <w:szCs w:val="18"/>
              </w:rPr>
              <w:t>10</w:t>
            </w:r>
            <w:r w:rsidRPr="00222920">
              <w:rPr>
                <w:rFonts w:ascii="Times New Roman" w:eastAsia="宋体" w:hAnsi="Times New Roman" w:cs="宋体"/>
                <w:sz w:val="18"/>
                <w:szCs w:val="18"/>
              </w:rPr>
              <w:t>股东之间是否存在关联关系，也未知是否属于一致行动人。</w:t>
            </w:r>
          </w:p>
        </w:tc>
      </w:tr>
      <w:tr w:rsidR="0079506E" w:rsidRPr="00222920">
        <w:trPr>
          <w:trHeight w:val="240"/>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前</w:t>
            </w:r>
            <w:r w:rsidRPr="00222920">
              <w:rPr>
                <w:rFonts w:ascii="Times New Roman" w:eastAsia="宋体" w:hAnsi="Times New Roman" w:cs="宋体"/>
                <w:sz w:val="18"/>
                <w:szCs w:val="18"/>
              </w:rPr>
              <w:t>10</w:t>
            </w:r>
            <w:r w:rsidRPr="00222920">
              <w:rPr>
                <w:rFonts w:ascii="Times New Roman" w:eastAsia="宋体" w:hAnsi="Times New Roman" w:cs="宋体"/>
                <w:sz w:val="18"/>
                <w:szCs w:val="18"/>
              </w:rPr>
              <w:t>名股东参与融资融券业务情况说明（如有）</w:t>
            </w:r>
          </w:p>
        </w:tc>
        <w:tc>
          <w:tcPr>
            <w:tcW w:w="5508" w:type="dxa"/>
            <w:gridSpan w:val="4"/>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山东龙大美食股份有限公司回购专用证券账户持有</w:t>
            </w:r>
            <w:r w:rsidRPr="00222920">
              <w:rPr>
                <w:rFonts w:ascii="Times New Roman" w:eastAsia="宋体" w:hAnsi="Times New Roman" w:cs="宋体"/>
                <w:sz w:val="18"/>
                <w:szCs w:val="18"/>
              </w:rPr>
              <w:t>41,417,183</w:t>
            </w:r>
            <w:r w:rsidRPr="00222920">
              <w:rPr>
                <w:rFonts w:ascii="Times New Roman" w:eastAsia="宋体" w:hAnsi="Times New Roman" w:cs="宋体"/>
                <w:sz w:val="18"/>
                <w:szCs w:val="18"/>
              </w:rPr>
              <w:t>股。蓝润发展控股集团有限公司通过东海证券股份有限公司客户信用交易担保证券账户持有</w:t>
            </w:r>
            <w:r w:rsidRPr="00222920">
              <w:rPr>
                <w:rFonts w:ascii="Times New Roman" w:eastAsia="宋体" w:hAnsi="Times New Roman" w:cs="宋体"/>
                <w:sz w:val="18"/>
                <w:szCs w:val="18"/>
              </w:rPr>
              <w:t>34,000,000</w:t>
            </w:r>
            <w:r w:rsidRPr="00222920">
              <w:rPr>
                <w:rFonts w:ascii="Times New Roman" w:eastAsia="宋体" w:hAnsi="Times New Roman" w:cs="宋体"/>
                <w:sz w:val="18"/>
                <w:szCs w:val="18"/>
              </w:rPr>
              <w:t>股；</w:t>
            </w:r>
            <w:proofErr w:type="gramStart"/>
            <w:r w:rsidRPr="00222920">
              <w:rPr>
                <w:rFonts w:ascii="Times New Roman" w:eastAsia="宋体" w:hAnsi="Times New Roman" w:cs="宋体"/>
                <w:sz w:val="18"/>
                <w:szCs w:val="18"/>
              </w:rPr>
              <w:t>晟弘资产</w:t>
            </w:r>
            <w:proofErr w:type="gramEnd"/>
            <w:r w:rsidRPr="00222920">
              <w:rPr>
                <w:rFonts w:ascii="Times New Roman" w:eastAsia="宋体" w:hAnsi="Times New Roman" w:cs="宋体"/>
                <w:sz w:val="18"/>
                <w:szCs w:val="18"/>
              </w:rPr>
              <w:t>管理（珠海）有限公司通过广发证券股份有限公司客户信用交易担保证券账户持有</w:t>
            </w:r>
            <w:r w:rsidRPr="00222920">
              <w:rPr>
                <w:rFonts w:ascii="Times New Roman" w:eastAsia="宋体" w:hAnsi="Times New Roman" w:cs="宋体"/>
                <w:sz w:val="18"/>
                <w:szCs w:val="18"/>
              </w:rPr>
              <w:t>29,376,135</w:t>
            </w:r>
            <w:r w:rsidRPr="00222920">
              <w:rPr>
                <w:rFonts w:ascii="Times New Roman" w:eastAsia="宋体" w:hAnsi="Times New Roman" w:cs="宋体"/>
                <w:sz w:val="18"/>
                <w:szCs w:val="18"/>
              </w:rPr>
              <w:t>股；上海鼎译智能科技有限公司通过长城证券股份有限公司客户信用交易担保证券账户持有</w:t>
            </w:r>
            <w:r w:rsidRPr="00222920">
              <w:rPr>
                <w:rFonts w:ascii="Times New Roman" w:eastAsia="宋体" w:hAnsi="Times New Roman" w:cs="宋体"/>
                <w:sz w:val="18"/>
                <w:szCs w:val="18"/>
              </w:rPr>
              <w:t>21,116,171</w:t>
            </w:r>
            <w:r w:rsidRPr="00222920">
              <w:rPr>
                <w:rFonts w:ascii="Times New Roman" w:eastAsia="宋体" w:hAnsi="Times New Roman" w:cs="宋体"/>
                <w:sz w:val="18"/>
                <w:szCs w:val="18"/>
              </w:rPr>
              <w:t>股；上海芬隆实业有限公司通过信</w:t>
            </w:r>
            <w:proofErr w:type="gramStart"/>
            <w:r w:rsidRPr="00222920">
              <w:rPr>
                <w:rFonts w:ascii="Times New Roman" w:eastAsia="宋体" w:hAnsi="Times New Roman" w:cs="宋体"/>
                <w:sz w:val="18"/>
                <w:szCs w:val="18"/>
              </w:rPr>
              <w:t>达证券</w:t>
            </w:r>
            <w:proofErr w:type="gramEnd"/>
            <w:r w:rsidRPr="00222920">
              <w:rPr>
                <w:rFonts w:ascii="Times New Roman" w:eastAsia="宋体" w:hAnsi="Times New Roman" w:cs="宋体"/>
                <w:sz w:val="18"/>
                <w:szCs w:val="18"/>
              </w:rPr>
              <w:t>股份有限公司客户信用交易担保证券账户持有</w:t>
            </w:r>
            <w:r w:rsidRPr="00222920">
              <w:rPr>
                <w:rFonts w:ascii="Times New Roman" w:eastAsia="宋体" w:hAnsi="Times New Roman" w:cs="宋体"/>
                <w:sz w:val="18"/>
                <w:szCs w:val="18"/>
              </w:rPr>
              <w:t>20,674,773</w:t>
            </w:r>
            <w:r w:rsidRPr="00222920">
              <w:rPr>
                <w:rFonts w:ascii="Times New Roman" w:eastAsia="宋体" w:hAnsi="Times New Roman" w:cs="宋体"/>
                <w:sz w:val="18"/>
                <w:szCs w:val="18"/>
              </w:rPr>
              <w:t>股。</w:t>
            </w:r>
          </w:p>
        </w:tc>
      </w:tr>
    </w:tbl>
    <w:p w:rsidR="0079506E" w:rsidRPr="00222920" w:rsidRDefault="00000000">
      <w:pPr>
        <w:spacing w:before="100" w:after="100" w:line="240" w:lineRule="exact"/>
        <w:rPr>
          <w:rFonts w:ascii="Times New Roman" w:eastAsia="宋体" w:hAnsi="Times New Roman" w:cs="宋体"/>
          <w:sz w:val="18"/>
          <w:szCs w:val="18"/>
        </w:rPr>
      </w:pPr>
      <w:r w:rsidRPr="00222920">
        <w:rPr>
          <w:rFonts w:ascii="Times New Roman" w:eastAsia="宋体" w:hAnsi="Times New Roman" w:cs="宋体"/>
          <w:sz w:val="18"/>
          <w:szCs w:val="18"/>
        </w:rPr>
        <w:lastRenderedPageBreak/>
        <w:t>持股</w:t>
      </w:r>
      <w:r w:rsidRPr="00222920">
        <w:rPr>
          <w:rFonts w:ascii="Times New Roman" w:eastAsia="宋体" w:hAnsi="Times New Roman" w:cs="宋体"/>
          <w:sz w:val="18"/>
          <w:szCs w:val="18"/>
        </w:rPr>
        <w:t>5%</w:t>
      </w:r>
      <w:r w:rsidRPr="00222920">
        <w:rPr>
          <w:rFonts w:ascii="Times New Roman" w:eastAsia="宋体" w:hAnsi="Times New Roman" w:cs="宋体"/>
          <w:sz w:val="18"/>
          <w:szCs w:val="18"/>
        </w:rPr>
        <w:t>以上股东、前</w:t>
      </w:r>
      <w:r w:rsidRPr="00222920">
        <w:rPr>
          <w:rFonts w:ascii="Times New Roman" w:eastAsia="宋体" w:hAnsi="Times New Roman" w:cs="宋体"/>
          <w:sz w:val="18"/>
          <w:szCs w:val="18"/>
        </w:rPr>
        <w:t>10</w:t>
      </w:r>
      <w:r w:rsidRPr="00222920">
        <w:rPr>
          <w:rFonts w:ascii="Times New Roman" w:eastAsia="宋体" w:hAnsi="Times New Roman" w:cs="宋体"/>
          <w:sz w:val="18"/>
          <w:szCs w:val="18"/>
        </w:rPr>
        <w:t>名股东及前</w:t>
      </w:r>
      <w:r w:rsidRPr="00222920">
        <w:rPr>
          <w:rFonts w:ascii="Times New Roman" w:eastAsia="宋体" w:hAnsi="Times New Roman" w:cs="宋体"/>
          <w:sz w:val="18"/>
          <w:szCs w:val="18"/>
        </w:rPr>
        <w:t>10</w:t>
      </w:r>
      <w:r w:rsidRPr="00222920">
        <w:rPr>
          <w:rFonts w:ascii="Times New Roman" w:eastAsia="宋体" w:hAnsi="Times New Roman" w:cs="宋体"/>
          <w:sz w:val="18"/>
          <w:szCs w:val="18"/>
        </w:rPr>
        <w:t>名无限</w:t>
      </w:r>
      <w:proofErr w:type="gramStart"/>
      <w:r w:rsidRPr="00222920">
        <w:rPr>
          <w:rFonts w:ascii="Times New Roman" w:eastAsia="宋体" w:hAnsi="Times New Roman" w:cs="宋体"/>
          <w:sz w:val="18"/>
          <w:szCs w:val="18"/>
        </w:rPr>
        <w:t>售流通</w:t>
      </w:r>
      <w:proofErr w:type="gramEnd"/>
      <w:r w:rsidRPr="00222920">
        <w:rPr>
          <w:rFonts w:ascii="Times New Roman" w:eastAsia="宋体" w:hAnsi="Times New Roman" w:cs="宋体"/>
          <w:sz w:val="18"/>
          <w:szCs w:val="18"/>
        </w:rPr>
        <w:t>股股东参与转融通业务出借股份情况</w:t>
      </w:r>
    </w:p>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w:t>
      </w:r>
      <w:r w:rsidRPr="00222920">
        <w:rPr>
          <w:rFonts w:ascii="Times New Roman" w:eastAsia="宋体" w:hAnsi="Times New Roman" w:cs="宋体"/>
          <w:sz w:val="18"/>
          <w:szCs w:val="18"/>
        </w:rPr>
        <w:t>适用</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sym w:font="Wingdings 2" w:char="F052"/>
      </w:r>
      <w:r w:rsidRPr="00222920">
        <w:rPr>
          <w:rFonts w:ascii="Times New Roman" w:eastAsia="宋体" w:hAnsi="Times New Roman" w:cs="宋体"/>
          <w:sz w:val="18"/>
          <w:szCs w:val="18"/>
        </w:rPr>
        <w:t>不适用</w:t>
      </w:r>
    </w:p>
    <w:p w:rsidR="0079506E" w:rsidRPr="00222920" w:rsidRDefault="00000000">
      <w:pPr>
        <w:spacing w:before="100" w:after="100" w:line="240" w:lineRule="exact"/>
        <w:rPr>
          <w:rFonts w:ascii="Times New Roman" w:eastAsia="宋体" w:hAnsi="Times New Roman" w:cs="宋体"/>
          <w:sz w:val="18"/>
          <w:szCs w:val="18"/>
        </w:rPr>
      </w:pPr>
      <w:r w:rsidRPr="00222920">
        <w:rPr>
          <w:rFonts w:ascii="Times New Roman" w:eastAsia="宋体" w:hAnsi="Times New Roman" w:cs="宋体"/>
          <w:sz w:val="18"/>
          <w:szCs w:val="18"/>
        </w:rPr>
        <w:t>前</w:t>
      </w:r>
      <w:r w:rsidRPr="00222920">
        <w:rPr>
          <w:rFonts w:ascii="Times New Roman" w:eastAsia="宋体" w:hAnsi="Times New Roman" w:cs="宋体"/>
          <w:sz w:val="18"/>
          <w:szCs w:val="18"/>
        </w:rPr>
        <w:t>10</w:t>
      </w:r>
      <w:r w:rsidRPr="00222920">
        <w:rPr>
          <w:rFonts w:ascii="Times New Roman" w:eastAsia="宋体" w:hAnsi="Times New Roman" w:cs="宋体"/>
          <w:sz w:val="18"/>
          <w:szCs w:val="18"/>
        </w:rPr>
        <w:t>名股东及前</w:t>
      </w:r>
      <w:r w:rsidRPr="00222920">
        <w:rPr>
          <w:rFonts w:ascii="Times New Roman" w:eastAsia="宋体" w:hAnsi="Times New Roman" w:cs="宋体"/>
          <w:sz w:val="18"/>
          <w:szCs w:val="18"/>
        </w:rPr>
        <w:t>10</w:t>
      </w:r>
      <w:r w:rsidRPr="00222920">
        <w:rPr>
          <w:rFonts w:ascii="Times New Roman" w:eastAsia="宋体" w:hAnsi="Times New Roman" w:cs="宋体"/>
          <w:sz w:val="18"/>
          <w:szCs w:val="18"/>
        </w:rPr>
        <w:t>名无限</w:t>
      </w:r>
      <w:proofErr w:type="gramStart"/>
      <w:r w:rsidRPr="00222920">
        <w:rPr>
          <w:rFonts w:ascii="Times New Roman" w:eastAsia="宋体" w:hAnsi="Times New Roman" w:cs="宋体"/>
          <w:sz w:val="18"/>
          <w:szCs w:val="18"/>
        </w:rPr>
        <w:t>售流通</w:t>
      </w:r>
      <w:proofErr w:type="gramEnd"/>
      <w:r w:rsidRPr="00222920">
        <w:rPr>
          <w:rFonts w:ascii="Times New Roman" w:eastAsia="宋体" w:hAnsi="Times New Roman" w:cs="宋体"/>
          <w:sz w:val="18"/>
          <w:szCs w:val="18"/>
        </w:rPr>
        <w:t>股股东因转融通出借</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归还原因导致较上期发生变化</w:t>
      </w:r>
    </w:p>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w:t>
      </w:r>
      <w:r w:rsidRPr="00222920">
        <w:rPr>
          <w:rFonts w:ascii="Times New Roman" w:eastAsia="宋体" w:hAnsi="Times New Roman" w:cs="宋体"/>
          <w:sz w:val="18"/>
          <w:szCs w:val="18"/>
        </w:rPr>
        <w:t>适用</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sym w:font="Wingdings 2" w:char="F052"/>
      </w:r>
      <w:r w:rsidRPr="00222920">
        <w:rPr>
          <w:rFonts w:ascii="Times New Roman" w:eastAsia="宋体" w:hAnsi="Times New Roman" w:cs="宋体"/>
          <w:sz w:val="18"/>
          <w:szCs w:val="18"/>
        </w:rPr>
        <w:t>不适用</w:t>
      </w:r>
    </w:p>
    <w:p w:rsidR="0079506E" w:rsidRPr="00222920" w:rsidRDefault="00000000">
      <w:pPr>
        <w:pStyle w:val="2"/>
        <w:spacing w:before="300" w:after="300" w:line="280" w:lineRule="exact"/>
        <w:rPr>
          <w:rFonts w:ascii="Times New Roman" w:eastAsia="宋体" w:hAnsi="Times New Roman" w:cs="宋体"/>
          <w:b/>
          <w:bCs/>
        </w:rPr>
      </w:pPr>
      <w:bookmarkStart w:id="6" w:name="_Toc988895"/>
      <w:r w:rsidRPr="00222920">
        <w:rPr>
          <w:rFonts w:ascii="Times New Roman" w:eastAsia="宋体" w:hAnsi="Times New Roman" w:cs="宋体"/>
          <w:b/>
          <w:bCs/>
        </w:rPr>
        <w:t>（二）</w:t>
      </w:r>
      <w:r w:rsidRPr="00222920">
        <w:rPr>
          <w:rFonts w:ascii="Times New Roman" w:eastAsia="宋体" w:hAnsi="Times New Roman" w:cs="宋体"/>
          <w:b/>
          <w:bCs/>
        </w:rPr>
        <w:t xml:space="preserve"> </w:t>
      </w:r>
      <w:r w:rsidRPr="00222920">
        <w:rPr>
          <w:rFonts w:ascii="Times New Roman" w:eastAsia="宋体" w:hAnsi="Times New Roman" w:cs="宋体"/>
          <w:b/>
          <w:bCs/>
        </w:rPr>
        <w:t>公司优先股股东总数及前</w:t>
      </w:r>
      <w:r w:rsidRPr="00222920">
        <w:rPr>
          <w:rFonts w:ascii="Times New Roman" w:eastAsia="宋体" w:hAnsi="Times New Roman" w:cs="宋体"/>
          <w:b/>
          <w:bCs/>
        </w:rPr>
        <w:t>10</w:t>
      </w:r>
      <w:r w:rsidRPr="00222920">
        <w:rPr>
          <w:rFonts w:ascii="Times New Roman" w:eastAsia="宋体" w:hAnsi="Times New Roman" w:cs="宋体"/>
          <w:b/>
          <w:bCs/>
        </w:rPr>
        <w:t>名优先股股东持股情况表</w:t>
      </w:r>
      <w:bookmarkEnd w:id="6"/>
    </w:p>
    <w:p w:rsidR="0079506E" w:rsidRPr="00222920" w:rsidRDefault="00000000">
      <w:pPr>
        <w:spacing w:before="40" w:after="40" w:line="240" w:lineRule="exact"/>
        <w:rPr>
          <w:rFonts w:ascii="Times New Roman" w:eastAsia="宋体" w:hAnsi="Times New Roman" w:cs="宋体"/>
          <w:sz w:val="18"/>
          <w:szCs w:val="18"/>
        </w:rPr>
      </w:pPr>
      <w:r w:rsidRPr="00222920">
        <w:rPr>
          <w:rFonts w:ascii="Times New Roman" w:eastAsia="宋体" w:hAnsi="Times New Roman" w:cs="宋体"/>
          <w:sz w:val="18"/>
          <w:szCs w:val="18"/>
        </w:rPr>
        <w:t>□</w:t>
      </w:r>
      <w:r w:rsidRPr="00222920">
        <w:rPr>
          <w:rFonts w:ascii="Times New Roman" w:eastAsia="宋体" w:hAnsi="Times New Roman" w:cs="宋体"/>
          <w:sz w:val="18"/>
          <w:szCs w:val="18"/>
        </w:rPr>
        <w:t>适用</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sym w:font="Wingdings 2" w:char="F052"/>
      </w:r>
      <w:r w:rsidRPr="00222920">
        <w:rPr>
          <w:rFonts w:ascii="Times New Roman" w:eastAsia="宋体" w:hAnsi="Times New Roman" w:cs="宋体"/>
          <w:sz w:val="18"/>
          <w:szCs w:val="18"/>
        </w:rPr>
        <w:t>不适用</w:t>
      </w:r>
    </w:p>
    <w:p w:rsidR="0079506E" w:rsidRPr="00222920" w:rsidRDefault="00000000">
      <w:pPr>
        <w:pStyle w:val="headingh1"/>
        <w:spacing w:before="300" w:after="300" w:line="320" w:lineRule="exact"/>
        <w:rPr>
          <w:rFonts w:ascii="Times New Roman" w:eastAsia="宋体" w:hAnsi="Times New Roman" w:cs="宋体"/>
          <w:b/>
          <w:bCs/>
          <w:sz w:val="24"/>
          <w:szCs w:val="24"/>
        </w:rPr>
      </w:pPr>
      <w:bookmarkStart w:id="7" w:name="_Toc988896"/>
      <w:r w:rsidRPr="00222920">
        <w:rPr>
          <w:rFonts w:ascii="Times New Roman" w:eastAsia="宋体" w:hAnsi="Times New Roman" w:cs="宋体"/>
          <w:b/>
          <w:bCs/>
          <w:sz w:val="24"/>
          <w:szCs w:val="24"/>
        </w:rPr>
        <w:t>三、其他重要事项</w:t>
      </w:r>
      <w:bookmarkEnd w:id="7"/>
    </w:p>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w:t>
      </w:r>
      <w:r w:rsidRPr="00222920">
        <w:rPr>
          <w:rFonts w:ascii="Times New Roman" w:eastAsia="宋体" w:hAnsi="Times New Roman" w:cs="宋体"/>
          <w:sz w:val="18"/>
          <w:szCs w:val="18"/>
        </w:rPr>
        <w:t>适用</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sym w:font="Wingdings 2" w:char="F052"/>
      </w:r>
      <w:r w:rsidRPr="00222920">
        <w:rPr>
          <w:rFonts w:ascii="Times New Roman" w:eastAsia="宋体" w:hAnsi="Times New Roman" w:cs="宋体"/>
          <w:sz w:val="18"/>
          <w:szCs w:val="18"/>
        </w:rPr>
        <w:t>不适用</w:t>
      </w:r>
    </w:p>
    <w:p w:rsidR="0079506E" w:rsidRPr="00222920" w:rsidRDefault="00000000">
      <w:pPr>
        <w:pStyle w:val="headingh1"/>
        <w:spacing w:before="300" w:after="300" w:line="320" w:lineRule="exact"/>
        <w:rPr>
          <w:rFonts w:ascii="Times New Roman" w:eastAsia="宋体" w:hAnsi="Times New Roman" w:cs="宋体"/>
          <w:b/>
          <w:bCs/>
          <w:sz w:val="24"/>
          <w:szCs w:val="24"/>
        </w:rPr>
      </w:pPr>
      <w:bookmarkStart w:id="8" w:name="_Toc988897"/>
      <w:r w:rsidRPr="00222920">
        <w:rPr>
          <w:rFonts w:ascii="Times New Roman" w:eastAsia="宋体" w:hAnsi="Times New Roman" w:cs="宋体"/>
          <w:b/>
          <w:bCs/>
          <w:sz w:val="24"/>
          <w:szCs w:val="24"/>
        </w:rPr>
        <w:t>四、季度财务报表</w:t>
      </w:r>
      <w:bookmarkEnd w:id="8"/>
    </w:p>
    <w:p w:rsidR="0079506E" w:rsidRPr="00222920" w:rsidRDefault="00000000">
      <w:pPr>
        <w:pStyle w:val="2"/>
        <w:spacing w:before="300" w:after="300" w:line="280" w:lineRule="exact"/>
        <w:rPr>
          <w:rFonts w:ascii="Times New Roman" w:eastAsia="宋体" w:hAnsi="Times New Roman" w:cs="宋体"/>
          <w:b/>
          <w:bCs/>
        </w:rPr>
      </w:pPr>
      <w:bookmarkStart w:id="9" w:name="_Toc988898"/>
      <w:r w:rsidRPr="00222920">
        <w:rPr>
          <w:rFonts w:ascii="Times New Roman" w:eastAsia="宋体" w:hAnsi="Times New Roman" w:cs="宋体"/>
          <w:b/>
          <w:bCs/>
        </w:rPr>
        <w:t>（一）</w:t>
      </w:r>
      <w:r w:rsidRPr="00222920">
        <w:rPr>
          <w:rFonts w:ascii="Times New Roman" w:eastAsia="宋体" w:hAnsi="Times New Roman" w:cs="宋体"/>
          <w:b/>
          <w:bCs/>
        </w:rPr>
        <w:t xml:space="preserve"> </w:t>
      </w:r>
      <w:r w:rsidRPr="00222920">
        <w:rPr>
          <w:rFonts w:ascii="Times New Roman" w:eastAsia="宋体" w:hAnsi="Times New Roman" w:cs="宋体"/>
          <w:b/>
          <w:bCs/>
        </w:rPr>
        <w:t>财务报表</w:t>
      </w:r>
      <w:bookmarkEnd w:id="9"/>
    </w:p>
    <w:p w:rsidR="0079506E" w:rsidRPr="00222920" w:rsidRDefault="00000000">
      <w:pPr>
        <w:pStyle w:val="3"/>
        <w:spacing w:line="280" w:lineRule="exact"/>
        <w:jc w:val="left"/>
        <w:rPr>
          <w:rFonts w:ascii="Times New Roman" w:hAnsi="Times New Roman" w:cs="宋体"/>
          <w:b/>
          <w:bCs/>
        </w:rPr>
      </w:pPr>
      <w:bookmarkStart w:id="10" w:name="_Toc988899"/>
      <w:r w:rsidRPr="00222920">
        <w:rPr>
          <w:rFonts w:ascii="Times New Roman" w:hAnsi="Times New Roman" w:cs="宋体"/>
          <w:b/>
          <w:bCs/>
        </w:rPr>
        <w:t>1</w:t>
      </w:r>
      <w:r w:rsidRPr="00222920">
        <w:rPr>
          <w:rFonts w:ascii="Times New Roman" w:hAnsi="Times New Roman" w:cs="宋体"/>
          <w:b/>
          <w:bCs/>
        </w:rPr>
        <w:t>、合并资产负债表</w:t>
      </w:r>
      <w:bookmarkEnd w:id="10"/>
    </w:p>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编制单位：山东龙大美食股份有限公司</w:t>
      </w:r>
    </w:p>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2024</w:t>
      </w:r>
      <w:r w:rsidRPr="00222920">
        <w:rPr>
          <w:rFonts w:ascii="Times New Roman" w:eastAsia="宋体" w:hAnsi="Times New Roman" w:cs="宋体"/>
          <w:sz w:val="18"/>
          <w:szCs w:val="18"/>
        </w:rPr>
        <w:t>年</w:t>
      </w:r>
      <w:r w:rsidRPr="00222920">
        <w:rPr>
          <w:rFonts w:ascii="Times New Roman" w:eastAsia="宋体" w:hAnsi="Times New Roman" w:cs="宋体"/>
          <w:sz w:val="18"/>
          <w:szCs w:val="18"/>
        </w:rPr>
        <w:t>03</w:t>
      </w:r>
      <w:r w:rsidRPr="00222920">
        <w:rPr>
          <w:rFonts w:ascii="Times New Roman" w:eastAsia="宋体" w:hAnsi="Times New Roman" w:cs="宋体"/>
          <w:sz w:val="18"/>
          <w:szCs w:val="18"/>
        </w:rPr>
        <w:t>月</w:t>
      </w:r>
      <w:r w:rsidRPr="00222920">
        <w:rPr>
          <w:rFonts w:ascii="Times New Roman" w:eastAsia="宋体" w:hAnsi="Times New Roman" w:cs="宋体"/>
          <w:sz w:val="18"/>
          <w:szCs w:val="18"/>
        </w:rPr>
        <w:t>31</w:t>
      </w:r>
      <w:r w:rsidRPr="00222920">
        <w:rPr>
          <w:rFonts w:ascii="Times New Roman" w:eastAsia="宋体" w:hAnsi="Times New Roman" w:cs="宋体"/>
          <w:sz w:val="18"/>
          <w:szCs w:val="18"/>
        </w:rPr>
        <w:t>日</w:t>
      </w:r>
    </w:p>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期初余额</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1,089,228,505.43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1,392,572,096.51</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3,286,021.98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2,341,021.98</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419,467,799.06</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444,427,112.07</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85,587,321.50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81,395,478.79</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48,474,076.83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44,828,566.76</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500" w:firstLine="900"/>
              <w:rPr>
                <w:rFonts w:ascii="Times New Roman" w:eastAsia="宋体" w:hAnsi="Times New Roman" w:cs="宋体"/>
                <w:sz w:val="18"/>
                <w:szCs w:val="18"/>
              </w:rPr>
            </w:pPr>
            <w:r w:rsidRPr="00222920">
              <w:rPr>
                <w:rFonts w:ascii="Times New Roman" w:eastAsia="宋体" w:hAnsi="Times New Roman"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998,092,102.90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991,835,506.20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217,873.59</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218,758.72</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2,644,353,701.29</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2,957,618,541.03</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lastRenderedPageBreak/>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1,740,613,678.90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1,692,939,156.89</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879,105,208.20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919,386,014.19</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3,069,513.97</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4,962,137.64</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54,943,827.48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56,681,295.48</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133,327,786.65</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134,574,351.14</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26,871,974.18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26,871,974.18</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6,673,767.80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7,613,709.65</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3,206,767.49</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9,445,753.58</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500,364,886.55</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507,445,474.68</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3,348,177,411.22</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3,359,919,867.43</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5,992,531,112.51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6,317,538,408.46</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1,640,158,044.98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1,854,767,478.71</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382,489,911.14</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420,625,801.99</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347,088,183.71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421,839,401.99</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117,155,925.45</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134,486,391.06</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35,733,934.91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43,272,558.33</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6,107,125.97</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12,947,723.59</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210,560,156.40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264,150,919.18</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500" w:firstLine="900"/>
              <w:rPr>
                <w:rFonts w:ascii="Times New Roman" w:eastAsia="宋体" w:hAnsi="Times New Roman" w:cs="宋体"/>
                <w:sz w:val="18"/>
                <w:szCs w:val="18"/>
              </w:rPr>
            </w:pPr>
            <w:r w:rsidRPr="00222920">
              <w:rPr>
                <w:rFonts w:ascii="Times New Roman" w:eastAsia="宋体" w:hAnsi="Times New Roman"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167,619,474.91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179,429,646.55</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10,196,975.87</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11,571,937.30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2,917,109,733.34</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3,343,091,858.70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325,220,541.91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326,202,925.48</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911,119,222.62</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899,039,265.74</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500" w:firstLine="900"/>
              <w:rPr>
                <w:rFonts w:ascii="Times New Roman" w:eastAsia="宋体" w:hAnsi="Times New Roman" w:cs="宋体"/>
                <w:sz w:val="18"/>
                <w:szCs w:val="18"/>
              </w:rPr>
            </w:pPr>
            <w:r w:rsidRPr="00222920">
              <w:rPr>
                <w:rFonts w:ascii="Times New Roman" w:eastAsia="宋体" w:hAnsi="Times New Roman"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43,830,515.96</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45,196,076.45</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66,910,456.11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5,370,867.01</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39,656,114.97</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39,612,043.24</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2,065,332.26</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2,064,556.40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lastRenderedPageBreak/>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1,388,802,183.83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1,317,485,734.32</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4,305,911,917.17</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4,660,577,593.02</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1,079,159,939.00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1,079,159,832.00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171,570,700.63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171,570,881.98</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500" w:firstLine="900"/>
              <w:rPr>
                <w:rFonts w:ascii="Times New Roman" w:eastAsia="宋体" w:hAnsi="Times New Roman" w:cs="宋体"/>
                <w:sz w:val="18"/>
                <w:szCs w:val="18"/>
              </w:rPr>
            </w:pPr>
            <w:r w:rsidRPr="00222920">
              <w:rPr>
                <w:rFonts w:ascii="Times New Roman" w:eastAsia="宋体" w:hAnsi="Times New Roman"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824,958,540.68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824,957,421.64</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330,025,083.29</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330,025,083.29</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-12,100,000.00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-12,100,000.00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263,717,929.16</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-484,950,655.79</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-515,299,374.16</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1,512,331,370.39</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1,481,981,607.33</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174,287,824.95</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174,979,208.11</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1,686,619,195.34</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1,656,960,815.44</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5,992,531,112.51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6,317,538,408.46</w:t>
            </w:r>
          </w:p>
        </w:tc>
      </w:tr>
    </w:tbl>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法定代表人：杨晓初</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t>主管会计工作负责人：</w:t>
      </w:r>
      <w:proofErr w:type="gramStart"/>
      <w:r w:rsidRPr="00222920">
        <w:rPr>
          <w:rFonts w:ascii="Times New Roman" w:eastAsia="宋体" w:hAnsi="Times New Roman" w:cs="宋体"/>
          <w:sz w:val="18"/>
          <w:szCs w:val="18"/>
        </w:rPr>
        <w:t>张凌</w:t>
      </w:r>
      <w:proofErr w:type="gramEnd"/>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t>会计机构负责人：刘璐希</w:t>
      </w:r>
    </w:p>
    <w:p w:rsidR="0079506E" w:rsidRPr="00222920" w:rsidRDefault="00000000">
      <w:pPr>
        <w:pStyle w:val="3"/>
        <w:spacing w:line="280" w:lineRule="exact"/>
        <w:jc w:val="left"/>
        <w:rPr>
          <w:rFonts w:ascii="Times New Roman" w:hAnsi="Times New Roman" w:cs="宋体"/>
          <w:b/>
          <w:bCs/>
        </w:rPr>
      </w:pPr>
      <w:bookmarkStart w:id="11" w:name="_Toc988900"/>
      <w:r w:rsidRPr="00222920">
        <w:rPr>
          <w:rFonts w:ascii="Times New Roman" w:hAnsi="Times New Roman" w:cs="宋体"/>
          <w:b/>
          <w:bCs/>
        </w:rPr>
        <w:t>2</w:t>
      </w:r>
      <w:r w:rsidRPr="00222920">
        <w:rPr>
          <w:rFonts w:ascii="Times New Roman" w:hAnsi="Times New Roman" w:cs="宋体"/>
          <w:b/>
          <w:bCs/>
        </w:rPr>
        <w:t>、合并利润表</w:t>
      </w:r>
      <w:bookmarkEnd w:id="11"/>
    </w:p>
    <w:p w:rsidR="0079506E" w:rsidRPr="00222920" w:rsidRDefault="00000000">
      <w:pPr>
        <w:spacing w:before="40" w:after="40"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上期发生额</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2,523,176,556.28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3,476,825,794.20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2,523,176,556.28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3,476,825,794.20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rPr>
                <w:rFonts w:ascii="Times New Roman" w:eastAsia="宋体" w:hAnsi="Times New Roman" w:cs="宋体"/>
                <w:sz w:val="18"/>
                <w:szCs w:val="18"/>
              </w:rPr>
            </w:pPr>
            <w:r w:rsidRPr="00222920">
              <w:rPr>
                <w:rFonts w:ascii="Times New Roman" w:eastAsia="宋体" w:hAnsi="Times New Roman"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2,493,925,453.11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3,441,986,494.00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2,368,777,680.34</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3,314,413,000.03</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4,692,685.66</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5,526,772.79</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34,895,231.62</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42,456,129.81</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63,170,903.31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65,131,475.26</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2,320,023.95</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2,366,832.79</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400" w:firstLine="720"/>
              <w:rPr>
                <w:rFonts w:ascii="Times New Roman" w:eastAsia="宋体" w:hAnsi="Times New Roman" w:cs="宋体"/>
                <w:sz w:val="18"/>
                <w:szCs w:val="18"/>
              </w:rPr>
            </w:pPr>
            <w:r w:rsidRPr="00222920">
              <w:rPr>
                <w:rFonts w:ascii="Times New Roman" w:eastAsia="宋体" w:hAnsi="Times New Roman"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20,068,928.23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12,092,283.32</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500" w:firstLine="900"/>
              <w:rPr>
                <w:rFonts w:ascii="Times New Roman" w:eastAsia="宋体" w:hAnsi="Times New Roman" w:cs="宋体"/>
                <w:sz w:val="18"/>
                <w:szCs w:val="18"/>
              </w:rPr>
            </w:pPr>
            <w:r w:rsidRPr="00222920">
              <w:rPr>
                <w:rFonts w:ascii="Times New Roman" w:eastAsia="宋体" w:hAnsi="Times New Roman"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28,098,339.45</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23,996,846.11</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800" w:firstLine="1440"/>
              <w:rPr>
                <w:rFonts w:ascii="Times New Roman" w:eastAsia="宋体" w:hAnsi="Times New Roman" w:cs="宋体"/>
                <w:sz w:val="18"/>
                <w:szCs w:val="18"/>
              </w:rPr>
            </w:pPr>
            <w:r w:rsidRPr="00222920">
              <w:rPr>
                <w:rFonts w:ascii="Times New Roman" w:eastAsia="宋体" w:hAnsi="Times New Roman"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11,264,388.03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12,142,649.78</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4,898,611.54</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2,814,064.96</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投资收益（损失以</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500" w:firstLine="900"/>
              <w:rPr>
                <w:rFonts w:ascii="Times New Roman" w:eastAsia="宋体" w:hAnsi="Times New Roman" w:cs="宋体"/>
                <w:sz w:val="18"/>
                <w:szCs w:val="18"/>
              </w:rPr>
            </w:pPr>
            <w:r w:rsidRPr="00222920">
              <w:rPr>
                <w:rFonts w:ascii="Times New Roman" w:eastAsia="宋体" w:hAnsi="Times New Roman" w:cs="宋体"/>
                <w:sz w:val="18"/>
                <w:szCs w:val="18"/>
              </w:rPr>
              <w:t>其中：对联营企业和合营</w:t>
            </w:r>
            <w:r w:rsidRPr="00222920">
              <w:rPr>
                <w:rFonts w:ascii="Times New Roman" w:eastAsia="宋体" w:hAnsi="Times New Roman" w:cs="宋体"/>
                <w:sz w:val="18"/>
                <w:szCs w:val="18"/>
              </w:rPr>
              <w:lastRenderedPageBreak/>
              <w:t>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800" w:firstLine="1440"/>
              <w:rPr>
                <w:rFonts w:ascii="Times New Roman" w:eastAsia="宋体" w:hAnsi="Times New Roman" w:cs="宋体"/>
                <w:sz w:val="18"/>
                <w:szCs w:val="18"/>
              </w:rPr>
            </w:pPr>
            <w:r w:rsidRPr="00222920">
              <w:rPr>
                <w:rFonts w:ascii="Times New Roman" w:eastAsia="宋体" w:hAnsi="Times New Roman" w:cs="宋体"/>
                <w:sz w:val="18"/>
                <w:szCs w:val="18"/>
              </w:rPr>
              <w:t>以摊</w:t>
            </w:r>
            <w:proofErr w:type="gramStart"/>
            <w:r w:rsidRPr="00222920">
              <w:rPr>
                <w:rFonts w:ascii="Times New Roman" w:eastAsia="宋体" w:hAnsi="Times New Roman" w:cs="宋体"/>
                <w:sz w:val="18"/>
                <w:szCs w:val="18"/>
              </w:rPr>
              <w:t>余成本</w:t>
            </w:r>
            <w:proofErr w:type="gramEnd"/>
            <w:r w:rsidRPr="00222920">
              <w:rPr>
                <w:rFonts w:ascii="Times New Roman" w:eastAsia="宋体" w:hAnsi="Times New Roman"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汇兑收益（损失以</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净敞口套期收益（损失以</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公允价值变动收益（损失以</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信用减值损失（损失以</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-1,807,460.32</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526,500.81</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资产减值损失（损失以</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7,841,311.90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3,155,018.62</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资产处置收益（损失以</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101,541.31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-5,895,350.12</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三、营业利润（亏损以</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40,285,107.60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35,439,534.47</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558,080.50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2,412,103.31</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4,961,594.70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918,220.44</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四、利润总额（亏损总额以</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35,881,593.40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36,933,417.34</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6,224,258.20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177,930.70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五、净利润（净亏损以</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29,657,335.20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36,755,486.64</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1.</w:t>
            </w:r>
            <w:r w:rsidRPr="00222920">
              <w:rPr>
                <w:rFonts w:ascii="Times New Roman" w:eastAsia="宋体" w:hAnsi="Times New Roman" w:cs="宋体"/>
                <w:sz w:val="18"/>
                <w:szCs w:val="18"/>
              </w:rPr>
              <w:t>持续经营净利润（净亏损以</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29,657,335.20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36,755,486.64</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2.</w:t>
            </w:r>
            <w:r w:rsidRPr="00222920">
              <w:rPr>
                <w:rFonts w:ascii="Times New Roman" w:eastAsia="宋体" w:hAnsi="Times New Roman" w:cs="宋体"/>
                <w:sz w:val="18"/>
                <w:szCs w:val="18"/>
              </w:rPr>
              <w:t>终止经营净利润（净亏损以</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w:t>
            </w:r>
            <w:r w:rsidRPr="00222920">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1.</w:t>
            </w:r>
            <w:r w:rsidRPr="00222920">
              <w:rPr>
                <w:rFonts w:ascii="Times New Roman" w:eastAsia="宋体" w:hAnsi="Times New Roman" w:cs="宋体"/>
                <w:sz w:val="18"/>
                <w:szCs w:val="18"/>
              </w:rPr>
              <w:t>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30,348,718.37</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21,187,983.39</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2.</w:t>
            </w:r>
            <w:r w:rsidRPr="00222920">
              <w:rPr>
                <w:rFonts w:ascii="Times New Roman" w:eastAsia="宋体" w:hAnsi="Times New Roman" w:cs="宋体"/>
                <w:sz w:val="18"/>
                <w:szCs w:val="18"/>
              </w:rPr>
              <w:t>少数股东损益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-691,383.17</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15,567,503.25</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1.</w:t>
            </w:r>
            <w:r w:rsidRPr="00222920">
              <w:rPr>
                <w:rFonts w:ascii="Times New Roman" w:eastAsia="宋体" w:hAnsi="Times New Roman" w:cs="宋体"/>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2.</w:t>
            </w:r>
            <w:r w:rsidRPr="00222920">
              <w:rPr>
                <w:rFonts w:ascii="Times New Roman" w:eastAsia="宋体" w:hAnsi="Times New Roman" w:cs="宋体"/>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3.</w:t>
            </w:r>
            <w:r w:rsidRPr="00222920">
              <w:rPr>
                <w:rFonts w:ascii="Times New Roman" w:eastAsia="宋体" w:hAnsi="Times New Roman" w:cs="宋体"/>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4.</w:t>
            </w:r>
            <w:r w:rsidRPr="00222920">
              <w:rPr>
                <w:rFonts w:ascii="Times New Roman" w:eastAsia="宋体" w:hAnsi="Times New Roman" w:cs="宋体"/>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5.</w:t>
            </w:r>
            <w:r w:rsidRPr="00222920">
              <w:rPr>
                <w:rFonts w:ascii="Times New Roman" w:eastAsia="宋体" w:hAnsi="Times New Roman"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1.</w:t>
            </w:r>
            <w:r w:rsidRPr="00222920">
              <w:rPr>
                <w:rFonts w:ascii="Times New Roman" w:eastAsia="宋体" w:hAnsi="Times New Roman" w:cs="宋体"/>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2.</w:t>
            </w:r>
            <w:r w:rsidRPr="00222920">
              <w:rPr>
                <w:rFonts w:ascii="Times New Roman" w:eastAsia="宋体" w:hAnsi="Times New Roman" w:cs="宋体"/>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3.</w:t>
            </w:r>
            <w:r w:rsidRPr="00222920">
              <w:rPr>
                <w:rFonts w:ascii="Times New Roman" w:eastAsia="宋体" w:hAnsi="Times New Roman" w:cs="宋体"/>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4.</w:t>
            </w:r>
            <w:r w:rsidRPr="00222920">
              <w:rPr>
                <w:rFonts w:ascii="Times New Roman" w:eastAsia="宋体" w:hAnsi="Times New Roman" w:cs="宋体"/>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5.</w:t>
            </w:r>
            <w:r w:rsidRPr="00222920">
              <w:rPr>
                <w:rFonts w:ascii="Times New Roman" w:eastAsia="宋体" w:hAnsi="Times New Roman" w:cs="宋体"/>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6.</w:t>
            </w:r>
            <w:r w:rsidRPr="00222920">
              <w:rPr>
                <w:rFonts w:ascii="Times New Roman" w:eastAsia="宋体" w:hAnsi="Times New Roman" w:cs="宋体"/>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300" w:firstLine="540"/>
              <w:rPr>
                <w:rFonts w:ascii="Times New Roman" w:eastAsia="宋体" w:hAnsi="Times New Roman" w:cs="宋体"/>
                <w:sz w:val="18"/>
                <w:szCs w:val="18"/>
              </w:rPr>
            </w:pPr>
            <w:r w:rsidRPr="00222920">
              <w:rPr>
                <w:rFonts w:ascii="Times New Roman" w:eastAsia="宋体" w:hAnsi="Times New Roman" w:cs="宋体"/>
                <w:sz w:val="18"/>
                <w:szCs w:val="18"/>
              </w:rPr>
              <w:t>7.</w:t>
            </w:r>
            <w:r w:rsidRPr="00222920">
              <w:rPr>
                <w:rFonts w:ascii="Times New Roman" w:eastAsia="宋体" w:hAnsi="Times New Roman"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归属于少数股东的其他综合收益的</w:t>
            </w:r>
            <w:r w:rsidRPr="00222920">
              <w:rPr>
                <w:rFonts w:ascii="Times New Roman" w:eastAsia="宋体" w:hAnsi="Times New Roman" w:cs="宋体"/>
                <w:sz w:val="18"/>
                <w:szCs w:val="18"/>
              </w:rPr>
              <w:lastRenderedPageBreak/>
              <w:t>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29,657,335.20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36,755,486.64</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30,348,718.37</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21,187,983.39</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-691,383.17</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15,567,503.25</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0.02</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0.02</w:t>
            </w:r>
          </w:p>
        </w:tc>
      </w:tr>
    </w:tbl>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本期发生同</w:t>
      </w:r>
      <w:proofErr w:type="gramStart"/>
      <w:r w:rsidRPr="00222920">
        <w:rPr>
          <w:rFonts w:ascii="Times New Roman" w:eastAsia="宋体" w:hAnsi="Times New Roman" w:cs="宋体"/>
          <w:sz w:val="18"/>
          <w:szCs w:val="18"/>
        </w:rPr>
        <w:t>一控制</w:t>
      </w:r>
      <w:proofErr w:type="gramEnd"/>
      <w:r w:rsidRPr="00222920">
        <w:rPr>
          <w:rFonts w:ascii="Times New Roman" w:eastAsia="宋体" w:hAnsi="Times New Roman" w:cs="宋体"/>
          <w:sz w:val="18"/>
          <w:szCs w:val="18"/>
        </w:rPr>
        <w:t>下企业合并的，被合并方在合并前实现的净利润为：元，上期被合并方实现的净利润为：元。</w:t>
      </w:r>
    </w:p>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法定代表人：杨晓初</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t>主管会计工作负责人：</w:t>
      </w:r>
      <w:proofErr w:type="gramStart"/>
      <w:r w:rsidRPr="00222920">
        <w:rPr>
          <w:rFonts w:ascii="Times New Roman" w:eastAsia="宋体" w:hAnsi="Times New Roman" w:cs="宋体"/>
          <w:sz w:val="18"/>
          <w:szCs w:val="18"/>
        </w:rPr>
        <w:t>张凌</w:t>
      </w:r>
      <w:proofErr w:type="gramEnd"/>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t>会计机构负责人：刘璐希</w:t>
      </w:r>
    </w:p>
    <w:p w:rsidR="0079506E" w:rsidRPr="00222920" w:rsidRDefault="00000000">
      <w:pPr>
        <w:pStyle w:val="3"/>
        <w:spacing w:line="280" w:lineRule="exact"/>
        <w:jc w:val="left"/>
        <w:rPr>
          <w:rFonts w:ascii="Times New Roman" w:hAnsi="Times New Roman" w:cs="宋体"/>
          <w:b/>
          <w:bCs/>
        </w:rPr>
      </w:pPr>
      <w:bookmarkStart w:id="12" w:name="_Toc988901"/>
      <w:r w:rsidRPr="00222920">
        <w:rPr>
          <w:rFonts w:ascii="Times New Roman" w:hAnsi="Times New Roman" w:cs="宋体"/>
          <w:b/>
          <w:bCs/>
        </w:rPr>
        <w:t>3</w:t>
      </w:r>
      <w:r w:rsidRPr="00222920">
        <w:rPr>
          <w:rFonts w:ascii="Times New Roman" w:hAnsi="Times New Roman" w:cs="宋体"/>
          <w:b/>
          <w:bCs/>
        </w:rPr>
        <w:t>、合并现金流量表</w:t>
      </w:r>
      <w:bookmarkEnd w:id="12"/>
    </w:p>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jc w:val="center"/>
              <w:rPr>
                <w:rFonts w:ascii="Times New Roman" w:eastAsia="宋体" w:hAnsi="Times New Roman" w:cs="宋体"/>
                <w:sz w:val="18"/>
                <w:szCs w:val="18"/>
              </w:rPr>
            </w:pPr>
            <w:r w:rsidRPr="00222920">
              <w:rPr>
                <w:rFonts w:ascii="Times New Roman" w:eastAsia="宋体" w:hAnsi="Times New Roman" w:cs="宋体"/>
                <w:sz w:val="18"/>
                <w:szCs w:val="18"/>
              </w:rPr>
              <w:t>上期发生额</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1,985,784,447.07</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3,892,164,279.68</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1,495.50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6,703,165.91</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40,220,656.24</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94,755,883.79</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2,026,006,598.81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3,993,623,329.38</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1,975,236,153.33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3,864,438,338.10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117,974,917.98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128,907,468.07</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9,492,800.18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8,482,312.81</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65,200,262.40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75,124,978.85</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2,167,904,133.89</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4,076,953,097.83</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-141,897,535.08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-83,329,768.45</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600,000,000.00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12,000,000.00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29,867,379.86</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641,867,379.86</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购建固定资产、无形资产和其他长</w:t>
            </w:r>
            <w:r w:rsidRPr="00222920">
              <w:rPr>
                <w:rFonts w:ascii="Times New Roman" w:eastAsia="宋体" w:hAnsi="Times New Roman" w:cs="宋体"/>
                <w:sz w:val="18"/>
                <w:szCs w:val="18"/>
              </w:rPr>
              <w:lastRenderedPageBreak/>
              <w:t>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lastRenderedPageBreak/>
              <w:t>53,740,047.63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200,045,317.12</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27,440,000.00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600,000,000.00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81,180,047.63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800,045,317.12</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-81,180,047.63</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-158,177,937.26</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79506E">
            <w:pPr>
              <w:rPr>
                <w:rFonts w:ascii="Times New Roman" w:hAnsi="Times New Roman"/>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3,786,675.95</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221,235,259.88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835,590,254.80</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1,170,534,777.60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33,079,977.78</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1,391,770,037.48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872,456,908.53</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before="40" w:after="40"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279,710,000.00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728,423,760.71</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18,080,667.51</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14,070,180.13</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200" w:firstLine="360"/>
              <w:rPr>
                <w:rFonts w:ascii="Times New Roman" w:eastAsia="宋体" w:hAnsi="Times New Roman" w:cs="宋体"/>
                <w:sz w:val="18"/>
                <w:szCs w:val="18"/>
              </w:rPr>
            </w:pPr>
            <w:r w:rsidRPr="00222920">
              <w:rPr>
                <w:rFonts w:ascii="Times New Roman" w:eastAsia="宋体" w:hAnsi="Times New Roman"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79506E">
            <w:pPr>
              <w:spacing w:line="240" w:lineRule="exact"/>
              <w:jc w:val="right"/>
              <w:rPr>
                <w:rFonts w:ascii="Times New Roman" w:eastAsia="宋体" w:hAnsi="Times New Roman" w:cs="宋体"/>
                <w:sz w:val="18"/>
                <w:szCs w:val="18"/>
              </w:rPr>
            </w:pP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971,092,897.57</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48,204,052.87</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1,268,883,565.08</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790,697,993.71</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122,886,472.40</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81,758,914.82</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211.36</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62,168.17</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-100,190,898.95</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-159,686,622.72</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ind w:firstLineChars="100" w:firstLine="180"/>
              <w:rPr>
                <w:rFonts w:ascii="Times New Roman" w:eastAsia="宋体" w:hAnsi="Times New Roman" w:cs="宋体"/>
                <w:sz w:val="18"/>
                <w:szCs w:val="18"/>
              </w:rPr>
            </w:pPr>
            <w:r w:rsidRPr="00222920">
              <w:rPr>
                <w:rFonts w:ascii="Times New Roman" w:eastAsia="宋体" w:hAnsi="Times New Roman"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903,314,576.39</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1,209,589,986.96</w:t>
            </w:r>
          </w:p>
        </w:tc>
      </w:tr>
      <w:tr w:rsidR="0079506E" w:rsidRPr="0022292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9506E" w:rsidRPr="00222920" w:rsidRDefault="00000000">
            <w:pPr>
              <w:spacing w:line="240" w:lineRule="exact"/>
              <w:rPr>
                <w:rFonts w:ascii="Times New Roman" w:eastAsia="宋体" w:hAnsi="Times New Roman" w:cs="宋体"/>
                <w:sz w:val="18"/>
                <w:szCs w:val="18"/>
              </w:rPr>
            </w:pPr>
            <w:r w:rsidRPr="00222920">
              <w:rPr>
                <w:rFonts w:ascii="Times New Roman" w:eastAsia="宋体" w:hAnsi="Times New Roman"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803,123,677.44</w:t>
            </w:r>
          </w:p>
        </w:tc>
        <w:tc>
          <w:tcPr>
            <w:tcW w:w="3213" w:type="dxa"/>
            <w:tcBorders>
              <w:top w:val="single" w:sz="2" w:space="0" w:color="auto"/>
              <w:left w:val="single" w:sz="2" w:space="0" w:color="auto"/>
              <w:bottom w:val="single" w:sz="2" w:space="0" w:color="auto"/>
              <w:right w:val="single" w:sz="2" w:space="0" w:color="auto"/>
            </w:tcBorders>
            <w:vAlign w:val="center"/>
          </w:tcPr>
          <w:p w:rsidR="0079506E" w:rsidRPr="00222920" w:rsidRDefault="00000000">
            <w:pPr>
              <w:spacing w:line="240" w:lineRule="exact"/>
              <w:jc w:val="right"/>
              <w:rPr>
                <w:rFonts w:ascii="Times New Roman" w:eastAsia="宋体" w:hAnsi="Times New Roman" w:cs="宋体"/>
                <w:sz w:val="18"/>
                <w:szCs w:val="18"/>
              </w:rPr>
            </w:pPr>
            <w:r w:rsidRPr="00222920">
              <w:rPr>
                <w:rFonts w:ascii="Times New Roman" w:eastAsia="宋体" w:hAnsi="Times New Roman" w:cs="宋体"/>
                <w:sz w:val="18"/>
                <w:szCs w:val="18"/>
              </w:rPr>
              <w:t>1,049,903,364.24</w:t>
            </w:r>
          </w:p>
        </w:tc>
      </w:tr>
    </w:tbl>
    <w:p w:rsidR="0079506E" w:rsidRPr="00222920" w:rsidRDefault="00000000">
      <w:pPr>
        <w:pStyle w:val="2"/>
        <w:spacing w:before="300" w:after="300" w:line="280" w:lineRule="exact"/>
        <w:rPr>
          <w:rFonts w:ascii="Times New Roman" w:eastAsia="宋体" w:hAnsi="Times New Roman" w:cs="宋体"/>
          <w:b/>
          <w:bCs/>
          <w:sz w:val="25"/>
          <w:szCs w:val="25"/>
        </w:rPr>
      </w:pPr>
      <w:bookmarkStart w:id="13" w:name="_Toc988902"/>
      <w:r w:rsidRPr="00222920">
        <w:rPr>
          <w:rFonts w:ascii="Times New Roman" w:eastAsia="宋体" w:hAnsi="Times New Roman" w:cs="宋体"/>
          <w:b/>
          <w:bCs/>
          <w:sz w:val="25"/>
          <w:szCs w:val="25"/>
        </w:rPr>
        <w:t>（二）</w:t>
      </w:r>
      <w:r w:rsidRPr="00222920">
        <w:rPr>
          <w:rFonts w:ascii="Times New Roman" w:eastAsia="宋体" w:hAnsi="Times New Roman" w:cs="宋体"/>
          <w:b/>
          <w:bCs/>
          <w:sz w:val="25"/>
          <w:szCs w:val="25"/>
        </w:rPr>
        <w:t xml:space="preserve"> 2024</w:t>
      </w:r>
      <w:r w:rsidRPr="00222920">
        <w:rPr>
          <w:rFonts w:ascii="Times New Roman" w:eastAsia="宋体" w:hAnsi="Times New Roman" w:cs="宋体"/>
          <w:b/>
          <w:bCs/>
          <w:sz w:val="25"/>
          <w:szCs w:val="25"/>
        </w:rPr>
        <w:t>年起首次执行新会计准则调整首次执行当年年初财务报表相关项目情况</w:t>
      </w:r>
      <w:bookmarkEnd w:id="13"/>
    </w:p>
    <w:p w:rsidR="0079506E" w:rsidRPr="00222920" w:rsidRDefault="00000000">
      <w:pPr>
        <w:spacing w:before="100" w:after="100" w:line="240" w:lineRule="exact"/>
        <w:rPr>
          <w:rFonts w:ascii="Times New Roman" w:eastAsia="宋体" w:hAnsi="Times New Roman" w:cs="宋体"/>
          <w:sz w:val="18"/>
          <w:szCs w:val="18"/>
        </w:rPr>
      </w:pPr>
      <w:r w:rsidRPr="00222920">
        <w:rPr>
          <w:rFonts w:ascii="Times New Roman" w:eastAsia="宋体" w:hAnsi="Times New Roman" w:cs="宋体"/>
          <w:sz w:val="18"/>
          <w:szCs w:val="18"/>
        </w:rPr>
        <w:t>□</w:t>
      </w:r>
      <w:r w:rsidRPr="00222920">
        <w:rPr>
          <w:rFonts w:ascii="Times New Roman" w:eastAsia="宋体" w:hAnsi="Times New Roman" w:cs="宋体"/>
          <w:sz w:val="18"/>
          <w:szCs w:val="18"/>
        </w:rPr>
        <w:t>适用</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sym w:font="Wingdings 2" w:char="F052"/>
      </w:r>
      <w:r w:rsidRPr="00222920">
        <w:rPr>
          <w:rFonts w:ascii="Times New Roman" w:eastAsia="宋体" w:hAnsi="Times New Roman" w:cs="宋体"/>
          <w:sz w:val="18"/>
          <w:szCs w:val="18"/>
        </w:rPr>
        <w:t>不适用</w:t>
      </w:r>
    </w:p>
    <w:p w:rsidR="0079506E" w:rsidRPr="00222920" w:rsidRDefault="00000000">
      <w:pPr>
        <w:pStyle w:val="2"/>
        <w:spacing w:before="300" w:after="300" w:line="280" w:lineRule="exact"/>
        <w:rPr>
          <w:rFonts w:ascii="Times New Roman" w:eastAsia="宋体" w:hAnsi="Times New Roman" w:cs="宋体"/>
          <w:b/>
          <w:bCs/>
          <w:sz w:val="25"/>
          <w:szCs w:val="25"/>
        </w:rPr>
      </w:pPr>
      <w:bookmarkStart w:id="14" w:name="_Toc988903"/>
      <w:r w:rsidRPr="00222920">
        <w:rPr>
          <w:rFonts w:ascii="Times New Roman" w:eastAsia="宋体" w:hAnsi="Times New Roman" w:cs="宋体"/>
          <w:b/>
          <w:bCs/>
          <w:sz w:val="25"/>
          <w:szCs w:val="25"/>
        </w:rPr>
        <w:t>（三）</w:t>
      </w:r>
      <w:r w:rsidRPr="00222920">
        <w:rPr>
          <w:rFonts w:ascii="Times New Roman" w:eastAsia="宋体" w:hAnsi="Times New Roman" w:cs="宋体"/>
          <w:b/>
          <w:bCs/>
          <w:sz w:val="25"/>
          <w:szCs w:val="25"/>
        </w:rPr>
        <w:t xml:space="preserve"> </w:t>
      </w:r>
      <w:r w:rsidRPr="00222920">
        <w:rPr>
          <w:rFonts w:ascii="Times New Roman" w:eastAsia="宋体" w:hAnsi="Times New Roman" w:cs="宋体"/>
          <w:b/>
          <w:bCs/>
          <w:sz w:val="25"/>
          <w:szCs w:val="25"/>
        </w:rPr>
        <w:t>审计报告</w:t>
      </w:r>
      <w:bookmarkEnd w:id="14"/>
    </w:p>
    <w:p w:rsidR="0079506E" w:rsidRPr="00222920" w:rsidRDefault="00000000" w:rsidP="00222920">
      <w:pPr>
        <w:spacing w:before="40" w:after="40" w:line="276" w:lineRule="auto"/>
        <w:rPr>
          <w:rFonts w:ascii="Times New Roman" w:eastAsia="宋体" w:hAnsi="Times New Roman" w:cs="宋体"/>
          <w:sz w:val="18"/>
          <w:szCs w:val="18"/>
        </w:rPr>
      </w:pPr>
      <w:r w:rsidRPr="00222920">
        <w:rPr>
          <w:rFonts w:ascii="Times New Roman" w:eastAsia="宋体" w:hAnsi="Times New Roman" w:cs="宋体"/>
          <w:sz w:val="18"/>
          <w:szCs w:val="18"/>
        </w:rPr>
        <w:t>第一季度报告是否经过审计</w:t>
      </w:r>
    </w:p>
    <w:p w:rsidR="0079506E" w:rsidRPr="00222920" w:rsidRDefault="00000000" w:rsidP="00222920">
      <w:pPr>
        <w:spacing w:before="40" w:after="40" w:line="276" w:lineRule="auto"/>
        <w:rPr>
          <w:rFonts w:ascii="Times New Roman" w:eastAsia="宋体" w:hAnsi="Times New Roman" w:cs="宋体"/>
          <w:sz w:val="18"/>
          <w:szCs w:val="18"/>
        </w:rPr>
      </w:pPr>
      <w:r w:rsidRPr="00222920">
        <w:rPr>
          <w:rFonts w:ascii="Times New Roman" w:eastAsia="宋体" w:hAnsi="Times New Roman" w:cs="宋体"/>
          <w:sz w:val="18"/>
          <w:szCs w:val="18"/>
        </w:rPr>
        <w:t>□</w:t>
      </w:r>
      <w:r w:rsidRPr="00222920">
        <w:rPr>
          <w:rFonts w:ascii="Times New Roman" w:eastAsia="宋体" w:hAnsi="Times New Roman" w:cs="宋体"/>
          <w:sz w:val="18"/>
          <w:szCs w:val="18"/>
        </w:rPr>
        <w:t>是</w:t>
      </w:r>
      <w:r w:rsidRPr="00222920">
        <w:rPr>
          <w:rFonts w:ascii="Times New Roman" w:eastAsia="宋体" w:hAnsi="Times New Roman" w:cs="宋体"/>
          <w:sz w:val="18"/>
          <w:szCs w:val="18"/>
        </w:rPr>
        <w:t xml:space="preserve"> </w:t>
      </w:r>
      <w:r w:rsidRPr="00222920">
        <w:rPr>
          <w:rFonts w:ascii="Times New Roman" w:eastAsia="宋体" w:hAnsi="Times New Roman" w:cs="宋体"/>
          <w:sz w:val="18"/>
          <w:szCs w:val="18"/>
        </w:rPr>
        <w:sym w:font="Wingdings 2" w:char="F052"/>
      </w:r>
      <w:r w:rsidRPr="00222920">
        <w:rPr>
          <w:rFonts w:ascii="Times New Roman" w:eastAsia="宋体" w:hAnsi="Times New Roman" w:cs="宋体"/>
          <w:sz w:val="18"/>
          <w:szCs w:val="18"/>
        </w:rPr>
        <w:t>否</w:t>
      </w:r>
    </w:p>
    <w:p w:rsidR="0079506E" w:rsidRDefault="00000000" w:rsidP="00222920">
      <w:pPr>
        <w:spacing w:before="40" w:after="40" w:line="276" w:lineRule="auto"/>
        <w:rPr>
          <w:rFonts w:ascii="Times New Roman" w:eastAsia="宋体" w:hAnsi="Times New Roman" w:cs="宋体"/>
          <w:sz w:val="18"/>
          <w:szCs w:val="18"/>
        </w:rPr>
      </w:pPr>
      <w:r w:rsidRPr="00222920">
        <w:rPr>
          <w:rFonts w:ascii="Times New Roman" w:eastAsia="宋体" w:hAnsi="Times New Roman" w:cs="宋体"/>
          <w:sz w:val="18"/>
          <w:szCs w:val="18"/>
        </w:rPr>
        <w:t>公司第一季度报告未经审计。</w:t>
      </w:r>
    </w:p>
    <w:p w:rsidR="008B16CC" w:rsidRDefault="008B16CC" w:rsidP="00222920">
      <w:pPr>
        <w:spacing w:before="40" w:after="40" w:line="276" w:lineRule="auto"/>
        <w:rPr>
          <w:rFonts w:ascii="Times New Roman" w:eastAsia="宋体" w:hAnsi="Times New Roman" w:cs="宋体"/>
          <w:sz w:val="18"/>
          <w:szCs w:val="18"/>
        </w:rPr>
      </w:pPr>
    </w:p>
    <w:p w:rsidR="008B16CC" w:rsidRPr="008B16CC" w:rsidRDefault="008B16CC" w:rsidP="00222920">
      <w:pPr>
        <w:spacing w:before="40" w:after="40" w:line="276" w:lineRule="auto"/>
        <w:rPr>
          <w:rFonts w:ascii="Times New Roman" w:eastAsia="宋体" w:hAnsi="Times New Roman" w:cs="宋体" w:hint="eastAsia"/>
          <w:sz w:val="18"/>
          <w:szCs w:val="18"/>
        </w:rPr>
      </w:pPr>
    </w:p>
    <w:p w:rsidR="00222920" w:rsidRPr="00222920" w:rsidRDefault="00000000" w:rsidP="00222920">
      <w:pPr>
        <w:spacing w:before="40" w:after="40" w:line="276" w:lineRule="auto"/>
        <w:jc w:val="right"/>
        <w:rPr>
          <w:rFonts w:ascii="Times New Roman" w:eastAsia="宋体" w:hAnsi="Times New Roman" w:cs="宋体"/>
          <w:sz w:val="18"/>
          <w:szCs w:val="18"/>
        </w:rPr>
      </w:pPr>
      <w:r w:rsidRPr="00222920">
        <w:rPr>
          <w:rFonts w:ascii="Times New Roman" w:eastAsia="宋体" w:hAnsi="Times New Roman" w:cs="宋体"/>
          <w:sz w:val="18"/>
          <w:szCs w:val="18"/>
        </w:rPr>
        <w:t>山东龙大美食股份有限公司</w:t>
      </w:r>
    </w:p>
    <w:p w:rsidR="0079506E" w:rsidRPr="00222920" w:rsidRDefault="00000000" w:rsidP="00222920">
      <w:pPr>
        <w:spacing w:before="40" w:after="40" w:line="276" w:lineRule="auto"/>
        <w:ind w:firstLineChars="4173" w:firstLine="7511"/>
        <w:jc w:val="center"/>
        <w:rPr>
          <w:rFonts w:ascii="Times New Roman" w:eastAsia="宋体" w:hAnsi="Times New Roman" w:cs="宋体"/>
          <w:sz w:val="18"/>
          <w:szCs w:val="18"/>
        </w:rPr>
      </w:pPr>
      <w:r w:rsidRPr="00222920">
        <w:rPr>
          <w:rFonts w:ascii="Times New Roman" w:eastAsia="宋体" w:hAnsi="Times New Roman" w:cs="宋体"/>
          <w:sz w:val="18"/>
          <w:szCs w:val="18"/>
        </w:rPr>
        <w:t>董事会</w:t>
      </w:r>
    </w:p>
    <w:p w:rsidR="0079506E" w:rsidRPr="00222920" w:rsidRDefault="00000000" w:rsidP="00222920">
      <w:pPr>
        <w:spacing w:line="276" w:lineRule="auto"/>
        <w:ind w:firstLineChars="4173" w:firstLine="7511"/>
        <w:jc w:val="center"/>
        <w:rPr>
          <w:rFonts w:ascii="Times New Roman" w:eastAsia="宋体" w:hAnsi="Times New Roman" w:cs="宋体"/>
          <w:sz w:val="18"/>
          <w:szCs w:val="18"/>
        </w:rPr>
      </w:pPr>
      <w:r w:rsidRPr="00222920">
        <w:rPr>
          <w:rFonts w:ascii="Times New Roman" w:eastAsia="宋体" w:hAnsi="Times New Roman" w:cs="宋体"/>
          <w:sz w:val="18"/>
          <w:szCs w:val="18"/>
        </w:rPr>
        <w:t>2024</w:t>
      </w:r>
      <w:r w:rsidRPr="00222920">
        <w:rPr>
          <w:rFonts w:ascii="Times New Roman" w:eastAsia="宋体" w:hAnsi="Times New Roman" w:cs="宋体"/>
          <w:sz w:val="18"/>
          <w:szCs w:val="18"/>
        </w:rPr>
        <w:t>年</w:t>
      </w:r>
      <w:r w:rsidRPr="00222920">
        <w:rPr>
          <w:rFonts w:ascii="Times New Roman" w:eastAsia="宋体" w:hAnsi="Times New Roman" w:cs="宋体"/>
          <w:sz w:val="18"/>
          <w:szCs w:val="18"/>
        </w:rPr>
        <w:t>04</w:t>
      </w:r>
      <w:r w:rsidRPr="00222920">
        <w:rPr>
          <w:rFonts w:ascii="Times New Roman" w:eastAsia="宋体" w:hAnsi="Times New Roman" w:cs="宋体"/>
          <w:sz w:val="18"/>
          <w:szCs w:val="18"/>
        </w:rPr>
        <w:t>月</w:t>
      </w:r>
      <w:r w:rsidRPr="00222920">
        <w:rPr>
          <w:rFonts w:ascii="Times New Roman" w:eastAsia="宋体" w:hAnsi="Times New Roman" w:cs="宋体"/>
          <w:sz w:val="18"/>
          <w:szCs w:val="18"/>
        </w:rPr>
        <w:t>16</w:t>
      </w:r>
      <w:r w:rsidRPr="00222920">
        <w:rPr>
          <w:rFonts w:ascii="Times New Roman" w:eastAsia="宋体" w:hAnsi="Times New Roman" w:cs="宋体"/>
          <w:sz w:val="18"/>
          <w:szCs w:val="18"/>
        </w:rPr>
        <w:t>日</w:t>
      </w:r>
    </w:p>
    <w:sectPr w:rsidR="0079506E" w:rsidRPr="00222920">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6CDB" w:rsidRDefault="004F6CDB">
      <w:r>
        <w:separator/>
      </w:r>
    </w:p>
  </w:endnote>
  <w:endnote w:type="continuationSeparator" w:id="0">
    <w:p w:rsidR="004F6CDB" w:rsidRDefault="004F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506E" w:rsidRDefault="00000000">
    <w:pPr>
      <w:pStyle w:val="fotter1"/>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6CDB" w:rsidRDefault="004F6CDB">
      <w:r>
        <w:separator/>
      </w:r>
    </w:p>
  </w:footnote>
  <w:footnote w:type="continuationSeparator" w:id="0">
    <w:p w:rsidR="004F6CDB" w:rsidRDefault="004F6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506E" w:rsidRDefault="00000000">
    <w:pPr>
      <w:pStyle w:val="Header1"/>
      <w:pBdr>
        <w:bottom w:val="single" w:sz="6" w:space="1" w:color="auto"/>
      </w:pBdr>
    </w:pPr>
    <w:r>
      <w:t>山东龙大美食股份有限公司2024年第一季度报告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6E"/>
    <w:rsid w:val="00222920"/>
    <w:rsid w:val="004C4A21"/>
    <w:rsid w:val="004F6CDB"/>
    <w:rsid w:val="0079506E"/>
    <w:rsid w:val="008B16CC"/>
    <w:rsid w:val="00A94159"/>
    <w:rsid w:val="00D045A6"/>
    <w:rsid w:val="00E97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DA74F"/>
  <w15:docId w15:val="{E5886E26-BFC2-45E9-AAE0-9FA15DBC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14:ligatures w14:val="none"/>
    </w:rPr>
  </w:style>
  <w:style w:type="paragraph" w:customStyle="1" w:styleId="Default">
    <w:name w:val="Default"/>
    <w:basedOn w:val="a"/>
    <w:rsid w:val="00E9714F"/>
    <w:pPr>
      <w:autoSpaceDE w:val="0"/>
      <w:autoSpaceDN w:val="0"/>
      <w:adjustRightInd w:val="0"/>
    </w:pPr>
    <w:rPr>
      <w:rFonts w:ascii="宋体" w:eastAsia="宋体" w:hAnsi="宋体" w:cs="宋体"/>
      <w:color w:val="000000"/>
      <w:kern w:val="0"/>
      <w:sz w:val="24"/>
      <w:szCs w:val="24"/>
    </w:rPr>
  </w:style>
  <w:style w:type="paragraph" w:styleId="a4">
    <w:name w:val="header"/>
    <w:basedOn w:val="a"/>
    <w:link w:val="a5"/>
    <w:uiPriority w:val="99"/>
    <w:unhideWhenUsed/>
    <w:rsid w:val="008B16CC"/>
    <w:pPr>
      <w:tabs>
        <w:tab w:val="center" w:pos="4153"/>
        <w:tab w:val="right" w:pos="8306"/>
      </w:tabs>
      <w:snapToGrid w:val="0"/>
      <w:jc w:val="center"/>
    </w:pPr>
    <w:rPr>
      <w:sz w:val="18"/>
      <w:szCs w:val="18"/>
    </w:rPr>
  </w:style>
  <w:style w:type="character" w:customStyle="1" w:styleId="a5">
    <w:name w:val="页眉 字符"/>
    <w:basedOn w:val="a0"/>
    <w:link w:val="a4"/>
    <w:uiPriority w:val="99"/>
    <w:rsid w:val="008B16CC"/>
    <w:rPr>
      <w:sz w:val="18"/>
      <w:szCs w:val="18"/>
    </w:rPr>
  </w:style>
  <w:style w:type="paragraph" w:styleId="a6">
    <w:name w:val="footer"/>
    <w:basedOn w:val="a"/>
    <w:link w:val="a7"/>
    <w:uiPriority w:val="99"/>
    <w:unhideWhenUsed/>
    <w:rsid w:val="008B16CC"/>
    <w:pPr>
      <w:tabs>
        <w:tab w:val="center" w:pos="4153"/>
        <w:tab w:val="right" w:pos="8306"/>
      </w:tabs>
      <w:snapToGrid w:val="0"/>
    </w:pPr>
    <w:rPr>
      <w:sz w:val="18"/>
      <w:szCs w:val="18"/>
    </w:rPr>
  </w:style>
  <w:style w:type="character" w:customStyle="1" w:styleId="a7">
    <w:name w:val="页脚 字符"/>
    <w:basedOn w:val="a0"/>
    <w:link w:val="a6"/>
    <w:uiPriority w:val="99"/>
    <w:rsid w:val="008B16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125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1598</Words>
  <Characters>9109</Characters>
  <Application>Microsoft Office Word</Application>
  <DocSecurity>0</DocSecurity>
  <Lines>75</Lines>
  <Paragraphs>21</Paragraphs>
  <ScaleCrop>false</ScaleCrop>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彭威</dc:creator>
  <cp:lastModifiedBy>威 彭</cp:lastModifiedBy>
  <cp:revision>5</cp:revision>
  <dcterms:created xsi:type="dcterms:W3CDTF">2024-04-15T07:02:00Z</dcterms:created>
  <dcterms:modified xsi:type="dcterms:W3CDTF">2024-04-15T07:16:00Z</dcterms:modified>
</cp:coreProperties>
</file>